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CBB665F" w14:textId="16528CBB" w:rsidR="001E349B" w:rsidRPr="00ED1D80" w:rsidRDefault="00FB2C3E" w:rsidP="00021EF3">
      <w:pPr>
        <w:rPr>
          <w:rFonts w:cs="Arial"/>
        </w:rPr>
      </w:pPr>
      <w:bookmarkStart w:id="0" w:name="Frontpage_Logo_Negativ"/>
      <w:r w:rsidRPr="00ED1D80">
        <w:rPr>
          <w:rFonts w:cs="Arial"/>
          <w:noProof/>
          <w:lang w:eastAsia="en-AU"/>
        </w:rPr>
        <w:drawing>
          <wp:inline distT="0" distB="0" distL="0" distR="0" wp14:anchorId="24149D49" wp14:editId="71C08483">
            <wp:extent cx="2084070" cy="914400"/>
            <wp:effectExtent l="0" t="0" r="0" b="0"/>
            <wp:docPr id="1" name="Picture 1" descr="Deloitte Touche Tohmatsu logo"/>
            <wp:cNvGraphicFramePr/>
            <a:graphic xmlns:a="http://schemas.openxmlformats.org/drawingml/2006/main">
              <a:graphicData uri="http://schemas.openxmlformats.org/drawingml/2006/picture">
                <pic:pic xmlns:pic="http://schemas.openxmlformats.org/drawingml/2006/picture">
                  <pic:nvPicPr>
                    <pic:cNvPr id="1" name="Picture 1" descr="Deloitte Touche Tohmatsu logo"/>
                    <pic:cNvPicPr/>
                  </pic:nvPicPr>
                  <pic:blipFill>
                    <a:blip r:embed="rId12"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inline>
        </w:drawing>
      </w:r>
      <w:bookmarkStart w:id="1" w:name="_Ref172897191"/>
      <w:bookmarkEnd w:id="1"/>
      <w:r w:rsidR="00215C20" w:rsidRPr="00ED1D80">
        <w:rPr>
          <w:rFonts w:cs="Arial"/>
          <w:noProof/>
          <w:lang w:eastAsia="en-AU"/>
        </w:rPr>
        <w:drawing>
          <wp:anchor distT="0" distB="0" distL="0" distR="0" simplePos="0" relativeHeight="251657728" behindDoc="0" locked="0" layoutInCell="1" allowOverlap="1" wp14:anchorId="24BA3CCF" wp14:editId="4E0E919C">
            <wp:simplePos x="0" y="0"/>
            <wp:positionH relativeFrom="margin">
              <wp:posOffset>-487680</wp:posOffset>
            </wp:positionH>
            <wp:positionV relativeFrom="page">
              <wp:posOffset>431165</wp:posOffset>
            </wp:positionV>
            <wp:extent cx="2086118" cy="914400"/>
            <wp:effectExtent l="0" t="0" r="0" b="0"/>
            <wp:wrapNone/>
            <wp:docPr id="1489793624" name="Picture 148979362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24" name="Picture 1489793624" hidden="1">
                      <a:extLst>
                        <a:ext uri="{C183D7F6-B498-43B3-948B-1728B52AA6E4}">
                          <adec:decorative xmlns:adec="http://schemas.microsoft.com/office/drawing/2017/decorative" val="1"/>
                        </a:ext>
                      </a:extLst>
                    </pic:cNvPr>
                    <pic:cNvPicPr/>
                  </pic:nvPicPr>
                  <pic:blipFill>
                    <a:blip r:embed="rId13"/>
                    <a:srcRect/>
                    <a:stretch/>
                  </pic:blipFill>
                  <pic:spPr>
                    <a:xfrm>
                      <a:off x="0" y="0"/>
                      <a:ext cx="2086118" cy="914400"/>
                    </a:xfrm>
                    <a:prstGeom prst="rect">
                      <a:avLst/>
                    </a:prstGeom>
                  </pic:spPr>
                </pic:pic>
              </a:graphicData>
            </a:graphic>
          </wp:anchor>
        </w:drawing>
      </w:r>
      <w:bookmarkEnd w:id="0"/>
    </w:p>
    <w:p w14:paraId="5C5302C8" w14:textId="77777777" w:rsidR="001E349B" w:rsidRPr="00ED1D80" w:rsidRDefault="00031008" w:rsidP="00021EF3">
      <w:pPr>
        <w:rPr>
          <w:rFonts w:cs="Arial"/>
        </w:rPr>
      </w:pPr>
      <w:r w:rsidRPr="00ED1D80">
        <w:rPr>
          <w:rFonts w:cs="Arial"/>
          <w:noProof/>
          <w:lang w:eastAsia="en-AU"/>
        </w:rPr>
        <w:drawing>
          <wp:anchor distT="0" distB="0" distL="114300" distR="114300" simplePos="0" relativeHeight="251658752" behindDoc="0" locked="0" layoutInCell="1" allowOverlap="1" wp14:anchorId="14390058" wp14:editId="1FF4EEDB">
            <wp:simplePos x="0" y="0"/>
            <wp:positionH relativeFrom="page">
              <wp:posOffset>5148580</wp:posOffset>
            </wp:positionH>
            <wp:positionV relativeFrom="page">
              <wp:posOffset>9595485</wp:posOffset>
            </wp:positionV>
            <wp:extent cx="2005200" cy="529200"/>
            <wp:effectExtent l="0" t="0" r="0" b="0"/>
            <wp:wrapNone/>
            <wp:docPr id="475882791" name="Picture 475882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5882791" name="Picture 47588279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r w:rsidR="001E349B" w:rsidRPr="00ED1D80">
        <w:rPr>
          <w:rFonts w:cs="Arial"/>
          <w:noProof/>
          <w:lang w:eastAsia="en-AU"/>
        </w:rPr>
        <mc:AlternateContent>
          <mc:Choice Requires="wps">
            <w:drawing>
              <wp:anchor distT="0" distB="0" distL="114300" distR="114300" simplePos="0" relativeHeight="251654656" behindDoc="1" locked="1" layoutInCell="1" allowOverlap="1" wp14:anchorId="42BE89A7" wp14:editId="43C2A8BB">
                <wp:simplePos x="0" y="0"/>
                <wp:positionH relativeFrom="page">
                  <wp:align>left</wp:align>
                </wp:positionH>
                <wp:positionV relativeFrom="page">
                  <wp:align>top</wp:align>
                </wp:positionV>
                <wp:extent cx="7596000" cy="10728000"/>
                <wp:effectExtent l="0" t="0" r="5080"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22570" w14:textId="77777777" w:rsidR="00F12EFB" w:rsidRDefault="00F12EFB"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E89A7" id="Rectangle 35" o:spid="_x0000_s1026" alt="&quot;&quot;" style="position:absolute;margin-left:0;margin-top:0;width:598.1pt;height:844.7pt;z-index:-2516618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" stroked="f" strokeweight="2pt">
                <v:textbox>
                  <w:txbxContent>
                    <w:p w14:paraId="47A22570" w14:textId="77777777" w:rsidR="00F12EFB" w:rsidRDefault="00F12EFB" w:rsidP="00F12EFB">
                      <w:pPr>
                        <w:jc w:val="center"/>
                      </w:pPr>
                    </w:p>
                  </w:txbxContent>
                </v:textbox>
                <w10:wrap anchorx="page" anchory="page"/>
                <w10:anchorlock/>
              </v:rect>
            </w:pict>
          </mc:Fallback>
        </mc:AlternateContent>
      </w:r>
      <w:r w:rsidR="001E349B" w:rsidRPr="00ED1D80">
        <w:rPr>
          <w:rFonts w:cs="Arial"/>
          <w:noProof/>
          <w:lang w:eastAsia="en-AU"/>
        </w:rPr>
        <mc:AlternateContent>
          <mc:Choice Requires="wps">
            <w:drawing>
              <wp:anchor distT="0" distB="0" distL="114300" distR="114300" simplePos="0" relativeHeight="251656704" behindDoc="0" locked="1" layoutInCell="1" allowOverlap="1" wp14:anchorId="60F83CDD" wp14:editId="4921B550">
                <wp:simplePos x="0" y="0"/>
                <wp:positionH relativeFrom="page">
                  <wp:posOffset>428625</wp:posOffset>
                </wp:positionH>
                <wp:positionV relativeFrom="page">
                  <wp:posOffset>428625</wp:posOffset>
                </wp:positionV>
                <wp:extent cx="6746875" cy="9677400"/>
                <wp:effectExtent l="0" t="0" r="0" b="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1E349B" w:rsidRPr="00AA1B91" w14:paraId="6F40FB71" w14:textId="77777777" w:rsidTr="007B3A49">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68466296" w14:textId="77777777" w:rsidR="001E349B" w:rsidRPr="00AA1B91" w:rsidRDefault="001E349B" w:rsidP="007B3A49"/>
                              </w:tc>
                            </w:tr>
                            <w:tr w:rsidR="001E349B" w:rsidRPr="00AA1B91" w14:paraId="7C51D18D" w14:textId="77777777" w:rsidTr="004A1B8C">
                              <w:trPr>
                                <w:trHeight w:hRule="exact" w:val="10603"/>
                              </w:trPr>
                              <w:tc>
                                <w:tcPr>
                                  <w:tcW w:w="10603" w:type="dxa"/>
                                  <w:vAlign w:val="center"/>
                                </w:tcPr>
                                <w:p w14:paraId="2AFB0DEC" w14:textId="4C4F2826" w:rsidR="001E349B" w:rsidRPr="00AA1B91" w:rsidRDefault="004A1B8C" w:rsidP="006A4D13">
                                  <w:pPr>
                                    <w:pStyle w:val="FPPicture"/>
                                    <w:jc w:val="center"/>
                                  </w:pPr>
                                  <w:r w:rsidRPr="004A1B8C">
                                    <w:rPr>
                                      <w:noProof/>
                                    </w:rPr>
                                    <w:drawing>
                                      <wp:inline distT="0" distB="0" distL="0" distR="0" wp14:anchorId="13C41A9D" wp14:editId="09E8D1BB">
                                        <wp:extent cx="4245334" cy="4245334"/>
                                        <wp:effectExtent l="0" t="0" r="3175" b="3175"/>
                                        <wp:docPr id="18" name="Picture 18">
                                          <a:extLst xmlns:a="http://schemas.openxmlformats.org/drawingml/2006/main">
                                            <a:ext uri="{FF2B5EF4-FFF2-40B4-BE49-F238E27FC236}">
                                              <a16:creationId xmlns:a16="http://schemas.microsoft.com/office/drawing/2014/main" id="{9B42C25A-CFD6-9FC2-AF8F-9F189529C6B9}"/>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FF2B5EF4-FFF2-40B4-BE49-F238E27FC236}">
                                                      <a16:creationId xmlns:a16="http://schemas.microsoft.com/office/drawing/2014/main" id="{9B42C25A-CFD6-9FC2-AF8F-9F189529C6B9}"/>
                                                    </a:ext>
                                                    <a:ext uri="{C183D7F6-B498-43B3-948B-1728B52AA6E4}">
                                                      <adec:decorative xmlns:adec="http://schemas.microsoft.com/office/drawing/2017/decorative" val="1"/>
                                                    </a:ext>
                                                  </a:extLst>
                                                </pic:cNvPr>
                                                <pic:cNvPicPr>
                                                  <a:picLocks noGrp="1" noChangeAspect="1"/>
                                                </pic:cNvPicPr>
                                              </pic:nvPicPr>
                                              <pic:blipFill rotWithShape="1">
                                                <a:blip r:embed="rId15">
                                                  <a:extLst>
                                                    <a:ext uri="{28A0092B-C50C-407E-A947-70E740481C1C}">
                                                      <a14:useLocalDpi xmlns:a14="http://schemas.microsoft.com/office/drawing/2010/main" val="0"/>
                                                    </a:ext>
                                                  </a:extLst>
                                                </a:blip>
                                                <a:srcRect l="15" r="15"/>
                                                <a:stretch/>
                                              </pic:blipFill>
                                              <pic:spPr bwMode="auto">
                                                <a:xfrm>
                                                  <a:off x="0" y="0"/>
                                                  <a:ext cx="4245334" cy="42453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E0FE9D" w14:textId="77777777" w:rsidR="001E349B" w:rsidRDefault="001E349B" w:rsidP="00981018">
                            <w:pPr>
                              <w:pStyle w:val="NoSpacing"/>
                            </w:pPr>
                          </w:p>
                          <w:p w14:paraId="7794B88E" w14:textId="77777777" w:rsidR="00981018" w:rsidRPr="00AA1B91" w:rsidRDefault="00981018"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1E349B" w14:paraId="54A80A70" w14:textId="77777777" w:rsidTr="007B3A49">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bookmarkStart w:id="2" w:name="start" w:displacedByCustomXml="next"/>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14:paraId="1F791287" w14:textId="7F9D0020" w:rsidR="001E349B" w:rsidRPr="00A96769" w:rsidRDefault="0093290D" w:rsidP="007C4146">
                                      <w:pPr>
                                        <w:pStyle w:val="Documenttitle"/>
                                      </w:pPr>
                                      <w:r>
                                        <w:t>Independent evaluation of the Victorian COVID-19 Business Support Grants - FINAL REPORT</w:t>
                                      </w:r>
                                    </w:p>
                                  </w:sdtContent>
                                </w:sdt>
                                <w:bookmarkEnd w:id="2" w:displacedByCustomXml="prev"/>
                                <w:p w14:paraId="421018BB" w14:textId="77777777" w:rsidR="00596D80" w:rsidRPr="00596D80" w:rsidRDefault="00596D80" w:rsidP="005D3CA2">
                                  <w:pPr>
                                    <w:pStyle w:val="Documentdate"/>
                                    <w:rPr>
                                      <w:color w:val="FF0000"/>
                                      <w:highlight w:val="yellow"/>
                                    </w:rPr>
                                  </w:pPr>
                                </w:p>
                                <w:p w14:paraId="4C8A4364" w14:textId="5C1DD66E" w:rsidR="00596D80" w:rsidRPr="00982D5C" w:rsidRDefault="00E000A1" w:rsidP="005D3CA2">
                                  <w:pPr>
                                    <w:pStyle w:val="Documentdate"/>
                                    <w:rPr>
                                      <w:rFonts w:ascii="Arial" w:hAnsi="Arial" w:cs="Arial"/>
                                      <w:b/>
                                      <w:bCs/>
                                      <w:sz w:val="24"/>
                                      <w:szCs w:val="24"/>
                                      <w:highlight w:val="yellow"/>
                                    </w:rPr>
                                  </w:pPr>
                                  <w:r w:rsidRPr="00982D5C">
                                    <w:rPr>
                                      <w:rFonts w:ascii="Arial" w:hAnsi="Arial" w:cs="Arial"/>
                                      <w:b/>
                                      <w:bCs/>
                                      <w:sz w:val="24"/>
                                      <w:szCs w:val="24"/>
                                    </w:rPr>
                                    <w:t>Department of Jobs, Skills Industry and Regions</w:t>
                                  </w:r>
                                </w:p>
                                <w:p w14:paraId="63732D91" w14:textId="7E52E929" w:rsidR="001E349B" w:rsidRDefault="0015094E" w:rsidP="005D3CA2">
                                  <w:pPr>
                                    <w:pStyle w:val="Documentdate"/>
                                  </w:pPr>
                                  <w:r>
                                    <w:t xml:space="preserve">September </w:t>
                                  </w:r>
                                  <w:r w:rsidR="00E36671">
                                    <w:t>202</w:t>
                                  </w:r>
                                  <w:r w:rsidR="002F7DFC">
                                    <w:t>4</w:t>
                                  </w:r>
                                </w:p>
                              </w:tc>
                            </w:tr>
                          </w:tbl>
                          <w:p w14:paraId="4DA557B5" w14:textId="77777777" w:rsidR="001E349B" w:rsidRPr="00AA1B91" w:rsidRDefault="001E349B"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83CDD" id="_x0000_t202" coordsize="21600,21600" o:spt="202" path="m,l,21600r21600,l21600,xe">
                <v:stroke joinstyle="miter"/>
                <v:path gradientshapeok="t" o:connecttype="rect"/>
              </v:shapetype>
              <v:shape id="Text Box 36" o:spid="_x0000_s1027" type="#_x0000_t202" alt="&quot;&quot;" style="position:absolute;margin-left:33.75pt;margin-top:33.75pt;width:531.25pt;height:76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1E349B" w:rsidRPr="00AA1B91" w14:paraId="6F40FB71" w14:textId="77777777" w:rsidTr="007B3A49">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68466296" w14:textId="77777777" w:rsidR="001E349B" w:rsidRPr="00AA1B91" w:rsidRDefault="001E349B" w:rsidP="007B3A49"/>
                        </w:tc>
                      </w:tr>
                      <w:tr w:rsidR="001E349B" w:rsidRPr="00AA1B91" w14:paraId="7C51D18D" w14:textId="77777777" w:rsidTr="004A1B8C">
                        <w:trPr>
                          <w:trHeight w:hRule="exact" w:val="10603"/>
                        </w:trPr>
                        <w:tc>
                          <w:tcPr>
                            <w:tcW w:w="10603" w:type="dxa"/>
                            <w:vAlign w:val="center"/>
                          </w:tcPr>
                          <w:p w14:paraId="2AFB0DEC" w14:textId="4C4F2826" w:rsidR="001E349B" w:rsidRPr="00AA1B91" w:rsidRDefault="004A1B8C" w:rsidP="006A4D13">
                            <w:pPr>
                              <w:pStyle w:val="FPPicture"/>
                              <w:jc w:val="center"/>
                            </w:pPr>
                            <w:r w:rsidRPr="004A1B8C">
                              <w:rPr>
                                <w:noProof/>
                              </w:rPr>
                              <w:drawing>
                                <wp:inline distT="0" distB="0" distL="0" distR="0" wp14:anchorId="13C41A9D" wp14:editId="09E8D1BB">
                                  <wp:extent cx="4245334" cy="4245334"/>
                                  <wp:effectExtent l="0" t="0" r="3175" b="3175"/>
                                  <wp:docPr id="18" name="Picture 18">
                                    <a:extLst xmlns:a="http://schemas.openxmlformats.org/drawingml/2006/main">
                                      <a:ext uri="{FF2B5EF4-FFF2-40B4-BE49-F238E27FC236}">
                                        <a16:creationId xmlns:a16="http://schemas.microsoft.com/office/drawing/2014/main" id="{9B42C25A-CFD6-9FC2-AF8F-9F189529C6B9}"/>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FF2B5EF4-FFF2-40B4-BE49-F238E27FC236}">
                                                <a16:creationId xmlns:a16="http://schemas.microsoft.com/office/drawing/2014/main" id="{9B42C25A-CFD6-9FC2-AF8F-9F189529C6B9}"/>
                                              </a:ext>
                                              <a:ext uri="{C183D7F6-B498-43B3-948B-1728B52AA6E4}">
                                                <adec:decorative xmlns:adec="http://schemas.microsoft.com/office/drawing/2017/decorative" val="1"/>
                                              </a:ext>
                                            </a:extLst>
                                          </pic:cNvPr>
                                          <pic:cNvPicPr>
                                            <a:picLocks noGrp="1" noChangeAspect="1"/>
                                          </pic:cNvPicPr>
                                        </pic:nvPicPr>
                                        <pic:blipFill rotWithShape="1">
                                          <a:blip r:embed="rId15">
                                            <a:extLst>
                                              <a:ext uri="{28A0092B-C50C-407E-A947-70E740481C1C}">
                                                <a14:useLocalDpi xmlns:a14="http://schemas.microsoft.com/office/drawing/2010/main" val="0"/>
                                              </a:ext>
                                            </a:extLst>
                                          </a:blip>
                                          <a:srcRect l="15" r="15"/>
                                          <a:stretch/>
                                        </pic:blipFill>
                                        <pic:spPr bwMode="auto">
                                          <a:xfrm>
                                            <a:off x="0" y="0"/>
                                            <a:ext cx="4245334" cy="42453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E0FE9D" w14:textId="77777777" w:rsidR="001E349B" w:rsidRDefault="001E349B" w:rsidP="00981018">
                      <w:pPr>
                        <w:pStyle w:val="NoSpacing"/>
                      </w:pPr>
                    </w:p>
                    <w:p w14:paraId="7794B88E" w14:textId="77777777" w:rsidR="00981018" w:rsidRPr="00AA1B91" w:rsidRDefault="00981018"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1E349B" w14:paraId="54A80A70" w14:textId="77777777" w:rsidTr="007B3A49">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bookmarkStart w:id="3" w:name="start" w:displacedByCustomXml="next"/>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14:paraId="1F791287" w14:textId="7F9D0020" w:rsidR="001E349B" w:rsidRPr="00A96769" w:rsidRDefault="0093290D" w:rsidP="007C4146">
                                <w:pPr>
                                  <w:pStyle w:val="Documenttitle"/>
                                </w:pPr>
                                <w:r>
                                  <w:t>Independent evaluation of the Victorian COVID-19 Business Support Grants - FINAL REPORT</w:t>
                                </w:r>
                              </w:p>
                            </w:sdtContent>
                          </w:sdt>
                          <w:bookmarkEnd w:id="3" w:displacedByCustomXml="prev"/>
                          <w:p w14:paraId="421018BB" w14:textId="77777777" w:rsidR="00596D80" w:rsidRPr="00596D80" w:rsidRDefault="00596D80" w:rsidP="005D3CA2">
                            <w:pPr>
                              <w:pStyle w:val="Documentdate"/>
                              <w:rPr>
                                <w:color w:val="FF0000"/>
                                <w:highlight w:val="yellow"/>
                              </w:rPr>
                            </w:pPr>
                          </w:p>
                          <w:p w14:paraId="4C8A4364" w14:textId="5C1DD66E" w:rsidR="00596D80" w:rsidRPr="00982D5C" w:rsidRDefault="00E000A1" w:rsidP="005D3CA2">
                            <w:pPr>
                              <w:pStyle w:val="Documentdate"/>
                              <w:rPr>
                                <w:rFonts w:ascii="Arial" w:hAnsi="Arial" w:cs="Arial"/>
                                <w:b/>
                                <w:bCs/>
                                <w:sz w:val="24"/>
                                <w:szCs w:val="24"/>
                                <w:highlight w:val="yellow"/>
                              </w:rPr>
                            </w:pPr>
                            <w:r w:rsidRPr="00982D5C">
                              <w:rPr>
                                <w:rFonts w:ascii="Arial" w:hAnsi="Arial" w:cs="Arial"/>
                                <w:b/>
                                <w:bCs/>
                                <w:sz w:val="24"/>
                                <w:szCs w:val="24"/>
                              </w:rPr>
                              <w:t>Department of Jobs, Skills Industry and Regions</w:t>
                            </w:r>
                          </w:p>
                          <w:p w14:paraId="63732D91" w14:textId="7E52E929" w:rsidR="001E349B" w:rsidRDefault="0015094E" w:rsidP="005D3CA2">
                            <w:pPr>
                              <w:pStyle w:val="Documentdate"/>
                            </w:pPr>
                            <w:r>
                              <w:t xml:space="preserve">September </w:t>
                            </w:r>
                            <w:r w:rsidR="00E36671">
                              <w:t>202</w:t>
                            </w:r>
                            <w:r w:rsidR="002F7DFC">
                              <w:t>4</w:t>
                            </w:r>
                          </w:p>
                        </w:tc>
                      </w:tr>
                    </w:tbl>
                    <w:p w14:paraId="4DA557B5" w14:textId="77777777" w:rsidR="001E349B" w:rsidRPr="00AA1B91" w:rsidRDefault="001E349B" w:rsidP="001E349B"/>
                  </w:txbxContent>
                </v:textbox>
                <w10:wrap anchorx="page" anchory="page"/>
                <w10:anchorlock/>
              </v:shape>
            </w:pict>
          </mc:Fallback>
        </mc:AlternateContent>
      </w:r>
      <w:bookmarkStart w:id="4" w:name="BIT_CoverPage"/>
    </w:p>
    <w:p w14:paraId="779E9C4D" w14:textId="77777777" w:rsidR="001E349B" w:rsidRPr="00ED1D80" w:rsidRDefault="00031008" w:rsidP="00021EF3">
      <w:pPr>
        <w:rPr>
          <w:rFonts w:cs="Arial"/>
        </w:rPr>
      </w:pPr>
      <w:r w:rsidRPr="00ED1D80">
        <w:rPr>
          <w:rFonts w:cs="Arial"/>
          <w:noProof/>
          <w:lang w:eastAsia="en-AU"/>
        </w:rPr>
        <w:drawing>
          <wp:anchor distT="0" distB="0" distL="114300" distR="114300" simplePos="0" relativeHeight="251659776" behindDoc="0" locked="0" layoutInCell="1" allowOverlap="1" wp14:anchorId="798588C2" wp14:editId="60439802">
            <wp:simplePos x="0" y="0"/>
            <wp:positionH relativeFrom="page">
              <wp:posOffset>5154295</wp:posOffset>
            </wp:positionH>
            <wp:positionV relativeFrom="page">
              <wp:posOffset>9591040</wp:posOffset>
            </wp:positionV>
            <wp:extent cx="2003425" cy="528955"/>
            <wp:effectExtent l="0" t="0" r="0" b="0"/>
            <wp:wrapNone/>
            <wp:docPr id="52379519" name="Picture 52379519"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379519" name="Picture 52379519" hidden="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p>
    <w:bookmarkEnd w:id="4"/>
    <w:p w14:paraId="1ADF3A86" w14:textId="77777777" w:rsidR="001E349B" w:rsidRPr="00ED1D80" w:rsidRDefault="001E349B" w:rsidP="00021EF3">
      <w:pPr>
        <w:rPr>
          <w:rFonts w:cs="Arial"/>
        </w:rPr>
      </w:pPr>
    </w:p>
    <w:p w14:paraId="00D4E699" w14:textId="37C637AA" w:rsidR="001E349B" w:rsidRPr="00ED1D80" w:rsidRDefault="001E349B" w:rsidP="00021EF3">
      <w:pPr>
        <w:rPr>
          <w:rFonts w:cs="Arial"/>
        </w:rPr>
      </w:pPr>
    </w:p>
    <w:p w14:paraId="029F2CBD" w14:textId="77777777" w:rsidR="00D96296" w:rsidRPr="00ED1D80" w:rsidRDefault="00D96296" w:rsidP="00021EF3">
      <w:pPr>
        <w:pageBreakBefore/>
        <w:rPr>
          <w:rFonts w:cs="Arial"/>
        </w:rPr>
        <w:sectPr w:rsidR="00D96296" w:rsidRPr="00ED1D80" w:rsidSect="005F043A">
          <w:headerReference w:type="default" r:id="rId17"/>
          <w:footerReference w:type="default" r:id="rId18"/>
          <w:footnotePr>
            <w:numFmt w:val="chicago"/>
          </w:footnotePr>
          <w:endnotePr>
            <w:numFmt w:val="decimal"/>
          </w:endnotePr>
          <w:pgSz w:w="11906" w:h="16838" w:code="9"/>
          <w:pgMar w:top="1440" w:right="4281" w:bottom="1440" w:left="1440" w:header="680" w:footer="425" w:gutter="0"/>
          <w:cols w:space="284"/>
          <w:docGrid w:linePitch="360"/>
        </w:sectPr>
      </w:pPr>
    </w:p>
    <w:sdt>
      <w:sdtPr>
        <w:rPr>
          <w:rFonts w:ascii="Arial" w:eastAsiaTheme="minorEastAsia" w:hAnsi="Arial" w:cstheme="minorBidi"/>
          <w:bCs w:val="0"/>
          <w:sz w:val="18"/>
          <w:szCs w:val="18"/>
        </w:rPr>
        <w:id w:val="-1103643695"/>
        <w:docPartObj>
          <w:docPartGallery w:val="Table of Contents"/>
          <w:docPartUnique/>
        </w:docPartObj>
      </w:sdtPr>
      <w:sdtEndPr>
        <w:rPr>
          <w:b/>
        </w:rPr>
      </w:sdtEndPr>
      <w:sdtContent>
        <w:p w14:paraId="4E02A545" w14:textId="36686CA2" w:rsidR="00CB30C0" w:rsidRPr="004A0831" w:rsidRDefault="00CB30C0" w:rsidP="00021EF3">
          <w:pPr>
            <w:pStyle w:val="TOCHeading"/>
          </w:pPr>
          <w:r w:rsidRPr="004A0831">
            <w:t>Contents</w:t>
          </w:r>
        </w:p>
        <w:p w14:paraId="104AA8F9" w14:textId="798F9291" w:rsidR="007D295B" w:rsidRPr="004A0831" w:rsidRDefault="00CB30C0" w:rsidP="00021EF3">
          <w:pPr>
            <w:pStyle w:val="TOC1"/>
            <w:rPr>
              <w:rFonts w:asciiTheme="minorHAnsi" w:eastAsiaTheme="minorEastAsia" w:hAnsiTheme="minorHAnsi"/>
              <w:noProof/>
              <w:kern w:val="2"/>
              <w:sz w:val="22"/>
              <w:szCs w:val="22"/>
              <w:u w:val="single"/>
              <w:lang w:eastAsia="en-AU"/>
              <w14:ligatures w14:val="standardContextual"/>
            </w:rPr>
          </w:pPr>
          <w:r w:rsidRPr="004A0831">
            <w:fldChar w:fldCharType="begin"/>
          </w:r>
          <w:r w:rsidRPr="004A0831">
            <w:instrText xml:space="preserve"> TOC \o "1-3" \h \z \u </w:instrText>
          </w:r>
          <w:r w:rsidRPr="004A0831">
            <w:fldChar w:fldCharType="separate"/>
          </w:r>
          <w:hyperlink w:anchor="_Toc176516221" w:history="1">
            <w:r w:rsidR="007D295B" w:rsidRPr="004A0831">
              <w:rPr>
                <w:rStyle w:val="Hyperlink"/>
                <w:rFonts w:cs="Arial"/>
                <w:noProof/>
                <w:color w:val="auto"/>
              </w:rPr>
              <w:t>Glossar</w:t>
            </w:r>
            <w:r w:rsidR="00104029" w:rsidRPr="004A0831">
              <w:rPr>
                <w:rStyle w:val="Hyperlink"/>
                <w:rFonts w:cs="Arial"/>
                <w:noProof/>
                <w:color w:val="auto"/>
              </w:rPr>
              <w:t>y</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_Toc176516221 \h </w:instrText>
            </w:r>
            <w:r w:rsidR="007D295B" w:rsidRPr="004A0831">
              <w:rPr>
                <w:noProof/>
                <w:webHidden/>
              </w:rPr>
            </w:r>
            <w:r w:rsidR="007D295B" w:rsidRPr="004A0831">
              <w:rPr>
                <w:noProof/>
                <w:webHidden/>
              </w:rPr>
              <w:fldChar w:fldCharType="separate"/>
            </w:r>
            <w:r w:rsidR="00532BD4">
              <w:rPr>
                <w:noProof/>
                <w:webHidden/>
              </w:rPr>
              <w:t>iii</w:t>
            </w:r>
            <w:r w:rsidR="007D295B" w:rsidRPr="004A0831">
              <w:rPr>
                <w:noProof/>
                <w:webHidden/>
              </w:rPr>
              <w:fldChar w:fldCharType="end"/>
            </w:r>
          </w:hyperlink>
        </w:p>
        <w:p w14:paraId="21B8A8A0" w14:textId="7A6D9A31" w:rsidR="007D295B" w:rsidRPr="004A0831" w:rsidRDefault="00532BD4" w:rsidP="00021EF3">
          <w:pPr>
            <w:pStyle w:val="TOC1"/>
            <w:rPr>
              <w:rFonts w:asciiTheme="minorHAnsi" w:eastAsiaTheme="minorEastAsia" w:hAnsiTheme="minorHAnsi"/>
              <w:noProof/>
              <w:kern w:val="2"/>
              <w:sz w:val="22"/>
              <w:szCs w:val="22"/>
              <w:lang w:eastAsia="en-AU"/>
              <w14:ligatures w14:val="standardContextual"/>
            </w:rPr>
          </w:pPr>
          <w:hyperlink w:anchor="_Toc176516222" w:history="1">
            <w:r w:rsidR="007D295B" w:rsidRPr="004A0831">
              <w:rPr>
                <w:rStyle w:val="Hyperlink"/>
                <w:rFonts w:cs="Arial"/>
                <w:noProof/>
                <w:color w:val="auto"/>
              </w:rPr>
              <w:t>Executive summary</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_Toc176516222 \h </w:instrText>
            </w:r>
            <w:r w:rsidR="007D295B" w:rsidRPr="004A0831">
              <w:rPr>
                <w:noProof/>
                <w:webHidden/>
              </w:rPr>
            </w:r>
            <w:r w:rsidR="007D295B" w:rsidRPr="004A0831">
              <w:rPr>
                <w:noProof/>
                <w:webHidden/>
              </w:rPr>
              <w:fldChar w:fldCharType="separate"/>
            </w:r>
            <w:r>
              <w:rPr>
                <w:noProof/>
                <w:webHidden/>
              </w:rPr>
              <w:t>v</w:t>
            </w:r>
            <w:r w:rsidR="007D295B" w:rsidRPr="004A0831">
              <w:rPr>
                <w:noProof/>
                <w:webHidden/>
              </w:rPr>
              <w:fldChar w:fldCharType="end"/>
            </w:r>
          </w:hyperlink>
        </w:p>
        <w:p w14:paraId="4429C82F" w14:textId="675AB8DE" w:rsidR="007D295B" w:rsidRPr="004A0831" w:rsidRDefault="00532BD4" w:rsidP="00021EF3">
          <w:pPr>
            <w:pStyle w:val="TOC1"/>
            <w:rPr>
              <w:rFonts w:asciiTheme="minorHAnsi" w:eastAsiaTheme="minorEastAsia" w:hAnsiTheme="minorHAnsi"/>
              <w:noProof/>
              <w:kern w:val="2"/>
              <w:sz w:val="22"/>
              <w:szCs w:val="22"/>
              <w:lang w:eastAsia="en-AU"/>
              <w14:ligatures w14:val="standardContextual"/>
            </w:rPr>
          </w:pPr>
          <w:hyperlink w:anchor="_Toc176516239" w:history="1">
            <w:r w:rsidR="007D295B" w:rsidRPr="004A0831">
              <w:rPr>
                <w:rStyle w:val="Hyperlink"/>
                <w:rFonts w:cs="Arial"/>
                <w:noProof/>
                <w:color w:val="auto"/>
              </w:rPr>
              <w:t>1</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rFonts w:cs="Arial"/>
                <w:noProof/>
                <w:color w:val="auto"/>
              </w:rPr>
              <w:t>Introduction</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_Toc176516239 \h </w:instrText>
            </w:r>
            <w:r w:rsidR="007D295B" w:rsidRPr="004A0831">
              <w:rPr>
                <w:noProof/>
                <w:webHidden/>
              </w:rPr>
            </w:r>
            <w:r w:rsidR="007D295B" w:rsidRPr="004A0831">
              <w:rPr>
                <w:noProof/>
                <w:webHidden/>
              </w:rPr>
              <w:fldChar w:fldCharType="separate"/>
            </w:r>
            <w:r>
              <w:rPr>
                <w:noProof/>
                <w:webHidden/>
              </w:rPr>
              <w:t>1</w:t>
            </w:r>
            <w:r w:rsidR="007D295B" w:rsidRPr="004A0831">
              <w:rPr>
                <w:noProof/>
                <w:webHidden/>
              </w:rPr>
              <w:fldChar w:fldCharType="end"/>
            </w:r>
          </w:hyperlink>
        </w:p>
        <w:p w14:paraId="2E8C349C" w14:textId="41464772" w:rsidR="007D295B" w:rsidRPr="004A0831" w:rsidRDefault="00532BD4" w:rsidP="00021EF3">
          <w:pPr>
            <w:pStyle w:val="TOC1"/>
            <w:rPr>
              <w:rFonts w:asciiTheme="minorHAnsi" w:eastAsiaTheme="minorEastAsia" w:hAnsiTheme="minorHAnsi"/>
              <w:noProof/>
              <w:kern w:val="2"/>
              <w:sz w:val="22"/>
              <w:szCs w:val="22"/>
              <w:lang w:eastAsia="en-AU"/>
              <w14:ligatures w14:val="standardContextual"/>
            </w:rPr>
          </w:pPr>
          <w:hyperlink w:anchor="_Toc176516253" w:history="1">
            <w:r w:rsidR="007D295B" w:rsidRPr="004A0831">
              <w:rPr>
                <w:rStyle w:val="Hyperlink"/>
                <w:noProof/>
                <w:color w:val="auto"/>
              </w:rPr>
              <w:t>2</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Findings</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_Toc176516253 \h </w:instrText>
            </w:r>
            <w:r w:rsidR="007D295B" w:rsidRPr="004A0831">
              <w:rPr>
                <w:noProof/>
                <w:webHidden/>
              </w:rPr>
            </w:r>
            <w:r w:rsidR="007D295B" w:rsidRPr="004A0831">
              <w:rPr>
                <w:noProof/>
                <w:webHidden/>
              </w:rPr>
              <w:fldChar w:fldCharType="separate"/>
            </w:r>
            <w:r>
              <w:rPr>
                <w:noProof/>
                <w:webHidden/>
              </w:rPr>
              <w:t>12</w:t>
            </w:r>
            <w:r w:rsidR="007D295B" w:rsidRPr="004A0831">
              <w:rPr>
                <w:noProof/>
                <w:webHidden/>
              </w:rPr>
              <w:fldChar w:fldCharType="end"/>
            </w:r>
          </w:hyperlink>
        </w:p>
        <w:p w14:paraId="2F9CB255" w14:textId="00EC8E18" w:rsidR="007D295B" w:rsidRPr="004A0831" w:rsidRDefault="00532BD4" w:rsidP="00021EF3">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6516254" w:history="1">
            <w:r w:rsidR="007D295B" w:rsidRPr="004A0831">
              <w:rPr>
                <w:rStyle w:val="Hyperlink"/>
                <w:noProof/>
                <w:color w:val="auto"/>
              </w:rPr>
              <w:t>2.1</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Justification/Appropriateness</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_Toc176516254 \h </w:instrText>
            </w:r>
            <w:r w:rsidR="007D295B" w:rsidRPr="004A0831">
              <w:rPr>
                <w:noProof/>
                <w:webHidden/>
              </w:rPr>
            </w:r>
            <w:r w:rsidR="007D295B" w:rsidRPr="004A0831">
              <w:rPr>
                <w:noProof/>
                <w:webHidden/>
              </w:rPr>
              <w:fldChar w:fldCharType="separate"/>
            </w:r>
            <w:r>
              <w:rPr>
                <w:noProof/>
                <w:webHidden/>
              </w:rPr>
              <w:t>12</w:t>
            </w:r>
            <w:r w:rsidR="007D295B" w:rsidRPr="004A0831">
              <w:rPr>
                <w:noProof/>
                <w:webHidden/>
              </w:rPr>
              <w:fldChar w:fldCharType="end"/>
            </w:r>
          </w:hyperlink>
        </w:p>
        <w:p w14:paraId="53DFEDBB" w14:textId="29AEA2CC" w:rsidR="007D295B" w:rsidRPr="004A0831" w:rsidRDefault="00532BD4" w:rsidP="00021EF3">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6516259" w:history="1">
            <w:r w:rsidR="007D295B" w:rsidRPr="004A0831">
              <w:rPr>
                <w:rStyle w:val="Hyperlink"/>
                <w:noProof/>
                <w:color w:val="auto"/>
              </w:rPr>
              <w:t>2.2</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Design/Implementation</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_Toc176516259 \h </w:instrText>
            </w:r>
            <w:r w:rsidR="007D295B" w:rsidRPr="004A0831">
              <w:rPr>
                <w:noProof/>
                <w:webHidden/>
              </w:rPr>
            </w:r>
            <w:r w:rsidR="007D295B" w:rsidRPr="004A0831">
              <w:rPr>
                <w:noProof/>
                <w:webHidden/>
              </w:rPr>
              <w:fldChar w:fldCharType="separate"/>
            </w:r>
            <w:r>
              <w:rPr>
                <w:noProof/>
                <w:webHidden/>
              </w:rPr>
              <w:t>17</w:t>
            </w:r>
            <w:r w:rsidR="007D295B" w:rsidRPr="004A0831">
              <w:rPr>
                <w:noProof/>
                <w:webHidden/>
              </w:rPr>
              <w:fldChar w:fldCharType="end"/>
            </w:r>
          </w:hyperlink>
        </w:p>
        <w:p w14:paraId="7341C289" w14:textId="71AE7B97" w:rsidR="007D295B" w:rsidRPr="004A0831" w:rsidRDefault="00532BD4" w:rsidP="00021EF3">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6516267" w:history="1">
            <w:r w:rsidR="007D295B" w:rsidRPr="004A0831">
              <w:rPr>
                <w:rStyle w:val="Hyperlink"/>
                <w:noProof/>
                <w:color w:val="auto"/>
              </w:rPr>
              <w:t>2.3</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Effectiveness</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_Toc176516267 \h </w:instrText>
            </w:r>
            <w:r w:rsidR="007D295B" w:rsidRPr="004A0831">
              <w:rPr>
                <w:noProof/>
                <w:webHidden/>
              </w:rPr>
            </w:r>
            <w:r w:rsidR="007D295B" w:rsidRPr="004A0831">
              <w:rPr>
                <w:noProof/>
                <w:webHidden/>
              </w:rPr>
              <w:fldChar w:fldCharType="separate"/>
            </w:r>
            <w:r>
              <w:rPr>
                <w:noProof/>
                <w:webHidden/>
              </w:rPr>
              <w:t>23</w:t>
            </w:r>
            <w:r w:rsidR="007D295B" w:rsidRPr="004A0831">
              <w:rPr>
                <w:noProof/>
                <w:webHidden/>
              </w:rPr>
              <w:fldChar w:fldCharType="end"/>
            </w:r>
          </w:hyperlink>
        </w:p>
        <w:p w14:paraId="3971E15F" w14:textId="1506BB84" w:rsidR="007D295B" w:rsidRPr="004A0831" w:rsidRDefault="00532BD4" w:rsidP="00021EF3">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6516278" w:history="1">
            <w:r w:rsidR="007D295B" w:rsidRPr="004A0831">
              <w:rPr>
                <w:rStyle w:val="Hyperlink"/>
                <w:noProof/>
                <w:color w:val="auto"/>
              </w:rPr>
              <w:t>2.4</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Value for money</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_Toc176516278 \h </w:instrText>
            </w:r>
            <w:r w:rsidR="007D295B" w:rsidRPr="004A0831">
              <w:rPr>
                <w:noProof/>
                <w:webHidden/>
              </w:rPr>
            </w:r>
            <w:r w:rsidR="007D295B" w:rsidRPr="004A0831">
              <w:rPr>
                <w:noProof/>
                <w:webHidden/>
              </w:rPr>
              <w:fldChar w:fldCharType="separate"/>
            </w:r>
            <w:r>
              <w:rPr>
                <w:noProof/>
                <w:webHidden/>
              </w:rPr>
              <w:t>33</w:t>
            </w:r>
            <w:r w:rsidR="007D295B" w:rsidRPr="004A0831">
              <w:rPr>
                <w:noProof/>
                <w:webHidden/>
              </w:rPr>
              <w:fldChar w:fldCharType="end"/>
            </w:r>
          </w:hyperlink>
        </w:p>
        <w:p w14:paraId="2F734D81" w14:textId="49021E6F" w:rsidR="007D295B" w:rsidRPr="004A0831" w:rsidRDefault="00532BD4" w:rsidP="00021EF3">
          <w:pPr>
            <w:pStyle w:val="TOC2"/>
            <w:tabs>
              <w:tab w:val="left" w:pos="1134"/>
            </w:tabs>
            <w:rPr>
              <w:rFonts w:asciiTheme="minorHAnsi" w:eastAsiaTheme="minorEastAsia" w:hAnsiTheme="minorHAnsi"/>
              <w:noProof/>
              <w:kern w:val="2"/>
              <w:sz w:val="22"/>
              <w:szCs w:val="22"/>
              <w:lang w:eastAsia="en-AU"/>
              <w14:ligatures w14:val="standardContextual"/>
            </w:rPr>
          </w:pPr>
          <w:hyperlink w:anchor="_Toc176516291" w:history="1">
            <w:r w:rsidR="007D295B" w:rsidRPr="004A0831">
              <w:rPr>
                <w:rStyle w:val="Hyperlink"/>
                <w:noProof/>
                <w:color w:val="auto"/>
              </w:rPr>
              <w:t>2.5</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Lessons learned</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_Toc176516291 \h </w:instrText>
            </w:r>
            <w:r w:rsidR="007D295B" w:rsidRPr="004A0831">
              <w:rPr>
                <w:noProof/>
                <w:webHidden/>
              </w:rPr>
            </w:r>
            <w:r w:rsidR="007D295B" w:rsidRPr="004A0831">
              <w:rPr>
                <w:noProof/>
                <w:webHidden/>
              </w:rPr>
              <w:fldChar w:fldCharType="separate"/>
            </w:r>
            <w:r>
              <w:rPr>
                <w:noProof/>
                <w:webHidden/>
              </w:rPr>
              <w:t>38</w:t>
            </w:r>
            <w:r w:rsidR="007D295B" w:rsidRPr="004A0831">
              <w:rPr>
                <w:noProof/>
                <w:webHidden/>
              </w:rPr>
              <w:fldChar w:fldCharType="end"/>
            </w:r>
          </w:hyperlink>
        </w:p>
        <w:p w14:paraId="73BFA5E9" w14:textId="1848EAB8" w:rsidR="007D295B" w:rsidRPr="004A0831" w:rsidRDefault="00532BD4" w:rsidP="00021EF3">
          <w:pPr>
            <w:pStyle w:val="TOC1"/>
            <w:rPr>
              <w:rFonts w:asciiTheme="minorHAnsi" w:eastAsiaTheme="minorEastAsia" w:hAnsiTheme="minorHAnsi"/>
              <w:noProof/>
              <w:kern w:val="2"/>
              <w:sz w:val="22"/>
              <w:szCs w:val="22"/>
              <w:lang w:eastAsia="en-AU"/>
              <w14:ligatures w14:val="standardContextual"/>
            </w:rPr>
          </w:pPr>
          <w:hyperlink w:anchor="_Toc176516296" w:history="1">
            <w:r w:rsidR="007D295B" w:rsidRPr="004A0831">
              <w:rPr>
                <w:rStyle w:val="Hyperlink"/>
                <w:noProof/>
                <w:color w:val="auto"/>
              </w:rPr>
              <w:t>3</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Recommendations</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_Toc176516296 \h </w:instrText>
            </w:r>
            <w:r w:rsidR="007D295B" w:rsidRPr="004A0831">
              <w:rPr>
                <w:noProof/>
                <w:webHidden/>
              </w:rPr>
            </w:r>
            <w:r w:rsidR="007D295B" w:rsidRPr="004A0831">
              <w:rPr>
                <w:noProof/>
                <w:webHidden/>
              </w:rPr>
              <w:fldChar w:fldCharType="separate"/>
            </w:r>
            <w:r>
              <w:rPr>
                <w:noProof/>
                <w:webHidden/>
              </w:rPr>
              <w:t>40</w:t>
            </w:r>
            <w:r w:rsidR="007D295B" w:rsidRPr="004A0831">
              <w:rPr>
                <w:noProof/>
                <w:webHidden/>
              </w:rPr>
              <w:fldChar w:fldCharType="end"/>
            </w:r>
          </w:hyperlink>
        </w:p>
        <w:p w14:paraId="045C4B41" w14:textId="7192E744" w:rsidR="007D295B" w:rsidRPr="004A0831" w:rsidRDefault="00532BD4" w:rsidP="00021EF3">
          <w:pPr>
            <w:pStyle w:val="TOC1"/>
            <w:tabs>
              <w:tab w:val="left" w:pos="1141"/>
            </w:tabs>
            <w:rPr>
              <w:rFonts w:asciiTheme="minorHAnsi" w:eastAsiaTheme="minorEastAsia" w:hAnsiTheme="minorHAnsi"/>
              <w:noProof/>
              <w:kern w:val="2"/>
              <w:sz w:val="22"/>
              <w:szCs w:val="22"/>
              <w:lang w:eastAsia="en-AU"/>
              <w14:ligatures w14:val="standardContextual"/>
            </w:rPr>
          </w:pPr>
          <w:hyperlink w:anchor="_Toc176516300" w:history="1">
            <w:r w:rsidR="007D295B" w:rsidRPr="004A0831">
              <w:rPr>
                <w:rStyle w:val="Hyperlink"/>
                <w:noProof/>
                <w:color w:val="auto"/>
              </w:rPr>
              <w:t>Appendix A</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Economic analysis</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_Toc176516300 \h </w:instrText>
            </w:r>
            <w:r w:rsidR="007D295B" w:rsidRPr="004A0831">
              <w:rPr>
                <w:noProof/>
                <w:webHidden/>
              </w:rPr>
            </w:r>
            <w:r w:rsidR="007D295B" w:rsidRPr="004A0831">
              <w:rPr>
                <w:noProof/>
                <w:webHidden/>
              </w:rPr>
              <w:fldChar w:fldCharType="separate"/>
            </w:r>
            <w:r>
              <w:rPr>
                <w:noProof/>
                <w:webHidden/>
              </w:rPr>
              <w:t>41</w:t>
            </w:r>
            <w:r w:rsidR="007D295B" w:rsidRPr="004A0831">
              <w:rPr>
                <w:noProof/>
                <w:webHidden/>
              </w:rPr>
              <w:fldChar w:fldCharType="end"/>
            </w:r>
          </w:hyperlink>
        </w:p>
        <w:p w14:paraId="63BFA286" w14:textId="5B26017A" w:rsidR="007D295B" w:rsidRPr="004A0831" w:rsidRDefault="00532BD4" w:rsidP="00021EF3">
          <w:pPr>
            <w:pStyle w:val="TOC1"/>
            <w:tabs>
              <w:tab w:val="left" w:pos="1141"/>
            </w:tabs>
            <w:rPr>
              <w:rFonts w:asciiTheme="minorHAnsi" w:eastAsiaTheme="minorEastAsia" w:hAnsiTheme="minorHAnsi"/>
              <w:noProof/>
              <w:kern w:val="2"/>
              <w:sz w:val="22"/>
              <w:szCs w:val="22"/>
              <w:lang w:eastAsia="en-AU"/>
              <w14:ligatures w14:val="standardContextual"/>
            </w:rPr>
          </w:pPr>
          <w:hyperlink w:anchor="_Toc176516312" w:history="1">
            <w:r w:rsidR="007D295B" w:rsidRPr="004A0831">
              <w:rPr>
                <w:rStyle w:val="Hyperlink"/>
                <w:noProof/>
                <w:color w:val="auto"/>
              </w:rPr>
              <w:t>Appendix B</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Public health response from other states and territories</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_Toc176516312 \h </w:instrText>
            </w:r>
            <w:r w:rsidR="007D295B" w:rsidRPr="004A0831">
              <w:rPr>
                <w:noProof/>
                <w:webHidden/>
              </w:rPr>
            </w:r>
            <w:r w:rsidR="007D295B" w:rsidRPr="004A0831">
              <w:rPr>
                <w:noProof/>
                <w:webHidden/>
              </w:rPr>
              <w:fldChar w:fldCharType="separate"/>
            </w:r>
            <w:r>
              <w:rPr>
                <w:noProof/>
                <w:webHidden/>
              </w:rPr>
              <w:t>56</w:t>
            </w:r>
            <w:r w:rsidR="007D295B" w:rsidRPr="004A0831">
              <w:rPr>
                <w:noProof/>
                <w:webHidden/>
              </w:rPr>
              <w:fldChar w:fldCharType="end"/>
            </w:r>
          </w:hyperlink>
        </w:p>
        <w:p w14:paraId="341511F7" w14:textId="779F8469" w:rsidR="007D295B" w:rsidRPr="004A0831" w:rsidRDefault="00532BD4" w:rsidP="00021EF3">
          <w:pPr>
            <w:pStyle w:val="TOC1"/>
            <w:tabs>
              <w:tab w:val="left" w:pos="1151"/>
            </w:tabs>
            <w:rPr>
              <w:rFonts w:asciiTheme="minorHAnsi" w:eastAsiaTheme="minorEastAsia" w:hAnsiTheme="minorHAnsi"/>
              <w:noProof/>
              <w:kern w:val="2"/>
              <w:sz w:val="22"/>
              <w:szCs w:val="22"/>
              <w:lang w:eastAsia="en-AU"/>
              <w14:ligatures w14:val="standardContextual"/>
            </w:rPr>
          </w:pPr>
          <w:hyperlink w:anchor="_Toc176516313" w:history="1">
            <w:r w:rsidR="007D295B" w:rsidRPr="004A0831">
              <w:rPr>
                <w:rStyle w:val="Hyperlink"/>
                <w:noProof/>
                <w:color w:val="auto"/>
              </w:rPr>
              <w:t>Appendix C</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Economic policy responses to the COVID-19 pandemic in other jurisdictions</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_Toc176516313 \h </w:instrText>
            </w:r>
            <w:r w:rsidR="007D295B" w:rsidRPr="004A0831">
              <w:rPr>
                <w:noProof/>
                <w:webHidden/>
              </w:rPr>
            </w:r>
            <w:r w:rsidR="007D295B" w:rsidRPr="004A0831">
              <w:rPr>
                <w:noProof/>
                <w:webHidden/>
              </w:rPr>
              <w:fldChar w:fldCharType="separate"/>
            </w:r>
            <w:r>
              <w:rPr>
                <w:noProof/>
                <w:webHidden/>
              </w:rPr>
              <w:t>57</w:t>
            </w:r>
            <w:r w:rsidR="007D295B" w:rsidRPr="004A0831">
              <w:rPr>
                <w:noProof/>
                <w:webHidden/>
              </w:rPr>
              <w:fldChar w:fldCharType="end"/>
            </w:r>
          </w:hyperlink>
        </w:p>
        <w:p w14:paraId="275EF478" w14:textId="643682BC" w:rsidR="007D295B" w:rsidRPr="004A0831" w:rsidRDefault="00532BD4" w:rsidP="00021EF3">
          <w:pPr>
            <w:pStyle w:val="TOC1"/>
            <w:tabs>
              <w:tab w:val="left" w:pos="1151"/>
            </w:tabs>
            <w:rPr>
              <w:rFonts w:asciiTheme="minorHAnsi" w:eastAsiaTheme="minorEastAsia" w:hAnsiTheme="minorHAnsi"/>
              <w:noProof/>
              <w:kern w:val="2"/>
              <w:sz w:val="22"/>
              <w:szCs w:val="22"/>
              <w:lang w:eastAsia="en-AU"/>
              <w14:ligatures w14:val="standardContextual"/>
            </w:rPr>
          </w:pPr>
          <w:hyperlink w:anchor="_Toc176516321" w:history="1">
            <w:r w:rsidR="007D295B" w:rsidRPr="004A0831">
              <w:rPr>
                <w:rStyle w:val="Hyperlink"/>
                <w:noProof/>
                <w:color w:val="auto"/>
              </w:rPr>
              <w:t>Appendix D</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Case Studies</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_Toc176516321 \h </w:instrText>
            </w:r>
            <w:r w:rsidR="007D295B" w:rsidRPr="004A0831">
              <w:rPr>
                <w:noProof/>
                <w:webHidden/>
              </w:rPr>
            </w:r>
            <w:r w:rsidR="007D295B" w:rsidRPr="004A0831">
              <w:rPr>
                <w:noProof/>
                <w:webHidden/>
              </w:rPr>
              <w:fldChar w:fldCharType="separate"/>
            </w:r>
            <w:r>
              <w:rPr>
                <w:noProof/>
                <w:webHidden/>
              </w:rPr>
              <w:t>68</w:t>
            </w:r>
            <w:r w:rsidR="007D295B" w:rsidRPr="004A0831">
              <w:rPr>
                <w:noProof/>
                <w:webHidden/>
              </w:rPr>
              <w:fldChar w:fldCharType="end"/>
            </w:r>
          </w:hyperlink>
        </w:p>
        <w:p w14:paraId="1CB014A4" w14:textId="7FD63481" w:rsidR="007D295B" w:rsidRPr="004A0831" w:rsidRDefault="00532BD4" w:rsidP="00021EF3">
          <w:pPr>
            <w:pStyle w:val="TOC1"/>
            <w:tabs>
              <w:tab w:val="left" w:pos="1141"/>
            </w:tabs>
            <w:rPr>
              <w:rFonts w:asciiTheme="minorHAnsi" w:eastAsiaTheme="minorEastAsia" w:hAnsiTheme="minorHAnsi"/>
              <w:noProof/>
              <w:kern w:val="2"/>
              <w:sz w:val="22"/>
              <w:szCs w:val="22"/>
              <w:lang w:eastAsia="en-AU"/>
              <w14:ligatures w14:val="standardContextual"/>
            </w:rPr>
          </w:pPr>
          <w:hyperlink w:anchor="_Toc176516322" w:history="1">
            <w:r w:rsidR="007D295B" w:rsidRPr="004A0831">
              <w:rPr>
                <w:rStyle w:val="Hyperlink"/>
                <w:noProof/>
                <w:color w:val="auto"/>
              </w:rPr>
              <w:t>Appendix E</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Business survey results</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_Toc176516322 \h </w:instrText>
            </w:r>
            <w:r w:rsidR="007D295B" w:rsidRPr="004A0831">
              <w:rPr>
                <w:noProof/>
                <w:webHidden/>
              </w:rPr>
            </w:r>
            <w:r w:rsidR="007D295B" w:rsidRPr="004A0831">
              <w:rPr>
                <w:noProof/>
                <w:webHidden/>
              </w:rPr>
              <w:fldChar w:fldCharType="separate"/>
            </w:r>
            <w:r>
              <w:rPr>
                <w:noProof/>
                <w:webHidden/>
              </w:rPr>
              <w:t>74</w:t>
            </w:r>
            <w:r w:rsidR="007D295B" w:rsidRPr="004A0831">
              <w:rPr>
                <w:noProof/>
                <w:webHidden/>
              </w:rPr>
              <w:fldChar w:fldCharType="end"/>
            </w:r>
          </w:hyperlink>
        </w:p>
        <w:p w14:paraId="0D4C1A11" w14:textId="1371E22B" w:rsidR="007D295B" w:rsidRPr="004A0831" w:rsidRDefault="00532BD4" w:rsidP="00021EF3">
          <w:pPr>
            <w:pStyle w:val="TOC1"/>
            <w:tabs>
              <w:tab w:val="left" w:pos="1134"/>
            </w:tabs>
            <w:rPr>
              <w:rFonts w:asciiTheme="minorHAnsi" w:eastAsiaTheme="minorEastAsia" w:hAnsiTheme="minorHAnsi"/>
              <w:noProof/>
              <w:kern w:val="2"/>
              <w:sz w:val="22"/>
              <w:szCs w:val="22"/>
              <w:lang w:eastAsia="en-AU"/>
              <w14:ligatures w14:val="standardContextual"/>
            </w:rPr>
          </w:pPr>
          <w:hyperlink w:anchor="_Toc176516325" w:history="1">
            <w:r w:rsidR="007D295B" w:rsidRPr="004A0831">
              <w:rPr>
                <w:rStyle w:val="Hyperlink"/>
                <w:noProof/>
                <w:color w:val="auto"/>
              </w:rPr>
              <w:t>Appendix F</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Eligibility criteria and round design</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_Toc176516325 \h </w:instrText>
            </w:r>
            <w:r w:rsidR="007D295B" w:rsidRPr="004A0831">
              <w:rPr>
                <w:noProof/>
                <w:webHidden/>
              </w:rPr>
            </w:r>
            <w:r w:rsidR="007D295B" w:rsidRPr="004A0831">
              <w:rPr>
                <w:noProof/>
                <w:webHidden/>
              </w:rPr>
              <w:fldChar w:fldCharType="separate"/>
            </w:r>
            <w:r>
              <w:rPr>
                <w:noProof/>
                <w:webHidden/>
              </w:rPr>
              <w:t>83</w:t>
            </w:r>
            <w:r w:rsidR="007D295B" w:rsidRPr="004A0831">
              <w:rPr>
                <w:noProof/>
                <w:webHidden/>
              </w:rPr>
              <w:fldChar w:fldCharType="end"/>
            </w:r>
          </w:hyperlink>
        </w:p>
        <w:p w14:paraId="49FE04DF" w14:textId="3F880B17" w:rsidR="007D295B" w:rsidRPr="004A0831" w:rsidRDefault="00532BD4" w:rsidP="00021EF3">
          <w:pPr>
            <w:pStyle w:val="TOC1"/>
            <w:tabs>
              <w:tab w:val="left" w:pos="1161"/>
            </w:tabs>
            <w:rPr>
              <w:rFonts w:asciiTheme="minorHAnsi" w:eastAsiaTheme="minorEastAsia" w:hAnsiTheme="minorHAnsi"/>
              <w:noProof/>
              <w:kern w:val="2"/>
              <w:sz w:val="22"/>
              <w:szCs w:val="22"/>
              <w:lang w:eastAsia="en-AU"/>
              <w14:ligatures w14:val="standardContextual"/>
            </w:rPr>
          </w:pPr>
          <w:hyperlink w:anchor="_Toc176516338" w:history="1">
            <w:r w:rsidR="007D295B" w:rsidRPr="004A0831">
              <w:rPr>
                <w:rStyle w:val="Hyperlink"/>
                <w:noProof/>
                <w:color w:val="auto"/>
              </w:rPr>
              <w:t>Appendix G</w:t>
            </w:r>
            <w:r w:rsidR="007D295B" w:rsidRPr="004A0831">
              <w:rPr>
                <w:rFonts w:asciiTheme="minorHAnsi" w:eastAsiaTheme="minorEastAsia" w:hAnsiTheme="minorHAnsi"/>
                <w:noProof/>
                <w:kern w:val="2"/>
                <w:sz w:val="22"/>
                <w:szCs w:val="22"/>
                <w:lang w:eastAsia="en-AU"/>
                <w14:ligatures w14:val="standardContextual"/>
              </w:rPr>
              <w:tab/>
            </w:r>
            <w:r w:rsidR="007D295B" w:rsidRPr="004A0831">
              <w:rPr>
                <w:rStyle w:val="Hyperlink"/>
                <w:noProof/>
                <w:color w:val="auto"/>
              </w:rPr>
              <w:t>Stakeholder consultation tools</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_Toc176516338 \h </w:instrText>
            </w:r>
            <w:r w:rsidR="007D295B" w:rsidRPr="004A0831">
              <w:rPr>
                <w:noProof/>
                <w:webHidden/>
              </w:rPr>
            </w:r>
            <w:r w:rsidR="007D295B" w:rsidRPr="004A0831">
              <w:rPr>
                <w:noProof/>
                <w:webHidden/>
              </w:rPr>
              <w:fldChar w:fldCharType="separate"/>
            </w:r>
            <w:r>
              <w:rPr>
                <w:noProof/>
                <w:webHidden/>
              </w:rPr>
              <w:t>93</w:t>
            </w:r>
            <w:r w:rsidR="007D295B" w:rsidRPr="004A0831">
              <w:rPr>
                <w:noProof/>
                <w:webHidden/>
              </w:rPr>
              <w:fldChar w:fldCharType="end"/>
            </w:r>
          </w:hyperlink>
        </w:p>
        <w:p w14:paraId="310DAA3E" w14:textId="6103FCAC" w:rsidR="007D295B" w:rsidRPr="004A0831" w:rsidRDefault="00532BD4" w:rsidP="00021EF3">
          <w:pPr>
            <w:pStyle w:val="TOC1"/>
            <w:rPr>
              <w:rFonts w:asciiTheme="minorHAnsi" w:eastAsiaTheme="minorEastAsia" w:hAnsiTheme="minorHAnsi"/>
              <w:noProof/>
              <w:kern w:val="2"/>
              <w:sz w:val="22"/>
              <w:szCs w:val="22"/>
              <w:lang w:eastAsia="en-AU"/>
              <w14:ligatures w14:val="standardContextual"/>
            </w:rPr>
          </w:pPr>
          <w:hyperlink w:anchor="_Toc176516341" w:history="1">
            <w:r w:rsidR="007D295B" w:rsidRPr="004A0831">
              <w:rPr>
                <w:rStyle w:val="Hyperlink"/>
                <w:noProof/>
                <w:color w:val="auto"/>
                <w:lang w:eastAsia="en-AU"/>
              </w:rPr>
              <w:t>Endnotes</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_Toc176516341 \h </w:instrText>
            </w:r>
            <w:r w:rsidR="007D295B" w:rsidRPr="004A0831">
              <w:rPr>
                <w:noProof/>
                <w:webHidden/>
              </w:rPr>
            </w:r>
            <w:r w:rsidR="007D295B" w:rsidRPr="004A0831">
              <w:rPr>
                <w:noProof/>
                <w:webHidden/>
              </w:rPr>
              <w:fldChar w:fldCharType="separate"/>
            </w:r>
            <w:r>
              <w:rPr>
                <w:noProof/>
                <w:webHidden/>
              </w:rPr>
              <w:t>100</w:t>
            </w:r>
            <w:r w:rsidR="007D295B" w:rsidRPr="004A0831">
              <w:rPr>
                <w:noProof/>
                <w:webHidden/>
              </w:rPr>
              <w:fldChar w:fldCharType="end"/>
            </w:r>
          </w:hyperlink>
        </w:p>
        <w:p w14:paraId="7448CE15" w14:textId="57D43DE1" w:rsidR="007D295B" w:rsidRPr="004A0831" w:rsidRDefault="00532BD4" w:rsidP="00021EF3">
          <w:pPr>
            <w:pStyle w:val="TOC1"/>
            <w:rPr>
              <w:rFonts w:asciiTheme="minorHAnsi" w:eastAsiaTheme="minorEastAsia" w:hAnsiTheme="minorHAnsi"/>
              <w:noProof/>
              <w:kern w:val="2"/>
              <w:sz w:val="22"/>
              <w:szCs w:val="22"/>
              <w:lang w:eastAsia="en-AU"/>
              <w14:ligatures w14:val="standardContextual"/>
            </w:rPr>
          </w:pPr>
          <w:hyperlink w:anchor="_Toc176516342" w:history="1">
            <w:r w:rsidR="007D295B" w:rsidRPr="004A0831">
              <w:rPr>
                <w:rStyle w:val="Hyperlink"/>
                <w:rFonts w:cs="Arial"/>
                <w:noProof/>
                <w:color w:val="auto"/>
                <w:lang w:eastAsia="en-AU"/>
              </w:rPr>
              <w:t>Limitation of our work</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_Toc176516342 \h </w:instrText>
            </w:r>
            <w:r w:rsidR="007D295B" w:rsidRPr="004A0831">
              <w:rPr>
                <w:noProof/>
                <w:webHidden/>
              </w:rPr>
            </w:r>
            <w:r w:rsidR="007D295B" w:rsidRPr="004A0831">
              <w:rPr>
                <w:noProof/>
                <w:webHidden/>
              </w:rPr>
              <w:fldChar w:fldCharType="separate"/>
            </w:r>
            <w:r>
              <w:rPr>
                <w:noProof/>
                <w:webHidden/>
              </w:rPr>
              <w:t>112</w:t>
            </w:r>
            <w:r w:rsidR="007D295B" w:rsidRPr="004A0831">
              <w:rPr>
                <w:noProof/>
                <w:webHidden/>
              </w:rPr>
              <w:fldChar w:fldCharType="end"/>
            </w:r>
          </w:hyperlink>
        </w:p>
        <w:p w14:paraId="2816F95C" w14:textId="10E1332E" w:rsidR="007D295B" w:rsidRPr="004A0831" w:rsidRDefault="00532BD4" w:rsidP="00021EF3">
          <w:pPr>
            <w:pStyle w:val="TOC2"/>
            <w:rPr>
              <w:rFonts w:asciiTheme="minorHAnsi" w:eastAsiaTheme="minorEastAsia" w:hAnsiTheme="minorHAnsi"/>
              <w:noProof/>
              <w:kern w:val="2"/>
              <w:sz w:val="22"/>
              <w:szCs w:val="22"/>
              <w:lang w:eastAsia="en-AU"/>
              <w14:ligatures w14:val="standardContextual"/>
            </w:rPr>
          </w:pPr>
          <w:hyperlink w:anchor="_Toc176516343" w:history="1">
            <w:r w:rsidR="007D295B" w:rsidRPr="004A0831">
              <w:rPr>
                <w:rStyle w:val="Hyperlink"/>
                <w:rFonts w:cs="Arial"/>
                <w:noProof/>
                <w:color w:val="auto"/>
              </w:rPr>
              <w:t>General use restriction</w:t>
            </w:r>
            <w:r w:rsidR="007D295B" w:rsidRPr="004A0831">
              <w:rPr>
                <w:noProof/>
                <w:webHidden/>
              </w:rPr>
              <w:tab/>
            </w:r>
            <w:r w:rsidR="007D295B" w:rsidRPr="004A0831">
              <w:rPr>
                <w:noProof/>
                <w:webHidden/>
              </w:rPr>
              <w:fldChar w:fldCharType="begin"/>
            </w:r>
            <w:r w:rsidR="007D295B" w:rsidRPr="004A0831">
              <w:rPr>
                <w:noProof/>
                <w:webHidden/>
              </w:rPr>
              <w:instrText xml:space="preserve"> PAGEREF _Toc176516343 \h </w:instrText>
            </w:r>
            <w:r w:rsidR="007D295B" w:rsidRPr="004A0831">
              <w:rPr>
                <w:noProof/>
                <w:webHidden/>
              </w:rPr>
            </w:r>
            <w:r w:rsidR="007D295B" w:rsidRPr="004A0831">
              <w:rPr>
                <w:noProof/>
                <w:webHidden/>
              </w:rPr>
              <w:fldChar w:fldCharType="separate"/>
            </w:r>
            <w:r>
              <w:rPr>
                <w:noProof/>
                <w:webHidden/>
              </w:rPr>
              <w:t>112</w:t>
            </w:r>
            <w:r w:rsidR="007D295B" w:rsidRPr="004A0831">
              <w:rPr>
                <w:noProof/>
                <w:webHidden/>
              </w:rPr>
              <w:fldChar w:fldCharType="end"/>
            </w:r>
          </w:hyperlink>
        </w:p>
        <w:p w14:paraId="568B16F7" w14:textId="5D5C35C9" w:rsidR="00CB30C0" w:rsidRDefault="00CB30C0" w:rsidP="00021EF3">
          <w:r w:rsidRPr="004A0831">
            <w:rPr>
              <w:b/>
              <w:bCs/>
              <w:noProof/>
            </w:rPr>
            <w:fldChar w:fldCharType="end"/>
          </w:r>
        </w:p>
      </w:sdtContent>
    </w:sdt>
    <w:p w14:paraId="63283F6C" w14:textId="5DCBC1DB" w:rsidR="0080001F" w:rsidRPr="00ED1D80" w:rsidRDefault="0080001F" w:rsidP="00021EF3">
      <w:pPr>
        <w:rPr>
          <w:rFonts w:cs="Arial"/>
        </w:rPr>
      </w:pPr>
    </w:p>
    <w:p w14:paraId="43070564" w14:textId="0D4A1D4E" w:rsidR="009D08E8" w:rsidRPr="00ED1D80" w:rsidRDefault="009D08E8" w:rsidP="00021EF3">
      <w:pPr>
        <w:rPr>
          <w:rFonts w:cs="Arial"/>
        </w:rPr>
      </w:pPr>
    </w:p>
    <w:p w14:paraId="569A8713" w14:textId="2E2EBC0C" w:rsidR="007B3A49" w:rsidRPr="00ED1D80" w:rsidRDefault="007B3A49" w:rsidP="00021EF3">
      <w:pPr>
        <w:rPr>
          <w:rFonts w:cs="Arial"/>
        </w:rPr>
        <w:sectPr w:rsidR="007B3A49" w:rsidRPr="00ED1D80" w:rsidSect="005F043A">
          <w:headerReference w:type="default" r:id="rId19"/>
          <w:footerReference w:type="even" r:id="rId20"/>
          <w:footerReference w:type="default" r:id="rId21"/>
          <w:footerReference w:type="first" r:id="rId22"/>
          <w:footnotePr>
            <w:numFmt w:val="chicago"/>
          </w:footnotePr>
          <w:endnotePr>
            <w:numFmt w:val="decimal"/>
          </w:endnotePr>
          <w:pgSz w:w="11906" w:h="16838" w:code="9"/>
          <w:pgMar w:top="1440" w:right="1440" w:bottom="1440" w:left="1440" w:header="680" w:footer="425" w:gutter="0"/>
          <w:pgNumType w:fmt="lowerRoman"/>
          <w:cols w:space="284"/>
          <w:noEndnote/>
          <w:docGrid w:linePitch="360"/>
        </w:sectPr>
      </w:pPr>
    </w:p>
    <w:p w14:paraId="5FA0DC05" w14:textId="1849433F" w:rsidR="00B64658" w:rsidRDefault="00B64658" w:rsidP="00021EF3">
      <w:pPr>
        <w:pStyle w:val="Heading1"/>
        <w:numPr>
          <w:ilvl w:val="0"/>
          <w:numId w:val="0"/>
        </w:numPr>
        <w:rPr>
          <w:rFonts w:cs="Arial"/>
        </w:rPr>
      </w:pPr>
      <w:bookmarkStart w:id="5" w:name="_Toc170913948"/>
      <w:bookmarkStart w:id="6" w:name="_Toc173244936"/>
      <w:bookmarkStart w:id="7" w:name="_Toc176516221"/>
      <w:bookmarkStart w:id="8" w:name="_Toc462313129"/>
      <w:bookmarkStart w:id="9" w:name="_Toc462317839"/>
      <w:bookmarkStart w:id="10" w:name="_Toc462397803"/>
      <w:bookmarkStart w:id="11" w:name="_Toc463002430"/>
      <w:bookmarkStart w:id="12" w:name="_Toc472586342"/>
      <w:bookmarkStart w:id="13" w:name="_Toc482168120"/>
      <w:bookmarkStart w:id="14" w:name="_Toc482174907"/>
      <w:r>
        <w:rPr>
          <w:rFonts w:cs="Arial"/>
        </w:rPr>
        <w:lastRenderedPageBreak/>
        <w:t>Glossary</w:t>
      </w:r>
      <w:bookmarkEnd w:id="5"/>
      <w:bookmarkEnd w:id="6"/>
      <w:bookmarkEnd w:id="7"/>
    </w:p>
    <w:tbl>
      <w:tblPr>
        <w:tblStyle w:val="Deloittetable"/>
        <w:tblW w:w="0" w:type="auto"/>
        <w:tblLook w:val="04A0" w:firstRow="1" w:lastRow="0" w:firstColumn="1" w:lastColumn="0" w:noHBand="0" w:noVBand="1"/>
      </w:tblPr>
      <w:tblGrid>
        <w:gridCol w:w="1701"/>
        <w:gridCol w:w="7325"/>
      </w:tblGrid>
      <w:tr w:rsidR="00B64658" w14:paraId="7A6C9BD8" w14:textId="77777777" w:rsidTr="004032F3">
        <w:trPr>
          <w:cnfStyle w:val="100000000000" w:firstRow="1" w:lastRow="0" w:firstColumn="0" w:lastColumn="0" w:oddVBand="0" w:evenVBand="0" w:oddHBand="0" w:evenHBand="0" w:firstRowFirstColumn="0" w:firstRowLastColumn="0" w:lastRowFirstColumn="0" w:lastRowLastColumn="0"/>
          <w:tblHeader/>
        </w:trPr>
        <w:tc>
          <w:tcPr>
            <w:tcW w:w="1701" w:type="dxa"/>
          </w:tcPr>
          <w:p w14:paraId="262F9275" w14:textId="01E9D91D" w:rsidR="00B64658" w:rsidRPr="00B64658" w:rsidRDefault="00B64658" w:rsidP="00021EF3">
            <w:pPr>
              <w:spacing w:after="0"/>
              <w:rPr>
                <w:b/>
                <w:bCs/>
              </w:rPr>
            </w:pPr>
            <w:r w:rsidRPr="00B64658">
              <w:rPr>
                <w:b/>
                <w:bCs/>
              </w:rPr>
              <w:t>Acronym</w:t>
            </w:r>
          </w:p>
        </w:tc>
        <w:tc>
          <w:tcPr>
            <w:tcW w:w="7325" w:type="dxa"/>
          </w:tcPr>
          <w:p w14:paraId="0A12484E" w14:textId="37F6D890" w:rsidR="00B64658" w:rsidRPr="00B64658" w:rsidRDefault="00FC58BE" w:rsidP="00021EF3">
            <w:pPr>
              <w:spacing w:after="0"/>
              <w:rPr>
                <w:b/>
                <w:bCs/>
              </w:rPr>
            </w:pPr>
            <w:r>
              <w:rPr>
                <w:b/>
                <w:bCs/>
              </w:rPr>
              <w:t>Full Name</w:t>
            </w:r>
          </w:p>
        </w:tc>
      </w:tr>
      <w:tr w:rsidR="00394B1B" w14:paraId="54518539" w14:textId="77777777" w:rsidTr="00B64658">
        <w:tc>
          <w:tcPr>
            <w:tcW w:w="1701" w:type="dxa"/>
          </w:tcPr>
          <w:p w14:paraId="29FEDF42" w14:textId="504E912F" w:rsidR="00394B1B" w:rsidRDefault="0056570E" w:rsidP="00021EF3">
            <w:pPr>
              <w:spacing w:after="0"/>
            </w:pPr>
            <w:r>
              <w:t>ABN</w:t>
            </w:r>
          </w:p>
        </w:tc>
        <w:tc>
          <w:tcPr>
            <w:tcW w:w="7325" w:type="dxa"/>
          </w:tcPr>
          <w:p w14:paraId="31C7AD56" w14:textId="5924A554" w:rsidR="00394B1B" w:rsidRDefault="0056570E" w:rsidP="00021EF3">
            <w:pPr>
              <w:spacing w:after="0"/>
            </w:pPr>
            <w:r>
              <w:t>Australia</w:t>
            </w:r>
            <w:r w:rsidR="00C82439">
              <w:t>n</w:t>
            </w:r>
            <w:r>
              <w:t xml:space="preserve"> Business Number</w:t>
            </w:r>
          </w:p>
        </w:tc>
      </w:tr>
      <w:tr w:rsidR="00EA395E" w14:paraId="44656D3D" w14:textId="77777777" w:rsidTr="00B64658">
        <w:tc>
          <w:tcPr>
            <w:tcW w:w="1701" w:type="dxa"/>
          </w:tcPr>
          <w:p w14:paraId="0D1614B0" w14:textId="65D7F0C6" w:rsidR="00EA395E" w:rsidRDefault="00EA395E" w:rsidP="00021EF3">
            <w:pPr>
              <w:spacing w:after="0"/>
            </w:pPr>
            <w:r>
              <w:t>ABR</w:t>
            </w:r>
          </w:p>
        </w:tc>
        <w:tc>
          <w:tcPr>
            <w:tcW w:w="7325" w:type="dxa"/>
          </w:tcPr>
          <w:p w14:paraId="2324588A" w14:textId="10E34576" w:rsidR="00EA395E" w:rsidRDefault="00EA395E" w:rsidP="00021EF3">
            <w:pPr>
              <w:spacing w:after="0"/>
            </w:pPr>
            <w:r>
              <w:t>Australian Business Register</w:t>
            </w:r>
          </w:p>
        </w:tc>
      </w:tr>
      <w:tr w:rsidR="00A90165" w14:paraId="401995B1" w14:textId="77777777" w:rsidTr="00B64658">
        <w:tc>
          <w:tcPr>
            <w:tcW w:w="1701" w:type="dxa"/>
          </w:tcPr>
          <w:p w14:paraId="5B977C06" w14:textId="3C60C0A8" w:rsidR="00A90165" w:rsidRDefault="00A90165" w:rsidP="00021EF3">
            <w:pPr>
              <w:spacing w:after="0"/>
            </w:pPr>
            <w:r>
              <w:t>ABS</w:t>
            </w:r>
          </w:p>
        </w:tc>
        <w:tc>
          <w:tcPr>
            <w:tcW w:w="7325" w:type="dxa"/>
          </w:tcPr>
          <w:p w14:paraId="5D7DD9CE" w14:textId="704F1CB0" w:rsidR="00A90165" w:rsidRDefault="00A90165" w:rsidP="00021EF3">
            <w:pPr>
              <w:spacing w:after="0"/>
            </w:pPr>
            <w:r>
              <w:t>Australian Bureau of Statistics</w:t>
            </w:r>
          </w:p>
        </w:tc>
      </w:tr>
      <w:tr w:rsidR="00536389" w14:paraId="0AB6AD0E" w14:textId="77777777" w:rsidTr="00B64658">
        <w:tc>
          <w:tcPr>
            <w:tcW w:w="1701" w:type="dxa"/>
          </w:tcPr>
          <w:p w14:paraId="61A9D562" w14:textId="16620E38" w:rsidR="00536389" w:rsidRDefault="00536389" w:rsidP="00021EF3">
            <w:pPr>
              <w:spacing w:after="0"/>
            </w:pPr>
            <w:r>
              <w:t>ACN</w:t>
            </w:r>
          </w:p>
        </w:tc>
        <w:tc>
          <w:tcPr>
            <w:tcW w:w="7325" w:type="dxa"/>
          </w:tcPr>
          <w:p w14:paraId="4B6C0989" w14:textId="35FFAFDC" w:rsidR="00536389" w:rsidRDefault="00536389" w:rsidP="00021EF3">
            <w:pPr>
              <w:spacing w:after="0"/>
            </w:pPr>
            <w:r>
              <w:t>Australian Company Number</w:t>
            </w:r>
          </w:p>
        </w:tc>
      </w:tr>
      <w:tr w:rsidR="00DD6457" w14:paraId="2F2019C3" w14:textId="77777777" w:rsidTr="00B64658">
        <w:tc>
          <w:tcPr>
            <w:tcW w:w="1701" w:type="dxa"/>
          </w:tcPr>
          <w:p w14:paraId="365DFDF5" w14:textId="1E730CCD" w:rsidR="00DD6457" w:rsidRDefault="00DD6457" w:rsidP="00021EF3">
            <w:pPr>
              <w:spacing w:after="0"/>
            </w:pPr>
            <w:r>
              <w:t>ACT</w:t>
            </w:r>
          </w:p>
        </w:tc>
        <w:tc>
          <w:tcPr>
            <w:tcW w:w="7325" w:type="dxa"/>
          </w:tcPr>
          <w:p w14:paraId="4EE48070" w14:textId="1C640BD5" w:rsidR="00DD6457" w:rsidRDefault="00DD6457" w:rsidP="00021EF3">
            <w:pPr>
              <w:spacing w:after="0"/>
            </w:pPr>
            <w:r>
              <w:t>Australian Capital Territory</w:t>
            </w:r>
          </w:p>
        </w:tc>
      </w:tr>
      <w:tr w:rsidR="009E36C4" w14:paraId="67919572" w14:textId="77777777" w:rsidTr="00B64658">
        <w:tc>
          <w:tcPr>
            <w:tcW w:w="1701" w:type="dxa"/>
          </w:tcPr>
          <w:p w14:paraId="3584CAEC" w14:textId="39B14766" w:rsidR="009E36C4" w:rsidRDefault="009E36C4" w:rsidP="00021EF3">
            <w:pPr>
              <w:spacing w:after="0"/>
            </w:pPr>
            <w:r>
              <w:t>ANZSIC</w:t>
            </w:r>
          </w:p>
        </w:tc>
        <w:tc>
          <w:tcPr>
            <w:tcW w:w="7325" w:type="dxa"/>
          </w:tcPr>
          <w:p w14:paraId="4269954D" w14:textId="08D3EF04" w:rsidR="009E36C4" w:rsidRDefault="009E36C4" w:rsidP="00021EF3">
            <w:pPr>
              <w:spacing w:after="0"/>
            </w:pPr>
            <w:r>
              <w:t>Australian and New Zealand Standard Industrial Classification</w:t>
            </w:r>
          </w:p>
        </w:tc>
      </w:tr>
      <w:tr w:rsidR="00A90165" w14:paraId="50C84869" w14:textId="77777777" w:rsidTr="00B64658">
        <w:tc>
          <w:tcPr>
            <w:tcW w:w="1701" w:type="dxa"/>
          </w:tcPr>
          <w:p w14:paraId="718E17E9" w14:textId="76BE76C1" w:rsidR="00A90165" w:rsidRDefault="00A90165" w:rsidP="00021EF3">
            <w:pPr>
              <w:spacing w:after="0"/>
            </w:pPr>
            <w:r>
              <w:t>ASIC</w:t>
            </w:r>
          </w:p>
        </w:tc>
        <w:tc>
          <w:tcPr>
            <w:tcW w:w="7325" w:type="dxa"/>
          </w:tcPr>
          <w:p w14:paraId="73384552" w14:textId="17D62B54" w:rsidR="00A90165" w:rsidRDefault="00A90165" w:rsidP="00021EF3">
            <w:pPr>
              <w:spacing w:after="0"/>
            </w:pPr>
            <w:r w:rsidRPr="00A90165">
              <w:t xml:space="preserve">Australian Securities </w:t>
            </w:r>
            <w:r w:rsidR="00DC32AC">
              <w:t>and</w:t>
            </w:r>
            <w:r w:rsidRPr="00A90165">
              <w:t xml:space="preserve"> Investments Commission</w:t>
            </w:r>
          </w:p>
        </w:tc>
      </w:tr>
      <w:tr w:rsidR="00B64658" w14:paraId="45C1820E" w14:textId="77777777" w:rsidTr="00B64658">
        <w:tc>
          <w:tcPr>
            <w:tcW w:w="1701" w:type="dxa"/>
          </w:tcPr>
          <w:p w14:paraId="33A3A08F" w14:textId="7EE52A85" w:rsidR="00B64658" w:rsidRDefault="00B64658" w:rsidP="00021EF3">
            <w:pPr>
              <w:spacing w:after="0"/>
            </w:pPr>
            <w:r>
              <w:t>ATO</w:t>
            </w:r>
          </w:p>
        </w:tc>
        <w:tc>
          <w:tcPr>
            <w:tcW w:w="7325" w:type="dxa"/>
          </w:tcPr>
          <w:p w14:paraId="275367CA" w14:textId="6526B4E3" w:rsidR="00B64658" w:rsidRDefault="00B64658" w:rsidP="00021EF3">
            <w:pPr>
              <w:spacing w:after="0"/>
            </w:pPr>
            <w:r>
              <w:t>Australian Tax Office</w:t>
            </w:r>
          </w:p>
        </w:tc>
      </w:tr>
      <w:tr w:rsidR="00C5507A" w14:paraId="3CC4F92C" w14:textId="77777777" w:rsidTr="00B64658">
        <w:tc>
          <w:tcPr>
            <w:tcW w:w="1701" w:type="dxa"/>
          </w:tcPr>
          <w:p w14:paraId="03DBE178" w14:textId="54BCD914" w:rsidR="00C5507A" w:rsidRDefault="00C5507A" w:rsidP="00021EF3">
            <w:pPr>
              <w:spacing w:after="0"/>
            </w:pPr>
            <w:r>
              <w:t>BCAP</w:t>
            </w:r>
          </w:p>
        </w:tc>
        <w:tc>
          <w:tcPr>
            <w:tcW w:w="7325" w:type="dxa"/>
          </w:tcPr>
          <w:p w14:paraId="25655D9C" w14:textId="4CD34E61" w:rsidR="00C5507A" w:rsidRDefault="00C5507A" w:rsidP="00021EF3">
            <w:pPr>
              <w:spacing w:after="0"/>
            </w:pPr>
            <w:r>
              <w:t>Business Cost</w:t>
            </w:r>
            <w:r w:rsidR="00AD6B4E">
              <w:t>s</w:t>
            </w:r>
            <w:r>
              <w:t xml:space="preserve"> Assistance Program</w:t>
            </w:r>
          </w:p>
        </w:tc>
      </w:tr>
      <w:tr w:rsidR="00337A3A" w14:paraId="40B8FD47" w14:textId="77777777" w:rsidTr="00B64658">
        <w:tc>
          <w:tcPr>
            <w:tcW w:w="1701" w:type="dxa"/>
          </w:tcPr>
          <w:p w14:paraId="5DA9F0AB" w14:textId="4BF1C75E" w:rsidR="00337A3A" w:rsidRDefault="00337A3A" w:rsidP="00021EF3">
            <w:pPr>
              <w:spacing w:after="0"/>
            </w:pPr>
            <w:r>
              <w:t>BCR</w:t>
            </w:r>
          </w:p>
        </w:tc>
        <w:tc>
          <w:tcPr>
            <w:tcW w:w="7325" w:type="dxa"/>
          </w:tcPr>
          <w:p w14:paraId="5B82B725" w14:textId="2D05F048" w:rsidR="00337A3A" w:rsidRDefault="00337A3A" w:rsidP="00021EF3">
            <w:pPr>
              <w:spacing w:after="0"/>
            </w:pPr>
            <w:r>
              <w:t>Benefit-Cost Ratio</w:t>
            </w:r>
          </w:p>
        </w:tc>
      </w:tr>
      <w:tr w:rsidR="009B04D0" w14:paraId="193951BD" w14:textId="77777777" w:rsidTr="00B64658">
        <w:tc>
          <w:tcPr>
            <w:tcW w:w="1701" w:type="dxa"/>
          </w:tcPr>
          <w:p w14:paraId="7D48F4B1" w14:textId="52856826" w:rsidR="009B04D0" w:rsidRDefault="009B04D0" w:rsidP="00021EF3">
            <w:pPr>
              <w:spacing w:after="0"/>
            </w:pPr>
            <w:r>
              <w:t>BLADE</w:t>
            </w:r>
          </w:p>
        </w:tc>
        <w:tc>
          <w:tcPr>
            <w:tcW w:w="7325" w:type="dxa"/>
          </w:tcPr>
          <w:p w14:paraId="72E012AC" w14:textId="1288F201" w:rsidR="009B04D0" w:rsidRDefault="009B04D0" w:rsidP="00021EF3">
            <w:pPr>
              <w:spacing w:after="0"/>
            </w:pPr>
            <w:r>
              <w:t xml:space="preserve">Business </w:t>
            </w:r>
            <w:r w:rsidR="0088499C">
              <w:t>Longitudinal</w:t>
            </w:r>
            <w:r w:rsidR="007D1CF5">
              <w:t xml:space="preserve"> </w:t>
            </w:r>
            <w:r w:rsidR="0088499C">
              <w:t>Analysis Data Environment</w:t>
            </w:r>
          </w:p>
        </w:tc>
      </w:tr>
      <w:tr w:rsidR="00EA395E" w14:paraId="46670E86" w14:textId="77777777" w:rsidTr="00B64658">
        <w:tc>
          <w:tcPr>
            <w:tcW w:w="1701" w:type="dxa"/>
          </w:tcPr>
          <w:p w14:paraId="6ACAEFAF" w14:textId="27669240" w:rsidR="00EA395E" w:rsidRDefault="00EA395E" w:rsidP="00021EF3">
            <w:pPr>
              <w:spacing w:after="0"/>
            </w:pPr>
            <w:r>
              <w:t>CBA</w:t>
            </w:r>
          </w:p>
        </w:tc>
        <w:tc>
          <w:tcPr>
            <w:tcW w:w="7325" w:type="dxa"/>
          </w:tcPr>
          <w:p w14:paraId="065A0463" w14:textId="0E48E9F8" w:rsidR="00EA395E" w:rsidRDefault="00EA395E" w:rsidP="00021EF3">
            <w:pPr>
              <w:spacing w:after="0"/>
            </w:pPr>
            <w:r>
              <w:t>Cost</w:t>
            </w:r>
            <w:r w:rsidR="00F445EC">
              <w:t>-</w:t>
            </w:r>
            <w:r>
              <w:t>Benefit Analysis</w:t>
            </w:r>
          </w:p>
        </w:tc>
      </w:tr>
      <w:tr w:rsidR="00BB54FA" w14:paraId="70024EF8" w14:textId="77777777" w:rsidTr="00B64658">
        <w:tc>
          <w:tcPr>
            <w:tcW w:w="1701" w:type="dxa"/>
          </w:tcPr>
          <w:p w14:paraId="7EEFBD81" w14:textId="279F99E6" w:rsidR="00BB54FA" w:rsidRDefault="00BB54FA" w:rsidP="00021EF3">
            <w:pPr>
              <w:spacing w:after="0"/>
            </w:pPr>
            <w:r>
              <w:t>CBD</w:t>
            </w:r>
          </w:p>
        </w:tc>
        <w:tc>
          <w:tcPr>
            <w:tcW w:w="7325" w:type="dxa"/>
          </w:tcPr>
          <w:p w14:paraId="4E460A34" w14:textId="1D9530B7" w:rsidR="00BB54FA" w:rsidRDefault="00BB54FA" w:rsidP="00021EF3">
            <w:pPr>
              <w:spacing w:after="0"/>
            </w:pPr>
            <w:r>
              <w:t>Central Business District</w:t>
            </w:r>
          </w:p>
        </w:tc>
      </w:tr>
      <w:tr w:rsidR="00652BBD" w14:paraId="17C637B5" w14:textId="77777777" w:rsidTr="00B64658">
        <w:tc>
          <w:tcPr>
            <w:tcW w:w="1701" w:type="dxa"/>
          </w:tcPr>
          <w:p w14:paraId="71DA0612" w14:textId="41AEDCFE" w:rsidR="00652BBD" w:rsidRDefault="00652BBD" w:rsidP="00021EF3">
            <w:pPr>
              <w:spacing w:after="0"/>
            </w:pPr>
            <w:r>
              <w:t>CERS</w:t>
            </w:r>
          </w:p>
        </w:tc>
        <w:tc>
          <w:tcPr>
            <w:tcW w:w="7325" w:type="dxa"/>
          </w:tcPr>
          <w:p w14:paraId="5427D93F" w14:textId="57EC4043" w:rsidR="00652BBD" w:rsidRDefault="00652BBD" w:rsidP="00021EF3">
            <w:pPr>
              <w:spacing w:after="0"/>
            </w:pPr>
            <w:r>
              <w:t>Canada Emergency Rent Subsidy</w:t>
            </w:r>
          </w:p>
        </w:tc>
      </w:tr>
      <w:tr w:rsidR="00CB5509" w14:paraId="3E09E92D" w14:textId="77777777" w:rsidTr="00B64658">
        <w:tc>
          <w:tcPr>
            <w:tcW w:w="1701" w:type="dxa"/>
          </w:tcPr>
          <w:p w14:paraId="0D85975A" w14:textId="74D31C62" w:rsidR="00CB5509" w:rsidRDefault="00CB5509" w:rsidP="00021EF3">
            <w:pPr>
              <w:spacing w:after="0"/>
            </w:pPr>
            <w:r>
              <w:t>COVID</w:t>
            </w:r>
          </w:p>
        </w:tc>
        <w:tc>
          <w:tcPr>
            <w:tcW w:w="7325" w:type="dxa"/>
          </w:tcPr>
          <w:p w14:paraId="590C0ADF" w14:textId="5E939DC2" w:rsidR="00CB5509" w:rsidRDefault="00CE61C4" w:rsidP="00021EF3">
            <w:pPr>
              <w:spacing w:after="0"/>
            </w:pPr>
            <w:r>
              <w:t>Coronavirus</w:t>
            </w:r>
          </w:p>
        </w:tc>
      </w:tr>
      <w:tr w:rsidR="00991EAC" w14:paraId="382DBAE9" w14:textId="77777777" w:rsidTr="00B64658">
        <w:tc>
          <w:tcPr>
            <w:tcW w:w="1701" w:type="dxa"/>
          </w:tcPr>
          <w:p w14:paraId="75D700A1" w14:textId="2881FFB2" w:rsidR="00991EAC" w:rsidRDefault="00991EAC" w:rsidP="00021EF3">
            <w:pPr>
              <w:spacing w:after="0"/>
            </w:pPr>
            <w:r>
              <w:t>CPI</w:t>
            </w:r>
          </w:p>
        </w:tc>
        <w:tc>
          <w:tcPr>
            <w:tcW w:w="7325" w:type="dxa"/>
          </w:tcPr>
          <w:p w14:paraId="54400C89" w14:textId="462F049A" w:rsidR="00991EAC" w:rsidRDefault="00991EAC" w:rsidP="00021EF3">
            <w:pPr>
              <w:spacing w:after="0"/>
            </w:pPr>
            <w:r>
              <w:t xml:space="preserve">Consumer Price </w:t>
            </w:r>
            <w:r w:rsidR="00FE1080">
              <w:t>Index</w:t>
            </w:r>
          </w:p>
        </w:tc>
      </w:tr>
      <w:tr w:rsidR="00E75CD7" w14:paraId="4875336A" w14:textId="77777777" w:rsidTr="00B64658">
        <w:tc>
          <w:tcPr>
            <w:tcW w:w="1701" w:type="dxa"/>
          </w:tcPr>
          <w:p w14:paraId="345D8388" w14:textId="2A8B65C4" w:rsidR="00E75CD7" w:rsidRDefault="0011004E" w:rsidP="00021EF3">
            <w:pPr>
              <w:spacing w:after="0"/>
            </w:pPr>
            <w:r>
              <w:t>The Department</w:t>
            </w:r>
          </w:p>
        </w:tc>
        <w:tc>
          <w:tcPr>
            <w:tcW w:w="7325" w:type="dxa"/>
          </w:tcPr>
          <w:p w14:paraId="028BCE47" w14:textId="5BA48E55" w:rsidR="00E75CD7" w:rsidRDefault="00E75CD7" w:rsidP="00021EF3">
            <w:pPr>
              <w:spacing w:after="0"/>
            </w:pPr>
            <w:r>
              <w:t>Department of Jobs, Skills, Industry and Regions</w:t>
            </w:r>
          </w:p>
        </w:tc>
      </w:tr>
      <w:tr w:rsidR="00E75CD7" w14:paraId="6E412675" w14:textId="77777777" w:rsidTr="00B64658">
        <w:tc>
          <w:tcPr>
            <w:tcW w:w="1701" w:type="dxa"/>
          </w:tcPr>
          <w:p w14:paraId="69982EDF" w14:textId="40478850" w:rsidR="00E75CD7" w:rsidRDefault="00E75CD7" w:rsidP="00021EF3">
            <w:pPr>
              <w:spacing w:after="0"/>
            </w:pPr>
            <w:r>
              <w:t>DTF</w:t>
            </w:r>
          </w:p>
        </w:tc>
        <w:tc>
          <w:tcPr>
            <w:tcW w:w="7325" w:type="dxa"/>
          </w:tcPr>
          <w:p w14:paraId="0E4AFFB9" w14:textId="4E58C57E" w:rsidR="00E75CD7" w:rsidRDefault="00E75CD7" w:rsidP="00021EF3">
            <w:pPr>
              <w:spacing w:after="0"/>
            </w:pPr>
            <w:r>
              <w:t>Department of Treasury and Finance</w:t>
            </w:r>
          </w:p>
        </w:tc>
      </w:tr>
      <w:tr w:rsidR="00B57891" w14:paraId="35ABAC8E" w14:textId="77777777" w:rsidTr="00B64658">
        <w:tc>
          <w:tcPr>
            <w:tcW w:w="1701" w:type="dxa"/>
          </w:tcPr>
          <w:p w14:paraId="7464704E" w14:textId="74FE16EB" w:rsidR="00B57891" w:rsidRDefault="00B57891" w:rsidP="00021EF3">
            <w:pPr>
              <w:spacing w:after="0"/>
            </w:pPr>
            <w:r>
              <w:t>FTE</w:t>
            </w:r>
          </w:p>
        </w:tc>
        <w:tc>
          <w:tcPr>
            <w:tcW w:w="7325" w:type="dxa"/>
          </w:tcPr>
          <w:p w14:paraId="4C355932" w14:textId="7DDCEDE8" w:rsidR="00B57891" w:rsidRDefault="00B57891" w:rsidP="00021EF3">
            <w:pPr>
              <w:spacing w:after="0"/>
            </w:pPr>
            <w:r>
              <w:t>Full Time Equivalent</w:t>
            </w:r>
          </w:p>
        </w:tc>
      </w:tr>
      <w:tr w:rsidR="00B64658" w14:paraId="186E509D" w14:textId="77777777" w:rsidTr="00B64658">
        <w:tc>
          <w:tcPr>
            <w:tcW w:w="1701" w:type="dxa"/>
          </w:tcPr>
          <w:p w14:paraId="2BA72C7A" w14:textId="41D17917" w:rsidR="00B64658" w:rsidRDefault="0097103D" w:rsidP="00021EF3">
            <w:pPr>
              <w:spacing w:after="0"/>
            </w:pPr>
            <w:r>
              <w:t>G</w:t>
            </w:r>
            <w:r w:rsidR="00482BF4">
              <w:t>DP</w:t>
            </w:r>
          </w:p>
        </w:tc>
        <w:tc>
          <w:tcPr>
            <w:tcW w:w="7325" w:type="dxa"/>
          </w:tcPr>
          <w:p w14:paraId="4762128C" w14:textId="3E1AC458" w:rsidR="00B64658" w:rsidRDefault="00482BF4" w:rsidP="00021EF3">
            <w:pPr>
              <w:spacing w:after="0"/>
            </w:pPr>
            <w:r>
              <w:t>Gross Domestic Product</w:t>
            </w:r>
          </w:p>
        </w:tc>
      </w:tr>
      <w:tr w:rsidR="0056570E" w14:paraId="782B8320" w14:textId="77777777" w:rsidTr="00B64658">
        <w:tc>
          <w:tcPr>
            <w:tcW w:w="1701" w:type="dxa"/>
          </w:tcPr>
          <w:p w14:paraId="44D4D7CA" w14:textId="762CDA52" w:rsidR="0056570E" w:rsidRDefault="008B5230" w:rsidP="00021EF3">
            <w:pPr>
              <w:spacing w:after="0"/>
            </w:pPr>
            <w:r>
              <w:t>GSP</w:t>
            </w:r>
          </w:p>
        </w:tc>
        <w:tc>
          <w:tcPr>
            <w:tcW w:w="7325" w:type="dxa"/>
          </w:tcPr>
          <w:p w14:paraId="346740BE" w14:textId="31C068D0" w:rsidR="0056570E" w:rsidRDefault="008B5230" w:rsidP="00021EF3">
            <w:pPr>
              <w:spacing w:after="0"/>
            </w:pPr>
            <w:r>
              <w:t>Gross State Product</w:t>
            </w:r>
          </w:p>
        </w:tc>
      </w:tr>
      <w:tr w:rsidR="00B64658" w14:paraId="0FCF06FB" w14:textId="77777777" w:rsidTr="00B64658">
        <w:tc>
          <w:tcPr>
            <w:tcW w:w="1701" w:type="dxa"/>
          </w:tcPr>
          <w:p w14:paraId="5B176303" w14:textId="71CEB265" w:rsidR="00B64658" w:rsidRDefault="008B5230" w:rsidP="00021EF3">
            <w:pPr>
              <w:spacing w:after="0"/>
            </w:pPr>
            <w:r>
              <w:t>GST</w:t>
            </w:r>
          </w:p>
        </w:tc>
        <w:tc>
          <w:tcPr>
            <w:tcW w:w="7325" w:type="dxa"/>
          </w:tcPr>
          <w:p w14:paraId="2B3E4AF9" w14:textId="6F0A7119" w:rsidR="00B64658" w:rsidRDefault="008B5230" w:rsidP="00021EF3">
            <w:pPr>
              <w:spacing w:after="0"/>
            </w:pPr>
            <w:r>
              <w:t>Goods and Services Tax</w:t>
            </w:r>
          </w:p>
        </w:tc>
      </w:tr>
      <w:tr w:rsidR="007E7D73" w14:paraId="4B5EFE30" w14:textId="77777777" w:rsidTr="00B64658">
        <w:tc>
          <w:tcPr>
            <w:tcW w:w="1701" w:type="dxa"/>
          </w:tcPr>
          <w:p w14:paraId="2D840D2E" w14:textId="15B0EFAE" w:rsidR="007E7D73" w:rsidRDefault="00A90165" w:rsidP="00021EF3">
            <w:pPr>
              <w:spacing w:after="0"/>
            </w:pPr>
            <w:r>
              <w:t>HILDA</w:t>
            </w:r>
          </w:p>
        </w:tc>
        <w:tc>
          <w:tcPr>
            <w:tcW w:w="7325" w:type="dxa"/>
          </w:tcPr>
          <w:p w14:paraId="3DFA6E1C" w14:textId="03643B0A" w:rsidR="007E7D73" w:rsidRDefault="00A90165" w:rsidP="00021EF3">
            <w:pPr>
              <w:spacing w:after="0"/>
            </w:pPr>
            <w:r w:rsidRPr="00DC7A67">
              <w:t>Household, Income and Labour Dynamics in Australia</w:t>
            </w:r>
          </w:p>
        </w:tc>
      </w:tr>
      <w:tr w:rsidR="00CE61C4" w14:paraId="01751E20" w14:textId="77777777" w:rsidTr="00B64658">
        <w:tc>
          <w:tcPr>
            <w:tcW w:w="1701" w:type="dxa"/>
          </w:tcPr>
          <w:p w14:paraId="0E78059B" w14:textId="22464EFE" w:rsidR="00CE61C4" w:rsidRDefault="00CE61C4" w:rsidP="00021EF3">
            <w:pPr>
              <w:spacing w:after="0"/>
            </w:pPr>
            <w:r>
              <w:t>ICU</w:t>
            </w:r>
          </w:p>
        </w:tc>
        <w:tc>
          <w:tcPr>
            <w:tcW w:w="7325" w:type="dxa"/>
          </w:tcPr>
          <w:p w14:paraId="2D7BCD06" w14:textId="2AC153D6" w:rsidR="00CE61C4" w:rsidRDefault="00CE61C4" w:rsidP="00021EF3">
            <w:pPr>
              <w:spacing w:after="0"/>
            </w:pPr>
            <w:r>
              <w:t>Intensive Care Unit</w:t>
            </w:r>
          </w:p>
        </w:tc>
      </w:tr>
      <w:tr w:rsidR="0041483A" w14:paraId="40FB7724" w14:textId="77777777" w:rsidTr="00B64658">
        <w:tc>
          <w:tcPr>
            <w:tcW w:w="1701" w:type="dxa"/>
          </w:tcPr>
          <w:p w14:paraId="4ADFCEFE" w14:textId="456670F4" w:rsidR="0041483A" w:rsidRDefault="0041483A" w:rsidP="00021EF3">
            <w:pPr>
              <w:spacing w:after="0"/>
            </w:pPr>
            <w:r>
              <w:t>IMF</w:t>
            </w:r>
          </w:p>
        </w:tc>
        <w:tc>
          <w:tcPr>
            <w:tcW w:w="7325" w:type="dxa"/>
          </w:tcPr>
          <w:p w14:paraId="0714B8A0" w14:textId="62EFEF12" w:rsidR="0041483A" w:rsidRDefault="0041483A" w:rsidP="00021EF3">
            <w:pPr>
              <w:spacing w:after="0"/>
            </w:pPr>
            <w:r>
              <w:t>International Monetary Fund</w:t>
            </w:r>
          </w:p>
        </w:tc>
      </w:tr>
      <w:tr w:rsidR="00EA395E" w14:paraId="6FAFD434" w14:textId="77777777" w:rsidTr="00B64658">
        <w:tc>
          <w:tcPr>
            <w:tcW w:w="1701" w:type="dxa"/>
          </w:tcPr>
          <w:p w14:paraId="66DE6ACA" w14:textId="58A75F0E" w:rsidR="00EA395E" w:rsidRDefault="00EA395E" w:rsidP="00021EF3">
            <w:pPr>
              <w:spacing w:after="0"/>
            </w:pPr>
            <w:r>
              <w:t>IT</w:t>
            </w:r>
          </w:p>
        </w:tc>
        <w:tc>
          <w:tcPr>
            <w:tcW w:w="7325" w:type="dxa"/>
          </w:tcPr>
          <w:p w14:paraId="7DB3A437" w14:textId="69711FC1" w:rsidR="00EA395E" w:rsidRPr="00EA395E" w:rsidRDefault="00EA395E" w:rsidP="00021EF3">
            <w:pPr>
              <w:spacing w:after="0"/>
            </w:pPr>
            <w:r>
              <w:t>I</w:t>
            </w:r>
            <w:r w:rsidRPr="00EA395E">
              <w:t xml:space="preserve">nformation </w:t>
            </w:r>
            <w:r>
              <w:t>T</w:t>
            </w:r>
            <w:r w:rsidRPr="00EA395E">
              <w:t>echnology</w:t>
            </w:r>
          </w:p>
        </w:tc>
      </w:tr>
      <w:tr w:rsidR="00EA395E" w14:paraId="4AEBE2E2" w14:textId="77777777" w:rsidTr="00B64658">
        <w:tc>
          <w:tcPr>
            <w:tcW w:w="1701" w:type="dxa"/>
          </w:tcPr>
          <w:p w14:paraId="2B93BBA3" w14:textId="375EFDA3" w:rsidR="00EA395E" w:rsidRDefault="00EA395E" w:rsidP="00021EF3">
            <w:pPr>
              <w:spacing w:after="0"/>
            </w:pPr>
            <w:r>
              <w:t>KEQ</w:t>
            </w:r>
          </w:p>
        </w:tc>
        <w:tc>
          <w:tcPr>
            <w:tcW w:w="7325" w:type="dxa"/>
          </w:tcPr>
          <w:p w14:paraId="5D9226EB" w14:textId="4247D84C" w:rsidR="00EA395E" w:rsidRDefault="00EA395E" w:rsidP="00021EF3">
            <w:pPr>
              <w:spacing w:after="0"/>
            </w:pPr>
            <w:r w:rsidRPr="00EA395E">
              <w:t xml:space="preserve">Key </w:t>
            </w:r>
            <w:r w:rsidR="002F340B">
              <w:t>E</w:t>
            </w:r>
            <w:r w:rsidRPr="00EA395E">
              <w:t xml:space="preserve">valuation </w:t>
            </w:r>
            <w:r w:rsidR="002F340B">
              <w:t>Q</w:t>
            </w:r>
            <w:r w:rsidRPr="00EA395E">
              <w:t>uestions</w:t>
            </w:r>
          </w:p>
        </w:tc>
      </w:tr>
      <w:tr w:rsidR="009E36C4" w14:paraId="34BADA1A" w14:textId="77777777" w:rsidTr="00B64658">
        <w:tc>
          <w:tcPr>
            <w:tcW w:w="1701" w:type="dxa"/>
          </w:tcPr>
          <w:p w14:paraId="7AD5847C" w14:textId="5807516F" w:rsidR="009E36C4" w:rsidRDefault="00F003BA" w:rsidP="00021EF3">
            <w:pPr>
              <w:spacing w:after="0"/>
            </w:pPr>
            <w:r>
              <w:t>LGA</w:t>
            </w:r>
          </w:p>
        </w:tc>
        <w:tc>
          <w:tcPr>
            <w:tcW w:w="7325" w:type="dxa"/>
          </w:tcPr>
          <w:p w14:paraId="6C488247" w14:textId="5D8E3B80" w:rsidR="009E36C4" w:rsidRDefault="00F003BA" w:rsidP="00021EF3">
            <w:pPr>
              <w:spacing w:after="0"/>
            </w:pPr>
            <w:r>
              <w:t>Local Government Area</w:t>
            </w:r>
          </w:p>
        </w:tc>
      </w:tr>
      <w:tr w:rsidR="00F003BA" w14:paraId="7707CC13" w14:textId="77777777" w:rsidTr="00B64658">
        <w:tc>
          <w:tcPr>
            <w:tcW w:w="1701" w:type="dxa"/>
          </w:tcPr>
          <w:p w14:paraId="1D362C3E" w14:textId="4A9500BF" w:rsidR="00F003BA" w:rsidRDefault="00F003BA" w:rsidP="00021EF3">
            <w:pPr>
              <w:spacing w:after="0"/>
            </w:pPr>
            <w:r>
              <w:t>LHVF</w:t>
            </w:r>
          </w:p>
        </w:tc>
        <w:tc>
          <w:tcPr>
            <w:tcW w:w="7325" w:type="dxa"/>
          </w:tcPr>
          <w:p w14:paraId="424BF521" w14:textId="3C96F536" w:rsidR="00F003BA" w:rsidRDefault="00F003BA" w:rsidP="00021EF3">
            <w:pPr>
              <w:spacing w:after="0"/>
            </w:pPr>
            <w:r>
              <w:t>Licensed Hospitality Venue Fund</w:t>
            </w:r>
          </w:p>
        </w:tc>
      </w:tr>
      <w:tr w:rsidR="00A90165" w14:paraId="511D0631" w14:textId="77777777" w:rsidTr="00B64658">
        <w:tc>
          <w:tcPr>
            <w:tcW w:w="1701" w:type="dxa"/>
          </w:tcPr>
          <w:p w14:paraId="425F499E" w14:textId="6DBCD94B" w:rsidR="00A90165" w:rsidRDefault="00EA395E" w:rsidP="00021EF3">
            <w:pPr>
              <w:spacing w:after="0"/>
            </w:pPr>
            <w:r>
              <w:t>NAB</w:t>
            </w:r>
          </w:p>
        </w:tc>
        <w:tc>
          <w:tcPr>
            <w:tcW w:w="7325" w:type="dxa"/>
          </w:tcPr>
          <w:p w14:paraId="5C9812FB" w14:textId="00E90EB5" w:rsidR="00A90165" w:rsidRDefault="00EA395E" w:rsidP="00021EF3">
            <w:pPr>
              <w:spacing w:after="0"/>
            </w:pPr>
            <w:r>
              <w:t>National Australia Bank</w:t>
            </w:r>
          </w:p>
        </w:tc>
      </w:tr>
      <w:tr w:rsidR="007C2C75" w14:paraId="63609718" w14:textId="77777777" w:rsidTr="00B64658">
        <w:tc>
          <w:tcPr>
            <w:tcW w:w="1701" w:type="dxa"/>
          </w:tcPr>
          <w:p w14:paraId="5F20683B" w14:textId="258BB50B" w:rsidR="007C2C75" w:rsidRDefault="007C2C75" w:rsidP="00021EF3">
            <w:pPr>
              <w:spacing w:after="0"/>
            </w:pPr>
            <w:r>
              <w:t>NFP</w:t>
            </w:r>
          </w:p>
        </w:tc>
        <w:tc>
          <w:tcPr>
            <w:tcW w:w="7325" w:type="dxa"/>
          </w:tcPr>
          <w:p w14:paraId="794B9358" w14:textId="046F9A3C" w:rsidR="007C2C75" w:rsidRDefault="007C2C75" w:rsidP="00021EF3">
            <w:pPr>
              <w:spacing w:after="0"/>
            </w:pPr>
            <w:r>
              <w:t>Not-</w:t>
            </w:r>
            <w:r w:rsidR="002F340B">
              <w:t>F</w:t>
            </w:r>
            <w:r>
              <w:t>or</w:t>
            </w:r>
            <w:r w:rsidR="00E22AE0">
              <w:t>-P</w:t>
            </w:r>
            <w:r>
              <w:t>rofit</w:t>
            </w:r>
          </w:p>
        </w:tc>
      </w:tr>
      <w:tr w:rsidR="000530D0" w14:paraId="4E0E087D" w14:textId="77777777" w:rsidTr="00B64658">
        <w:tc>
          <w:tcPr>
            <w:tcW w:w="1701" w:type="dxa"/>
          </w:tcPr>
          <w:p w14:paraId="4F49AA6F" w14:textId="55E40F7C" w:rsidR="000530D0" w:rsidRDefault="000530D0" w:rsidP="00021EF3">
            <w:pPr>
              <w:spacing w:after="0"/>
            </w:pPr>
            <w:r>
              <w:t>NSW</w:t>
            </w:r>
          </w:p>
        </w:tc>
        <w:tc>
          <w:tcPr>
            <w:tcW w:w="7325" w:type="dxa"/>
          </w:tcPr>
          <w:p w14:paraId="581C3AF1" w14:textId="2A08159D" w:rsidR="000530D0" w:rsidRDefault="000530D0" w:rsidP="00021EF3">
            <w:pPr>
              <w:spacing w:after="0"/>
            </w:pPr>
            <w:r>
              <w:t>New South Wales</w:t>
            </w:r>
          </w:p>
        </w:tc>
      </w:tr>
      <w:tr w:rsidR="00DD6457" w14:paraId="4966848C" w14:textId="77777777" w:rsidTr="00B64658">
        <w:tc>
          <w:tcPr>
            <w:tcW w:w="1701" w:type="dxa"/>
          </w:tcPr>
          <w:p w14:paraId="382B8985" w14:textId="1687FAFC" w:rsidR="00DD6457" w:rsidRDefault="00DD6457" w:rsidP="00021EF3">
            <w:pPr>
              <w:spacing w:after="0"/>
            </w:pPr>
            <w:r>
              <w:t>NT</w:t>
            </w:r>
          </w:p>
        </w:tc>
        <w:tc>
          <w:tcPr>
            <w:tcW w:w="7325" w:type="dxa"/>
          </w:tcPr>
          <w:p w14:paraId="79478FDA" w14:textId="5C46BB34" w:rsidR="00DD6457" w:rsidRDefault="00DD6457" w:rsidP="00021EF3">
            <w:pPr>
              <w:spacing w:after="0"/>
            </w:pPr>
            <w:r>
              <w:t>Northern Territory</w:t>
            </w:r>
          </w:p>
        </w:tc>
      </w:tr>
      <w:tr w:rsidR="007C2C75" w14:paraId="3A33F817" w14:textId="77777777" w:rsidTr="00B64658">
        <w:tc>
          <w:tcPr>
            <w:tcW w:w="1701" w:type="dxa"/>
          </w:tcPr>
          <w:p w14:paraId="1B21EADE" w14:textId="1B24734A" w:rsidR="007C2C75" w:rsidRDefault="007C2C75" w:rsidP="00021EF3">
            <w:pPr>
              <w:spacing w:after="0"/>
            </w:pPr>
            <w:r>
              <w:t>OECD</w:t>
            </w:r>
          </w:p>
        </w:tc>
        <w:tc>
          <w:tcPr>
            <w:tcW w:w="7325" w:type="dxa"/>
          </w:tcPr>
          <w:p w14:paraId="7F3BF507" w14:textId="2F4E8D0A" w:rsidR="007C2C75" w:rsidRDefault="007C2C75" w:rsidP="00021EF3">
            <w:pPr>
              <w:spacing w:after="0"/>
            </w:pPr>
            <w:r w:rsidRPr="007C2C75">
              <w:t>Organisation for Economic Co-operation and Development</w:t>
            </w:r>
          </w:p>
        </w:tc>
      </w:tr>
      <w:tr w:rsidR="00F003BA" w14:paraId="2DEE5E15" w14:textId="77777777" w:rsidTr="00B64658">
        <w:tc>
          <w:tcPr>
            <w:tcW w:w="1701" w:type="dxa"/>
          </w:tcPr>
          <w:p w14:paraId="0FAB0C94" w14:textId="09B51437" w:rsidR="00F003BA" w:rsidRDefault="00F003BA" w:rsidP="00021EF3">
            <w:pPr>
              <w:spacing w:after="0"/>
            </w:pPr>
            <w:r>
              <w:t>OLM</w:t>
            </w:r>
          </w:p>
        </w:tc>
        <w:tc>
          <w:tcPr>
            <w:tcW w:w="7325" w:type="dxa"/>
          </w:tcPr>
          <w:p w14:paraId="300E415D" w14:textId="61731C3E" w:rsidR="00F003BA" w:rsidRPr="007C2C75" w:rsidRDefault="00F003BA" w:rsidP="00021EF3">
            <w:pPr>
              <w:spacing w:after="0"/>
            </w:pPr>
            <w:r>
              <w:t>Outcome Logic Model</w:t>
            </w:r>
          </w:p>
        </w:tc>
      </w:tr>
      <w:tr w:rsidR="00CF0F7F" w14:paraId="7FC9F688" w14:textId="77777777" w:rsidTr="00B64658">
        <w:tc>
          <w:tcPr>
            <w:tcW w:w="1701" w:type="dxa"/>
          </w:tcPr>
          <w:p w14:paraId="0F9E6305" w14:textId="7093A852" w:rsidR="00CF0F7F" w:rsidRDefault="00CF0F7F" w:rsidP="00021EF3">
            <w:pPr>
              <w:spacing w:after="0"/>
            </w:pPr>
            <w:r>
              <w:t>OLS</w:t>
            </w:r>
          </w:p>
        </w:tc>
        <w:tc>
          <w:tcPr>
            <w:tcW w:w="7325" w:type="dxa"/>
          </w:tcPr>
          <w:p w14:paraId="4A497994" w14:textId="57EB5492" w:rsidR="00CF0F7F" w:rsidRDefault="00CF0F7F" w:rsidP="00021EF3">
            <w:pPr>
              <w:spacing w:after="0"/>
            </w:pPr>
            <w:r>
              <w:t xml:space="preserve">Ordinary </w:t>
            </w:r>
            <w:r w:rsidR="008867B4">
              <w:t>L</w:t>
            </w:r>
            <w:r>
              <w:t xml:space="preserve">east </w:t>
            </w:r>
            <w:r w:rsidR="008867B4">
              <w:t>S</w:t>
            </w:r>
            <w:r>
              <w:t>quares</w:t>
            </w:r>
          </w:p>
        </w:tc>
      </w:tr>
      <w:tr w:rsidR="00CC26C2" w14:paraId="0D851BC9" w14:textId="77777777" w:rsidTr="00B64658">
        <w:tc>
          <w:tcPr>
            <w:tcW w:w="1701" w:type="dxa"/>
          </w:tcPr>
          <w:p w14:paraId="43A3FBEB" w14:textId="4DB12624" w:rsidR="00CC26C2" w:rsidRDefault="00CC26C2" w:rsidP="00021EF3">
            <w:pPr>
              <w:spacing w:after="0"/>
            </w:pPr>
            <w:r>
              <w:t>PAYE</w:t>
            </w:r>
          </w:p>
        </w:tc>
        <w:tc>
          <w:tcPr>
            <w:tcW w:w="7325" w:type="dxa"/>
          </w:tcPr>
          <w:p w14:paraId="05043580" w14:textId="6DC96913" w:rsidR="00CC26C2" w:rsidRPr="007C2C75" w:rsidRDefault="00CC26C2" w:rsidP="00021EF3">
            <w:pPr>
              <w:spacing w:after="0"/>
            </w:pPr>
            <w:r>
              <w:t>Pay</w:t>
            </w:r>
            <w:r w:rsidR="00343121">
              <w:t>-</w:t>
            </w:r>
            <w:r>
              <w:t>As</w:t>
            </w:r>
            <w:r w:rsidR="00343121">
              <w:t>-</w:t>
            </w:r>
            <w:r>
              <w:t>You</w:t>
            </w:r>
            <w:r w:rsidR="00343121">
              <w:t>-</w:t>
            </w:r>
            <w:r>
              <w:t>Earn</w:t>
            </w:r>
          </w:p>
        </w:tc>
      </w:tr>
      <w:tr w:rsidR="00B64658" w14:paraId="2F4D9AB0" w14:textId="77777777" w:rsidTr="00B64658">
        <w:tc>
          <w:tcPr>
            <w:tcW w:w="1701" w:type="dxa"/>
          </w:tcPr>
          <w:p w14:paraId="144B7A77" w14:textId="2C6C9601" w:rsidR="00B64658" w:rsidRDefault="00B64658" w:rsidP="00021EF3">
            <w:pPr>
              <w:spacing w:after="0"/>
            </w:pPr>
            <w:r>
              <w:t>PAYG</w:t>
            </w:r>
          </w:p>
        </w:tc>
        <w:tc>
          <w:tcPr>
            <w:tcW w:w="7325" w:type="dxa"/>
          </w:tcPr>
          <w:p w14:paraId="2EA5F24F" w14:textId="5CC36028" w:rsidR="00B64658" w:rsidRDefault="00B64658" w:rsidP="00021EF3">
            <w:pPr>
              <w:spacing w:after="0"/>
            </w:pPr>
            <w:r>
              <w:t>Pay As You Go</w:t>
            </w:r>
          </w:p>
        </w:tc>
      </w:tr>
      <w:tr w:rsidR="00FC45C6" w14:paraId="40A74A8A" w14:textId="77777777" w:rsidTr="00B64658">
        <w:tc>
          <w:tcPr>
            <w:tcW w:w="1701" w:type="dxa"/>
          </w:tcPr>
          <w:p w14:paraId="3FE3136C" w14:textId="05D1988F" w:rsidR="00FC45C6" w:rsidRDefault="00FC45C6" w:rsidP="00021EF3">
            <w:pPr>
              <w:spacing w:after="0"/>
            </w:pPr>
            <w:r>
              <w:lastRenderedPageBreak/>
              <w:t>QLD</w:t>
            </w:r>
          </w:p>
        </w:tc>
        <w:tc>
          <w:tcPr>
            <w:tcW w:w="7325" w:type="dxa"/>
          </w:tcPr>
          <w:p w14:paraId="056CF95E" w14:textId="5BB367D1" w:rsidR="00FC45C6" w:rsidRDefault="00FC45C6" w:rsidP="00021EF3">
            <w:pPr>
              <w:spacing w:after="0"/>
            </w:pPr>
            <w:r>
              <w:t>Queensland</w:t>
            </w:r>
          </w:p>
        </w:tc>
      </w:tr>
      <w:tr w:rsidR="00652BBD" w14:paraId="51D3A1CB" w14:textId="77777777" w:rsidTr="00B64658">
        <w:tc>
          <w:tcPr>
            <w:tcW w:w="1701" w:type="dxa"/>
          </w:tcPr>
          <w:p w14:paraId="110C5CAB" w14:textId="109F8E0B" w:rsidR="00652BBD" w:rsidRDefault="00652BBD" w:rsidP="00021EF3">
            <w:pPr>
              <w:spacing w:after="0"/>
            </w:pPr>
            <w:r>
              <w:t>RHLGF</w:t>
            </w:r>
          </w:p>
        </w:tc>
        <w:tc>
          <w:tcPr>
            <w:tcW w:w="7325" w:type="dxa"/>
          </w:tcPr>
          <w:p w14:paraId="224BD268" w14:textId="7A517EAB" w:rsidR="00652BBD" w:rsidRPr="00C74D8D" w:rsidRDefault="00652BBD" w:rsidP="00021EF3">
            <w:pPr>
              <w:spacing w:after="0"/>
              <w:rPr>
                <w:szCs w:val="17"/>
              </w:rPr>
            </w:pPr>
            <w:r w:rsidRPr="00C74D8D">
              <w:rPr>
                <w:rFonts w:eastAsia="Verdana" w:cs="Arial"/>
                <w:kern w:val="24"/>
                <w:szCs w:val="17"/>
              </w:rPr>
              <w:t>Retail Hospitality and Leisure Grant Fund</w:t>
            </w:r>
          </w:p>
        </w:tc>
      </w:tr>
      <w:tr w:rsidR="00CB5509" w14:paraId="5FA3FCB2" w14:textId="77777777" w:rsidTr="00B64658">
        <w:tc>
          <w:tcPr>
            <w:tcW w:w="1701" w:type="dxa"/>
          </w:tcPr>
          <w:p w14:paraId="01025FA2" w14:textId="465B77B2" w:rsidR="00CB5509" w:rsidRDefault="00724CE5" w:rsidP="00021EF3">
            <w:pPr>
              <w:spacing w:after="0"/>
            </w:pPr>
            <w:r>
              <w:t>SA</w:t>
            </w:r>
          </w:p>
        </w:tc>
        <w:tc>
          <w:tcPr>
            <w:tcW w:w="7325" w:type="dxa"/>
          </w:tcPr>
          <w:p w14:paraId="531B76A8" w14:textId="339439FC" w:rsidR="00CB5509" w:rsidRPr="00C74D8D" w:rsidRDefault="00724CE5" w:rsidP="00021EF3">
            <w:pPr>
              <w:spacing w:after="0"/>
              <w:rPr>
                <w:szCs w:val="17"/>
              </w:rPr>
            </w:pPr>
            <w:r w:rsidRPr="00C74D8D">
              <w:rPr>
                <w:szCs w:val="17"/>
              </w:rPr>
              <w:t>South</w:t>
            </w:r>
            <w:r w:rsidR="003E60C7" w:rsidRPr="00C74D8D">
              <w:rPr>
                <w:szCs w:val="17"/>
              </w:rPr>
              <w:t xml:space="preserve"> Australia</w:t>
            </w:r>
          </w:p>
        </w:tc>
      </w:tr>
      <w:tr w:rsidR="00F618A0" w14:paraId="56947816" w14:textId="77777777" w:rsidTr="00B64658">
        <w:tc>
          <w:tcPr>
            <w:tcW w:w="1701" w:type="dxa"/>
          </w:tcPr>
          <w:p w14:paraId="5F06C76B" w14:textId="1BB8DC97" w:rsidR="00F618A0" w:rsidRDefault="00F618A0" w:rsidP="00021EF3">
            <w:pPr>
              <w:spacing w:after="0"/>
            </w:pPr>
            <w:r>
              <w:t>SA4</w:t>
            </w:r>
          </w:p>
        </w:tc>
        <w:tc>
          <w:tcPr>
            <w:tcW w:w="7325" w:type="dxa"/>
          </w:tcPr>
          <w:p w14:paraId="221D3C06" w14:textId="2F699079" w:rsidR="00F618A0" w:rsidRPr="00C74D8D" w:rsidRDefault="00F618A0" w:rsidP="00021EF3">
            <w:pPr>
              <w:spacing w:after="0"/>
              <w:rPr>
                <w:rFonts w:eastAsia="Verdana" w:cs="Arial"/>
                <w:kern w:val="24"/>
                <w:szCs w:val="17"/>
              </w:rPr>
            </w:pPr>
            <w:r>
              <w:t>ABS Statistical Area 4</w:t>
            </w:r>
          </w:p>
        </w:tc>
      </w:tr>
      <w:tr w:rsidR="00652BBD" w14:paraId="0D44F3B3" w14:textId="77777777" w:rsidTr="00B64658">
        <w:tc>
          <w:tcPr>
            <w:tcW w:w="1701" w:type="dxa"/>
          </w:tcPr>
          <w:p w14:paraId="30208AC6" w14:textId="1ACB228C" w:rsidR="00652BBD" w:rsidRDefault="00652BBD" w:rsidP="00021EF3">
            <w:pPr>
              <w:spacing w:after="0"/>
            </w:pPr>
            <w:r>
              <w:t>SBG</w:t>
            </w:r>
            <w:r w:rsidR="000B3800">
              <w:t>F</w:t>
            </w:r>
          </w:p>
        </w:tc>
        <w:tc>
          <w:tcPr>
            <w:tcW w:w="7325" w:type="dxa"/>
          </w:tcPr>
          <w:p w14:paraId="6B789DA7" w14:textId="075F30E5" w:rsidR="00652BBD" w:rsidRPr="00C74D8D" w:rsidRDefault="00652BBD" w:rsidP="00021EF3">
            <w:pPr>
              <w:spacing w:after="0"/>
              <w:rPr>
                <w:szCs w:val="17"/>
              </w:rPr>
            </w:pPr>
            <w:r w:rsidRPr="00C74D8D">
              <w:rPr>
                <w:rFonts w:eastAsia="Verdana" w:cs="Arial"/>
                <w:kern w:val="24"/>
                <w:szCs w:val="17"/>
              </w:rPr>
              <w:t>Small Business Grants Fund</w:t>
            </w:r>
          </w:p>
        </w:tc>
      </w:tr>
      <w:tr w:rsidR="008867B4" w14:paraId="33A200BA" w14:textId="77777777" w:rsidTr="00B64658">
        <w:tc>
          <w:tcPr>
            <w:tcW w:w="1701" w:type="dxa"/>
          </w:tcPr>
          <w:p w14:paraId="0EF07768" w14:textId="7ABFAEE1" w:rsidR="008867B4" w:rsidRDefault="008867B4" w:rsidP="00021EF3">
            <w:pPr>
              <w:spacing w:after="0"/>
            </w:pPr>
            <w:r>
              <w:t>SD</w:t>
            </w:r>
          </w:p>
        </w:tc>
        <w:tc>
          <w:tcPr>
            <w:tcW w:w="7325" w:type="dxa"/>
          </w:tcPr>
          <w:p w14:paraId="3A21896D" w14:textId="7A4C2964" w:rsidR="008867B4" w:rsidRPr="00C74D8D" w:rsidRDefault="008867B4" w:rsidP="00021EF3">
            <w:pPr>
              <w:spacing w:after="0"/>
              <w:rPr>
                <w:szCs w:val="17"/>
              </w:rPr>
            </w:pPr>
            <w:r>
              <w:rPr>
                <w:szCs w:val="17"/>
              </w:rPr>
              <w:t>Standard Deviation</w:t>
            </w:r>
          </w:p>
        </w:tc>
      </w:tr>
      <w:tr w:rsidR="00EA395E" w14:paraId="1F741038" w14:textId="77777777" w:rsidTr="00B64658">
        <w:tc>
          <w:tcPr>
            <w:tcW w:w="1701" w:type="dxa"/>
          </w:tcPr>
          <w:p w14:paraId="40A40257" w14:textId="304B8389" w:rsidR="00EA395E" w:rsidRDefault="00EA395E" w:rsidP="00021EF3">
            <w:pPr>
              <w:spacing w:after="0"/>
            </w:pPr>
            <w:r>
              <w:t>SEQ</w:t>
            </w:r>
          </w:p>
        </w:tc>
        <w:tc>
          <w:tcPr>
            <w:tcW w:w="7325" w:type="dxa"/>
          </w:tcPr>
          <w:p w14:paraId="6EFA9D5E" w14:textId="2CE7B971" w:rsidR="00EA395E" w:rsidRPr="00C74D8D" w:rsidRDefault="00EA395E" w:rsidP="00021EF3">
            <w:pPr>
              <w:spacing w:after="0"/>
              <w:rPr>
                <w:szCs w:val="17"/>
              </w:rPr>
            </w:pPr>
            <w:r w:rsidRPr="00C74D8D">
              <w:rPr>
                <w:szCs w:val="17"/>
              </w:rPr>
              <w:t>Sub-</w:t>
            </w:r>
            <w:r w:rsidR="008867B4">
              <w:rPr>
                <w:szCs w:val="17"/>
              </w:rPr>
              <w:t>E</w:t>
            </w:r>
            <w:r w:rsidRPr="00C74D8D">
              <w:rPr>
                <w:szCs w:val="17"/>
              </w:rPr>
              <w:t xml:space="preserve">valuation </w:t>
            </w:r>
            <w:r w:rsidR="008867B4">
              <w:rPr>
                <w:szCs w:val="17"/>
              </w:rPr>
              <w:t>Q</w:t>
            </w:r>
            <w:r w:rsidRPr="00C74D8D">
              <w:rPr>
                <w:szCs w:val="17"/>
              </w:rPr>
              <w:t>uestions</w:t>
            </w:r>
          </w:p>
        </w:tc>
      </w:tr>
      <w:tr w:rsidR="00B64658" w14:paraId="41C3B0B4" w14:textId="77777777" w:rsidTr="00B64658">
        <w:tc>
          <w:tcPr>
            <w:tcW w:w="1701" w:type="dxa"/>
          </w:tcPr>
          <w:p w14:paraId="4F34318C" w14:textId="2695FDA4" w:rsidR="00B64658" w:rsidRDefault="00DA0DBF" w:rsidP="00021EF3">
            <w:pPr>
              <w:spacing w:after="0"/>
            </w:pPr>
            <w:r>
              <w:t>SME</w:t>
            </w:r>
          </w:p>
        </w:tc>
        <w:tc>
          <w:tcPr>
            <w:tcW w:w="7325" w:type="dxa"/>
          </w:tcPr>
          <w:p w14:paraId="205D9902" w14:textId="730A7469" w:rsidR="00B64658" w:rsidRPr="00C74D8D" w:rsidRDefault="00DA0DBF" w:rsidP="00021EF3">
            <w:pPr>
              <w:spacing w:after="0"/>
              <w:rPr>
                <w:szCs w:val="17"/>
              </w:rPr>
            </w:pPr>
            <w:r w:rsidRPr="00C74D8D">
              <w:rPr>
                <w:szCs w:val="17"/>
              </w:rPr>
              <w:t xml:space="preserve">Small to Medium </w:t>
            </w:r>
            <w:r w:rsidR="003E60C7" w:rsidRPr="00C74D8D">
              <w:rPr>
                <w:szCs w:val="17"/>
              </w:rPr>
              <w:t>Enterprise</w:t>
            </w:r>
          </w:p>
        </w:tc>
      </w:tr>
      <w:tr w:rsidR="007C2C75" w14:paraId="61E82471" w14:textId="77777777" w:rsidTr="00B64658">
        <w:tc>
          <w:tcPr>
            <w:tcW w:w="1701" w:type="dxa"/>
          </w:tcPr>
          <w:p w14:paraId="5CD1EDEE" w14:textId="07B2E101" w:rsidR="007C2C75" w:rsidRDefault="007C2C75" w:rsidP="00021EF3">
            <w:pPr>
              <w:spacing w:after="0"/>
            </w:pPr>
            <w:r>
              <w:t>UK</w:t>
            </w:r>
          </w:p>
        </w:tc>
        <w:tc>
          <w:tcPr>
            <w:tcW w:w="7325" w:type="dxa"/>
          </w:tcPr>
          <w:p w14:paraId="7CA1AFF4" w14:textId="79883D5E" w:rsidR="007C2C75" w:rsidRPr="00C74D8D" w:rsidRDefault="007C2C75" w:rsidP="00021EF3">
            <w:pPr>
              <w:spacing w:after="0"/>
              <w:rPr>
                <w:szCs w:val="17"/>
              </w:rPr>
            </w:pPr>
            <w:r w:rsidRPr="00C74D8D">
              <w:rPr>
                <w:szCs w:val="17"/>
              </w:rPr>
              <w:t>United Kingdom</w:t>
            </w:r>
          </w:p>
        </w:tc>
      </w:tr>
      <w:tr w:rsidR="00B64658" w14:paraId="67EA5302" w14:textId="77777777" w:rsidTr="00B64658">
        <w:tc>
          <w:tcPr>
            <w:tcW w:w="1701" w:type="dxa"/>
          </w:tcPr>
          <w:p w14:paraId="231DCA93" w14:textId="3E55BC2E" w:rsidR="00B64658" w:rsidRDefault="00DA0DBF" w:rsidP="00021EF3">
            <w:pPr>
              <w:spacing w:after="0"/>
            </w:pPr>
            <w:r>
              <w:t>U</w:t>
            </w:r>
            <w:r w:rsidR="007C2C75">
              <w:t>S</w:t>
            </w:r>
          </w:p>
        </w:tc>
        <w:tc>
          <w:tcPr>
            <w:tcW w:w="7325" w:type="dxa"/>
          </w:tcPr>
          <w:p w14:paraId="48F130CF" w14:textId="0166675D" w:rsidR="00B64658" w:rsidRPr="00C74D8D" w:rsidRDefault="00DA0DBF" w:rsidP="00021EF3">
            <w:pPr>
              <w:spacing w:after="0"/>
              <w:rPr>
                <w:szCs w:val="17"/>
              </w:rPr>
            </w:pPr>
            <w:r w:rsidRPr="00C74D8D">
              <w:rPr>
                <w:szCs w:val="17"/>
              </w:rPr>
              <w:t>United States</w:t>
            </w:r>
          </w:p>
        </w:tc>
      </w:tr>
      <w:tr w:rsidR="00F003BA" w14:paraId="1DDC42D1" w14:textId="77777777" w:rsidTr="00B64658">
        <w:tc>
          <w:tcPr>
            <w:tcW w:w="1701" w:type="dxa"/>
          </w:tcPr>
          <w:p w14:paraId="4CCB7715" w14:textId="6078389D" w:rsidR="00F003BA" w:rsidRDefault="00F003BA" w:rsidP="00021EF3">
            <w:pPr>
              <w:spacing w:after="0"/>
            </w:pPr>
            <w:r>
              <w:t>VAGO</w:t>
            </w:r>
          </w:p>
        </w:tc>
        <w:tc>
          <w:tcPr>
            <w:tcW w:w="7325" w:type="dxa"/>
          </w:tcPr>
          <w:p w14:paraId="34A44AF4" w14:textId="3927BEBE" w:rsidR="00F003BA" w:rsidRPr="00C74D8D" w:rsidRDefault="00F003BA" w:rsidP="00021EF3">
            <w:pPr>
              <w:spacing w:after="0"/>
              <w:rPr>
                <w:szCs w:val="17"/>
              </w:rPr>
            </w:pPr>
            <w:r w:rsidRPr="00C74D8D">
              <w:rPr>
                <w:szCs w:val="17"/>
              </w:rPr>
              <w:t>Victorian Auditor General’s Office</w:t>
            </w:r>
          </w:p>
        </w:tc>
      </w:tr>
      <w:tr w:rsidR="00FC45C6" w14:paraId="673991DF" w14:textId="77777777" w:rsidTr="00B64658">
        <w:tc>
          <w:tcPr>
            <w:tcW w:w="1701" w:type="dxa"/>
          </w:tcPr>
          <w:p w14:paraId="120619EB" w14:textId="472F3909" w:rsidR="00FC45C6" w:rsidRDefault="00FC45C6" w:rsidP="00021EF3">
            <w:pPr>
              <w:spacing w:after="0"/>
            </w:pPr>
            <w:r>
              <w:t>VIC</w:t>
            </w:r>
          </w:p>
        </w:tc>
        <w:tc>
          <w:tcPr>
            <w:tcW w:w="7325" w:type="dxa"/>
          </w:tcPr>
          <w:p w14:paraId="0F1D0445" w14:textId="0E837418" w:rsidR="00FC45C6" w:rsidRPr="00C74D8D" w:rsidRDefault="00FC45C6" w:rsidP="00021EF3">
            <w:pPr>
              <w:spacing w:after="0"/>
              <w:rPr>
                <w:szCs w:val="17"/>
              </w:rPr>
            </w:pPr>
            <w:r w:rsidRPr="00C74D8D">
              <w:rPr>
                <w:szCs w:val="17"/>
              </w:rPr>
              <w:t>Victoria</w:t>
            </w:r>
          </w:p>
        </w:tc>
      </w:tr>
      <w:tr w:rsidR="00FD5D9A" w14:paraId="06C28B2B" w14:textId="77777777" w:rsidTr="00B64658">
        <w:tc>
          <w:tcPr>
            <w:tcW w:w="1701" w:type="dxa"/>
          </w:tcPr>
          <w:p w14:paraId="5BDE9C93" w14:textId="438069B7" w:rsidR="00FD5D9A" w:rsidRDefault="00FD5D9A" w:rsidP="00021EF3">
            <w:pPr>
              <w:spacing w:after="0"/>
            </w:pPr>
            <w:r>
              <w:t>VPS</w:t>
            </w:r>
          </w:p>
        </w:tc>
        <w:tc>
          <w:tcPr>
            <w:tcW w:w="7325" w:type="dxa"/>
          </w:tcPr>
          <w:p w14:paraId="0629A599" w14:textId="6ED085CB" w:rsidR="00FD5D9A" w:rsidRDefault="00FD5D9A" w:rsidP="00021EF3">
            <w:pPr>
              <w:spacing w:after="0"/>
            </w:pPr>
            <w:r>
              <w:t>Victorian Public Service</w:t>
            </w:r>
          </w:p>
        </w:tc>
      </w:tr>
      <w:tr w:rsidR="00724CE5" w14:paraId="7CF9EB74" w14:textId="77777777" w:rsidTr="00B64658">
        <w:tc>
          <w:tcPr>
            <w:tcW w:w="1701" w:type="dxa"/>
          </w:tcPr>
          <w:p w14:paraId="39437295" w14:textId="5E62E26D" w:rsidR="00724CE5" w:rsidRDefault="00724CE5" w:rsidP="00021EF3">
            <w:pPr>
              <w:spacing w:after="0"/>
            </w:pPr>
            <w:r>
              <w:t>WA</w:t>
            </w:r>
          </w:p>
        </w:tc>
        <w:tc>
          <w:tcPr>
            <w:tcW w:w="7325" w:type="dxa"/>
          </w:tcPr>
          <w:p w14:paraId="6B8F8BFA" w14:textId="27467501" w:rsidR="00724CE5" w:rsidRDefault="00724CE5" w:rsidP="00021EF3">
            <w:pPr>
              <w:spacing w:after="0"/>
            </w:pPr>
            <w:r>
              <w:t>Western Australia</w:t>
            </w:r>
          </w:p>
        </w:tc>
      </w:tr>
    </w:tbl>
    <w:p w14:paraId="60EFFEE2" w14:textId="77777777" w:rsidR="00B64658" w:rsidRPr="00B64658" w:rsidRDefault="00B64658" w:rsidP="00021EF3"/>
    <w:p w14:paraId="4A84DA90" w14:textId="4339C107" w:rsidR="005C4328" w:rsidRDefault="00737466" w:rsidP="00021EF3">
      <w:pPr>
        <w:pStyle w:val="Heading1"/>
        <w:numPr>
          <w:ilvl w:val="0"/>
          <w:numId w:val="0"/>
        </w:numPr>
        <w:rPr>
          <w:rFonts w:cs="Arial"/>
        </w:rPr>
      </w:pPr>
      <w:bookmarkStart w:id="15" w:name="_Toc170913949"/>
      <w:bookmarkStart w:id="16" w:name="_Toc173244937"/>
      <w:bookmarkStart w:id="17" w:name="_Toc176516222"/>
      <w:r w:rsidRPr="00ED1D80">
        <w:rPr>
          <w:rFonts w:cs="Arial"/>
        </w:rPr>
        <w:lastRenderedPageBreak/>
        <w:t>Executive summary</w:t>
      </w:r>
      <w:bookmarkEnd w:id="15"/>
      <w:bookmarkEnd w:id="16"/>
      <w:bookmarkEnd w:id="17"/>
    </w:p>
    <w:p w14:paraId="07DC08B9" w14:textId="404D35E1" w:rsidR="002B73B2" w:rsidRPr="00664880" w:rsidRDefault="002B73B2" w:rsidP="00021EF3">
      <w:pPr>
        <w:pStyle w:val="Heading2un-numbered"/>
      </w:pPr>
      <w:bookmarkStart w:id="18" w:name="_Toc174118104"/>
      <w:bookmarkStart w:id="19" w:name="_Toc176516223"/>
      <w:r w:rsidRPr="00664880">
        <w:t>Context</w:t>
      </w:r>
      <w:bookmarkEnd w:id="18"/>
      <w:bookmarkEnd w:id="19"/>
    </w:p>
    <w:p w14:paraId="19395A42" w14:textId="7B754BE8" w:rsidR="007857BF" w:rsidRDefault="002E7AC7" w:rsidP="00021EF3">
      <w:r w:rsidRPr="00664880">
        <w:t>In</w:t>
      </w:r>
      <w:r>
        <w:t xml:space="preserve"> 2020, the COVID-19 pandemic presented a significant health risk for Australia and the world, prompting swift and comprehensive government responses.</w:t>
      </w:r>
      <w:r w:rsidRPr="002E7AC7">
        <w:t xml:space="preserve"> </w:t>
      </w:r>
      <w:r w:rsidR="00E66139">
        <w:t>Case number projections</w:t>
      </w:r>
      <w:r w:rsidR="002C5786">
        <w:t xml:space="preserve"> highlighted the </w:t>
      </w:r>
      <w:r w:rsidR="00E66139">
        <w:t>need to implement</w:t>
      </w:r>
      <w:r w:rsidR="00AF5FE9">
        <w:t xml:space="preserve"> stringent public health measures to limit the outbreak.</w:t>
      </w:r>
      <w:r w:rsidR="00E66139">
        <w:rPr>
          <w:rStyle w:val="EndnoteReference"/>
        </w:rPr>
        <w:endnoteReference w:id="2"/>
      </w:r>
      <w:r w:rsidR="003C3DA8">
        <w:t xml:space="preserve"> </w:t>
      </w:r>
      <w:r w:rsidR="00F32E3F" w:rsidRPr="00456488">
        <w:rPr>
          <w:rFonts w:cs="Arial"/>
        </w:rPr>
        <w:t>Throughout 2020</w:t>
      </w:r>
      <w:r w:rsidR="00F32E3F">
        <w:rPr>
          <w:rFonts w:cs="Arial"/>
        </w:rPr>
        <w:t xml:space="preserve"> and 2021</w:t>
      </w:r>
      <w:r w:rsidR="00F32E3F" w:rsidRPr="00456488">
        <w:rPr>
          <w:rFonts w:cs="Arial"/>
        </w:rPr>
        <w:t xml:space="preserve">, Victoria implemented some of the world’s most </w:t>
      </w:r>
      <w:r w:rsidR="0097535E">
        <w:rPr>
          <w:rFonts w:cs="Arial"/>
        </w:rPr>
        <w:t>intensive</w:t>
      </w:r>
      <w:r w:rsidR="00F32E3F" w:rsidRPr="00456488">
        <w:rPr>
          <w:rFonts w:cs="Arial"/>
        </w:rPr>
        <w:t xml:space="preserve"> COVID-19</w:t>
      </w:r>
      <w:r w:rsidR="00F32E3F">
        <w:rPr>
          <w:rFonts w:cs="Arial"/>
        </w:rPr>
        <w:t xml:space="preserve"> pandemic</w:t>
      </w:r>
      <w:r w:rsidR="00F32E3F" w:rsidRPr="00456488">
        <w:rPr>
          <w:rFonts w:cs="Arial"/>
        </w:rPr>
        <w:t xml:space="preserve"> measures, including extensive lockdowns and restrictions</w:t>
      </w:r>
      <w:r w:rsidR="00F32E3F">
        <w:rPr>
          <w:rFonts w:cs="Arial"/>
        </w:rPr>
        <w:t xml:space="preserve"> for </w:t>
      </w:r>
      <w:r w:rsidR="00E046A4">
        <w:rPr>
          <w:rFonts w:cs="Arial"/>
        </w:rPr>
        <w:t xml:space="preserve">more than </w:t>
      </w:r>
      <w:r w:rsidR="00C819E4">
        <w:rPr>
          <w:rFonts w:cs="Arial"/>
        </w:rPr>
        <w:t>262 days</w:t>
      </w:r>
      <w:r w:rsidR="00F32E3F" w:rsidRPr="00456488">
        <w:rPr>
          <w:rFonts w:cs="Arial"/>
        </w:rPr>
        <w:t>.</w:t>
      </w:r>
      <w:r w:rsidR="00C819E4">
        <w:rPr>
          <w:rStyle w:val="EndnoteReference"/>
        </w:rPr>
        <w:endnoteReference w:id="3"/>
      </w:r>
      <w:r w:rsidR="00C819E4">
        <w:rPr>
          <w:rFonts w:cs="Arial"/>
        </w:rPr>
        <w:t xml:space="preserve"> </w:t>
      </w:r>
      <w:proofErr w:type="gramStart"/>
      <w:r w:rsidR="00C819E4">
        <w:rPr>
          <w:rFonts w:cs="Arial"/>
        </w:rPr>
        <w:t>Non-essential</w:t>
      </w:r>
      <w:proofErr w:type="gramEnd"/>
      <w:r w:rsidR="00C819E4">
        <w:rPr>
          <w:rFonts w:cs="Arial"/>
        </w:rPr>
        <w:t xml:space="preserve"> businesses were closed, public gatherings restricted </w:t>
      </w:r>
      <w:r w:rsidR="004A5301">
        <w:rPr>
          <w:rFonts w:cs="Arial"/>
        </w:rPr>
        <w:t xml:space="preserve">and schools were shifted to remote learning. Stay-at-home </w:t>
      </w:r>
      <w:r w:rsidR="0093227C">
        <w:rPr>
          <w:rFonts w:cs="Arial"/>
        </w:rPr>
        <w:t xml:space="preserve">orders except for essential activities were enforced </w:t>
      </w:r>
      <w:r w:rsidR="005E15DE">
        <w:rPr>
          <w:rFonts w:cs="Arial"/>
        </w:rPr>
        <w:t xml:space="preserve">in July 2020, and a nightly curfew, one-hour outdoor exercise limit, mandatory </w:t>
      </w:r>
      <w:r w:rsidR="002E1A8B">
        <w:rPr>
          <w:rFonts w:cs="Arial"/>
        </w:rPr>
        <w:t xml:space="preserve">masks </w:t>
      </w:r>
      <w:r w:rsidR="005E15DE">
        <w:rPr>
          <w:rFonts w:cs="Arial"/>
        </w:rPr>
        <w:t xml:space="preserve">and the Permitted Worker Scheme </w:t>
      </w:r>
      <w:r w:rsidR="00566E67">
        <w:rPr>
          <w:rFonts w:cs="Arial"/>
        </w:rPr>
        <w:t xml:space="preserve">subsequently </w:t>
      </w:r>
      <w:r w:rsidR="005E15DE">
        <w:rPr>
          <w:rFonts w:cs="Arial"/>
        </w:rPr>
        <w:t>introduced</w:t>
      </w:r>
      <w:r w:rsidR="00566E67">
        <w:rPr>
          <w:rFonts w:cs="Arial"/>
        </w:rPr>
        <w:t xml:space="preserve"> in August 2020. Similar restrictions </w:t>
      </w:r>
      <w:r w:rsidR="00D639B8">
        <w:rPr>
          <w:rFonts w:cs="Arial"/>
        </w:rPr>
        <w:t>were</w:t>
      </w:r>
      <w:r w:rsidR="00BE6E59">
        <w:rPr>
          <w:rFonts w:cs="Arial"/>
        </w:rPr>
        <w:t xml:space="preserve"> periodically implemented following each outbreak.</w:t>
      </w:r>
    </w:p>
    <w:p w14:paraId="14E4731D" w14:textId="43C5FDF3" w:rsidR="002E7AC7" w:rsidRDefault="002E7AC7" w:rsidP="00021EF3">
      <w:r w:rsidRPr="00203014">
        <w:t xml:space="preserve">The </w:t>
      </w:r>
      <w:r w:rsidRPr="00401EAD">
        <w:t>COVID-19</w:t>
      </w:r>
      <w:r w:rsidRPr="00203014">
        <w:t xml:space="preserve"> pandemic impacted the Victorian economy more than any other Australian state</w:t>
      </w:r>
      <w:r>
        <w:t xml:space="preserve">, with </w:t>
      </w:r>
      <w:r w:rsidR="00594E63">
        <w:t>gross state product</w:t>
      </w:r>
      <w:r>
        <w:t xml:space="preserve"> (GSP) declining by 4.7 per cent in the 2020 calendar year, compared to 2.4 per cent for New South Wales (NSW), the next most impacted jurisdiction. </w:t>
      </w:r>
      <w:r w:rsidRPr="00203014">
        <w:t>The</w:t>
      </w:r>
      <w:r>
        <w:t xml:space="preserve"> most significant impacts to the Victorian economy were seen in household consumption and exports, which declined by 10.2 </w:t>
      </w:r>
      <w:r w:rsidR="0083503A">
        <w:t xml:space="preserve">per cent </w:t>
      </w:r>
      <w:r>
        <w:t>and 18.8 per cent</w:t>
      </w:r>
      <w:r w:rsidR="0083503A">
        <w:t>,</w:t>
      </w:r>
      <w:r w:rsidR="0083503A" w:rsidRPr="0083503A">
        <w:t xml:space="preserve"> </w:t>
      </w:r>
      <w:r w:rsidR="0083503A">
        <w:t>respectively,</w:t>
      </w:r>
      <w:r>
        <w:t xml:space="preserve"> in 2020. Service exports, which includes education—the state’s largest export—fell by 30.1</w:t>
      </w:r>
      <w:r w:rsidRPr="00E914DF">
        <w:t xml:space="preserve"> </w:t>
      </w:r>
      <w:r>
        <w:t>per cent</w:t>
      </w:r>
      <w:r w:rsidDel="00E914DF">
        <w:t xml:space="preserve"> </w:t>
      </w:r>
      <w:r>
        <w:t>in 2020, before falling a further 22.9</w:t>
      </w:r>
      <w:r w:rsidRPr="00E914DF">
        <w:t xml:space="preserve"> </w:t>
      </w:r>
      <w:r>
        <w:t xml:space="preserve">per cent in 2021. </w:t>
      </w:r>
      <w:r w:rsidR="00085AE1" w:rsidRPr="00664880">
        <w:t>The pandemic also had a significant impact on the labour market, with the unemployment rate in Victoria increasing sharply to a peak of 7.5 per cent</w:t>
      </w:r>
      <w:r w:rsidR="00085AE1" w:rsidRPr="00664880" w:rsidDel="00E914DF">
        <w:t xml:space="preserve"> </w:t>
      </w:r>
      <w:r w:rsidR="00085AE1" w:rsidRPr="00664880">
        <w:t>in June 2020</w:t>
      </w:r>
      <w:r w:rsidR="00C52F58">
        <w:t>.</w:t>
      </w:r>
    </w:p>
    <w:p w14:paraId="3F77B1A3" w14:textId="76C4D2ED" w:rsidR="002B73B2" w:rsidRPr="00664880" w:rsidRDefault="002B73B2" w:rsidP="00021EF3">
      <w:pPr>
        <w:pStyle w:val="Heading2un-numbered"/>
      </w:pPr>
      <w:bookmarkStart w:id="20" w:name="_Toc174118105"/>
      <w:bookmarkStart w:id="21" w:name="_Toc176516224"/>
      <w:r w:rsidRPr="00664880">
        <w:t>The programs</w:t>
      </w:r>
      <w:bookmarkEnd w:id="20"/>
      <w:bookmarkEnd w:id="21"/>
    </w:p>
    <w:p w14:paraId="63A19838" w14:textId="585E949A" w:rsidR="00443969" w:rsidRDefault="00443969" w:rsidP="00021EF3">
      <w:r>
        <w:t>In response to the negative economic impacts from the COVID-19 pandemic, the Victorian Government introduced a suite of financial support programs aimed to minimise the impact of the pandemic and public health restrictions on Victorians. These included the Business Costs Assistance Program (</w:t>
      </w:r>
      <w:r w:rsidRPr="006636FC">
        <w:t>BCAP</w:t>
      </w:r>
      <w:r>
        <w:t xml:space="preserve">) and Licensed Hospitality Venue Fund (LHVF), </w:t>
      </w:r>
      <w:r w:rsidR="00A07494" w:rsidRPr="00664880">
        <w:t>which were</w:t>
      </w:r>
      <w:r w:rsidR="00702C2E" w:rsidRPr="00664880">
        <w:t xml:space="preserve"> a series of grants</w:t>
      </w:r>
      <w:r w:rsidR="00A07494" w:rsidRPr="00664880">
        <w:t xml:space="preserve"> </w:t>
      </w:r>
      <w:r>
        <w:t xml:space="preserve">created to support businesses impacted by public health restrictions. The two programs were mutually exclusive, businesses could not receive both grants. </w:t>
      </w:r>
    </w:p>
    <w:p w14:paraId="4DC7EEBB" w14:textId="01E0B9C2" w:rsidR="002B73B2" w:rsidRPr="00664880" w:rsidRDefault="004A4BEE" w:rsidP="00021EF3">
      <w:pPr>
        <w:pStyle w:val="Heading3un-numbered"/>
      </w:pPr>
      <w:r>
        <w:t>BCAP</w:t>
      </w:r>
    </w:p>
    <w:p w14:paraId="364022BF" w14:textId="54AC959D" w:rsidR="009B5473" w:rsidRPr="00664880" w:rsidRDefault="00443969" w:rsidP="00021EF3">
      <w:pPr>
        <w:rPr>
          <w:rFonts w:eastAsiaTheme="majorEastAsia" w:cstheme="majorBidi"/>
          <w:b/>
          <w:bCs/>
        </w:rPr>
      </w:pPr>
      <w:r w:rsidRPr="00664880">
        <w:t>BCAP was designed to cover the costs of sole</w:t>
      </w:r>
      <w:r w:rsidR="009C5C45">
        <w:t xml:space="preserve"> </w:t>
      </w:r>
      <w:r w:rsidRPr="00664880">
        <w:t>traders</w:t>
      </w:r>
      <w:r w:rsidR="00E046A4">
        <w:t xml:space="preserve"> and</w:t>
      </w:r>
      <w:r w:rsidRPr="00664880">
        <w:t xml:space="preserve"> small</w:t>
      </w:r>
      <w:r w:rsidR="00E046A4">
        <w:t>-</w:t>
      </w:r>
      <w:r w:rsidRPr="00664880">
        <w:t xml:space="preserve"> and medium</w:t>
      </w:r>
      <w:r w:rsidR="00E046A4">
        <w:t>-</w:t>
      </w:r>
      <w:r w:rsidRPr="00664880">
        <w:t>sized businesses while they were subject to public health restrictions during the COVID-19 pandemic.</w:t>
      </w:r>
      <w:r w:rsidRPr="00664880">
        <w:rPr>
          <w:rStyle w:val="EndnoteReference"/>
        </w:rPr>
        <w:endnoteReference w:id="4"/>
      </w:r>
      <w:r w:rsidRPr="00664880">
        <w:t xml:space="preserve"> </w:t>
      </w:r>
      <w:r w:rsidR="000F0ED1" w:rsidRPr="00664880">
        <w:t>Over five rounds of grant payments, in addition to top</w:t>
      </w:r>
      <w:r w:rsidR="00E046A4">
        <w:t>-</w:t>
      </w:r>
      <w:r w:rsidR="000F0ED1" w:rsidRPr="00664880">
        <w:t xml:space="preserve">up payments for certain cohorts, BCAP </w:t>
      </w:r>
      <w:r w:rsidR="00CC3DD2" w:rsidRPr="00664880">
        <w:t xml:space="preserve">paid out </w:t>
      </w:r>
      <w:r w:rsidR="00E046A4">
        <w:t>more than</w:t>
      </w:r>
      <w:r w:rsidR="00E046A4" w:rsidRPr="00664880">
        <w:t xml:space="preserve"> </w:t>
      </w:r>
      <w:r w:rsidR="00CC3DD2" w:rsidRPr="00664880">
        <w:t>$4.9</w:t>
      </w:r>
      <w:r w:rsidR="009B5473" w:rsidRPr="00664880">
        <w:t>1 billion to eligible businesses operating in Victoria within a number of Australian and New Zealand Standard Industrial Classification (ANZSIC) codes in the hospitality, food wholesaling, tourism and events and related services industries as well as selected retailers</w:t>
      </w:r>
      <w:r w:rsidR="007369AE" w:rsidRPr="00664880">
        <w:t>. Businesses needed to be registered for Goods and Services Tax (GST), Australian Business Number (ABN) and an annual payroll of up to $3 million – and in later rounds of the program $10 million – in 2019-20.</w:t>
      </w:r>
    </w:p>
    <w:p w14:paraId="1EA7E0BA" w14:textId="163A8D77" w:rsidR="008C308D" w:rsidRPr="00664880" w:rsidRDefault="004A4BEE" w:rsidP="00021EF3">
      <w:pPr>
        <w:pStyle w:val="Heading3un-numbered"/>
      </w:pPr>
      <w:r>
        <w:t>LHVF</w:t>
      </w:r>
    </w:p>
    <w:p w14:paraId="16F58286" w14:textId="1834FD4C" w:rsidR="007369AE" w:rsidRPr="00664880" w:rsidRDefault="007369AE" w:rsidP="00021EF3">
      <w:r w:rsidRPr="00664880">
        <w:t xml:space="preserve">LHVF was established to provide direct financial support licensed hospitality and venue businesses within Victoria during the COVID-19 pandemic. Over </w:t>
      </w:r>
      <w:r w:rsidR="00F020C4" w:rsidRPr="00664880">
        <w:t>five rounds of grant payments, in addition to top</w:t>
      </w:r>
      <w:r w:rsidR="003F3A24">
        <w:t>-</w:t>
      </w:r>
      <w:r w:rsidR="00F020C4" w:rsidRPr="00664880">
        <w:t>up payments</w:t>
      </w:r>
      <w:r w:rsidR="000B6B62" w:rsidRPr="00664880">
        <w:t xml:space="preserve">, LHVF paid out </w:t>
      </w:r>
      <w:r w:rsidR="006479B8">
        <w:t>more than</w:t>
      </w:r>
      <w:r w:rsidR="006479B8" w:rsidRPr="00664880">
        <w:t xml:space="preserve"> </w:t>
      </w:r>
      <w:r w:rsidR="000B6B62" w:rsidRPr="00664880">
        <w:t xml:space="preserve">$1.31 billion to eligible businesses located in Victoria </w:t>
      </w:r>
      <w:r w:rsidR="00C27483" w:rsidRPr="00664880">
        <w:t>who held a</w:t>
      </w:r>
      <w:r w:rsidR="000B6B62" w:rsidRPr="00664880">
        <w:t xml:space="preserve"> liquor li</w:t>
      </w:r>
      <w:r w:rsidR="00C27483" w:rsidRPr="00664880">
        <w:t xml:space="preserve">cence, </w:t>
      </w:r>
      <w:r w:rsidR="005B4F5D" w:rsidRPr="00664880">
        <w:t>food registration and were registered for GST and held an ABN. For many rounds, payments were tiered based on venue capacity and Local Government Area (LGA).</w:t>
      </w:r>
    </w:p>
    <w:p w14:paraId="4B8CD48B" w14:textId="557C84BF" w:rsidR="005B4F5D" w:rsidRPr="00664880" w:rsidRDefault="005B4F5D" w:rsidP="00021EF3">
      <w:pPr>
        <w:pStyle w:val="Heading2un-numbered"/>
      </w:pPr>
      <w:bookmarkStart w:id="22" w:name="_Toc174118108"/>
      <w:bookmarkStart w:id="23" w:name="_Toc176516227"/>
      <w:r w:rsidRPr="00664880">
        <w:t>This evaluation</w:t>
      </w:r>
      <w:bookmarkEnd w:id="22"/>
      <w:bookmarkEnd w:id="23"/>
    </w:p>
    <w:p w14:paraId="63C1D7AE" w14:textId="45DB54DC" w:rsidR="00EA2A55" w:rsidRDefault="00EA2A55" w:rsidP="00021EF3">
      <w:r>
        <w:t xml:space="preserve">In 2023, the Victorian Auditor General’s Office (VAGO) recommended that </w:t>
      </w:r>
      <w:r w:rsidR="005B4F5D" w:rsidRPr="00664880">
        <w:t>BCAP and LHVF</w:t>
      </w:r>
      <w:r>
        <w:t>, which accounted for approximately 57 per cent of the Victorian Government’s COVID-19 business support expenditure, be independently evaluated.</w:t>
      </w:r>
      <w:r>
        <w:rPr>
          <w:rStyle w:val="EndnoteReference"/>
        </w:rPr>
        <w:endnoteReference w:id="5"/>
      </w:r>
      <w:r>
        <w:t xml:space="preserve"> Under Recommendation 7 of the Auditor-General’s Report on the Annual Financial Report of the State of Victoria: 2022-23, it was recommended that all rounds of BCAP and LHVF be assessed by an independent evaluator for effectiveness, value for money and lessons learnt for future programs.</w:t>
      </w:r>
    </w:p>
    <w:p w14:paraId="2F9426C4" w14:textId="53AE8A0F" w:rsidR="008311DB" w:rsidRDefault="00EA2A55" w:rsidP="00021EF3">
      <w:r>
        <w:t xml:space="preserve">Deloitte </w:t>
      </w:r>
      <w:r w:rsidR="007D73D3">
        <w:t>was</w:t>
      </w:r>
      <w:r>
        <w:t xml:space="preserve"> engaged by the Department of Jobs, Skills, Industry and Regions (the </w:t>
      </w:r>
      <w:r w:rsidR="00CF2461">
        <w:t>“</w:t>
      </w:r>
      <w:r>
        <w:t>Department</w:t>
      </w:r>
      <w:r w:rsidR="00CF2461">
        <w:t>”</w:t>
      </w:r>
      <w:r>
        <w:t>) to conduct this independent evaluation</w:t>
      </w:r>
      <w:r w:rsidR="005B4F5D" w:rsidRPr="00664880">
        <w:t>, which</w:t>
      </w:r>
      <w:r w:rsidR="00E906DC" w:rsidRPr="00664880">
        <w:t xml:space="preserve"> has sought to evaluate</w:t>
      </w:r>
      <w:r w:rsidR="00E528F2" w:rsidRPr="00664880">
        <w:t xml:space="preserve"> all</w:t>
      </w:r>
      <w:r w:rsidR="008C2F96" w:rsidRPr="00664880">
        <w:t xml:space="preserve"> rounds of BCAP and LHVF</w:t>
      </w:r>
      <w:r w:rsidR="00DC6771" w:rsidRPr="00664880">
        <w:t xml:space="preserve"> for their</w:t>
      </w:r>
      <w:r w:rsidR="007D73D3">
        <w:t xml:space="preserve"> </w:t>
      </w:r>
      <w:r w:rsidR="004C1DBD">
        <w:t>appropriateness,</w:t>
      </w:r>
      <w:r w:rsidR="008C2F96">
        <w:t xml:space="preserve"> effectiveness in delivering timely support to </w:t>
      </w:r>
      <w:r w:rsidR="007D73D3">
        <w:t>businesses,</w:t>
      </w:r>
      <w:r w:rsidR="008C2F96">
        <w:t xml:space="preserve"> economic value for the Victorian economy</w:t>
      </w:r>
      <w:r w:rsidR="004C1DBD">
        <w:t xml:space="preserve"> and </w:t>
      </w:r>
      <w:r w:rsidR="008C2F96">
        <w:t xml:space="preserve">impact on business resilience and capacity to meet financial obligations. </w:t>
      </w:r>
      <w:r w:rsidR="00DC6771" w:rsidRPr="00664880">
        <w:t xml:space="preserve">Further, the evaluation has sought to articulate the </w:t>
      </w:r>
      <w:r w:rsidR="0017149C" w:rsidRPr="00664880">
        <w:t>lessons learnt</w:t>
      </w:r>
      <w:r w:rsidR="008C2F96" w:rsidRPr="00664880">
        <w:t xml:space="preserve"> after the delivery of </w:t>
      </w:r>
      <w:r w:rsidR="00DC6771" w:rsidRPr="00664880">
        <w:t>the two programs</w:t>
      </w:r>
      <w:r w:rsidR="007D73D3">
        <w:t>.</w:t>
      </w:r>
      <w:r w:rsidR="00ED7202">
        <w:t xml:space="preserve"> </w:t>
      </w:r>
    </w:p>
    <w:p w14:paraId="3E3EF0BD" w14:textId="785BB84F" w:rsidR="00D40246" w:rsidRPr="00D40246" w:rsidRDefault="00ED7202" w:rsidP="00021EF3">
      <w:pPr>
        <w:pStyle w:val="NoSpacing"/>
      </w:pPr>
      <w:r>
        <w:t xml:space="preserve">This evaluation </w:t>
      </w:r>
      <w:r w:rsidR="001C46C2">
        <w:t xml:space="preserve">did not </w:t>
      </w:r>
      <w:r w:rsidR="0059496B">
        <w:t>assess</w:t>
      </w:r>
      <w:r w:rsidR="001C46C2">
        <w:t xml:space="preserve"> </w:t>
      </w:r>
      <w:r w:rsidR="00E1413B">
        <w:t xml:space="preserve">other COVID-19 </w:t>
      </w:r>
      <w:r w:rsidR="00EA50AB">
        <w:t>support</w:t>
      </w:r>
      <w:r w:rsidR="0037615E">
        <w:t>s provided</w:t>
      </w:r>
      <w:r w:rsidR="00E1413B">
        <w:t xml:space="preserve"> by the Victorian or Commonwealth Governments during the same period</w:t>
      </w:r>
      <w:r w:rsidR="0059496B">
        <w:t>. N</w:t>
      </w:r>
      <w:r w:rsidR="00CB7CF6">
        <w:t xml:space="preserve">or did it consider </w:t>
      </w:r>
      <w:r w:rsidR="00E473A6">
        <w:t xml:space="preserve">or undertake any </w:t>
      </w:r>
      <w:r w:rsidR="00911CBD">
        <w:t xml:space="preserve">audit </w:t>
      </w:r>
      <w:r w:rsidR="00E473A6">
        <w:t>or investigative activity relating</w:t>
      </w:r>
      <w:r w:rsidR="00911CBD">
        <w:t xml:space="preserve"> to the BCAP and LHVF programs</w:t>
      </w:r>
      <w:r w:rsidR="00F3615D">
        <w:t xml:space="preserve">. </w:t>
      </w:r>
    </w:p>
    <w:p w14:paraId="1862DBFD" w14:textId="740A00E2" w:rsidR="00AC2A08" w:rsidRPr="00664880" w:rsidRDefault="00D836CF" w:rsidP="00021EF3">
      <w:pPr>
        <w:pStyle w:val="Heading2un-numbered"/>
      </w:pPr>
      <w:bookmarkStart w:id="24" w:name="_Toc174118109"/>
      <w:bookmarkStart w:id="25" w:name="_Toc176516228"/>
      <w:r>
        <w:lastRenderedPageBreak/>
        <w:t>Methodology</w:t>
      </w:r>
      <w:bookmarkEnd w:id="24"/>
      <w:bookmarkEnd w:id="25"/>
    </w:p>
    <w:p w14:paraId="28A5C1C0" w14:textId="17064A3D" w:rsidR="00A53DE8" w:rsidRPr="00051913" w:rsidRDefault="00A53DE8" w:rsidP="00021EF3">
      <w:r w:rsidRPr="00051913">
        <w:t xml:space="preserve">The evaluation </w:t>
      </w:r>
      <w:r w:rsidR="00FA7B58" w:rsidRPr="00051913">
        <w:t xml:space="preserve">sought to assess the programs against four key domains: justification/appropriateness, design/implementation, effectiveness and value for money. </w:t>
      </w:r>
      <w:r w:rsidR="007857BF" w:rsidRPr="00051913">
        <w:t>A range of qualitative and quantitative data collection methods were used</w:t>
      </w:r>
      <w:r w:rsidR="007E4D1F" w:rsidRPr="00051913">
        <w:t xml:space="preserve"> to inform the findings of this evaluation</w:t>
      </w:r>
      <w:r w:rsidR="007857BF" w:rsidRPr="00051913">
        <w:t>, including</w:t>
      </w:r>
      <w:r w:rsidRPr="00051913">
        <w:t>:</w:t>
      </w:r>
    </w:p>
    <w:p w14:paraId="75020342" w14:textId="77777777" w:rsidR="00A53DE8" w:rsidRPr="00664880" w:rsidRDefault="007857BF" w:rsidP="00021EF3">
      <w:pPr>
        <w:pStyle w:val="ListBullet"/>
      </w:pPr>
      <w:r w:rsidRPr="00664880">
        <w:t>consultation with internal and external stakeholders to the Department and the BCAP and LHVF programs</w:t>
      </w:r>
    </w:p>
    <w:p w14:paraId="6C7490BB" w14:textId="0E8F4AF1" w:rsidR="00A53DE8" w:rsidRPr="00664880" w:rsidRDefault="00DC387B" w:rsidP="00021EF3">
      <w:pPr>
        <w:pStyle w:val="ListBullet"/>
      </w:pPr>
      <w:r w:rsidRPr="00664880">
        <w:t xml:space="preserve">business survey of BCAP and LHVF </w:t>
      </w:r>
      <w:r w:rsidR="00D85EAC" w:rsidRPr="00664880">
        <w:t>recipients</w:t>
      </w:r>
    </w:p>
    <w:p w14:paraId="4F62047D" w14:textId="595C999A" w:rsidR="00A53DE8" w:rsidRPr="00664880" w:rsidRDefault="00DC387B" w:rsidP="00021EF3">
      <w:pPr>
        <w:pStyle w:val="ListBullet"/>
      </w:pPr>
      <w:r w:rsidRPr="00664880">
        <w:t>literature review of COVID-19 emergency support programs throughout Australia and internationally</w:t>
      </w:r>
    </w:p>
    <w:p w14:paraId="36532A7A" w14:textId="40B29B65" w:rsidR="00AA4A3E" w:rsidRPr="00664880" w:rsidRDefault="007857BF" w:rsidP="00021EF3">
      <w:pPr>
        <w:pStyle w:val="ListBullet"/>
      </w:pPr>
      <w:r w:rsidRPr="00664880">
        <w:t>review of available program</w:t>
      </w:r>
      <w:r w:rsidR="00E957D1" w:rsidRPr="00664880">
        <w:t xml:space="preserve"> data</w:t>
      </w:r>
    </w:p>
    <w:p w14:paraId="198B526A" w14:textId="49D7ABFD" w:rsidR="007E4D1F" w:rsidRPr="00664880" w:rsidRDefault="007E4D1F" w:rsidP="00021EF3">
      <w:pPr>
        <w:pStyle w:val="ListBullet"/>
      </w:pPr>
      <w:r w:rsidRPr="00664880">
        <w:t>detailed case study analysis</w:t>
      </w:r>
    </w:p>
    <w:p w14:paraId="56B67469" w14:textId="27EC9769" w:rsidR="007E4D1F" w:rsidRPr="00664880" w:rsidRDefault="007E4D1F" w:rsidP="00021EF3">
      <w:pPr>
        <w:pStyle w:val="ListBullet"/>
      </w:pPr>
      <w:r w:rsidRPr="00664880">
        <w:t>detailed analysis of secondary data, including regression</w:t>
      </w:r>
      <w:r w:rsidR="00A46D4B" w:rsidRPr="00664880">
        <w:t xml:space="preserve"> analysis of program data and secondary data related to insolvency rates, business exit and labour market outcomes</w:t>
      </w:r>
    </w:p>
    <w:p w14:paraId="57E1FD09" w14:textId="233A514C" w:rsidR="00AA4A3E" w:rsidRPr="00051913" w:rsidRDefault="004B3135" w:rsidP="00021EF3">
      <w:pPr>
        <w:rPr>
          <w:color w:val="FF0000"/>
        </w:rPr>
      </w:pPr>
      <w:r w:rsidRPr="00664880">
        <w:t>A</w:t>
      </w:r>
      <w:r w:rsidR="00AA4A3E">
        <w:t xml:space="preserve"> </w:t>
      </w:r>
      <w:r w:rsidR="00846A5E">
        <w:t>tailored</w:t>
      </w:r>
      <w:r w:rsidR="00AA4A3E">
        <w:t xml:space="preserve"> methodology was developed for the assessment of </w:t>
      </w:r>
      <w:r w:rsidRPr="00664880">
        <w:t xml:space="preserve">outcomes </w:t>
      </w:r>
      <w:r w:rsidR="00AA4A3E">
        <w:t>based on the available data</w:t>
      </w:r>
      <w:r w:rsidRPr="00664880">
        <w:t>. These outcomes included</w:t>
      </w:r>
      <w:r w:rsidR="00AA4A3E">
        <w:t xml:space="preserve"> business </w:t>
      </w:r>
      <w:r w:rsidRPr="00664880">
        <w:t>survival, employment, wellbeing, cost coverage, business confidence and broader economic and fiscal health.</w:t>
      </w:r>
      <w:r w:rsidR="00AA4A3E" w:rsidRPr="00664880">
        <w:rPr>
          <w:color w:val="FF0000"/>
        </w:rPr>
        <w:t xml:space="preserve"> </w:t>
      </w:r>
      <w:r w:rsidR="00AA4A3E">
        <w:t xml:space="preserve">The sophistication of these methodologies varied based on the extent </w:t>
      </w:r>
      <w:r w:rsidR="00DC6771" w:rsidRPr="00664880">
        <w:t xml:space="preserve">of </w:t>
      </w:r>
      <w:r w:rsidR="00AA4A3E">
        <w:t>data available for each specific outcome. It is noted that the evaluation was limited by the use of publicly available secondary data sources</w:t>
      </w:r>
      <w:r w:rsidR="00C52F58">
        <w:t xml:space="preserve">, which </w:t>
      </w:r>
      <w:r w:rsidR="00AA4A3E">
        <w:t xml:space="preserve">limited analysis to an industry or region level, rather than business level, negating the direct comparison of treated and non-treated businesses (except in the case of business survival analysis). </w:t>
      </w:r>
    </w:p>
    <w:p w14:paraId="09B9A3DF" w14:textId="6D3827A5" w:rsidR="00D85EAC" w:rsidRDefault="001510E8" w:rsidP="00021EF3">
      <w:r w:rsidRPr="00051913">
        <w:t>This evaluation also undertook a cost-benefit analysis (CBA) to assess the net benefits</w:t>
      </w:r>
      <w:r w:rsidR="00E74D3B" w:rsidRPr="00051913">
        <w:t>, value for money</w:t>
      </w:r>
      <w:r w:rsidRPr="00051913">
        <w:t xml:space="preserve"> and return to </w:t>
      </w:r>
      <w:r w:rsidR="00E74D3B" w:rsidRPr="00051913">
        <w:t>investment associated with the programs.</w:t>
      </w:r>
      <w:r w:rsidR="00DA49E4" w:rsidRPr="00664880">
        <w:rPr>
          <w:color w:val="FF0000"/>
        </w:rPr>
        <w:t xml:space="preserve"> </w:t>
      </w:r>
      <w:r w:rsidR="00D85EAC">
        <w:t xml:space="preserve">Where possible, the incremental costs and benefits of the programs </w:t>
      </w:r>
      <w:r w:rsidR="00DC6771" w:rsidRPr="00664880">
        <w:t>were</w:t>
      </w:r>
      <w:r w:rsidR="00D85EAC">
        <w:t xml:space="preserve"> monetised. </w:t>
      </w:r>
      <w:r w:rsidR="00D85EAC" w:rsidRPr="00664880">
        <w:t>The CBA leverage</w:t>
      </w:r>
      <w:r w:rsidR="00DC6771" w:rsidRPr="00664880">
        <w:t>d</w:t>
      </w:r>
      <w:r w:rsidR="00D85EAC">
        <w:t xml:space="preserve"> the </w:t>
      </w:r>
      <w:r w:rsidR="00DC6771" w:rsidRPr="00664880">
        <w:t>outcomes assessment analysis</w:t>
      </w:r>
      <w:r w:rsidR="00D85EAC">
        <w:t xml:space="preserve"> to inform assumptions around the attributable impact of the program on key outcomes such as business survival and increased employment relative to a defined base case, assigning monetary values to these outcomes to inform calculations of economic benefit.</w:t>
      </w:r>
    </w:p>
    <w:p w14:paraId="1915CE37" w14:textId="0BBF2B64" w:rsidR="00094114" w:rsidRPr="00664880" w:rsidRDefault="003101CD" w:rsidP="00021EF3">
      <w:pPr>
        <w:pStyle w:val="Heading2un-numbered"/>
      </w:pPr>
      <w:bookmarkStart w:id="26" w:name="_Toc174118110"/>
      <w:bookmarkStart w:id="27" w:name="_Toc176516229"/>
      <w:r w:rsidRPr="00664880">
        <w:t>Findings</w:t>
      </w:r>
      <w:bookmarkEnd w:id="26"/>
      <w:bookmarkEnd w:id="27"/>
    </w:p>
    <w:p w14:paraId="4B3B591A" w14:textId="3C9A2C60" w:rsidR="00D350A1" w:rsidRPr="00664880" w:rsidRDefault="00D350A1" w:rsidP="00021EF3">
      <w:pPr>
        <w:pStyle w:val="Heading3un-numbered"/>
      </w:pPr>
      <w:bookmarkStart w:id="28" w:name="_Toc174118111"/>
      <w:bookmarkStart w:id="29" w:name="_Toc176516230"/>
      <w:r w:rsidRPr="00664880">
        <w:t>Justification/</w:t>
      </w:r>
      <w:r w:rsidR="00DC0CD1" w:rsidRPr="00664880">
        <w:t>A</w:t>
      </w:r>
      <w:r w:rsidRPr="00664880">
        <w:t>ppropriateness</w:t>
      </w:r>
      <w:bookmarkEnd w:id="28"/>
      <w:bookmarkEnd w:id="29"/>
    </w:p>
    <w:p w14:paraId="6C774FEE" w14:textId="6D76161E" w:rsidR="00CB76E0" w:rsidRPr="00664880" w:rsidRDefault="00955139" w:rsidP="00021EF3">
      <w:r w:rsidRPr="00664880">
        <w:t xml:space="preserve">The Victorian Government needed to respond rapidly and at scale to support businesses </w:t>
      </w:r>
      <w:r w:rsidR="00E148E9">
        <w:t>that</w:t>
      </w:r>
      <w:r w:rsidR="00E148E9" w:rsidRPr="00664880">
        <w:t xml:space="preserve"> </w:t>
      </w:r>
      <w:r w:rsidRPr="00664880">
        <w:t xml:space="preserve">were impacted by COVID-19 restrictions, more than in any other Australian </w:t>
      </w:r>
      <w:r w:rsidR="00EE4355">
        <w:t>s</w:t>
      </w:r>
      <w:r w:rsidRPr="00664880">
        <w:t xml:space="preserve">tate or </w:t>
      </w:r>
      <w:r w:rsidR="00EE4355">
        <w:t>t</w:t>
      </w:r>
      <w:r w:rsidRPr="00664880">
        <w:t>erritory. This was due to the level of public</w:t>
      </w:r>
      <w:r w:rsidR="00154E3D">
        <w:t xml:space="preserve"> </w:t>
      </w:r>
      <w:r w:rsidRPr="00664880">
        <w:t>health</w:t>
      </w:r>
      <w:r w:rsidR="00154E3D">
        <w:t>-</w:t>
      </w:r>
      <w:r w:rsidRPr="00664880">
        <w:t>based restrictions imposed on businesses and the community in Victoria</w:t>
      </w:r>
      <w:r w:rsidR="009139DF">
        <w:t>, which</w:t>
      </w:r>
      <w:r w:rsidR="00CB76E0" w:rsidRPr="00664880">
        <w:t xml:space="preserve"> resulted in unprecedented challenges for business operations, including heightened uncertainty and reduced consumer demand and cash flow. </w:t>
      </w:r>
      <w:r w:rsidR="00E92358">
        <w:t>More than</w:t>
      </w:r>
      <w:r w:rsidR="00E92358" w:rsidRPr="00664880">
        <w:t xml:space="preserve"> </w:t>
      </w:r>
      <w:r w:rsidR="00CB76E0" w:rsidRPr="00664880">
        <w:t>32</w:t>
      </w:r>
      <w:r w:rsidR="0058676D" w:rsidRPr="00664880">
        <w:t xml:space="preserve"> per cent</w:t>
      </w:r>
      <w:r w:rsidR="00CB76E0" w:rsidRPr="00664880">
        <w:t xml:space="preserve"> of businesses experienced an 80</w:t>
      </w:r>
      <w:r w:rsidR="0058676D" w:rsidRPr="00664880">
        <w:t xml:space="preserve"> per cent</w:t>
      </w:r>
      <w:r w:rsidR="00CB76E0" w:rsidRPr="00664880">
        <w:t xml:space="preserve"> drop in revenue in 2020.</w:t>
      </w:r>
      <w:r w:rsidR="0058676D" w:rsidRPr="00664880">
        <w:rPr>
          <w:rStyle w:val="EndnoteReference"/>
        </w:rPr>
        <w:endnoteReference w:id="6"/>
      </w:r>
    </w:p>
    <w:p w14:paraId="52E78BD8" w14:textId="4EEEFD16" w:rsidR="0089172D" w:rsidRPr="00664880" w:rsidRDefault="00955139" w:rsidP="00021EF3">
      <w:r w:rsidRPr="00664880">
        <w:t>The Department’s response was swift and effective in coordinating within government to deliver a grants program of unprecedented scale within significant time and data constraints</w:t>
      </w:r>
      <w:r w:rsidR="000A72C3">
        <w:t xml:space="preserve">. </w:t>
      </w:r>
      <w:r w:rsidR="0089172D" w:rsidRPr="00664880">
        <w:t>Existing systems and processes were designed to deliver grants at a much smaller scale (e.g., less than 100), necessitating the rapid adaptation of these processes to distribute grants to more than 151,000 businesses.</w:t>
      </w:r>
    </w:p>
    <w:p w14:paraId="792BFCA8" w14:textId="13238359" w:rsidR="00062601" w:rsidRPr="00664880" w:rsidRDefault="00955139" w:rsidP="00021EF3">
      <w:r w:rsidRPr="00664880">
        <w:t>The Department effectively collaborated internally and with external stakeholders in designing and implementing the two programs. </w:t>
      </w:r>
      <w:r w:rsidR="00062601" w:rsidRPr="00664880">
        <w:t>In particular, there was engagement and cross collaboration between operational, technical and policy teams to determine the feasibility of the program and scale up the grants platform. Further,</w:t>
      </w:r>
      <w:r w:rsidR="00DC0CD1" w:rsidRPr="00664880">
        <w:t xml:space="preserve"> the Department engaged extensively with Victorian government agencies including WorkSafe Victoria, Liquor Control Victoria, and local governments to establish data sharing agreements for grant eligibility validation</w:t>
      </w:r>
      <w:r w:rsidR="00EE4355">
        <w:t>.</w:t>
      </w:r>
      <w:r w:rsidR="00DC0CD1" w:rsidRPr="00664880">
        <w:t xml:space="preserve"> </w:t>
      </w:r>
      <w:r w:rsidR="006C71FE">
        <w:t>External stakeholders such as key industry association</w:t>
      </w:r>
      <w:r w:rsidR="009319B6">
        <w:t>s</w:t>
      </w:r>
      <w:r w:rsidR="006C71FE">
        <w:t xml:space="preserve"> and peak bodies contributed to the design and iteration of grant round eligibility and application processes, while also acting as an intermediary between</w:t>
      </w:r>
      <w:r w:rsidR="00762C92">
        <w:t xml:space="preserve"> the Victorian </w:t>
      </w:r>
      <w:r w:rsidR="00293C53">
        <w:t>G</w:t>
      </w:r>
      <w:r w:rsidR="00762C92">
        <w:t>overnment and grant recipients by disseminating information to their members.</w:t>
      </w:r>
    </w:p>
    <w:p w14:paraId="626015D4" w14:textId="4F548FB0" w:rsidR="00D350A1" w:rsidRPr="00664880" w:rsidRDefault="00955139" w:rsidP="00021EF3">
      <w:r w:rsidRPr="00664880">
        <w:t xml:space="preserve">The programs were also broadly comparable </w:t>
      </w:r>
      <w:r w:rsidR="00EE4355">
        <w:t>with</w:t>
      </w:r>
      <w:r w:rsidRPr="00664880">
        <w:t xml:space="preserve"> approaches of other comparable jurisdictions throughout Australia and globally.</w:t>
      </w:r>
      <w:r w:rsidR="007D73D3">
        <w:t xml:space="preserve"> </w:t>
      </w:r>
      <w:r w:rsidR="00DC0CD1" w:rsidRPr="00664880">
        <w:t xml:space="preserve">The findings </w:t>
      </w:r>
      <w:r w:rsidR="00583EF5" w:rsidRPr="00664880">
        <w:t xml:space="preserve">of this evaluation </w:t>
      </w:r>
      <w:r w:rsidR="00DC0CD1" w:rsidRPr="00664880">
        <w:t xml:space="preserve">within the </w:t>
      </w:r>
      <w:r w:rsidR="00583EF5" w:rsidRPr="00664880">
        <w:t xml:space="preserve">justification/appropriateness </w:t>
      </w:r>
      <w:r w:rsidR="00DC0CD1" w:rsidRPr="00664880">
        <w:t xml:space="preserve">domain </w:t>
      </w:r>
      <w:r w:rsidR="00583EF5" w:rsidRPr="00664880">
        <w:t>were</w:t>
      </w:r>
      <w:r w:rsidR="00DC0CD1" w:rsidRPr="00664880">
        <w:t>:</w:t>
      </w:r>
    </w:p>
    <w:p w14:paraId="60C793EA" w14:textId="2BEEE840" w:rsidR="00D350A1" w:rsidRPr="00664880" w:rsidRDefault="00D350A1" w:rsidP="00021EF3">
      <w:pPr>
        <w:pStyle w:val="ListBullet"/>
      </w:pPr>
      <w:r w:rsidRPr="00051913">
        <w:rPr>
          <w:b/>
          <w:bCs/>
        </w:rPr>
        <w:t>Finding 1:</w:t>
      </w:r>
      <w:r w:rsidRPr="00664880">
        <w:t xml:space="preserve"> The grants fulfilled an unmet need by providing cash</w:t>
      </w:r>
      <w:r w:rsidR="00DF4C71">
        <w:t xml:space="preserve"> </w:t>
      </w:r>
      <w:r w:rsidRPr="00664880">
        <w:t>flow to businesses impacted by pandemic</w:t>
      </w:r>
      <w:r w:rsidR="00496870">
        <w:t>-</w:t>
      </w:r>
      <w:r w:rsidRPr="00664880">
        <w:t xml:space="preserve">related restrictions, supporting them to continue </w:t>
      </w:r>
      <w:r w:rsidR="00872F09" w:rsidRPr="00664880">
        <w:t>operations.</w:t>
      </w:r>
    </w:p>
    <w:p w14:paraId="638271C4" w14:textId="600F2EF5" w:rsidR="00D350A1" w:rsidRPr="00664880" w:rsidRDefault="00D350A1" w:rsidP="00021EF3">
      <w:pPr>
        <w:pStyle w:val="ListBullet"/>
      </w:pPr>
      <w:r w:rsidRPr="00051913">
        <w:rPr>
          <w:b/>
          <w:bCs/>
        </w:rPr>
        <w:t>Finding 2:</w:t>
      </w:r>
      <w:r w:rsidRPr="00664880">
        <w:t xml:space="preserve"> The targeted and tailored nature of the LHVF program was necessary given the hospitality sector was more severely affected by movement and trading restrictions than most </w:t>
      </w:r>
      <w:r w:rsidR="00872F09" w:rsidRPr="00664880">
        <w:t>industries.</w:t>
      </w:r>
    </w:p>
    <w:p w14:paraId="1E534C6A" w14:textId="5917CAE8" w:rsidR="00D350A1" w:rsidRPr="00664880" w:rsidRDefault="00DC6771" w:rsidP="00021EF3">
      <w:pPr>
        <w:pStyle w:val="ListBullet"/>
      </w:pPr>
      <w:r w:rsidRPr="00051913">
        <w:rPr>
          <w:b/>
          <w:bCs/>
        </w:rPr>
        <w:t xml:space="preserve">Finding </w:t>
      </w:r>
      <w:r w:rsidR="00797E36" w:rsidRPr="00051913">
        <w:rPr>
          <w:b/>
          <w:bCs/>
        </w:rPr>
        <w:t>3</w:t>
      </w:r>
      <w:r w:rsidRPr="00051913">
        <w:rPr>
          <w:b/>
          <w:bCs/>
        </w:rPr>
        <w:t>:</w:t>
      </w:r>
      <w:r w:rsidRPr="00664880">
        <w:t xml:space="preserve"> </w:t>
      </w:r>
      <w:r w:rsidR="00D350A1" w:rsidRPr="00664880">
        <w:t xml:space="preserve">The Department quickly stood up and adapted a large-scale grant assessment and distribution system at an unprecedented scale and </w:t>
      </w:r>
      <w:r w:rsidR="00872F09" w:rsidRPr="00664880">
        <w:t>speed.</w:t>
      </w:r>
    </w:p>
    <w:p w14:paraId="7CA73AAC" w14:textId="49FD2459" w:rsidR="00D350A1" w:rsidRPr="00664880" w:rsidRDefault="00DC6771" w:rsidP="00021EF3">
      <w:pPr>
        <w:pStyle w:val="ListBullet"/>
      </w:pPr>
      <w:r w:rsidRPr="00051913">
        <w:rPr>
          <w:b/>
          <w:bCs/>
        </w:rPr>
        <w:t xml:space="preserve">Finding </w:t>
      </w:r>
      <w:r w:rsidR="00797E36" w:rsidRPr="00051913">
        <w:rPr>
          <w:b/>
          <w:bCs/>
        </w:rPr>
        <w:t>4:</w:t>
      </w:r>
      <w:r w:rsidR="00797E36" w:rsidRPr="00664880">
        <w:t xml:space="preserve"> </w:t>
      </w:r>
      <w:r w:rsidR="00D350A1" w:rsidRPr="00664880">
        <w:t xml:space="preserve">The Department engaged rapidly and collaborated effectively within the Victorian Government and with federal government agencies to design and implement the </w:t>
      </w:r>
      <w:r w:rsidR="00872F09" w:rsidRPr="00664880">
        <w:t>programs.</w:t>
      </w:r>
    </w:p>
    <w:p w14:paraId="62DC8E84" w14:textId="79A57E69" w:rsidR="00D350A1" w:rsidRPr="00664880" w:rsidRDefault="00797E36" w:rsidP="00021EF3">
      <w:pPr>
        <w:pStyle w:val="ListBullet"/>
      </w:pPr>
      <w:r w:rsidRPr="00051913">
        <w:rPr>
          <w:b/>
          <w:bCs/>
        </w:rPr>
        <w:lastRenderedPageBreak/>
        <w:t>Finding 5:</w:t>
      </w:r>
      <w:r w:rsidRPr="00664880">
        <w:t xml:space="preserve"> </w:t>
      </w:r>
      <w:r w:rsidR="00D350A1" w:rsidRPr="00664880">
        <w:t>Key industry bodies were involved in the design and implementation of the programs beyond the initial phase as appropriate.</w:t>
      </w:r>
    </w:p>
    <w:p w14:paraId="288D8655" w14:textId="4C01A152" w:rsidR="00070310" w:rsidRPr="00664880" w:rsidRDefault="00070310" w:rsidP="00021EF3">
      <w:pPr>
        <w:pStyle w:val="Heading3un-numbered"/>
      </w:pPr>
      <w:bookmarkStart w:id="30" w:name="_Toc174118112"/>
      <w:bookmarkStart w:id="31" w:name="_Toc176516231"/>
      <w:r w:rsidRPr="00664880">
        <w:t>Design/Implementation</w:t>
      </w:r>
      <w:bookmarkEnd w:id="30"/>
      <w:bookmarkEnd w:id="31"/>
    </w:p>
    <w:p w14:paraId="2FC18AB1" w14:textId="2DB934D2" w:rsidR="00E15E5B" w:rsidRPr="00664880" w:rsidRDefault="00AA1068" w:rsidP="00021EF3">
      <w:r w:rsidRPr="00664880">
        <w:t xml:space="preserve">The grants were </w:t>
      </w:r>
      <w:r w:rsidR="000A72C3">
        <w:t>successfully</w:t>
      </w:r>
      <w:r w:rsidRPr="00664880">
        <w:t xml:space="preserve"> delivered as intended</w:t>
      </w:r>
      <w:r w:rsidR="00967DB5" w:rsidRPr="00664880">
        <w:t xml:space="preserve"> and </w:t>
      </w:r>
      <w:r w:rsidR="00C06CA3" w:rsidRPr="00664880">
        <w:t>demonstrated significant operational efficiency in doing so</w:t>
      </w:r>
      <w:r w:rsidRPr="00664880">
        <w:t xml:space="preserve">, </w:t>
      </w:r>
      <w:r w:rsidR="001A5894">
        <w:t>providing</w:t>
      </w:r>
      <w:r w:rsidR="001E7893" w:rsidRPr="00664880">
        <w:t>:</w:t>
      </w:r>
    </w:p>
    <w:p w14:paraId="21F91896" w14:textId="77777777" w:rsidR="00D26F23" w:rsidRPr="00664880" w:rsidRDefault="00D26F23" w:rsidP="00021EF3">
      <w:pPr>
        <w:pStyle w:val="ListBullet"/>
      </w:pPr>
      <w:r w:rsidRPr="00664880">
        <w:t xml:space="preserve">a total of $4.9 billion to 141,709 businesses over a 28-month period through BCAP, with up to 52,0111 payments being made in one month (June 2021), and 15,844 payments on a single day (27 August 2021) </w:t>
      </w:r>
    </w:p>
    <w:p w14:paraId="6C3109DB" w14:textId="2952EA4F" w:rsidR="00D26F23" w:rsidRPr="00664880" w:rsidRDefault="00D26F23" w:rsidP="00021EF3">
      <w:pPr>
        <w:pStyle w:val="ListBullet"/>
      </w:pPr>
      <w:r w:rsidRPr="00664880">
        <w:t>a total of $1.3 billion to 9,764 businesses over a 31-month period through LHVF, with up to 7,781 payments being made in one month (July 2021), and 3,533 payments on a single day (6 July 2021)</w:t>
      </w:r>
    </w:p>
    <w:p w14:paraId="45397950" w14:textId="79D81C2B" w:rsidR="00002A8F" w:rsidRPr="00664880" w:rsidRDefault="00E15E5B" w:rsidP="00021EF3">
      <w:r w:rsidRPr="00664880">
        <w:t>The distribution of grant funding within each round was limited to industries which were deemed to be impacted during a given period</w:t>
      </w:r>
      <w:r w:rsidR="009218FA" w:rsidRPr="00664880">
        <w:t>.</w:t>
      </w:r>
      <w:r w:rsidR="00A11193">
        <w:t xml:space="preserve"> </w:t>
      </w:r>
      <w:r w:rsidR="00A571FB">
        <w:t>R</w:t>
      </w:r>
      <w:r w:rsidR="00002A8F" w:rsidRPr="00E13FD2">
        <w:t>espondents</w:t>
      </w:r>
      <w:r w:rsidR="00002A8F" w:rsidRPr="00664880">
        <w:t xml:space="preserve"> to the business survey indicated the grants were generally used for their intended purposes, including cost coverage. However, this evaluation </w:t>
      </w:r>
      <w:r w:rsidR="00A11193">
        <w:t>was unable</w:t>
      </w:r>
      <w:r w:rsidR="00002A8F" w:rsidRPr="00664880">
        <w:t xml:space="preserve"> to make a definitive finding about how grants were used by all businesses across the two programs.</w:t>
      </w:r>
    </w:p>
    <w:p w14:paraId="593ED336" w14:textId="06CBD4B8" w:rsidR="004818CC" w:rsidRPr="00664880" w:rsidRDefault="006A0002" w:rsidP="00021EF3">
      <w:pPr>
        <w:pStyle w:val="ListBullet"/>
        <w:numPr>
          <w:ilvl w:val="0"/>
          <w:numId w:val="0"/>
        </w:numPr>
      </w:pPr>
      <w:r>
        <w:t>Though eligibility criteria were refined over time</w:t>
      </w:r>
      <w:r w:rsidR="00002A8F" w:rsidRPr="00664880">
        <w:t>, there were challenges in establishing business eligibility when</w:t>
      </w:r>
      <w:r w:rsidR="004818CC" w:rsidRPr="00664880">
        <w:t xml:space="preserve"> businesses</w:t>
      </w:r>
      <w:r>
        <w:t xml:space="preserve"> </w:t>
      </w:r>
      <w:r w:rsidR="004818CC" w:rsidRPr="00664880">
        <w:t>had not updated their primary ANZSIC code in the ABR database,</w:t>
      </w:r>
      <w:r>
        <w:t xml:space="preserve"> </w:t>
      </w:r>
      <w:r w:rsidR="004818CC" w:rsidRPr="00664880">
        <w:t>had not updated necessary information for liquor licensing and food certifications (for LHVF),</w:t>
      </w:r>
      <w:r>
        <w:t xml:space="preserve"> </w:t>
      </w:r>
      <w:r w:rsidR="004818CC" w:rsidRPr="00664880">
        <w:t>were an amalgamation of multiple business sites (for LHVF in particular)</w:t>
      </w:r>
      <w:r>
        <w:t xml:space="preserve"> or </w:t>
      </w:r>
      <w:r w:rsidR="004818CC" w:rsidRPr="00664880">
        <w:t>held multiple ABNs within the same business (for BCAP).</w:t>
      </w:r>
    </w:p>
    <w:p w14:paraId="5ED4DA0E" w14:textId="11D5E9F2" w:rsidR="009218FA" w:rsidRPr="00664880" w:rsidRDefault="006A0002" w:rsidP="00021EF3">
      <w:pPr>
        <w:pStyle w:val="ListBullet"/>
        <w:numPr>
          <w:ilvl w:val="0"/>
          <w:numId w:val="0"/>
        </w:numPr>
      </w:pPr>
      <w:r>
        <w:t>Further, d</w:t>
      </w:r>
      <w:r w:rsidR="009218FA" w:rsidRPr="00664880">
        <w:t>espite collaboration between state and federal government</w:t>
      </w:r>
      <w:r w:rsidR="00496870">
        <w:t>s</w:t>
      </w:r>
      <w:r w:rsidR="009218FA" w:rsidRPr="00664880">
        <w:t>, the Department was unable to access more granular ATO single touch payroll and income statement data to discern an eligibility measure of actual or potential income or activity of the business.</w:t>
      </w:r>
    </w:p>
    <w:p w14:paraId="5B9EBEF0" w14:textId="13A89F27" w:rsidR="009218FA" w:rsidRPr="00664880" w:rsidRDefault="009218FA" w:rsidP="00021EF3">
      <w:r w:rsidRPr="00664880">
        <w:t>The findings of this evaluation within the Design/Implementation domain are as follows:</w:t>
      </w:r>
    </w:p>
    <w:p w14:paraId="3F4DA005" w14:textId="65864B55" w:rsidR="009218FA" w:rsidRPr="00664880" w:rsidRDefault="009218FA" w:rsidP="00021EF3">
      <w:pPr>
        <w:pStyle w:val="ListBullet"/>
      </w:pPr>
      <w:r w:rsidRPr="00051913">
        <w:rPr>
          <w:b/>
          <w:bCs/>
        </w:rPr>
        <w:t>Finding 6:</w:t>
      </w:r>
      <w:r w:rsidRPr="00664880">
        <w:t xml:space="preserve"> The grants were generally delivered as intended with emergency grant funding provided to more than 151,000 individual businesses across impacted industries.</w:t>
      </w:r>
    </w:p>
    <w:p w14:paraId="2000B610" w14:textId="7E8FF127" w:rsidR="009218FA" w:rsidRPr="00664880" w:rsidRDefault="009218FA" w:rsidP="00021EF3">
      <w:pPr>
        <w:pStyle w:val="ListBullet"/>
      </w:pPr>
      <w:r w:rsidRPr="00051913">
        <w:rPr>
          <w:b/>
          <w:bCs/>
        </w:rPr>
        <w:t>Finding 7:</w:t>
      </w:r>
      <w:r w:rsidRPr="00664880">
        <w:t xml:space="preserve"> Despite facing challenges in establishing business eligibility</w:t>
      </w:r>
      <w:r w:rsidR="003455F0">
        <w:t>,</w:t>
      </w:r>
      <w:r w:rsidRPr="00664880">
        <w:t xml:space="preserve"> the Department sought to refine program criteria using available data over grant round iterations to align with businesses most impacted by COVID-19 restrictions.</w:t>
      </w:r>
    </w:p>
    <w:p w14:paraId="565539E9" w14:textId="5B45668F" w:rsidR="009218FA" w:rsidRPr="00664880" w:rsidRDefault="009218FA" w:rsidP="00021EF3">
      <w:pPr>
        <w:pStyle w:val="ListBullet"/>
      </w:pPr>
      <w:r w:rsidRPr="00051913">
        <w:rPr>
          <w:b/>
          <w:bCs/>
        </w:rPr>
        <w:t>Finding 8:</w:t>
      </w:r>
      <w:r w:rsidRPr="00664880">
        <w:t xml:space="preserve"> The Department demonstrated significant operational efficiency by distributing an unprecedented number of grants within a compressed timeframe.</w:t>
      </w:r>
    </w:p>
    <w:p w14:paraId="1DE10C05" w14:textId="3A897388" w:rsidR="009218FA" w:rsidRPr="00664880" w:rsidRDefault="009218FA" w:rsidP="00021EF3">
      <w:pPr>
        <w:pStyle w:val="ListBullet"/>
      </w:pPr>
      <w:r w:rsidRPr="00664880">
        <w:rPr>
          <w:b/>
          <w:bCs/>
        </w:rPr>
        <w:t xml:space="preserve">Finding 9: </w:t>
      </w:r>
      <w:r w:rsidRPr="00664880">
        <w:t>Targeted business grants to support otherwise productive businesses through fluctuating periods of restricted trade can achieve efficiencies. However, in practice this depends on the ability to effectively target grants.</w:t>
      </w:r>
    </w:p>
    <w:p w14:paraId="4F3399C7" w14:textId="4BC24EB9" w:rsidR="00DC0CD1" w:rsidRPr="00664880" w:rsidRDefault="00DC0CD1" w:rsidP="00021EF3">
      <w:pPr>
        <w:pStyle w:val="Heading3un-numbered"/>
      </w:pPr>
      <w:bookmarkStart w:id="32" w:name="_Toc174118113"/>
      <w:bookmarkStart w:id="33" w:name="_Toc176516232"/>
      <w:r w:rsidRPr="00664880">
        <w:t>Effectiveness</w:t>
      </w:r>
      <w:bookmarkEnd w:id="32"/>
      <w:bookmarkEnd w:id="33"/>
    </w:p>
    <w:p w14:paraId="2F89FCE3" w14:textId="7B255A60" w:rsidR="00CC49EE" w:rsidRPr="00664880" w:rsidRDefault="00566AD2" w:rsidP="00021EF3">
      <w:r>
        <w:t>R</w:t>
      </w:r>
      <w:r w:rsidR="00290804" w:rsidRPr="00664880">
        <w:t>egression</w:t>
      </w:r>
      <w:r w:rsidR="00955139" w:rsidRPr="00664880">
        <w:t xml:space="preserve"> analysis </w:t>
      </w:r>
      <w:r w:rsidR="00290804" w:rsidRPr="00664880">
        <w:t xml:space="preserve">undertaken based </w:t>
      </w:r>
      <w:r w:rsidR="00486D51" w:rsidRPr="00664880">
        <w:t>on Australian</w:t>
      </w:r>
      <w:r w:rsidR="004500BF">
        <w:t xml:space="preserve"> Business Register (</w:t>
      </w:r>
      <w:r w:rsidR="00290804" w:rsidRPr="00664880">
        <w:t>ABR</w:t>
      </w:r>
      <w:r w:rsidR="004500BF">
        <w:t>)</w:t>
      </w:r>
      <w:r w:rsidR="00290804" w:rsidRPr="00664880">
        <w:t xml:space="preserve"> data and </w:t>
      </w:r>
      <w:r w:rsidR="004500BF">
        <w:t>Australian Securities and Investment</w:t>
      </w:r>
      <w:r>
        <w:t>s</w:t>
      </w:r>
      <w:r w:rsidR="004500BF">
        <w:t xml:space="preserve"> Commission (</w:t>
      </w:r>
      <w:r w:rsidR="00290804" w:rsidRPr="00664880">
        <w:t>ASIC</w:t>
      </w:r>
      <w:r w:rsidR="004500BF">
        <w:t>)</w:t>
      </w:r>
      <w:r w:rsidR="00290804" w:rsidRPr="00664880">
        <w:t xml:space="preserve"> insolvency data</w:t>
      </w:r>
      <w:r>
        <w:t xml:space="preserve">, </w:t>
      </w:r>
      <w:r w:rsidR="00290804" w:rsidRPr="00664880">
        <w:t xml:space="preserve">supported by the business survey, indicated the grants </w:t>
      </w:r>
      <w:r w:rsidR="00955139" w:rsidRPr="00664880">
        <w:t xml:space="preserve">appeared to </w:t>
      </w:r>
      <w:r w:rsidR="00290804" w:rsidRPr="00664880">
        <w:t>have</w:t>
      </w:r>
      <w:r w:rsidR="00955139" w:rsidRPr="00664880">
        <w:t xml:space="preserve"> a positive </w:t>
      </w:r>
      <w:r w:rsidR="00290804" w:rsidRPr="00664880">
        <w:t xml:space="preserve">relationship with </w:t>
      </w:r>
      <w:r w:rsidR="00290804" w:rsidRPr="004934BD">
        <w:t>business survival</w:t>
      </w:r>
      <w:r w:rsidR="00290804" w:rsidRPr="00664880">
        <w:t xml:space="preserve">. </w:t>
      </w:r>
      <w:r w:rsidR="00EC12BE">
        <w:t>F</w:t>
      </w:r>
      <w:r w:rsidR="00CC49EE" w:rsidRPr="00664880">
        <w:t>or businesses with an Australian Company Number (ACN)</w:t>
      </w:r>
      <w:r w:rsidR="003611AD">
        <w:t>,</w:t>
      </w:r>
      <w:r w:rsidR="00CC49EE" w:rsidRPr="00664880">
        <w:t xml:space="preserve"> receipt of a grant was associated with an average reduction of 8.6 percentage points and 6.4 percentage points in the likelihood of business exit from 2021 to 2023 for BCAP and LHVF</w:t>
      </w:r>
      <w:r w:rsidR="003455F0">
        <w:t>,</w:t>
      </w:r>
      <w:r w:rsidR="00CC49EE" w:rsidRPr="00664880">
        <w:t xml:space="preserve"> respectively.</w:t>
      </w:r>
    </w:p>
    <w:p w14:paraId="6A65D52A" w14:textId="304CAE4C" w:rsidR="00CC49EE" w:rsidRPr="00664880" w:rsidRDefault="001B40D0" w:rsidP="00021EF3">
      <w:r>
        <w:t>T</w:t>
      </w:r>
      <w:r w:rsidR="00290804" w:rsidRPr="00664880">
        <w:t xml:space="preserve">he available data </w:t>
      </w:r>
      <w:r>
        <w:t xml:space="preserve">indicated a </w:t>
      </w:r>
      <w:r w:rsidR="00290804" w:rsidRPr="00664880">
        <w:t xml:space="preserve">positive relationship between the targeting of grants and employment outcomes by industry. </w:t>
      </w:r>
      <w:r>
        <w:t>T</w:t>
      </w:r>
      <w:r w:rsidR="00CC49EE" w:rsidRPr="00664880">
        <w:t>he programs likely contributed to</w:t>
      </w:r>
      <w:r w:rsidR="003D2C17">
        <w:t xml:space="preserve"> the following:</w:t>
      </w:r>
    </w:p>
    <w:p w14:paraId="50D7F806" w14:textId="4AD8B917" w:rsidR="00486D51" w:rsidRDefault="00DB0728" w:rsidP="00021EF3">
      <w:pPr>
        <w:pStyle w:val="ListBullet"/>
      </w:pPr>
      <w:r>
        <w:t>I</w:t>
      </w:r>
      <w:r w:rsidR="00CC49EE" w:rsidRPr="00664880">
        <w:t xml:space="preserve">n the 34 ANZSIC </w:t>
      </w:r>
      <w:r w:rsidR="003D2C17" w:rsidRPr="00664880">
        <w:t>groups which</w:t>
      </w:r>
      <w:r w:rsidR="00CC49EE" w:rsidRPr="00664880">
        <w:t xml:space="preserve"> received the greatest value of grants, hours worked in Victoria in 2021 were 3.5 per cent below their level in 2019</w:t>
      </w:r>
      <w:r w:rsidR="003D2C17">
        <w:t>,</w:t>
      </w:r>
      <w:r w:rsidR="00CC49EE" w:rsidRPr="00664880">
        <w:t xml:space="preserve"> compared to an 11.3 per cent decline in NSW for the same </w:t>
      </w:r>
      <w:r w:rsidR="00093946" w:rsidRPr="00664880">
        <w:t>industries.</w:t>
      </w:r>
    </w:p>
    <w:p w14:paraId="5224362C" w14:textId="179A93F9" w:rsidR="007D73D3" w:rsidRPr="00664880" w:rsidRDefault="00DB0728" w:rsidP="00021EF3">
      <w:pPr>
        <w:pStyle w:val="ListBullet"/>
      </w:pPr>
      <w:r>
        <w:t>I</w:t>
      </w:r>
      <w:r w:rsidR="00CC49EE" w:rsidRPr="00664880">
        <w:t xml:space="preserve">f the level of contraction seen in NSW had been observed in Victoria, then Victorians would have worked approximately 2 million hours less per week over 2021, which is equivalent to 52,500 Full Time Equivalent (FTE) workers. </w:t>
      </w:r>
    </w:p>
    <w:p w14:paraId="4D99B788" w14:textId="01028B8F" w:rsidR="003935B1" w:rsidRPr="00664880" w:rsidRDefault="0008417A" w:rsidP="00021EF3">
      <w:pPr>
        <w:pStyle w:val="ListBullet"/>
        <w:numPr>
          <w:ilvl w:val="0"/>
          <w:numId w:val="0"/>
        </w:numPr>
      </w:pPr>
      <w:r w:rsidRPr="00664880">
        <w:t>Further, through the survey, businesses reported positive impacts on survival, employment and wellbeing.</w:t>
      </w:r>
      <w:r w:rsidR="007D73D3">
        <w:t xml:space="preserve"> </w:t>
      </w:r>
    </w:p>
    <w:p w14:paraId="6F11A7E9" w14:textId="1C2C8C21" w:rsidR="00583EF5" w:rsidRPr="00664880" w:rsidRDefault="00583EF5" w:rsidP="00021EF3">
      <w:pPr>
        <w:pStyle w:val="ListBullet"/>
        <w:numPr>
          <w:ilvl w:val="0"/>
          <w:numId w:val="0"/>
        </w:numPr>
      </w:pPr>
      <w:r w:rsidRPr="00664880">
        <w:t>The findings of this evaluation within the effectiveness domain were:</w:t>
      </w:r>
    </w:p>
    <w:p w14:paraId="64F8F916" w14:textId="0CFEA655" w:rsidR="00583EF5" w:rsidRPr="00664880" w:rsidRDefault="00583EF5" w:rsidP="00021EF3">
      <w:pPr>
        <w:pStyle w:val="ListBullet"/>
      </w:pPr>
      <w:r w:rsidRPr="00051913">
        <w:rPr>
          <w:b/>
          <w:bCs/>
        </w:rPr>
        <w:t>Finding 10:</w:t>
      </w:r>
      <w:r w:rsidRPr="00664880">
        <w:t xml:space="preserve"> Based on the available secondary data, the grants appeared to have a positive correlation with business </w:t>
      </w:r>
      <w:r w:rsidR="00273171" w:rsidRPr="00664880">
        <w:t>survival.</w:t>
      </w:r>
    </w:p>
    <w:p w14:paraId="2410C203" w14:textId="547A78AC" w:rsidR="00583EF5" w:rsidRPr="00664880" w:rsidRDefault="00583EF5" w:rsidP="00021EF3">
      <w:pPr>
        <w:pStyle w:val="ListBullet"/>
      </w:pPr>
      <w:r w:rsidRPr="00051913">
        <w:rPr>
          <w:b/>
          <w:bCs/>
        </w:rPr>
        <w:t>Finding 11:</w:t>
      </w:r>
      <w:r w:rsidRPr="00664880">
        <w:t xml:space="preserve"> Businesses reported the grants to have a positive impact in terms of meeting business costs and personal </w:t>
      </w:r>
      <w:r w:rsidR="00273171" w:rsidRPr="00664880">
        <w:t>wellbeing.</w:t>
      </w:r>
    </w:p>
    <w:p w14:paraId="7A484360" w14:textId="4715A940" w:rsidR="00583EF5" w:rsidRPr="00664880" w:rsidRDefault="00583EF5" w:rsidP="00021EF3">
      <w:pPr>
        <w:pStyle w:val="ListBullet"/>
      </w:pPr>
      <w:r w:rsidRPr="00051913">
        <w:rPr>
          <w:b/>
          <w:bCs/>
        </w:rPr>
        <w:lastRenderedPageBreak/>
        <w:t>Finding 12:</w:t>
      </w:r>
      <w:r w:rsidRPr="00664880">
        <w:t xml:space="preserve"> Impacts from LHVF appeared to be more pronounced than BCAP, with recipients benefitting from a sector-specific lens.</w:t>
      </w:r>
    </w:p>
    <w:p w14:paraId="61DC54F8" w14:textId="1B73A7AC" w:rsidR="00797E36" w:rsidRPr="00664880" w:rsidRDefault="00797E36" w:rsidP="00021EF3">
      <w:pPr>
        <w:pStyle w:val="Heading3un-numbered"/>
      </w:pPr>
      <w:bookmarkStart w:id="34" w:name="_Toc174118114"/>
      <w:bookmarkStart w:id="35" w:name="_Toc176516233"/>
      <w:r w:rsidRPr="00664880">
        <w:t>Value for money</w:t>
      </w:r>
      <w:bookmarkEnd w:id="34"/>
      <w:bookmarkEnd w:id="35"/>
    </w:p>
    <w:p w14:paraId="3EC9F2C6" w14:textId="4DC63092" w:rsidR="00D86E30" w:rsidRPr="00664880" w:rsidRDefault="00973227" w:rsidP="00021EF3">
      <w:r w:rsidRPr="00664880">
        <w:t xml:space="preserve">BCAP and LHVF combined formed the largest business support </w:t>
      </w:r>
      <w:r w:rsidR="00371A79">
        <w:t>initiative</w:t>
      </w:r>
      <w:r w:rsidR="0005707D">
        <w:t xml:space="preserve"> in</w:t>
      </w:r>
      <w:r w:rsidRPr="00664880">
        <w:t xml:space="preserve"> </w:t>
      </w:r>
      <w:r w:rsidR="00844C3C">
        <w:t>Victoria</w:t>
      </w:r>
      <w:r w:rsidRPr="00664880">
        <w:t>, costing $6.30 billion (1.25 per cent of GSP). When combined with other key business grants delivered around a similar time</w:t>
      </w:r>
      <w:r w:rsidR="009920B1" w:rsidRPr="00664880">
        <w:t xml:space="preserve"> to cover business costs</w:t>
      </w:r>
      <w:r w:rsidRPr="00664880">
        <w:t>, both Victoria and NSW spent similar</w:t>
      </w:r>
      <w:r w:rsidR="00D2443F">
        <w:t xml:space="preserve"> amounts,</w:t>
      </w:r>
      <w:r w:rsidRPr="00664880">
        <w:t xml:space="preserve"> </w:t>
      </w:r>
      <w:r w:rsidR="009920B1" w:rsidRPr="00664880">
        <w:t>at 1.53 per cent and 1.51 per cent</w:t>
      </w:r>
      <w:r w:rsidR="00C10BF0">
        <w:t>,</w:t>
      </w:r>
      <w:r w:rsidR="00C10BF0" w:rsidRPr="00C10BF0">
        <w:t xml:space="preserve"> </w:t>
      </w:r>
      <w:r w:rsidR="00C10BF0" w:rsidRPr="00664880">
        <w:t>respectively</w:t>
      </w:r>
      <w:r w:rsidR="00C10BF0">
        <w:t>,</w:t>
      </w:r>
      <w:r w:rsidR="009920B1" w:rsidRPr="00664880">
        <w:t xml:space="preserve"> of GSP.</w:t>
      </w:r>
      <w:r w:rsidR="00786C72" w:rsidRPr="00664880">
        <w:t xml:space="preserve"> </w:t>
      </w:r>
      <w:r w:rsidR="00D86E30" w:rsidRPr="00664880">
        <w:t>Though</w:t>
      </w:r>
      <w:r w:rsidR="00786C72" w:rsidRPr="00664880">
        <w:t xml:space="preserve"> more than other Australian states and territories,</w:t>
      </w:r>
      <w:r w:rsidR="00D86E30" w:rsidRPr="00664880">
        <w:t xml:space="preserve"> </w:t>
      </w:r>
      <w:r w:rsidR="00664880" w:rsidRPr="00664880">
        <w:t>this was to be expected given the extensive impacts and restrictions in Victoria (and to a lesser extent NSW) compared to other jurisdictions.</w:t>
      </w:r>
    </w:p>
    <w:p w14:paraId="2412051E" w14:textId="2B837585" w:rsidR="00B91B7F" w:rsidRPr="00664880" w:rsidRDefault="00B91B7F" w:rsidP="00021EF3">
      <w:pPr>
        <w:rPr>
          <w:b/>
          <w:bCs/>
        </w:rPr>
      </w:pPr>
      <w:r w:rsidRPr="00664880">
        <w:t>Assessment of value for money and the value of outcomes to recipients and the community was informed by a CBA.</w:t>
      </w:r>
      <w:r w:rsidR="00CA552C">
        <w:t xml:space="preserve"> </w:t>
      </w:r>
      <w:r w:rsidRPr="00664880">
        <w:t>Under the core scenario</w:t>
      </w:r>
      <w:r w:rsidR="00D86E30" w:rsidRPr="00664880">
        <w:t>, where benefits persisted until 2022</w:t>
      </w:r>
      <w:r w:rsidRPr="00664880">
        <w:t xml:space="preserve">, total </w:t>
      </w:r>
      <w:r w:rsidR="008F2E18">
        <w:t>net present value (</w:t>
      </w:r>
      <w:r w:rsidRPr="00664880">
        <w:t>NPV</w:t>
      </w:r>
      <w:r w:rsidR="008F2E18">
        <w:t>)</w:t>
      </w:r>
      <w:r w:rsidRPr="00664880">
        <w:t xml:space="preserve"> benefits </w:t>
      </w:r>
      <w:r w:rsidR="0026723B">
        <w:t xml:space="preserve">are equivalent to $9,540 million. Excluding transfer payments, the majority of these benefits are attributable to business survival ($1,716 million). Comparing total NPV benefits to total costs of $9,538, </w:t>
      </w:r>
      <w:r w:rsidR="0026723B" w:rsidRPr="000E1382">
        <w:rPr>
          <w:b/>
          <w:bCs/>
        </w:rPr>
        <w:t xml:space="preserve">this yields a </w:t>
      </w:r>
      <w:r w:rsidR="00F71891" w:rsidRPr="00F71891">
        <w:rPr>
          <w:b/>
          <w:bCs/>
        </w:rPr>
        <w:t>benefit-cost ratio</w:t>
      </w:r>
      <w:r w:rsidR="00F71891">
        <w:t xml:space="preserve"> (</w:t>
      </w:r>
      <w:r w:rsidR="0026723B" w:rsidRPr="000E1382">
        <w:rPr>
          <w:b/>
          <w:bCs/>
        </w:rPr>
        <w:t>BCR</w:t>
      </w:r>
      <w:r w:rsidR="00F71891">
        <w:rPr>
          <w:b/>
          <w:bCs/>
        </w:rPr>
        <w:t>)</w:t>
      </w:r>
      <w:r w:rsidR="0026723B" w:rsidRPr="000E1382">
        <w:rPr>
          <w:b/>
          <w:bCs/>
        </w:rPr>
        <w:t xml:space="preserve"> of 1.</w:t>
      </w:r>
      <w:r w:rsidR="0026723B">
        <w:rPr>
          <w:b/>
          <w:bCs/>
        </w:rPr>
        <w:t>00</w:t>
      </w:r>
      <w:r w:rsidR="0026723B" w:rsidRPr="000E1382">
        <w:rPr>
          <w:b/>
          <w:bCs/>
        </w:rPr>
        <w:t xml:space="preserve"> in the </w:t>
      </w:r>
      <w:r w:rsidR="0026723B">
        <w:rPr>
          <w:b/>
          <w:bCs/>
        </w:rPr>
        <w:t>core</w:t>
      </w:r>
      <w:r w:rsidR="0026723B" w:rsidRPr="000E1382">
        <w:rPr>
          <w:b/>
          <w:bCs/>
        </w:rPr>
        <w:t xml:space="preserve"> scenario, suggesting the programs delivered a return to government investment and delivered net benefit to the Victorian economy</w:t>
      </w:r>
      <w:r w:rsidR="0026723B">
        <w:rPr>
          <w:b/>
          <w:bCs/>
        </w:rPr>
        <w:t xml:space="preserve"> </w:t>
      </w:r>
      <w:r w:rsidR="0026723B" w:rsidRPr="00553F80">
        <w:rPr>
          <w:b/>
          <w:bCs/>
        </w:rPr>
        <w:t>($2 million NPV).</w:t>
      </w:r>
    </w:p>
    <w:p w14:paraId="7DA83A8C" w14:textId="0E8C9B91" w:rsidR="00B91B7F" w:rsidRPr="00051913" w:rsidRDefault="008E754C" w:rsidP="00021EF3">
      <w:bookmarkStart w:id="36" w:name="_Hlk174117634"/>
      <w:r w:rsidRPr="00176B54">
        <w:t>The CBA</w:t>
      </w:r>
      <w:r w:rsidR="00B91B7F" w:rsidRPr="00176B54">
        <w:t xml:space="preserve"> suggest</w:t>
      </w:r>
      <w:r w:rsidR="00D86E30" w:rsidRPr="00176B54">
        <w:t>s</w:t>
      </w:r>
      <w:r w:rsidR="00B91B7F" w:rsidRPr="00176B54">
        <w:t xml:space="preserve"> that the programs delivered a return to the Victorian economy in that the estimated benefits outweighed the economic costs of delivering the program</w:t>
      </w:r>
      <w:r w:rsidR="0098713D" w:rsidRPr="00F77F1E">
        <w:t>, even if only by a small relative amount</w:t>
      </w:r>
      <w:r w:rsidR="00B91B7F" w:rsidRPr="00176B54">
        <w:t>.</w:t>
      </w:r>
      <w:r w:rsidR="00D86E30" w:rsidRPr="00664880">
        <w:t xml:space="preserve"> </w:t>
      </w:r>
      <w:bookmarkEnd w:id="36"/>
      <w:r w:rsidR="00B91B7F" w:rsidRPr="00664880">
        <w:t>Further, there were probably</w:t>
      </w:r>
      <w:r w:rsidR="00B91B7F" w:rsidRPr="00664880" w:rsidDel="00AA5CC9">
        <w:t xml:space="preserve"> </w:t>
      </w:r>
      <w:r w:rsidR="00B91B7F" w:rsidRPr="00664880">
        <w:t>broader economic impacts resulting from the program that could not be quantified through the CBA, which considers only the direct effects of the intervention.</w:t>
      </w:r>
    </w:p>
    <w:p w14:paraId="7C93293A" w14:textId="1EF958F9" w:rsidR="00DF05BB" w:rsidRPr="00051913" w:rsidRDefault="00DF05BB" w:rsidP="00021EF3">
      <w:r>
        <w:t>Scenario analysis showed that if business survival benefits did not persist beyond 2021, the overall benefits did not outweigh the cost of the costs of delivering the program, with a BCR of 0.89.</w:t>
      </w:r>
      <w:r w:rsidR="00D80088">
        <w:t xml:space="preserve"> </w:t>
      </w:r>
      <w:r w:rsidR="00E35BCE">
        <w:t>Sensitivity analysis w</w:t>
      </w:r>
      <w:r w:rsidR="0019597C">
        <w:t xml:space="preserve">as also undertaken in relation to </w:t>
      </w:r>
      <w:r w:rsidR="00C90479">
        <w:t>the assumption for the marginal excess burden of taxation, or the deadweight loss associated with additional tax raised to fund the programs.</w:t>
      </w:r>
      <w:r w:rsidR="00F24C34">
        <w:t xml:space="preserve"> </w:t>
      </w:r>
      <w:r w:rsidR="006A285A">
        <w:t xml:space="preserve">This showed that </w:t>
      </w:r>
      <w:r w:rsidR="003C1A23">
        <w:t>the BCR varie</w:t>
      </w:r>
      <w:r w:rsidR="008D6554">
        <w:t>d</w:t>
      </w:r>
      <w:r w:rsidR="003C1A23">
        <w:t xml:space="preserve"> between 0.91 and 1.11 under the core scenario</w:t>
      </w:r>
      <w:r w:rsidR="004931A4">
        <w:t xml:space="preserve">, assuming a marginal excess burden of </w:t>
      </w:r>
      <w:r w:rsidR="00B05F5F">
        <w:t>41 cents and 8 cents</w:t>
      </w:r>
      <w:r w:rsidR="007724E2">
        <w:t>, respectively,</w:t>
      </w:r>
      <w:r w:rsidR="00B05F5F">
        <w:t xml:space="preserve"> per dollar of tax raised. </w:t>
      </w:r>
    </w:p>
    <w:p w14:paraId="6A6E480C" w14:textId="3619ACEE" w:rsidR="00583EF5" w:rsidRPr="00664880" w:rsidRDefault="00583EF5" w:rsidP="00021EF3">
      <w:r w:rsidRPr="00664880">
        <w:t>The finding of this evaluation within the value for money domain was:</w:t>
      </w:r>
    </w:p>
    <w:p w14:paraId="4CEC5B0C" w14:textId="16579EEB" w:rsidR="00CD709A" w:rsidRPr="00664880" w:rsidRDefault="00583EF5" w:rsidP="00021EF3">
      <w:pPr>
        <w:pStyle w:val="ListBullet"/>
      </w:pPr>
      <w:r w:rsidRPr="00051913">
        <w:rPr>
          <w:b/>
          <w:bCs/>
        </w:rPr>
        <w:t>Finding 13:</w:t>
      </w:r>
      <w:r w:rsidRPr="00664880">
        <w:t xml:space="preserve"> The </w:t>
      </w:r>
      <w:r w:rsidR="00CD709A" w:rsidRPr="00123537">
        <w:t>CBA suggests that the programs delivered a return to the Victorian economy in that the estimated benefits outweighed the economic costs of delivering the program.</w:t>
      </w:r>
    </w:p>
    <w:p w14:paraId="20306ABB" w14:textId="3A7854E5" w:rsidR="00797E36" w:rsidRPr="00664880" w:rsidRDefault="00583EF5" w:rsidP="00021EF3">
      <w:pPr>
        <w:pStyle w:val="ListBullet"/>
      </w:pPr>
      <w:r w:rsidRPr="00CD709A">
        <w:rPr>
          <w:b/>
          <w:bCs/>
        </w:rPr>
        <w:t>Finding 1</w:t>
      </w:r>
      <w:r w:rsidR="00CD709A">
        <w:rPr>
          <w:b/>
          <w:bCs/>
        </w:rPr>
        <w:t>4</w:t>
      </w:r>
      <w:r w:rsidRPr="00CD709A">
        <w:rPr>
          <w:b/>
          <w:bCs/>
        </w:rPr>
        <w:t>:</w:t>
      </w:r>
      <w:r w:rsidRPr="00664880">
        <w:t xml:space="preserve"> The combined LHVF and BCAP grant programs outlaid similar expenditure to comparable programs in NSW, which is the most relevant comparator.</w:t>
      </w:r>
    </w:p>
    <w:p w14:paraId="1E7D9E80" w14:textId="469990A8" w:rsidR="00797E36" w:rsidRPr="00664880" w:rsidRDefault="00797E36" w:rsidP="00021EF3">
      <w:pPr>
        <w:pStyle w:val="Heading3un-numbered"/>
      </w:pPr>
      <w:bookmarkStart w:id="37" w:name="_Toc174118115"/>
      <w:bookmarkStart w:id="38" w:name="_Toc176516234"/>
      <w:r w:rsidRPr="00664880">
        <w:t>Lessons learned</w:t>
      </w:r>
      <w:bookmarkEnd w:id="37"/>
      <w:bookmarkEnd w:id="38"/>
    </w:p>
    <w:p w14:paraId="7C21AD21" w14:textId="77777777" w:rsidR="002B45A4" w:rsidRPr="00051913" w:rsidRDefault="00583EF5" w:rsidP="00021EF3">
      <w:r w:rsidRPr="00051913">
        <w:t>Several lessons were identified through the delivery of the grants programs which should be considered as part of future grants programs, including ensuring effective data sharing is enabled between government bodies to the extent possible</w:t>
      </w:r>
      <w:r w:rsidR="0014153F" w:rsidRPr="00051913">
        <w:t xml:space="preserve"> to support eligibility</w:t>
      </w:r>
      <w:r w:rsidR="007D6796" w:rsidRPr="00051913">
        <w:t xml:space="preserve"> assessment. The automation of key </w:t>
      </w:r>
      <w:r w:rsidR="0067323C" w:rsidRPr="00051913">
        <w:t>g</w:t>
      </w:r>
      <w:r w:rsidR="007D6796" w:rsidRPr="00051913">
        <w:t xml:space="preserve">rant processes was crucial in supporting the delivery </w:t>
      </w:r>
      <w:r w:rsidR="0067323C" w:rsidRPr="00051913">
        <w:t>of programs of this scale</w:t>
      </w:r>
      <w:r w:rsidR="002B45A4" w:rsidRPr="00051913">
        <w:t>. Further, it was clear that ongoing and consistent communication to grant applicants and recipients throughout all stages of a grant round is necessary to minimise uncertainty.</w:t>
      </w:r>
      <w:r w:rsidRPr="00051913">
        <w:t xml:space="preserve"> </w:t>
      </w:r>
    </w:p>
    <w:p w14:paraId="05F5D8C5" w14:textId="355D9F85" w:rsidR="005A6F54" w:rsidRPr="00664880" w:rsidRDefault="002B45A4" w:rsidP="00021EF3">
      <w:r w:rsidRPr="00664880">
        <w:t>However, l</w:t>
      </w:r>
      <w:r w:rsidR="005A6F54" w:rsidRPr="00664880">
        <w:t>imited consideration for monitoring and evaluation created limitations for this evaluation, includin</w:t>
      </w:r>
      <w:r w:rsidR="00286662" w:rsidRPr="00664880">
        <w:t>g t</w:t>
      </w:r>
      <w:r w:rsidR="005A6F54" w:rsidRPr="00664880">
        <w:t>he elapsed time between the intervention and evaluation impacted stakeholder recall</w:t>
      </w:r>
      <w:r w:rsidR="00286662" w:rsidRPr="00664880">
        <w:t>, t</w:t>
      </w:r>
      <w:r w:rsidR="005A6F54" w:rsidRPr="00664880">
        <w:t>he extent of data captured throughout the program relating to outcomes</w:t>
      </w:r>
      <w:r w:rsidR="00286662" w:rsidRPr="00664880">
        <w:t xml:space="preserve"> and th</w:t>
      </w:r>
      <w:r w:rsidR="005A6F54" w:rsidRPr="00664880">
        <w:t>e compressed evaluation timeframes impact</w:t>
      </w:r>
      <w:r w:rsidR="00AD08EE">
        <w:t>ing</w:t>
      </w:r>
      <w:r w:rsidR="005A6F54" w:rsidRPr="00664880">
        <w:t xml:space="preserve"> the ability to acquire the necessary data for economic evaluation. </w:t>
      </w:r>
    </w:p>
    <w:p w14:paraId="11C4A26B" w14:textId="72A68500" w:rsidR="005A6F54" w:rsidRPr="00664880" w:rsidRDefault="005A6F54" w:rsidP="00021EF3">
      <w:r w:rsidRPr="00664880">
        <w:t>By planning for what data needs to be collected against the programs' intended objective and outcomes, progress could be monitored</w:t>
      </w:r>
      <w:r w:rsidR="007B3AFE">
        <w:t xml:space="preserve"> more effectively</w:t>
      </w:r>
      <w:r w:rsidRPr="00664880">
        <w:t>, and a more comprehensive evaluation (of quantitative impacts in particular) be undertaken.</w:t>
      </w:r>
      <w:r w:rsidR="00286662" w:rsidRPr="00664880">
        <w:t xml:space="preserve"> Consideration of the requirement for monitoring and evaluation should</w:t>
      </w:r>
      <w:r w:rsidRPr="00664880">
        <w:t xml:space="preserve"> be undertaken </w:t>
      </w:r>
      <w:r w:rsidRPr="00051913">
        <w:t>even if program design and implementation is compressed.</w:t>
      </w:r>
    </w:p>
    <w:p w14:paraId="196882EE" w14:textId="18A51019" w:rsidR="00583EF5" w:rsidRPr="00664880" w:rsidRDefault="00583EF5" w:rsidP="00021EF3">
      <w:r w:rsidRPr="00664880">
        <w:t>The findings of this evaluation within the lessons learned domain were:</w:t>
      </w:r>
    </w:p>
    <w:p w14:paraId="13A6D294" w14:textId="072E8C6F" w:rsidR="00583EF5" w:rsidRPr="00664880" w:rsidRDefault="00583EF5" w:rsidP="00021EF3">
      <w:pPr>
        <w:pStyle w:val="ListBullet"/>
      </w:pPr>
      <w:r w:rsidRPr="00051913">
        <w:rPr>
          <w:b/>
          <w:bCs/>
        </w:rPr>
        <w:t>Finding 1</w:t>
      </w:r>
      <w:r w:rsidR="00121D03">
        <w:rPr>
          <w:b/>
          <w:bCs/>
        </w:rPr>
        <w:t>5</w:t>
      </w:r>
      <w:r w:rsidRPr="00051913">
        <w:rPr>
          <w:b/>
          <w:bCs/>
        </w:rPr>
        <w:t>:</w:t>
      </w:r>
      <w:r w:rsidRPr="00664880">
        <w:t xml:space="preserve"> Lessons learned include the importance of facilitating appropriate data sharing and in establishing effective automation of key processes (e.g., eligibility checks)</w:t>
      </w:r>
      <w:r w:rsidR="007D331C">
        <w:t>.</w:t>
      </w:r>
    </w:p>
    <w:p w14:paraId="042A3D51" w14:textId="7AA442C9" w:rsidR="00797E36" w:rsidRPr="00664880" w:rsidRDefault="00583EF5" w:rsidP="00021EF3">
      <w:pPr>
        <w:pStyle w:val="ListBullet"/>
      </w:pPr>
      <w:r w:rsidRPr="00051913">
        <w:rPr>
          <w:b/>
          <w:bCs/>
        </w:rPr>
        <w:t>Finding 1</w:t>
      </w:r>
      <w:r w:rsidR="00121D03">
        <w:rPr>
          <w:b/>
          <w:bCs/>
        </w:rPr>
        <w:t>6</w:t>
      </w:r>
      <w:r w:rsidRPr="00051913">
        <w:rPr>
          <w:b/>
          <w:bCs/>
        </w:rPr>
        <w:t>:</w:t>
      </w:r>
      <w:r w:rsidRPr="00664880">
        <w:t xml:space="preserve"> A framework for monitoring and evaluation should be embedded during the design stage of a program to support future evaluation and accountability.</w:t>
      </w:r>
    </w:p>
    <w:p w14:paraId="0A1DCE96" w14:textId="4202D3B4" w:rsidR="00B943EC" w:rsidRPr="00B943EC" w:rsidRDefault="00D85EAC" w:rsidP="00021EF3">
      <w:pPr>
        <w:pStyle w:val="Heading2un-numbered"/>
      </w:pPr>
      <w:bookmarkStart w:id="39" w:name="_Toc174118116"/>
      <w:bookmarkStart w:id="40" w:name="_Toc176516235"/>
      <w:r>
        <w:t>Recommendations</w:t>
      </w:r>
      <w:bookmarkEnd w:id="39"/>
      <w:bookmarkEnd w:id="40"/>
    </w:p>
    <w:p w14:paraId="0D68D02B" w14:textId="2C3C4FFB" w:rsidR="00583EF5" w:rsidRPr="00664880" w:rsidRDefault="00583EF5" w:rsidP="00021EF3">
      <w:r w:rsidRPr="00664880">
        <w:t>The evaluation provides the following</w:t>
      </w:r>
      <w:r w:rsidR="00D47178">
        <w:t xml:space="preserve"> three</w:t>
      </w:r>
      <w:r w:rsidRPr="00664880">
        <w:t xml:space="preserve"> recommendations </w:t>
      </w:r>
      <w:r w:rsidR="00AC30FD" w:rsidRPr="00664880">
        <w:t>for future consideration.</w:t>
      </w:r>
    </w:p>
    <w:p w14:paraId="64BD21F5" w14:textId="65C9D1DD" w:rsidR="00A50641" w:rsidRPr="00664880" w:rsidRDefault="00A50641" w:rsidP="00021EF3">
      <w:pPr>
        <w:pStyle w:val="Heading3un-numbered"/>
      </w:pPr>
      <w:bookmarkStart w:id="41" w:name="_Toc174118117"/>
      <w:bookmarkStart w:id="42" w:name="_Toc176516236"/>
      <w:r w:rsidRPr="00051913">
        <w:t>Recommendation 1: </w:t>
      </w:r>
      <w:r w:rsidRPr="00664880">
        <w:t xml:space="preserve">Ensure Victoria’s emergency preparedness plans consider business support </w:t>
      </w:r>
      <w:bookmarkEnd w:id="41"/>
      <w:r w:rsidR="008E3666" w:rsidRPr="00664880">
        <w:t>needs.</w:t>
      </w:r>
      <w:bookmarkEnd w:id="42"/>
    </w:p>
    <w:p w14:paraId="326A121F" w14:textId="10D8D086" w:rsidR="00A50641" w:rsidRPr="00664880" w:rsidRDefault="00A50641" w:rsidP="00021EF3">
      <w:r w:rsidRPr="00664880">
        <w:t xml:space="preserve">The Department and Victorian Government more broadly should ensure that pandemic and emergency response guidelines are cognisant of, and appropriately consider, the impact on Victorian businesses during periods of major disruption. </w:t>
      </w:r>
      <w:r w:rsidR="00C52F58">
        <w:t>There</w:t>
      </w:r>
      <w:r w:rsidRPr="00664880">
        <w:t xml:space="preserve"> should be clear steps and guidelines as to the specific approach, including in relation to </w:t>
      </w:r>
      <w:r w:rsidRPr="00664880">
        <w:lastRenderedPageBreak/>
        <w:t xml:space="preserve">determining the appropriate intervention types, and </w:t>
      </w:r>
      <w:r w:rsidR="006879EE">
        <w:t>associated</w:t>
      </w:r>
      <w:r w:rsidRPr="00664880">
        <w:t xml:space="preserve"> processes, systems and design features. This could also include a basic framework for determining eligibility criteria.</w:t>
      </w:r>
      <w:r w:rsidR="00C52F58">
        <w:t xml:space="preserve"> </w:t>
      </w:r>
      <w:r w:rsidR="00A95524">
        <w:t xml:space="preserve">Though a pandemic-specific response is the responsibility of the Commonwealth </w:t>
      </w:r>
      <w:r w:rsidR="007D331C">
        <w:t>G</w:t>
      </w:r>
      <w:r w:rsidR="00A95524">
        <w:t>overnment, the Victorian Government should advocate for such disaster response and recovery arrangements. At a state level, t</w:t>
      </w:r>
      <w:r w:rsidRPr="00664880">
        <w:t>hese considerations could be built into the framework detailed in the existing Victorian State Emergency Management Plan.</w:t>
      </w:r>
      <w:r w:rsidRPr="00664880">
        <w:rPr>
          <w:rStyle w:val="EndnoteReference"/>
        </w:rPr>
        <w:endnoteReference w:id="7"/>
      </w:r>
      <w:r w:rsidR="00650A8D">
        <w:t xml:space="preserve"> While </w:t>
      </w:r>
      <w:r w:rsidR="00E40054">
        <w:t>grant administration activit</w:t>
      </w:r>
      <w:r w:rsidR="00F435DB">
        <w:t>y guidelines and frameworks under the Department’s core emergency relief and recovery offerings</w:t>
      </w:r>
      <w:r w:rsidR="00650A8D">
        <w:t xml:space="preserve"> could be expanded to include </w:t>
      </w:r>
      <w:r w:rsidR="00F435DB">
        <w:t>those for</w:t>
      </w:r>
      <w:r w:rsidR="00650A8D">
        <w:t xml:space="preserve"> epidemics, </w:t>
      </w:r>
      <w:r w:rsidR="00E72FAD">
        <w:t>plagues and contaminations</w:t>
      </w:r>
      <w:r w:rsidR="00650A8D">
        <w:t>, given differing breadth and type of impacts on businesses between natural disasters and public health emergencies,</w:t>
      </w:r>
      <w:r w:rsidR="00650A8D">
        <w:rPr>
          <w:rStyle w:val="EndnoteReference"/>
        </w:rPr>
        <w:endnoteReference w:id="8"/>
      </w:r>
      <w:r w:rsidR="00650A8D">
        <w:t xml:space="preserve"> consideration should also be given to specific guidelines for business support initiatives in public health or equivalent emergencies. These activities and guidelines should consider key learnings from recent COVID-19 business and citizen support programs.</w:t>
      </w:r>
    </w:p>
    <w:p w14:paraId="2A460402" w14:textId="66D515B7" w:rsidR="00A50641" w:rsidRPr="00664880" w:rsidRDefault="00A50641" w:rsidP="00021EF3">
      <w:pPr>
        <w:pStyle w:val="Heading3un-numbered"/>
      </w:pPr>
      <w:bookmarkStart w:id="43" w:name="_Toc174118118"/>
      <w:bookmarkStart w:id="44" w:name="_Toc176516237"/>
      <w:r w:rsidRPr="00051913">
        <w:t>Recommendation 2: </w:t>
      </w:r>
      <w:r w:rsidRPr="00664880">
        <w:t xml:space="preserve">Ensure data sharing arrangements are </w:t>
      </w:r>
      <w:r w:rsidR="00374EA4">
        <w:t xml:space="preserve">appropriately </w:t>
      </w:r>
      <w:r w:rsidRPr="00664880">
        <w:t xml:space="preserve">in place to ensure seamless </w:t>
      </w:r>
      <w:r w:rsidR="001112B5">
        <w:t xml:space="preserve">data sharing and </w:t>
      </w:r>
      <w:r w:rsidRPr="00664880">
        <w:t>rollout of business support</w:t>
      </w:r>
      <w:bookmarkEnd w:id="43"/>
      <w:r w:rsidR="001112B5">
        <w:t xml:space="preserve"> when </w:t>
      </w:r>
      <w:r w:rsidR="008E3666">
        <w:t>needed.</w:t>
      </w:r>
      <w:bookmarkEnd w:id="44"/>
    </w:p>
    <w:p w14:paraId="3D3BC3B9" w14:textId="7CE2C579" w:rsidR="00A50641" w:rsidRPr="00664880" w:rsidRDefault="007116DD" w:rsidP="00021EF3">
      <w:r>
        <w:t>Ensuring</w:t>
      </w:r>
      <w:r w:rsidR="00A50641" w:rsidRPr="00664880">
        <w:t xml:space="preserve"> necessary data sharing arrangements </w:t>
      </w:r>
      <w:r w:rsidR="001112B5">
        <w:t>have been prepared and are ready to be activated</w:t>
      </w:r>
      <w:r w:rsidR="00A50641" w:rsidRPr="00664880">
        <w:t xml:space="preserve"> </w:t>
      </w:r>
      <w:r>
        <w:t xml:space="preserve">would support </w:t>
      </w:r>
      <w:r w:rsidR="002616C0">
        <w:t xml:space="preserve">rapid data sharing and </w:t>
      </w:r>
      <w:r w:rsidR="00A50641" w:rsidRPr="00664880">
        <w:t>a seamless rollout of government supports for business</w:t>
      </w:r>
      <w:r w:rsidR="009976FB">
        <w:t>, including key criteria and systems,</w:t>
      </w:r>
      <w:r>
        <w:t xml:space="preserve"> in the event of emergency and subsequent disruption.</w:t>
      </w:r>
      <w:r w:rsidR="009976FB">
        <w:t xml:space="preserve"> </w:t>
      </w:r>
      <w:r w:rsidR="00A50641" w:rsidRPr="00664880">
        <w:t xml:space="preserve">The Department could identify data sources likely to be necessary and ensure that current data sharing arrangements are serviceable in future and, to the extent possible, facilitate additional arrangements as needed. </w:t>
      </w:r>
      <w:r w:rsidR="00EA3DE6">
        <w:t>These preparations should align with the Victorian Public Sector Data Sharing Policy.</w:t>
      </w:r>
      <w:r w:rsidR="00EA3DE6">
        <w:rPr>
          <w:rStyle w:val="EndnoteReference"/>
        </w:rPr>
        <w:endnoteReference w:id="9"/>
      </w:r>
      <w:r w:rsidR="00EA3DE6">
        <w:t xml:space="preserve"> </w:t>
      </w:r>
      <w:r w:rsidR="00A50641" w:rsidRPr="00664880">
        <w:t>Consideration would likely need to be given to the approach to data sharing arrangements separately for local, state and federal government bodies.</w:t>
      </w:r>
      <w:r w:rsidR="00EA3DE6">
        <w:t xml:space="preserve"> For example, </w:t>
      </w:r>
      <w:r w:rsidR="002235C4">
        <w:t>while it is understood that some progress has already been made</w:t>
      </w:r>
      <w:r w:rsidR="00EA3DE6">
        <w:t xml:space="preserve">, extensions to data sharing arrangements established with the ATO in 2021 for a subset of COVID-19 business support grant programs should </w:t>
      </w:r>
      <w:r w:rsidR="002235C4">
        <w:t xml:space="preserve">continue to </w:t>
      </w:r>
      <w:r w:rsidR="00EA3DE6">
        <w:t>be explored as part of future emergency management preparations.</w:t>
      </w:r>
    </w:p>
    <w:p w14:paraId="38D06B52" w14:textId="2651AF38" w:rsidR="00A50641" w:rsidRPr="00664880" w:rsidRDefault="00A50641" w:rsidP="00021EF3">
      <w:pPr>
        <w:pStyle w:val="Heading3un-numbered"/>
      </w:pPr>
      <w:bookmarkStart w:id="45" w:name="_Toc174118119"/>
      <w:bookmarkStart w:id="46" w:name="_Toc176516238"/>
      <w:r w:rsidRPr="00051913">
        <w:t>Recommendation 3: </w:t>
      </w:r>
      <w:r w:rsidRPr="00664880">
        <w:t xml:space="preserve">Ensure standards for monitoring and evaluation are applied as part of any future emergency response </w:t>
      </w:r>
      <w:bookmarkEnd w:id="45"/>
      <w:r w:rsidR="008E3666" w:rsidRPr="00664880">
        <w:t>program.</w:t>
      </w:r>
      <w:bookmarkEnd w:id="46"/>
    </w:p>
    <w:p w14:paraId="3942ABD3" w14:textId="77777777" w:rsidR="00532BD4" w:rsidRDefault="00A50641" w:rsidP="00021EF3">
      <w:pPr>
        <w:sectPr w:rsidR="00532BD4" w:rsidSect="00532BD4">
          <w:footerReference w:type="even" r:id="rId23"/>
          <w:footerReference w:type="default" r:id="rId24"/>
          <w:footerReference w:type="first" r:id="rId25"/>
          <w:footnotePr>
            <w:numFmt w:val="chicago"/>
          </w:footnotePr>
          <w:endnotePr>
            <w:numFmt w:val="decimal"/>
          </w:endnotePr>
          <w:pgSz w:w="11906" w:h="16838" w:code="9"/>
          <w:pgMar w:top="1440" w:right="1440" w:bottom="1440" w:left="1440" w:header="680" w:footer="425" w:gutter="0"/>
          <w:pgNumType w:fmt="lowerRoman"/>
          <w:cols w:space="284"/>
          <w:noEndnote/>
          <w:docGrid w:linePitch="360"/>
        </w:sectPr>
      </w:pPr>
      <w:r w:rsidRPr="00664880">
        <w:t>Given the importance of monitoring and evaluation, a framework for monitoring and evaluation should be embedded at the inception phase of future emergency response programs. This should include consideration of the types of data that would need to be collected to support future evaluation in the context of a business support program (e.g., data related to typical business outcomes), and the viable methods for obtaining this data. This could be integrated within the Department</w:t>
      </w:r>
      <w:r w:rsidR="007D331C">
        <w:t>’</w:t>
      </w:r>
      <w:r w:rsidRPr="00664880">
        <w:t>s existing monitoring evaluation guidelines.</w:t>
      </w:r>
    </w:p>
    <w:p w14:paraId="013CD44D" w14:textId="27759BFF" w:rsidR="00BF3260" w:rsidRPr="00ED1D80" w:rsidRDefault="004F540D" w:rsidP="00021EF3">
      <w:pPr>
        <w:pStyle w:val="Heading1"/>
        <w:rPr>
          <w:rFonts w:cs="Arial"/>
        </w:rPr>
      </w:pPr>
      <w:bookmarkStart w:id="47" w:name="_Toc170913950"/>
      <w:bookmarkStart w:id="48" w:name="_Toc173244938"/>
      <w:bookmarkStart w:id="49" w:name="_Toc176516239"/>
      <w:bookmarkEnd w:id="8"/>
      <w:bookmarkEnd w:id="9"/>
      <w:bookmarkEnd w:id="10"/>
      <w:bookmarkEnd w:id="11"/>
      <w:bookmarkEnd w:id="12"/>
      <w:bookmarkEnd w:id="13"/>
      <w:bookmarkEnd w:id="14"/>
      <w:r>
        <w:rPr>
          <w:rFonts w:cs="Arial"/>
        </w:rPr>
        <w:lastRenderedPageBreak/>
        <w:t>Introduction</w:t>
      </w:r>
      <w:bookmarkEnd w:id="47"/>
      <w:bookmarkEnd w:id="48"/>
      <w:bookmarkEnd w:id="49"/>
    </w:p>
    <w:p w14:paraId="0ACF5468" w14:textId="3D623CED" w:rsidR="003C76CD" w:rsidRDefault="008B42AF" w:rsidP="00021EF3">
      <w:pPr>
        <w:pStyle w:val="Heading2"/>
      </w:pPr>
      <w:bookmarkStart w:id="50" w:name="_Toc170913951"/>
      <w:bookmarkStart w:id="51" w:name="_Toc173244939"/>
      <w:bookmarkStart w:id="52" w:name="_Toc173245842"/>
      <w:bookmarkStart w:id="53" w:name="_Toc173246271"/>
      <w:bookmarkStart w:id="54" w:name="_Toc173308279"/>
      <w:bookmarkStart w:id="55" w:name="_Toc173344929"/>
      <w:bookmarkStart w:id="56" w:name="_Toc173915884"/>
      <w:bookmarkStart w:id="57" w:name="_Toc174118121"/>
      <w:bookmarkStart w:id="58" w:name="_Toc176516240"/>
      <w:r>
        <w:t>Background and context</w:t>
      </w:r>
      <w:bookmarkEnd w:id="50"/>
      <w:bookmarkEnd w:id="51"/>
      <w:bookmarkEnd w:id="52"/>
      <w:bookmarkEnd w:id="53"/>
      <w:bookmarkEnd w:id="54"/>
      <w:bookmarkEnd w:id="55"/>
      <w:bookmarkEnd w:id="56"/>
      <w:bookmarkEnd w:id="57"/>
      <w:bookmarkEnd w:id="58"/>
    </w:p>
    <w:p w14:paraId="080D2E45" w14:textId="685F43F9" w:rsidR="008B42AF" w:rsidRPr="008B42AF" w:rsidRDefault="008B42AF" w:rsidP="00021EF3">
      <w:pPr>
        <w:pStyle w:val="Heading3"/>
      </w:pPr>
      <w:bookmarkStart w:id="59" w:name="_Toc170913952"/>
      <w:bookmarkStart w:id="60" w:name="_Toc173244940"/>
      <w:bookmarkStart w:id="61" w:name="_Toc173245843"/>
      <w:bookmarkStart w:id="62" w:name="_Toc173246272"/>
      <w:bookmarkStart w:id="63" w:name="_Toc173308280"/>
      <w:bookmarkStart w:id="64" w:name="_Toc173344703"/>
      <w:bookmarkStart w:id="65" w:name="_Toc173344930"/>
      <w:bookmarkStart w:id="66" w:name="_Toc173915885"/>
      <w:bookmarkStart w:id="67" w:name="_Toc174118122"/>
      <w:bookmarkStart w:id="68" w:name="_Toc176516241"/>
      <w:r>
        <w:t xml:space="preserve">The COVID-19 </w:t>
      </w:r>
      <w:r w:rsidR="00EB6532">
        <w:t>p</w:t>
      </w:r>
      <w:r>
        <w:t xml:space="preserve">andemic </w:t>
      </w:r>
      <w:bookmarkEnd w:id="59"/>
      <w:r w:rsidR="007420B5">
        <w:t>and Victoria</w:t>
      </w:r>
      <w:r w:rsidR="006147E2">
        <w:t>’s public health response</w:t>
      </w:r>
      <w:bookmarkEnd w:id="60"/>
      <w:bookmarkEnd w:id="61"/>
      <w:bookmarkEnd w:id="62"/>
      <w:bookmarkEnd w:id="63"/>
      <w:bookmarkEnd w:id="64"/>
      <w:bookmarkEnd w:id="65"/>
      <w:bookmarkEnd w:id="66"/>
      <w:bookmarkEnd w:id="67"/>
      <w:bookmarkEnd w:id="68"/>
    </w:p>
    <w:p w14:paraId="319D7375" w14:textId="6770F7C4" w:rsidR="00D307A5" w:rsidRDefault="00D307A5" w:rsidP="00021EF3">
      <w:r>
        <w:t xml:space="preserve">In 2020, the COVID-19 pandemic presented </w:t>
      </w:r>
      <w:r w:rsidR="00A54E0A">
        <w:t>a</w:t>
      </w:r>
      <w:r>
        <w:t xml:space="preserve"> significant health </w:t>
      </w:r>
      <w:r w:rsidR="006E3E4B">
        <w:t>risk</w:t>
      </w:r>
      <w:r>
        <w:t xml:space="preserve"> for Australia and </w:t>
      </w:r>
      <w:r w:rsidR="00ED1434">
        <w:t>the world</w:t>
      </w:r>
      <w:r>
        <w:t xml:space="preserve">, prompting swift and comprehensive government responses. The first confirmed case </w:t>
      </w:r>
      <w:r w:rsidR="00A30441">
        <w:t xml:space="preserve">in Australia </w:t>
      </w:r>
      <w:r>
        <w:t xml:space="preserve">was reported on </w:t>
      </w:r>
      <w:r w:rsidR="00525944">
        <w:t xml:space="preserve">25 </w:t>
      </w:r>
      <w:r>
        <w:t xml:space="preserve">January </w:t>
      </w:r>
      <w:r w:rsidR="002B5464">
        <w:t>2</w:t>
      </w:r>
      <w:r w:rsidR="00A30441">
        <w:t>020</w:t>
      </w:r>
      <w:r w:rsidR="008C3C73">
        <w:t xml:space="preserve"> in </w:t>
      </w:r>
      <w:r w:rsidR="006714A8">
        <w:t>Victoria</w:t>
      </w:r>
      <w:r>
        <w:t>, and by March</w:t>
      </w:r>
      <w:r w:rsidR="00037F94">
        <w:t xml:space="preserve"> 18th</w:t>
      </w:r>
      <w:r w:rsidR="0007646B">
        <w:t>,</w:t>
      </w:r>
      <w:r>
        <w:t xml:space="preserve"> the </w:t>
      </w:r>
      <w:r w:rsidR="008641EE">
        <w:t>Commonwealth</w:t>
      </w:r>
      <w:r>
        <w:t xml:space="preserve"> </w:t>
      </w:r>
      <w:r w:rsidR="00037F94">
        <w:t>G</w:t>
      </w:r>
      <w:r>
        <w:t xml:space="preserve">overnment </w:t>
      </w:r>
      <w:r w:rsidR="006714A8">
        <w:t xml:space="preserve">had </w:t>
      </w:r>
      <w:r>
        <w:t xml:space="preserve">declared a human biosecurity emergency. This declaration led to the implementation of stringent measures to control the spread of the virus. One of the earliest actions was the enforcement of strict </w:t>
      </w:r>
      <w:r w:rsidR="00A328A8">
        <w:t>international</w:t>
      </w:r>
      <w:r>
        <w:t xml:space="preserve"> border controls. On </w:t>
      </w:r>
      <w:r w:rsidR="00045594">
        <w:t>19</w:t>
      </w:r>
      <w:r>
        <w:t xml:space="preserve"> March </w:t>
      </w:r>
      <w:r w:rsidR="002B5464">
        <w:t>2020</w:t>
      </w:r>
      <w:r>
        <w:t>, Australia closed its borders to all non-residents</w:t>
      </w:r>
      <w:r w:rsidR="003856FC">
        <w:t xml:space="preserve"> and non</w:t>
      </w:r>
      <w:r w:rsidR="001C13BA">
        <w:t>-citizens</w:t>
      </w:r>
      <w:r>
        <w:t xml:space="preserve">, significantly reducing incoming international travel. Returning residents and citizens were </w:t>
      </w:r>
      <w:r w:rsidR="0018466A">
        <w:t>required to unde</w:t>
      </w:r>
      <w:r w:rsidR="00450EF4">
        <w:t>r</w:t>
      </w:r>
      <w:r w:rsidR="0018466A">
        <w:t xml:space="preserve">go </w:t>
      </w:r>
      <w:r>
        <w:t>mandatory 14-day quarantines, often in designated hotels, to mitigate the risk of imported cases. These measures were crucial in limiting the number of new infections from abroad, especially at a time when global cases were rapidly increasing.</w:t>
      </w:r>
    </w:p>
    <w:p w14:paraId="2B6AE80C" w14:textId="0DF4618E" w:rsidR="0034283A" w:rsidRDefault="00A44977" w:rsidP="00021EF3">
      <w:r>
        <w:t xml:space="preserve">Initial </w:t>
      </w:r>
      <w:r w:rsidR="000D46E4">
        <w:t>modelling</w:t>
      </w:r>
      <w:r w:rsidR="007B5B4B" w:rsidRPr="007B5B4B">
        <w:t xml:space="preserve"> suggested that without intervention, Australia </w:t>
      </w:r>
      <w:r w:rsidR="000B7791">
        <w:t>w</w:t>
      </w:r>
      <w:r w:rsidR="007B5B4B" w:rsidRPr="007B5B4B">
        <w:t>ould experience millions of infections within a matter of mont</w:t>
      </w:r>
      <w:r w:rsidR="007B5B4B" w:rsidRPr="00E32E71">
        <w:t>hs.</w:t>
      </w:r>
      <w:r w:rsidR="00E32E71">
        <w:rPr>
          <w:rStyle w:val="EndnoteReference"/>
        </w:rPr>
        <w:endnoteReference w:id="10"/>
      </w:r>
      <w:r w:rsidR="007B5B4B" w:rsidRPr="00E32E71">
        <w:t xml:space="preserve"> The model</w:t>
      </w:r>
      <w:r w:rsidR="007B5B4B" w:rsidRPr="007B5B4B">
        <w:t xml:space="preserve"> predicted that up to 15 million Australians could be infected in a worst-case scenario, with severe consequences for public health and healthcare systems.</w:t>
      </w:r>
      <w:r w:rsidR="00D8146C">
        <w:rPr>
          <w:rStyle w:val="EndnoteReference"/>
        </w:rPr>
        <w:endnoteReference w:id="11"/>
      </w:r>
      <w:r w:rsidR="00582E38">
        <w:t xml:space="preserve"> </w:t>
      </w:r>
      <w:r w:rsidR="00F91FD2">
        <w:t xml:space="preserve">Other </w:t>
      </w:r>
      <w:r w:rsidR="00EF48CF">
        <w:t>projections</w:t>
      </w:r>
      <w:r w:rsidR="00F91FD2">
        <w:t xml:space="preserve"> </w:t>
      </w:r>
      <w:r w:rsidR="00EF48CF">
        <w:t>warned that</w:t>
      </w:r>
      <w:r w:rsidR="00C656C7" w:rsidRPr="00C656C7">
        <w:t xml:space="preserve"> Australia could see </w:t>
      </w:r>
      <w:r w:rsidR="00176EE0">
        <w:t>more than</w:t>
      </w:r>
      <w:r w:rsidR="00176EE0" w:rsidRPr="00C656C7">
        <w:t xml:space="preserve"> </w:t>
      </w:r>
      <w:r w:rsidR="00C656C7" w:rsidRPr="00C656C7">
        <w:t>50,000 new cases per day at the peak of the outbreak</w:t>
      </w:r>
      <w:r w:rsidR="00EF48CF">
        <w:t xml:space="preserve"> if no measures were taken</w:t>
      </w:r>
      <w:r w:rsidR="00C620A2">
        <w:t xml:space="preserve"> to reduce</w:t>
      </w:r>
      <w:r w:rsidR="00C656C7" w:rsidRPr="00C656C7">
        <w:t xml:space="preserve"> the transmission rate.</w:t>
      </w:r>
      <w:r w:rsidR="001F55B6">
        <w:rPr>
          <w:rStyle w:val="EndnoteReference"/>
        </w:rPr>
        <w:endnoteReference w:id="12"/>
      </w:r>
      <w:r w:rsidR="00C76D42">
        <w:t xml:space="preserve"> </w:t>
      </w:r>
      <w:r w:rsidR="005F1DAE" w:rsidRPr="005F1DAE">
        <w:t xml:space="preserve">The </w:t>
      </w:r>
      <w:r w:rsidR="00037580">
        <w:t>Commonwealth</w:t>
      </w:r>
      <w:r w:rsidR="005F1DAE" w:rsidRPr="005F1DAE">
        <w:t xml:space="preserve"> Government's health department also released modelling that indicated a potential for widespread transmission if the virus was not contained. They projected that up to 25 million cases could occur over a year, highlighting the need for urgent public health interventions to mitigate the spread.</w:t>
      </w:r>
      <w:r w:rsidR="001F55B6">
        <w:rPr>
          <w:rStyle w:val="EndnoteReference"/>
        </w:rPr>
        <w:endnoteReference w:id="13"/>
      </w:r>
      <w:r w:rsidR="0034283A">
        <w:t xml:space="preserve"> This potential surge threatened to overwhelm hospitals and healthcare facilities, leading to shortages of medical supplies, </w:t>
      </w:r>
      <w:r w:rsidR="003C591D">
        <w:t>intensive care unit (</w:t>
      </w:r>
      <w:r w:rsidR="0034283A">
        <w:t>ICU</w:t>
      </w:r>
      <w:r w:rsidR="003C591D">
        <w:t>)</w:t>
      </w:r>
      <w:r w:rsidR="0034283A">
        <w:t xml:space="preserve"> beds and ventilators. The rapid spread of the virus also raised concerns about the healthcare workforce's capacity to manage a large influx of patients while maintaining routine care services. These risks underscored the urgency of implementing stringent public health measures to curb the outbreak. </w:t>
      </w:r>
    </w:p>
    <w:p w14:paraId="56D78481" w14:textId="090C8914" w:rsidR="00F73749" w:rsidRDefault="00317D0F" w:rsidP="00021EF3">
      <w:r>
        <w:t xml:space="preserve">State and territory governments across Australia introduced restrictions on cross-border domestic travel to contain the spread of the disease. </w:t>
      </w:r>
      <w:r w:rsidR="00640E6F">
        <w:t xml:space="preserve">Within </w:t>
      </w:r>
      <w:r w:rsidR="00C85CEA">
        <w:t>states and territories</w:t>
      </w:r>
      <w:r w:rsidR="00640E6F">
        <w:t>,</w:t>
      </w:r>
      <w:r w:rsidR="00D307A5">
        <w:t xml:space="preserve"> lockdowns and social distancing measures </w:t>
      </w:r>
      <w:r w:rsidR="00640E6F">
        <w:t xml:space="preserve">were introduced </w:t>
      </w:r>
      <w:r w:rsidR="00D307A5">
        <w:t xml:space="preserve">to curb community transmission. </w:t>
      </w:r>
      <w:r w:rsidR="00DD67E4">
        <w:t>National cabinet implemented a</w:t>
      </w:r>
      <w:r w:rsidR="00D307A5">
        <w:t xml:space="preserve"> nationwide lockdown </w:t>
      </w:r>
      <w:r w:rsidR="00C85CEA">
        <w:t xml:space="preserve">on </w:t>
      </w:r>
      <w:r w:rsidR="005612BB">
        <w:t>22</w:t>
      </w:r>
      <w:r w:rsidR="00D307A5">
        <w:t xml:space="preserve"> March</w:t>
      </w:r>
      <w:r w:rsidR="00822517">
        <w:t xml:space="preserve"> 2020</w:t>
      </w:r>
      <w:r w:rsidR="00D307A5">
        <w:t xml:space="preserve">, resulting in the closure of </w:t>
      </w:r>
      <w:r w:rsidR="00E37EEC">
        <w:t>“</w:t>
      </w:r>
      <w:r w:rsidR="00D307A5">
        <w:t>non-essential</w:t>
      </w:r>
      <w:r w:rsidR="00E37EEC">
        <w:t>”</w:t>
      </w:r>
      <w:r w:rsidR="00D307A5">
        <w:t xml:space="preserve"> businesses, schools and public venues. These lockdowns were periodically adjusted based on the severity of the outbreak in different regions. </w:t>
      </w:r>
      <w:r w:rsidR="00A33BA8">
        <w:t>G</w:t>
      </w:r>
      <w:r w:rsidR="00D307A5">
        <w:t>overnment</w:t>
      </w:r>
      <w:r w:rsidR="00A33BA8">
        <w:t>s</w:t>
      </w:r>
      <w:r w:rsidR="00D307A5">
        <w:t xml:space="preserve"> significantly ramped up testing and contact tracing to identify and isolate cases promptly. This approach was essential in managing clusters of infections and preventing widespread outbreaks.</w:t>
      </w:r>
    </w:p>
    <w:p w14:paraId="597BC667" w14:textId="6593711D" w:rsidR="00456488" w:rsidRDefault="00456488" w:rsidP="00021EF3">
      <w:pPr>
        <w:rPr>
          <w:rFonts w:cs="Arial"/>
        </w:rPr>
      </w:pPr>
      <w:r w:rsidRPr="00456488">
        <w:rPr>
          <w:rFonts w:cs="Arial"/>
        </w:rPr>
        <w:t>Throughout 2020, Victoria, Australia, implemented some of the world’s most stringent COVID-19</w:t>
      </w:r>
      <w:r w:rsidR="008D140F">
        <w:rPr>
          <w:rFonts w:cs="Arial"/>
        </w:rPr>
        <w:t xml:space="preserve"> pandemic</w:t>
      </w:r>
      <w:r w:rsidRPr="00456488">
        <w:rPr>
          <w:rFonts w:cs="Arial"/>
        </w:rPr>
        <w:t xml:space="preserve"> measures, including extensive lockdowns and restrictions due to outbreaks.</w:t>
      </w:r>
      <w:r w:rsidR="000C7CC1">
        <w:rPr>
          <w:rFonts w:cs="Arial"/>
        </w:rPr>
        <w:t xml:space="preserve"> </w:t>
      </w:r>
      <w:r w:rsidRPr="00456488">
        <w:rPr>
          <w:rFonts w:cs="Arial"/>
        </w:rPr>
        <w:t xml:space="preserve">In March 2020, Victoria aligned with national efforts, closing non-essential businesses, restricting public gatherings and shifting schools to remote learning. </w:t>
      </w:r>
      <w:r w:rsidR="008A5C92">
        <w:rPr>
          <w:rFonts w:cs="Arial"/>
        </w:rPr>
        <w:t>During the second wave, f</w:t>
      </w:r>
      <w:r w:rsidRPr="00456488">
        <w:rPr>
          <w:rFonts w:cs="Arial"/>
        </w:rPr>
        <w:t xml:space="preserve">rom June to October 2020, </w:t>
      </w:r>
      <w:r w:rsidR="008A5C92" w:rsidRPr="00456488">
        <w:rPr>
          <w:rFonts w:cs="Arial"/>
        </w:rPr>
        <w:t xml:space="preserve">the government introduced stricter measures </w:t>
      </w:r>
      <w:r w:rsidRPr="00456488">
        <w:rPr>
          <w:rFonts w:cs="Arial"/>
        </w:rPr>
        <w:t xml:space="preserve">as daily cases peaked </w:t>
      </w:r>
      <w:r w:rsidR="00A23F00">
        <w:rPr>
          <w:rFonts w:cs="Arial"/>
        </w:rPr>
        <w:t>more than</w:t>
      </w:r>
      <w:r w:rsidR="00A23F00" w:rsidRPr="00456488">
        <w:rPr>
          <w:rFonts w:cs="Arial"/>
        </w:rPr>
        <w:t xml:space="preserve"> </w:t>
      </w:r>
      <w:r w:rsidRPr="00456488">
        <w:rPr>
          <w:rFonts w:cs="Arial"/>
        </w:rPr>
        <w:t>700 in early August</w:t>
      </w:r>
      <w:r w:rsidR="00784201">
        <w:rPr>
          <w:rFonts w:cs="Arial"/>
        </w:rPr>
        <w:t xml:space="preserve">. </w:t>
      </w:r>
      <w:r w:rsidRPr="00456488">
        <w:rPr>
          <w:rFonts w:cs="Arial"/>
        </w:rPr>
        <w:t>On 8 July 2020, metropolitan Melbourne and Mitchell Shire entered ‘Stage 3’ restrictions, enforcing stay-at-home orders except for essential activities. As cases rose, ‘Stage 4’ restrictions were announced on 2 August 2020, including a nightly curfew, one-hour outdoor exercise limit, mandatory masks, and closure of non-essential businesses, alongside the Permitted Worker Scheme.</w:t>
      </w:r>
      <w:r w:rsidR="000C7CC1">
        <w:rPr>
          <w:rFonts w:cs="Arial"/>
        </w:rPr>
        <w:t xml:space="preserve"> </w:t>
      </w:r>
      <w:r w:rsidRPr="00456488">
        <w:rPr>
          <w:rFonts w:cs="Arial"/>
        </w:rPr>
        <w:t>Extensive testing and contact tracing were critical in managing the virus spread. Testing sites were established statewide, and public health teams quickly isolated positive cases and their close contacts.</w:t>
      </w:r>
    </w:p>
    <w:p w14:paraId="456A6A17" w14:textId="675A51A2" w:rsidR="00A10F7E" w:rsidRPr="00ED1D80" w:rsidRDefault="00887BFA" w:rsidP="00021EF3">
      <w:pPr>
        <w:pStyle w:val="Heading3"/>
      </w:pPr>
      <w:bookmarkStart w:id="69" w:name="_Toc171518385"/>
      <w:bookmarkStart w:id="70" w:name="_Toc171518617"/>
      <w:bookmarkStart w:id="71" w:name="_Toc171518664"/>
      <w:bookmarkStart w:id="72" w:name="_Toc171518731"/>
      <w:bookmarkStart w:id="73" w:name="_Toc171518768"/>
      <w:bookmarkStart w:id="74" w:name="_Toc171518805"/>
      <w:bookmarkStart w:id="75" w:name="_Toc171518843"/>
      <w:bookmarkStart w:id="76" w:name="_Toc171518386"/>
      <w:bookmarkStart w:id="77" w:name="_Toc171518618"/>
      <w:bookmarkStart w:id="78" w:name="_Toc171518665"/>
      <w:bookmarkStart w:id="79" w:name="_Toc171518732"/>
      <w:bookmarkStart w:id="80" w:name="_Toc171518769"/>
      <w:bookmarkStart w:id="81" w:name="_Toc171518806"/>
      <w:bookmarkStart w:id="82" w:name="_Toc171518844"/>
      <w:bookmarkStart w:id="83" w:name="_Toc171518387"/>
      <w:bookmarkStart w:id="84" w:name="_Toc171518619"/>
      <w:bookmarkStart w:id="85" w:name="_Toc171518666"/>
      <w:bookmarkStart w:id="86" w:name="_Toc171518733"/>
      <w:bookmarkStart w:id="87" w:name="_Toc171518770"/>
      <w:bookmarkStart w:id="88" w:name="_Toc171518807"/>
      <w:bookmarkStart w:id="89" w:name="_Toc171518845"/>
      <w:bookmarkStart w:id="90" w:name="_Toc171518388"/>
      <w:bookmarkStart w:id="91" w:name="_Toc171518620"/>
      <w:bookmarkStart w:id="92" w:name="_Toc171518667"/>
      <w:bookmarkStart w:id="93" w:name="_Toc171518734"/>
      <w:bookmarkStart w:id="94" w:name="_Toc171518771"/>
      <w:bookmarkStart w:id="95" w:name="_Toc171518808"/>
      <w:bookmarkStart w:id="96" w:name="_Toc171518846"/>
      <w:bookmarkStart w:id="97" w:name="_Toc171518389"/>
      <w:bookmarkStart w:id="98" w:name="_Toc171518621"/>
      <w:bookmarkStart w:id="99" w:name="_Toc171518668"/>
      <w:bookmarkStart w:id="100" w:name="_Toc171518735"/>
      <w:bookmarkStart w:id="101" w:name="_Toc171518772"/>
      <w:bookmarkStart w:id="102" w:name="_Toc171518809"/>
      <w:bookmarkStart w:id="103" w:name="_Toc171518847"/>
      <w:bookmarkStart w:id="104" w:name="_Toc171518390"/>
      <w:bookmarkStart w:id="105" w:name="_Toc171518622"/>
      <w:bookmarkStart w:id="106" w:name="_Toc171518669"/>
      <w:bookmarkStart w:id="107" w:name="_Toc171518736"/>
      <w:bookmarkStart w:id="108" w:name="_Toc171518773"/>
      <w:bookmarkStart w:id="109" w:name="_Toc171518810"/>
      <w:bookmarkStart w:id="110" w:name="_Toc171518848"/>
      <w:bookmarkStart w:id="111" w:name="_Toc171518391"/>
      <w:bookmarkStart w:id="112" w:name="_Toc171518623"/>
      <w:bookmarkStart w:id="113" w:name="_Toc171518670"/>
      <w:bookmarkStart w:id="114" w:name="_Toc171518737"/>
      <w:bookmarkStart w:id="115" w:name="_Toc171518774"/>
      <w:bookmarkStart w:id="116" w:name="_Toc171518811"/>
      <w:bookmarkStart w:id="117" w:name="_Toc171518849"/>
      <w:bookmarkStart w:id="118" w:name="_Toc170913955"/>
      <w:bookmarkStart w:id="119" w:name="_Toc173244941"/>
      <w:bookmarkStart w:id="120" w:name="_Toc173245850"/>
      <w:bookmarkStart w:id="121" w:name="_Toc173246279"/>
      <w:bookmarkStart w:id="122" w:name="_Toc173308281"/>
      <w:bookmarkStart w:id="123" w:name="_Toc173344704"/>
      <w:bookmarkStart w:id="124" w:name="_Toc173344931"/>
      <w:bookmarkStart w:id="125" w:name="_Toc173915886"/>
      <w:bookmarkStart w:id="126" w:name="_Toc174118123"/>
      <w:bookmarkStart w:id="127" w:name="_Toc176516242"/>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t>Economic impacts of COVID-</w:t>
      </w:r>
      <w:bookmarkEnd w:id="118"/>
      <w:r w:rsidR="00242573" w:rsidRPr="00ED1D80">
        <w:t>19</w:t>
      </w:r>
      <w:bookmarkEnd w:id="119"/>
      <w:bookmarkEnd w:id="120"/>
      <w:bookmarkEnd w:id="121"/>
      <w:bookmarkEnd w:id="122"/>
      <w:bookmarkEnd w:id="123"/>
      <w:bookmarkEnd w:id="124"/>
      <w:r w:rsidR="008D140F">
        <w:t xml:space="preserve"> pandemic</w:t>
      </w:r>
      <w:bookmarkEnd w:id="125"/>
      <w:bookmarkEnd w:id="126"/>
      <w:bookmarkEnd w:id="127"/>
    </w:p>
    <w:p w14:paraId="16974138" w14:textId="3BD791DB" w:rsidR="00242573" w:rsidRDefault="001C1269" w:rsidP="00021EF3">
      <w:pPr>
        <w:pStyle w:val="Heading4"/>
      </w:pPr>
      <w:bookmarkStart w:id="128" w:name="_Ref169621091"/>
      <w:r>
        <w:t>The</w:t>
      </w:r>
      <w:r w:rsidR="003A12F8">
        <w:t xml:space="preserve"> </w:t>
      </w:r>
      <w:r w:rsidR="007203E5" w:rsidRPr="00ED1D80">
        <w:t>global economy</w:t>
      </w:r>
      <w:bookmarkEnd w:id="128"/>
    </w:p>
    <w:p w14:paraId="723BDA2E" w14:textId="419BF6FD" w:rsidR="009763DD" w:rsidRDefault="009763DD" w:rsidP="00021EF3">
      <w:r>
        <w:t>In 2020, t</w:t>
      </w:r>
      <w:r w:rsidRPr="00A53646">
        <w:t xml:space="preserve">he COVID-19 pandemic </w:t>
      </w:r>
      <w:r>
        <w:t>led to the sharpest global economic contraction since the Great Depression</w:t>
      </w:r>
      <w:r w:rsidR="00D93028">
        <w:t xml:space="preserve">, </w:t>
      </w:r>
      <w:r w:rsidR="00584D35">
        <w:t>with global</w:t>
      </w:r>
      <w:r>
        <w:t xml:space="preserve"> </w:t>
      </w:r>
      <w:r w:rsidR="00B11BE6">
        <w:t>gross domestic product (</w:t>
      </w:r>
      <w:r>
        <w:t>GDP</w:t>
      </w:r>
      <w:r w:rsidR="00B11BE6">
        <w:t xml:space="preserve">) shrinking by </w:t>
      </w:r>
      <w:r>
        <w:t>approximately 3.2</w:t>
      </w:r>
      <w:r w:rsidRPr="00FE49C4">
        <w:t xml:space="preserve"> </w:t>
      </w:r>
      <w:r>
        <w:t>per cent</w:t>
      </w:r>
      <w:r w:rsidDel="00FE49C4">
        <w:t xml:space="preserve"> </w:t>
      </w:r>
      <w:r w:rsidR="00B11BE6">
        <w:t>over the calendar year</w:t>
      </w:r>
      <w:r w:rsidR="00584D35">
        <w:t>.</w:t>
      </w:r>
      <w:r w:rsidR="00F1123A">
        <w:rPr>
          <w:rStyle w:val="EndnoteReference"/>
        </w:rPr>
        <w:endnoteReference w:id="14"/>
      </w:r>
      <w:r w:rsidR="00584D35">
        <w:t xml:space="preserve"> </w:t>
      </w:r>
      <w:r>
        <w:t>Advanced economies experienced a contraction of about 4.6</w:t>
      </w:r>
      <w:r w:rsidRPr="00FE49C4">
        <w:t xml:space="preserve"> </w:t>
      </w:r>
      <w:r>
        <w:t>per cent, while emerging markets and developing economies shrank by 2.1 per cent (</w:t>
      </w:r>
      <w:r w:rsidR="002949DC">
        <w:fldChar w:fldCharType="begin"/>
      </w:r>
      <w:r w:rsidR="002949DC">
        <w:instrText xml:space="preserve"> REF _Ref173249067 \r \h </w:instrText>
      </w:r>
      <w:r w:rsidR="00021EF3">
        <w:instrText xml:space="preserve"> \* MERGEFORMAT </w:instrText>
      </w:r>
      <w:r w:rsidR="002949DC">
        <w:fldChar w:fldCharType="separate"/>
      </w:r>
      <w:r w:rsidR="0016271C">
        <w:t>Chart 1.1</w:t>
      </w:r>
      <w:r w:rsidR="002949DC">
        <w:fldChar w:fldCharType="end"/>
      </w:r>
      <w:r>
        <w:t xml:space="preserve">). </w:t>
      </w:r>
    </w:p>
    <w:p w14:paraId="086AA058" w14:textId="231781FD" w:rsidR="00CA2B21" w:rsidRDefault="009F54E4" w:rsidP="00021EF3">
      <w:r>
        <w:t>The United States’ (US) economy contracted by 3.5</w:t>
      </w:r>
      <w:r w:rsidRPr="00FE49C4">
        <w:t xml:space="preserve"> </w:t>
      </w:r>
      <w:r>
        <w:t>per cent over 2020, with the unemployment rate peaking at 14.8</w:t>
      </w:r>
      <w:r w:rsidRPr="00FE49C4">
        <w:t xml:space="preserve"> </w:t>
      </w:r>
      <w:r>
        <w:t>per cent</w:t>
      </w:r>
      <w:r w:rsidDel="00FE49C4">
        <w:t xml:space="preserve"> </w:t>
      </w:r>
      <w:r>
        <w:t>in April 2020. Euro Area GDP fell by 6.5</w:t>
      </w:r>
      <w:r w:rsidRPr="00E914DF">
        <w:t xml:space="preserve"> </w:t>
      </w:r>
      <w:r>
        <w:t>per cent, with Spain and Italy experiencing significant contractions. Japan’s economy shrank by 4.8</w:t>
      </w:r>
      <w:r w:rsidRPr="00FE49C4">
        <w:t xml:space="preserve"> </w:t>
      </w:r>
      <w:r>
        <w:t>per cent, driven by a significant drop in exports and consumer spending. The United Kingdom (UK) experienced one of the largest contractions amon</w:t>
      </w:r>
      <w:r w:rsidR="004F4F3F">
        <w:t>g</w:t>
      </w:r>
      <w:r>
        <w:t xml:space="preserve"> advanced economies,</w:t>
      </w:r>
      <w:r w:rsidR="00840152">
        <w:t xml:space="preserve"> with GDP contracting by 9.7 per cent in 2020,</w:t>
      </w:r>
      <w:r>
        <w:t xml:space="preserve"> as the impact of C</w:t>
      </w:r>
      <w:r w:rsidR="00B51604">
        <w:t>OVID</w:t>
      </w:r>
      <w:r>
        <w:t xml:space="preserve">-19 compounded broader economic challenges </w:t>
      </w:r>
      <w:r w:rsidR="00BD3D3C">
        <w:t>following</w:t>
      </w:r>
      <w:r>
        <w:t xml:space="preserve"> </w:t>
      </w:r>
      <w:r w:rsidR="008A04BB">
        <w:t>the UK’s exit from the European Union</w:t>
      </w:r>
      <w:r>
        <w:t xml:space="preserve"> coming into effect on 1 February 2020.</w:t>
      </w:r>
    </w:p>
    <w:p w14:paraId="375518C1" w14:textId="6BFF6CB6" w:rsidR="008E771F" w:rsidRPr="00081F95" w:rsidRDefault="008E771F" w:rsidP="00021EF3">
      <w:pPr>
        <w:pStyle w:val="CaptionChart"/>
      </w:pPr>
      <w:bookmarkStart w:id="129" w:name="_Ref173249067"/>
      <w:r>
        <w:lastRenderedPageBreak/>
        <w:t>:</w:t>
      </w:r>
      <w:r w:rsidRPr="001F55B6">
        <w:t xml:space="preserve"> </w:t>
      </w:r>
      <w:r>
        <w:t>GDP growth in 2020 by geography</w:t>
      </w:r>
      <w:bookmarkEnd w:id="129"/>
      <w:r w:rsidR="00FC0D00">
        <w:t>.</w:t>
      </w:r>
    </w:p>
    <w:p w14:paraId="56A3648D" w14:textId="404633BF" w:rsidR="008E771F" w:rsidRDefault="00350FF5" w:rsidP="00021EF3">
      <w:pPr>
        <w:rPr>
          <w:highlight w:val="yellow"/>
        </w:rPr>
      </w:pPr>
      <w:r>
        <w:rPr>
          <w:noProof/>
        </w:rPr>
        <w:drawing>
          <wp:inline distT="0" distB="0" distL="0" distR="0" wp14:anchorId="362D1A6F" wp14:editId="2B4164A8">
            <wp:extent cx="5760000" cy="2880000"/>
            <wp:effectExtent l="0" t="0" r="0" b="0"/>
            <wp:docPr id="9" name="Chart 9" descr="Chart 1.1 shows the GDP growth several areas in ascending order. The United Kingdom at the top with -9.8%, Euro area with -6.3%, Canada with -5.2%, Japan with -4.8%, the advanced economies with -4.8%, the United States with -3.8%, the World with -3%, Australia with -2.1%, emerging market economies with -2.1% and China with 2.2%.">
              <a:extLst xmlns:a="http://schemas.openxmlformats.org/drawingml/2006/main">
                <a:ext uri="{FF2B5EF4-FFF2-40B4-BE49-F238E27FC236}">
                  <a16:creationId xmlns:a16="http://schemas.microsoft.com/office/drawing/2014/main" id="{1AD071BA-09F4-6E4E-9E08-4709B73A7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55629E" w14:textId="20C169B9" w:rsidR="008E771F" w:rsidRPr="00081F95" w:rsidRDefault="008E771F" w:rsidP="00021EF3">
      <w:pPr>
        <w:pStyle w:val="Source"/>
      </w:pPr>
      <w:r w:rsidRPr="00081F95">
        <w:t xml:space="preserve">Source: </w:t>
      </w:r>
      <w:r w:rsidR="002949DC">
        <w:t>International Monetary Fund (IMF)</w:t>
      </w:r>
      <w:r w:rsidR="002949DC" w:rsidRPr="00081F95">
        <w:t xml:space="preserve"> </w:t>
      </w:r>
      <w:r w:rsidRPr="00081F95">
        <w:t>world economic forecast 2021, July Update</w:t>
      </w:r>
      <w:r w:rsidR="009A5D0C">
        <w:t>.</w:t>
      </w:r>
    </w:p>
    <w:p w14:paraId="6FC6D928" w14:textId="1EDA38B3" w:rsidR="00346917" w:rsidRDefault="001C1269" w:rsidP="00021EF3">
      <w:pPr>
        <w:pStyle w:val="Heading4"/>
      </w:pPr>
      <w:r>
        <w:t>The</w:t>
      </w:r>
      <w:r w:rsidR="00DE02BC">
        <w:t xml:space="preserve"> </w:t>
      </w:r>
      <w:r w:rsidR="00346917" w:rsidRPr="00ED1D80">
        <w:t>Australia</w:t>
      </w:r>
      <w:r w:rsidR="00DE02BC">
        <w:t>n economy</w:t>
      </w:r>
    </w:p>
    <w:p w14:paraId="1C1FBA27" w14:textId="175F2E1D" w:rsidR="005B0D7C" w:rsidRDefault="005B0D7C" w:rsidP="00021EF3">
      <w:pPr>
        <w:rPr>
          <w:rFonts w:cs="Arial"/>
        </w:rPr>
      </w:pPr>
      <w:r>
        <w:rPr>
          <w:rFonts w:cs="Arial"/>
        </w:rPr>
        <w:t xml:space="preserve">The Australian economy was significantly impacted by the </w:t>
      </w:r>
      <w:r w:rsidR="00F46724" w:rsidRPr="00401EAD">
        <w:rPr>
          <w:rFonts w:cs="Arial"/>
        </w:rPr>
        <w:t>COVID-19</w:t>
      </w:r>
      <w:r>
        <w:rPr>
          <w:rFonts w:cs="Arial"/>
        </w:rPr>
        <w:t xml:space="preserve"> pandemic</w:t>
      </w:r>
      <w:r w:rsidRPr="000043D3">
        <w:rPr>
          <w:rFonts w:cs="Arial"/>
        </w:rPr>
        <w:t>, leading to the first recession in nearly three decades</w:t>
      </w:r>
      <w:r w:rsidR="00225A46">
        <w:rPr>
          <w:rFonts w:cs="Arial"/>
        </w:rPr>
        <w:t xml:space="preserve"> (</w:t>
      </w:r>
      <w:r w:rsidR="009A5D0C">
        <w:rPr>
          <w:rFonts w:cs="Arial"/>
        </w:rPr>
        <w:fldChar w:fldCharType="begin"/>
      </w:r>
      <w:r w:rsidR="009A5D0C">
        <w:rPr>
          <w:rFonts w:cs="Arial"/>
        </w:rPr>
        <w:instrText xml:space="preserve"> REF _Ref173249103 \r \h </w:instrText>
      </w:r>
      <w:r w:rsidR="00021EF3">
        <w:rPr>
          <w:rFonts w:cs="Arial"/>
        </w:rPr>
        <w:instrText xml:space="preserve"> \* MERGEFORMAT </w:instrText>
      </w:r>
      <w:r w:rsidR="009A5D0C">
        <w:rPr>
          <w:rFonts w:cs="Arial"/>
        </w:rPr>
      </w:r>
      <w:r w:rsidR="009A5D0C">
        <w:rPr>
          <w:rFonts w:cs="Arial"/>
        </w:rPr>
        <w:fldChar w:fldCharType="separate"/>
      </w:r>
      <w:r w:rsidR="0016271C">
        <w:rPr>
          <w:rFonts w:cs="Arial"/>
        </w:rPr>
        <w:t>Chart 1.2</w:t>
      </w:r>
      <w:r w:rsidR="009A5D0C">
        <w:rPr>
          <w:rFonts w:cs="Arial"/>
        </w:rPr>
        <w:fldChar w:fldCharType="end"/>
      </w:r>
      <w:r w:rsidR="002817DE">
        <w:rPr>
          <w:rFonts w:cs="Arial"/>
        </w:rPr>
        <w:t>)</w:t>
      </w:r>
      <w:r w:rsidRPr="000043D3">
        <w:rPr>
          <w:rFonts w:cs="Arial"/>
        </w:rPr>
        <w:t>. Australian GDP contracted by 2.</w:t>
      </w:r>
      <w:r>
        <w:rPr>
          <w:rFonts w:cs="Arial"/>
        </w:rPr>
        <w:t>1</w:t>
      </w:r>
      <w:r w:rsidRPr="00E914DF">
        <w:t xml:space="preserve"> </w:t>
      </w:r>
      <w:r>
        <w:t>per cent</w:t>
      </w:r>
      <w:r w:rsidRPr="000043D3">
        <w:rPr>
          <w:rFonts w:cs="Arial"/>
        </w:rPr>
        <w:t xml:space="preserve"> over </w:t>
      </w:r>
      <w:r w:rsidR="00966859">
        <w:rPr>
          <w:rFonts w:cs="Arial"/>
        </w:rPr>
        <w:t>2020</w:t>
      </w:r>
      <w:r w:rsidRPr="000043D3">
        <w:rPr>
          <w:rFonts w:cs="Arial"/>
        </w:rPr>
        <w:t xml:space="preserve">, with the most severe </w:t>
      </w:r>
      <w:r>
        <w:rPr>
          <w:rFonts w:cs="Arial"/>
        </w:rPr>
        <w:t>contraction</w:t>
      </w:r>
      <w:r w:rsidRPr="000043D3">
        <w:rPr>
          <w:rFonts w:cs="Arial"/>
        </w:rPr>
        <w:t xml:space="preserve"> occurring in the second quarter</w:t>
      </w:r>
      <w:r>
        <w:rPr>
          <w:rFonts w:cs="Arial"/>
        </w:rPr>
        <w:t>,</w:t>
      </w:r>
      <w:r w:rsidRPr="000043D3">
        <w:rPr>
          <w:rFonts w:cs="Arial"/>
        </w:rPr>
        <w:t xml:space="preserve"> when the economy shr</w:t>
      </w:r>
      <w:r>
        <w:rPr>
          <w:rFonts w:cs="Arial"/>
        </w:rPr>
        <w:t>u</w:t>
      </w:r>
      <w:r w:rsidRPr="000043D3">
        <w:rPr>
          <w:rFonts w:cs="Arial"/>
        </w:rPr>
        <w:t xml:space="preserve">nk by </w:t>
      </w:r>
      <w:r>
        <w:rPr>
          <w:rFonts w:cs="Arial"/>
        </w:rPr>
        <w:t>6.9</w:t>
      </w:r>
      <w:r w:rsidRPr="00E914DF">
        <w:t xml:space="preserve"> </w:t>
      </w:r>
      <w:r>
        <w:t>per cent</w:t>
      </w:r>
      <w:r w:rsidRPr="000043D3">
        <w:rPr>
          <w:rFonts w:cs="Arial"/>
        </w:rPr>
        <w:t xml:space="preserve"> </w:t>
      </w:r>
      <w:r w:rsidR="00C02881">
        <w:rPr>
          <w:rFonts w:cs="Arial"/>
        </w:rPr>
        <w:t>amid</w:t>
      </w:r>
      <w:r w:rsidRPr="000043D3">
        <w:rPr>
          <w:rFonts w:cs="Arial"/>
        </w:rPr>
        <w:t xml:space="preserve"> nationwide lockdowns and restrictions</w:t>
      </w:r>
      <w:r>
        <w:rPr>
          <w:rFonts w:cs="Arial"/>
        </w:rPr>
        <w:t xml:space="preserve">. </w:t>
      </w:r>
    </w:p>
    <w:p w14:paraId="677D23AE" w14:textId="627E4778" w:rsidR="009A2673" w:rsidRPr="00F94C53" w:rsidRDefault="00F94C53" w:rsidP="00021EF3">
      <w:pPr>
        <w:pStyle w:val="CaptionChart"/>
      </w:pPr>
      <w:bookmarkStart w:id="130" w:name="_Ref173249103"/>
      <w:r w:rsidRPr="00401048">
        <w:t xml:space="preserve">: </w:t>
      </w:r>
      <w:r w:rsidR="009A5D0C">
        <w:t>GDP</w:t>
      </w:r>
      <w:r w:rsidR="00C37A09">
        <w:t xml:space="preserve">, </w:t>
      </w:r>
      <w:r w:rsidR="00D20431" w:rsidRPr="00401048">
        <w:t xml:space="preserve">change over the previous 12 months, </w:t>
      </w:r>
      <w:r w:rsidRPr="00F94C53">
        <w:t>Australia.</w:t>
      </w:r>
      <w:bookmarkEnd w:id="130"/>
    </w:p>
    <w:p w14:paraId="231141F0" w14:textId="79F66413" w:rsidR="009A2673" w:rsidRDefault="009A2673" w:rsidP="00021EF3">
      <w:pPr>
        <w:rPr>
          <w:rFonts w:cs="Arial"/>
        </w:rPr>
      </w:pPr>
      <w:r>
        <w:rPr>
          <w:noProof/>
        </w:rPr>
        <w:drawing>
          <wp:inline distT="0" distB="0" distL="0" distR="0" wp14:anchorId="7C6A2409" wp14:editId="7032A551">
            <wp:extent cx="5708342" cy="3045040"/>
            <wp:effectExtent l="0" t="0" r="6985" b="3175"/>
            <wp:docPr id="11" name="Chart 11" descr="This line chart tracks the GDP of Australia, starting from March of 2010 and ending in March 2024. The chart starts at approximately 2.0% in March 2010 and remains between 2.0% and 5.0% until March 2020 when it drops to -6.0%. It then spikes up to approximately 10.0% in March 2021 and then declines to approximately 1.0% in March 2024. ">
              <a:extLst xmlns:a="http://schemas.openxmlformats.org/drawingml/2006/main">
                <a:ext uri="{FF2B5EF4-FFF2-40B4-BE49-F238E27FC236}">
                  <a16:creationId xmlns:a16="http://schemas.microsoft.com/office/drawing/2014/main" id="{0605A553-41C0-29CA-36DE-242CC93DA4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198803" w14:textId="2C073C3C" w:rsidR="00DF5B4A" w:rsidRPr="00401048" w:rsidRDefault="00DF5B4A" w:rsidP="00021EF3">
      <w:pPr>
        <w:pStyle w:val="Source"/>
      </w:pPr>
      <w:r w:rsidRPr="00401048">
        <w:t>Source: Deloitte Access Economics, Australian Bureau of Statistics</w:t>
      </w:r>
      <w:r w:rsidR="00322D0C">
        <w:t xml:space="preserve"> (ABS)</w:t>
      </w:r>
      <w:r w:rsidR="009A5D0C">
        <w:t>.</w:t>
      </w:r>
    </w:p>
    <w:p w14:paraId="2510054A" w14:textId="4F228A8B" w:rsidR="00EB77F8" w:rsidRDefault="00E25D53" w:rsidP="00021EF3">
      <w:pPr>
        <w:rPr>
          <w:rFonts w:cs="Arial"/>
        </w:rPr>
      </w:pPr>
      <w:r>
        <w:rPr>
          <w:rFonts w:cs="Arial"/>
        </w:rPr>
        <w:t xml:space="preserve">The economic contraction was </w:t>
      </w:r>
      <w:r w:rsidR="003C2CD8">
        <w:rPr>
          <w:rFonts w:cs="Arial"/>
        </w:rPr>
        <w:t>led by p</w:t>
      </w:r>
      <w:r w:rsidR="00EB77F8" w:rsidRPr="00EB77F8">
        <w:rPr>
          <w:rFonts w:cs="Arial"/>
        </w:rPr>
        <w:t xml:space="preserve">rivate consumption </w:t>
      </w:r>
      <w:r w:rsidR="003C2CD8">
        <w:rPr>
          <w:rFonts w:cs="Arial"/>
        </w:rPr>
        <w:t>which fell</w:t>
      </w:r>
      <w:r w:rsidR="008247E1">
        <w:rPr>
          <w:rFonts w:cs="Arial"/>
        </w:rPr>
        <w:t>,</w:t>
      </w:r>
      <w:r w:rsidR="003C2CD8">
        <w:rPr>
          <w:rFonts w:cs="Arial"/>
        </w:rPr>
        <w:t xml:space="preserve"> </w:t>
      </w:r>
      <w:r w:rsidR="00D9003D">
        <w:rPr>
          <w:rFonts w:cs="Arial"/>
        </w:rPr>
        <w:t>detracting</w:t>
      </w:r>
      <w:r w:rsidR="008247E1">
        <w:rPr>
          <w:rFonts w:cs="Arial"/>
        </w:rPr>
        <w:t xml:space="preserve"> </w:t>
      </w:r>
      <w:r w:rsidR="003C2CD8">
        <w:rPr>
          <w:rFonts w:cs="Arial"/>
        </w:rPr>
        <w:t xml:space="preserve">3.1 percentage points </w:t>
      </w:r>
      <w:r w:rsidR="00D9003D">
        <w:rPr>
          <w:rFonts w:cs="Arial"/>
        </w:rPr>
        <w:t xml:space="preserve">from </w:t>
      </w:r>
      <w:r w:rsidR="003C2CD8">
        <w:rPr>
          <w:rFonts w:cs="Arial"/>
        </w:rPr>
        <w:t>GDP growth across 2020</w:t>
      </w:r>
      <w:r w:rsidR="00EB77F8" w:rsidRPr="00EB77F8">
        <w:rPr>
          <w:rFonts w:cs="Arial"/>
        </w:rPr>
        <w:t xml:space="preserve">, reflecting the widespread impact of pandemic-induced restrictions and decreased consumer spending. Business investment contracted, further inhibiting economic growth, while dwelling investment experienced a moderate reduction, indicating a downturn in the housing market. In contrast, public investment saw a modest increase, likely attributable to government stimulus measures aimed at mitigating the economic fallout from the pandemic. Net exports contributed positively to the national economy, </w:t>
      </w:r>
      <w:r w:rsidR="003B01F6">
        <w:rPr>
          <w:rFonts w:cs="Arial"/>
        </w:rPr>
        <w:t xml:space="preserve">as imports </w:t>
      </w:r>
      <w:r w:rsidR="00BA102B">
        <w:rPr>
          <w:rFonts w:cs="Arial"/>
        </w:rPr>
        <w:t xml:space="preserve">declined </w:t>
      </w:r>
      <w:r w:rsidR="00F05B39">
        <w:rPr>
          <w:rFonts w:cs="Arial"/>
        </w:rPr>
        <w:t xml:space="preserve">more sharply than exports. </w:t>
      </w:r>
    </w:p>
    <w:p w14:paraId="16FF6B44" w14:textId="27B33413" w:rsidR="00D56636" w:rsidRDefault="00EB77F8" w:rsidP="00021EF3">
      <w:pPr>
        <w:rPr>
          <w:rFonts w:cs="Arial"/>
        </w:rPr>
      </w:pPr>
      <w:r w:rsidRPr="00EB77F8">
        <w:rPr>
          <w:rFonts w:cs="Arial"/>
        </w:rPr>
        <w:lastRenderedPageBreak/>
        <w:t>Additionally, general government consumption increased, reflecting the augmented government expenditure in response to the crisis. This heightened spending was essential in supporting the economy during a period of reduced private sector activity. Overall, the decline in private consumption, business investment and dwelling investment, alongside the mixed impacts on public investment and net exports, collectively contributed to the contraction of the Australian economy in 2020.</w:t>
      </w:r>
    </w:p>
    <w:p w14:paraId="0601FAD1" w14:textId="168C0A49" w:rsidR="00CF5DF8" w:rsidRPr="00081F95" w:rsidRDefault="00CF5DF8" w:rsidP="00021EF3">
      <w:pPr>
        <w:pStyle w:val="CaptionChart"/>
      </w:pPr>
      <w:r>
        <w:t>: Contributions to GDP, Australia, 2019 and 2020</w:t>
      </w:r>
      <w:r w:rsidR="00792D18">
        <w:t>.</w:t>
      </w:r>
    </w:p>
    <w:p w14:paraId="14FFE5DE" w14:textId="603C0FE2" w:rsidR="00CF5DF8" w:rsidRDefault="00077856" w:rsidP="00021EF3">
      <w:pPr>
        <w:rPr>
          <w:rFonts w:cs="Arial"/>
        </w:rPr>
      </w:pPr>
      <w:r>
        <w:rPr>
          <w:noProof/>
        </w:rPr>
        <w:drawing>
          <wp:inline distT="0" distB="0" distL="0" distR="0" wp14:anchorId="69D60CE0" wp14:editId="3A56EF32">
            <wp:extent cx="5760000" cy="2880000"/>
            <wp:effectExtent l="0" t="0" r="0" b="0"/>
            <wp:docPr id="14" name="Chart 14" descr="A bar chart showing the contributions to Australia's and Victoria's GDP in 2019 and 2020. From highest contribution to lowest the order is: General government consumption (Australia 1.5%, Victoria 2%), Net exports (Australia -0.5%, Victoria 1.7%), Public investment (Australia 0%, Victoria 0.2%), Dwelling investment (Australia -0.2%, Victoria -0.3%), Business investment (Australia -0.4%, Victoria -0.7%), GSP (Australia -2.2%, Victoria -4.9%) and Private Consumption (Australia -3.1%, Victoria -6.3%)">
              <a:extLst xmlns:a="http://schemas.openxmlformats.org/drawingml/2006/main">
                <a:ext uri="{FF2B5EF4-FFF2-40B4-BE49-F238E27FC236}">
                  <a16:creationId xmlns:a16="http://schemas.microsoft.com/office/drawing/2014/main" id="{F2EFCB85-3695-C52A-D5F6-521EA868B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5B3BBA" w14:textId="0CD35630" w:rsidR="00DC3AB5" w:rsidRPr="00DC3AB5" w:rsidRDefault="00DC3AB5" w:rsidP="00021EF3">
      <w:pPr>
        <w:pStyle w:val="Source"/>
      </w:pPr>
      <w:r w:rsidRPr="00401048">
        <w:t xml:space="preserve">Source: Deloitte Access Economics, </w:t>
      </w:r>
      <w:r w:rsidR="00322D0C">
        <w:t>ABS</w:t>
      </w:r>
      <w:r w:rsidR="009B383F">
        <w:t>.</w:t>
      </w:r>
    </w:p>
    <w:p w14:paraId="774761EE" w14:textId="534F948F" w:rsidR="00E37F12" w:rsidRDefault="00E37F12" w:rsidP="00021EF3">
      <w:pPr>
        <w:rPr>
          <w:rFonts w:cs="Arial"/>
        </w:rPr>
      </w:pPr>
      <w:r w:rsidRPr="000043D3">
        <w:rPr>
          <w:rFonts w:cs="Arial"/>
        </w:rPr>
        <w:t xml:space="preserve">The </w:t>
      </w:r>
      <w:r w:rsidR="00B72E25">
        <w:rPr>
          <w:rFonts w:cs="Arial"/>
        </w:rPr>
        <w:t>Australian</w:t>
      </w:r>
      <w:r w:rsidRPr="000043D3">
        <w:rPr>
          <w:rFonts w:cs="Arial"/>
        </w:rPr>
        <w:t xml:space="preserve"> unemployment rate spiked, peaking at 7.5</w:t>
      </w:r>
      <w:r w:rsidRPr="00E914DF">
        <w:t xml:space="preserve"> </w:t>
      </w:r>
      <w:r>
        <w:t>per cent</w:t>
      </w:r>
      <w:r w:rsidRPr="000043D3">
        <w:rPr>
          <w:rFonts w:cs="Arial"/>
        </w:rPr>
        <w:t xml:space="preserve"> in July 2020, up from 5.1</w:t>
      </w:r>
      <w:r w:rsidRPr="00E914DF">
        <w:t xml:space="preserve"> </w:t>
      </w:r>
      <w:r>
        <w:t>per cent</w:t>
      </w:r>
      <w:r w:rsidRPr="000043D3">
        <w:rPr>
          <w:rFonts w:cs="Arial"/>
        </w:rPr>
        <w:t xml:space="preserve"> in February</w:t>
      </w:r>
      <w:r>
        <w:rPr>
          <w:rFonts w:cs="Arial"/>
        </w:rPr>
        <w:t xml:space="preserve"> earlier that year</w:t>
      </w:r>
      <w:r w:rsidRPr="000043D3">
        <w:rPr>
          <w:rFonts w:cs="Arial"/>
        </w:rPr>
        <w:t>. This increase was driven by significant job losses in sectors like hospitality, tourism and retail, which were heavily affected by the lockdown measures. The underemployment rate also reached record highs, reflecting the large number of people who had their working hours reduced.</w:t>
      </w:r>
      <w:r>
        <w:rPr>
          <w:rFonts w:cs="Arial"/>
        </w:rPr>
        <w:t xml:space="preserve"> </w:t>
      </w:r>
    </w:p>
    <w:p w14:paraId="2E10A89B" w14:textId="66011D17" w:rsidR="008E6ECD" w:rsidRDefault="00DE02BC" w:rsidP="00021EF3">
      <w:pPr>
        <w:pStyle w:val="Heading4"/>
      </w:pPr>
      <w:r>
        <w:t xml:space="preserve">The </w:t>
      </w:r>
      <w:r w:rsidR="008E6ECD" w:rsidRPr="00ED1D80">
        <w:t xml:space="preserve">Victorian economy </w:t>
      </w:r>
    </w:p>
    <w:p w14:paraId="138968C9" w14:textId="40AD4CB2" w:rsidR="00C12761" w:rsidRDefault="00C12761" w:rsidP="00021EF3">
      <w:r w:rsidRPr="00203014">
        <w:t xml:space="preserve">The </w:t>
      </w:r>
      <w:r w:rsidR="00F46724" w:rsidRPr="00401EAD">
        <w:t>COVID</w:t>
      </w:r>
      <w:r w:rsidRPr="00401EAD">
        <w:t>-19</w:t>
      </w:r>
      <w:r w:rsidRPr="00203014">
        <w:t xml:space="preserve"> pandemic impacted the Victorian economy more than any other Australian state</w:t>
      </w:r>
      <w:r w:rsidR="009C7DA7">
        <w:t xml:space="preserve">, with </w:t>
      </w:r>
      <w:r w:rsidR="00594E63">
        <w:t>gross state produc</w:t>
      </w:r>
      <w:r w:rsidR="00D97A1E">
        <w:t>t</w:t>
      </w:r>
      <w:r w:rsidR="00F26AA3">
        <w:t xml:space="preserve"> (</w:t>
      </w:r>
      <w:r w:rsidR="009C7DA7">
        <w:t>GSP</w:t>
      </w:r>
      <w:r w:rsidR="00F26AA3">
        <w:t>)</w:t>
      </w:r>
      <w:r w:rsidR="009C7DA7">
        <w:t xml:space="preserve"> </w:t>
      </w:r>
      <w:r w:rsidR="00415C2F">
        <w:t xml:space="preserve">declining </w:t>
      </w:r>
      <w:r w:rsidR="003C6CE6">
        <w:t xml:space="preserve">by 4.7 per cent in the 2020 calendar year, compared to </w:t>
      </w:r>
      <w:r w:rsidR="00C00D13">
        <w:t>2.4 per cent</w:t>
      </w:r>
      <w:r w:rsidR="003C6CE6">
        <w:t xml:space="preserve"> </w:t>
      </w:r>
      <w:r w:rsidR="00027B2C">
        <w:t>for New South Wales (</w:t>
      </w:r>
      <w:r w:rsidR="00313BAF">
        <w:t>NSW</w:t>
      </w:r>
      <w:r w:rsidR="00F305DC">
        <w:t>)</w:t>
      </w:r>
      <w:r w:rsidR="00AA1D65">
        <w:t xml:space="preserve">, </w:t>
      </w:r>
      <w:r w:rsidR="00027B2C">
        <w:t xml:space="preserve">the next most impacted jurisdiction. </w:t>
      </w:r>
      <w:r w:rsidR="006A65C6" w:rsidRPr="00203014">
        <w:t>The</w:t>
      </w:r>
      <w:r w:rsidR="006A65C6">
        <w:t xml:space="preserve"> most significant impacts to the Victorian economy were seen in household consumption and exports, which declined by </w:t>
      </w:r>
      <w:r w:rsidR="007A55E3">
        <w:t>10.2</w:t>
      </w:r>
      <w:r w:rsidR="00F86B1B">
        <w:t xml:space="preserve"> per cent</w:t>
      </w:r>
      <w:r w:rsidR="006A65C6">
        <w:t xml:space="preserve"> and </w:t>
      </w:r>
      <w:r w:rsidR="00F3170D">
        <w:t>18.8</w:t>
      </w:r>
      <w:r w:rsidR="006A65C6">
        <w:t xml:space="preserve"> per cent</w:t>
      </w:r>
      <w:r w:rsidR="00F86B1B">
        <w:t>,</w:t>
      </w:r>
      <w:r w:rsidR="00F86B1B" w:rsidRPr="00F86B1B">
        <w:t xml:space="preserve"> </w:t>
      </w:r>
      <w:r w:rsidR="00F86B1B">
        <w:t>respectively,</w:t>
      </w:r>
      <w:r w:rsidR="006A65C6">
        <w:t xml:space="preserve"> in 2020. </w:t>
      </w:r>
      <w:r w:rsidR="000219CC">
        <w:t>Service exports, which includes education—the state’s largest export—fell by 30.1</w:t>
      </w:r>
      <w:r w:rsidR="000219CC" w:rsidRPr="00E914DF">
        <w:t xml:space="preserve"> </w:t>
      </w:r>
      <w:r w:rsidR="000219CC">
        <w:t>per cent</w:t>
      </w:r>
      <w:r w:rsidR="000219CC" w:rsidDel="00E914DF">
        <w:t xml:space="preserve"> </w:t>
      </w:r>
      <w:r w:rsidR="000219CC">
        <w:t>in 2020, before falling a further 22.9</w:t>
      </w:r>
      <w:r w:rsidR="000219CC" w:rsidRPr="00E914DF">
        <w:t xml:space="preserve"> </w:t>
      </w:r>
      <w:r w:rsidR="000219CC">
        <w:t xml:space="preserve">per cent in 2021. </w:t>
      </w:r>
    </w:p>
    <w:p w14:paraId="1E67A8D2" w14:textId="4FA7B408" w:rsidR="007228C7" w:rsidRDefault="00902D6D" w:rsidP="00021EF3">
      <w:r>
        <w:t>The pandemic had a large and fast impact on the labour market, with the unemployment rate in Victoria increasing sharply from 5.2</w:t>
      </w:r>
      <w:r w:rsidRPr="00E914DF">
        <w:t xml:space="preserve"> </w:t>
      </w:r>
      <w:r>
        <w:t>per cent in March 2020 to a peak of 7.5</w:t>
      </w:r>
      <w:r w:rsidRPr="00E914DF">
        <w:t xml:space="preserve"> </w:t>
      </w:r>
      <w:r>
        <w:t>per cent</w:t>
      </w:r>
      <w:r w:rsidDel="00E914DF">
        <w:t xml:space="preserve"> </w:t>
      </w:r>
      <w:r>
        <w:t xml:space="preserve">three months later in June 2020. </w:t>
      </w:r>
      <w:r w:rsidR="000E3722">
        <w:t xml:space="preserve">This equates to 45,500 people becoming unemployed over that period. </w:t>
      </w:r>
    </w:p>
    <w:p w14:paraId="47362864" w14:textId="1FBFE66B" w:rsidR="000219CC" w:rsidRDefault="007228C7" w:rsidP="00021EF3">
      <w:r>
        <w:t>Younger workers were disproportionately impacted by the labour market downturn in 2020 as they were more likely to be employed in the industries most impacted by restrictions such as retail, hospitality, and arts and recreation</w:t>
      </w:r>
      <w:r w:rsidR="00D07EB6">
        <w:t>;</w:t>
      </w:r>
      <w:r>
        <w:t xml:space="preserve"> and were also more likely to be employed on a casual basis</w:t>
      </w:r>
      <w:r w:rsidR="005523AD">
        <w:t xml:space="preserve"> and therefore</w:t>
      </w:r>
      <w:r>
        <w:t xml:space="preserve"> less protected by </w:t>
      </w:r>
      <w:proofErr w:type="spellStart"/>
      <w:r>
        <w:t>JobKeeper</w:t>
      </w:r>
      <w:proofErr w:type="spellEnd"/>
      <w:r>
        <w:t>.</w:t>
      </w:r>
      <w:r w:rsidR="00EA675B">
        <w:rPr>
          <w:rStyle w:val="FootnoteReference"/>
        </w:rPr>
        <w:footnoteReference w:id="2"/>
      </w:r>
      <w:r>
        <w:t xml:space="preserve"> </w:t>
      </w:r>
      <w:r w:rsidR="000E3722" w:rsidRPr="006A440B">
        <w:t>Youth unemployment peaked in October 2020 at 18.2</w:t>
      </w:r>
      <w:r w:rsidR="000E3722" w:rsidRPr="00E914DF">
        <w:t xml:space="preserve"> </w:t>
      </w:r>
      <w:r w:rsidR="000E3722">
        <w:t>per cent</w:t>
      </w:r>
      <w:r w:rsidR="000E3722" w:rsidRPr="006A440B">
        <w:t>, which was 7.8 percentage points higher than the level at the end of 2019</w:t>
      </w:r>
      <w:r w:rsidR="000E3722">
        <w:t xml:space="preserve">.  </w:t>
      </w:r>
    </w:p>
    <w:p w14:paraId="7E5E6D7F" w14:textId="77777777" w:rsidR="005C6D34" w:rsidRDefault="00CE162E" w:rsidP="00021EF3">
      <w:r>
        <w:t xml:space="preserve">Other labour market indicators </w:t>
      </w:r>
      <w:r w:rsidR="00727475">
        <w:t xml:space="preserve">also </w:t>
      </w:r>
      <w:r w:rsidR="006B61BD">
        <w:t>worsened</w:t>
      </w:r>
      <w:r>
        <w:t>. The underemployment rate</w:t>
      </w:r>
      <w:r w:rsidR="005C6D34">
        <w:t>—</w:t>
      </w:r>
      <w:r>
        <w:t xml:space="preserve">a measure of the share of people in the labour force who </w:t>
      </w:r>
      <w:r w:rsidR="005C6D34">
        <w:t xml:space="preserve">are </w:t>
      </w:r>
      <w:r>
        <w:t xml:space="preserve">employed but </w:t>
      </w:r>
      <w:r w:rsidR="005C6D34">
        <w:t>working</w:t>
      </w:r>
      <w:r>
        <w:t xml:space="preserve"> </w:t>
      </w:r>
      <w:r w:rsidR="005C6D34">
        <w:t>fewer hours</w:t>
      </w:r>
      <w:r>
        <w:t xml:space="preserve"> than they </w:t>
      </w:r>
      <w:r w:rsidR="005C6D34">
        <w:t>are</w:t>
      </w:r>
      <w:r w:rsidR="006B61BD">
        <w:t xml:space="preserve"> willing and able to</w:t>
      </w:r>
      <w:r w:rsidR="005C6D34">
        <w:t>—</w:t>
      </w:r>
      <w:r>
        <w:t xml:space="preserve">rose sharply </w:t>
      </w:r>
      <w:r w:rsidR="00165855">
        <w:t>from</w:t>
      </w:r>
      <w:r>
        <w:t xml:space="preserve"> 8.2 per cent in February 2020 to 14.8</w:t>
      </w:r>
      <w:r w:rsidRPr="00E914DF">
        <w:t xml:space="preserve"> </w:t>
      </w:r>
      <w:r>
        <w:t>per cent</w:t>
      </w:r>
      <w:r w:rsidDel="00E914DF">
        <w:t xml:space="preserve"> </w:t>
      </w:r>
      <w:r>
        <w:t xml:space="preserve">in May </w:t>
      </w:r>
      <w:r w:rsidR="005C6D34">
        <w:t>2020</w:t>
      </w:r>
      <w:r>
        <w:t xml:space="preserve">. </w:t>
      </w:r>
    </w:p>
    <w:p w14:paraId="47399ED9" w14:textId="7769D287" w:rsidR="00CE162E" w:rsidRDefault="00CE162E" w:rsidP="00021EF3">
      <w:r>
        <w:t xml:space="preserve">The participation rate fell sharply to 63.5 per cent in September of 2020, </w:t>
      </w:r>
      <w:r w:rsidR="005C6D34">
        <w:t xml:space="preserve">down from </w:t>
      </w:r>
      <w:r w:rsidR="007C5C58">
        <w:t>65.8 per cent in January of that year</w:t>
      </w:r>
      <w:r w:rsidR="005C6D34">
        <w:t xml:space="preserve">, </w:t>
      </w:r>
      <w:r>
        <w:t xml:space="preserve">as large layoffs early in 2020 and weak demand for workers resulted in many Victorians exiting the labour market. </w:t>
      </w:r>
    </w:p>
    <w:p w14:paraId="53CF3140" w14:textId="533E51FB" w:rsidR="00245866" w:rsidRDefault="00923FDA" w:rsidP="00021EF3">
      <w:pPr>
        <w:pStyle w:val="Heading2"/>
      </w:pPr>
      <w:bookmarkStart w:id="131" w:name="_Toc170835688"/>
      <w:bookmarkStart w:id="132" w:name="_Toc170835728"/>
      <w:bookmarkStart w:id="133" w:name="_Toc170835689"/>
      <w:bookmarkStart w:id="134" w:name="_Toc170835729"/>
      <w:bookmarkStart w:id="135" w:name="_Toc170913957"/>
      <w:bookmarkStart w:id="136" w:name="_Toc171518393"/>
      <w:bookmarkStart w:id="137" w:name="_Toc171518625"/>
      <w:bookmarkStart w:id="138" w:name="_Toc171518672"/>
      <w:bookmarkStart w:id="139" w:name="_Toc171518739"/>
      <w:bookmarkStart w:id="140" w:name="_Toc171518776"/>
      <w:bookmarkStart w:id="141" w:name="_Toc171518813"/>
      <w:bookmarkStart w:id="142" w:name="_Toc171518851"/>
      <w:bookmarkStart w:id="143" w:name="_Toc171518394"/>
      <w:bookmarkStart w:id="144" w:name="_Toc171518626"/>
      <w:bookmarkStart w:id="145" w:name="_Toc171518673"/>
      <w:bookmarkStart w:id="146" w:name="_Toc171518740"/>
      <w:bookmarkStart w:id="147" w:name="_Toc171518777"/>
      <w:bookmarkStart w:id="148" w:name="_Toc171518814"/>
      <w:bookmarkStart w:id="149" w:name="_Toc171518852"/>
      <w:bookmarkStart w:id="150" w:name="_Toc171518395"/>
      <w:bookmarkStart w:id="151" w:name="_Toc171518627"/>
      <w:bookmarkStart w:id="152" w:name="_Toc171518674"/>
      <w:bookmarkStart w:id="153" w:name="_Toc171518741"/>
      <w:bookmarkStart w:id="154" w:name="_Toc171518778"/>
      <w:bookmarkStart w:id="155" w:name="_Toc171518815"/>
      <w:bookmarkStart w:id="156" w:name="_Toc171518853"/>
      <w:bookmarkStart w:id="157" w:name="_Toc171518396"/>
      <w:bookmarkStart w:id="158" w:name="_Toc171518628"/>
      <w:bookmarkStart w:id="159" w:name="_Toc171518675"/>
      <w:bookmarkStart w:id="160" w:name="_Toc171518742"/>
      <w:bookmarkStart w:id="161" w:name="_Toc171518779"/>
      <w:bookmarkStart w:id="162" w:name="_Toc171518816"/>
      <w:bookmarkStart w:id="163" w:name="_Toc171518854"/>
      <w:bookmarkStart w:id="164" w:name="_Toc171518397"/>
      <w:bookmarkStart w:id="165" w:name="_Toc171518629"/>
      <w:bookmarkStart w:id="166" w:name="_Toc171518676"/>
      <w:bookmarkStart w:id="167" w:name="_Toc171518743"/>
      <w:bookmarkStart w:id="168" w:name="_Toc171518780"/>
      <w:bookmarkStart w:id="169" w:name="_Toc171518817"/>
      <w:bookmarkStart w:id="170" w:name="_Toc171518855"/>
      <w:bookmarkStart w:id="171" w:name="_Toc171518398"/>
      <w:bookmarkStart w:id="172" w:name="_Toc171518630"/>
      <w:bookmarkStart w:id="173" w:name="_Toc171518677"/>
      <w:bookmarkStart w:id="174" w:name="_Toc171518744"/>
      <w:bookmarkStart w:id="175" w:name="_Toc171518781"/>
      <w:bookmarkStart w:id="176" w:name="_Toc171518818"/>
      <w:bookmarkStart w:id="177" w:name="_Toc171518856"/>
      <w:bookmarkStart w:id="178" w:name="_Toc171518399"/>
      <w:bookmarkStart w:id="179" w:name="_Toc171518631"/>
      <w:bookmarkStart w:id="180" w:name="_Toc171518678"/>
      <w:bookmarkStart w:id="181" w:name="_Toc171518745"/>
      <w:bookmarkStart w:id="182" w:name="_Toc171518782"/>
      <w:bookmarkStart w:id="183" w:name="_Toc171518819"/>
      <w:bookmarkStart w:id="184" w:name="_Toc171518857"/>
      <w:bookmarkStart w:id="185" w:name="_Toc171518400"/>
      <w:bookmarkStart w:id="186" w:name="_Toc171518632"/>
      <w:bookmarkStart w:id="187" w:name="_Toc171518679"/>
      <w:bookmarkStart w:id="188" w:name="_Toc171518746"/>
      <w:bookmarkStart w:id="189" w:name="_Toc171518783"/>
      <w:bookmarkStart w:id="190" w:name="_Toc171518820"/>
      <w:bookmarkStart w:id="191" w:name="_Toc171518858"/>
      <w:bookmarkStart w:id="192" w:name="_Toc170913958"/>
      <w:bookmarkStart w:id="193" w:name="_Toc173244942"/>
      <w:bookmarkStart w:id="194" w:name="_Toc173245851"/>
      <w:bookmarkStart w:id="195" w:name="_Toc173246280"/>
      <w:bookmarkStart w:id="196" w:name="_Toc173308282"/>
      <w:bookmarkStart w:id="197" w:name="_Toc173344705"/>
      <w:bookmarkStart w:id="198" w:name="_Toc173344932"/>
      <w:bookmarkStart w:id="199" w:name="_Toc173915887"/>
      <w:bookmarkStart w:id="200" w:name="_Toc174118124"/>
      <w:bookmarkStart w:id="201" w:name="_Toc176516243"/>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lastRenderedPageBreak/>
        <w:t>Business Cost</w:t>
      </w:r>
      <w:r w:rsidR="007E7D73">
        <w:t>s</w:t>
      </w:r>
      <w:r>
        <w:t xml:space="preserve"> Assistance Program </w:t>
      </w:r>
      <w:r w:rsidR="00AC7841">
        <w:t xml:space="preserve">(BCAP) </w:t>
      </w:r>
      <w:r>
        <w:t xml:space="preserve">and </w:t>
      </w:r>
      <w:r w:rsidR="000A0DB0" w:rsidRPr="000A0DB0">
        <w:t>Licen</w:t>
      </w:r>
      <w:r w:rsidR="0044634C">
        <w:t>s</w:t>
      </w:r>
      <w:r w:rsidR="000A0DB0" w:rsidRPr="000A0DB0">
        <w:t>ed Hospitality Venue Fund</w:t>
      </w:r>
      <w:bookmarkEnd w:id="192"/>
      <w:r w:rsidR="00AC7841">
        <w:t xml:space="preserve"> (LHVF)</w:t>
      </w:r>
      <w:bookmarkEnd w:id="193"/>
      <w:bookmarkEnd w:id="194"/>
      <w:bookmarkEnd w:id="195"/>
      <w:bookmarkEnd w:id="196"/>
      <w:bookmarkEnd w:id="197"/>
      <w:bookmarkEnd w:id="198"/>
      <w:bookmarkEnd w:id="199"/>
      <w:bookmarkEnd w:id="200"/>
      <w:bookmarkEnd w:id="201"/>
    </w:p>
    <w:p w14:paraId="6CD64201" w14:textId="596815DA" w:rsidR="004701AC" w:rsidRDefault="0052588B" w:rsidP="00021EF3">
      <w:r>
        <w:t xml:space="preserve">In response to the </w:t>
      </w:r>
      <w:r w:rsidR="005D53FC">
        <w:t xml:space="preserve">negative </w:t>
      </w:r>
      <w:r w:rsidR="001F2D64">
        <w:t xml:space="preserve">economic impacts </w:t>
      </w:r>
      <w:r w:rsidR="005D53FC">
        <w:t xml:space="preserve">from </w:t>
      </w:r>
      <w:r w:rsidR="00B462FD">
        <w:t xml:space="preserve">the </w:t>
      </w:r>
      <w:r w:rsidR="005D53FC">
        <w:t>COVID-19</w:t>
      </w:r>
      <w:r w:rsidR="00B462FD">
        <w:t xml:space="preserve"> pandemic</w:t>
      </w:r>
      <w:r w:rsidR="001F2D64">
        <w:t>, t</w:t>
      </w:r>
      <w:r w:rsidR="0035630E">
        <w:t xml:space="preserve">he Victorian Government introduced </w:t>
      </w:r>
      <w:r w:rsidR="004A1384">
        <w:t>a suite of financial support programs aimed to minimise the impact of the pandemic and public health restrictions on Victorians. These included</w:t>
      </w:r>
      <w:r w:rsidR="005D53FC">
        <w:t xml:space="preserve"> (but are not limited to)</w:t>
      </w:r>
      <w:r w:rsidR="004701AC">
        <w:t>:</w:t>
      </w:r>
    </w:p>
    <w:p w14:paraId="016F389A" w14:textId="2AFE5259" w:rsidR="004701AC" w:rsidRDefault="00CB1956" w:rsidP="00021EF3">
      <w:pPr>
        <w:pStyle w:val="ListBullet"/>
      </w:pPr>
      <w:r>
        <w:t>t</w:t>
      </w:r>
      <w:r w:rsidR="004A1384" w:rsidRPr="00CB1956">
        <w:t>he</w:t>
      </w:r>
      <w:r w:rsidR="004A1384">
        <w:t xml:space="preserve"> </w:t>
      </w:r>
      <w:r w:rsidR="00505C50">
        <w:t xml:space="preserve">Working </w:t>
      </w:r>
      <w:r w:rsidR="001C2ED8">
        <w:t>f</w:t>
      </w:r>
      <w:r w:rsidR="00505C50">
        <w:t>or Victoria</w:t>
      </w:r>
      <w:r w:rsidR="004A1384">
        <w:t xml:space="preserve"> program</w:t>
      </w:r>
      <w:r w:rsidR="001B054C">
        <w:t>s (including the</w:t>
      </w:r>
      <w:r w:rsidR="004A1384">
        <w:t xml:space="preserve"> Youth Employment </w:t>
      </w:r>
      <w:r w:rsidR="001B054C">
        <w:t>P</w:t>
      </w:r>
      <w:r w:rsidR="004A1384">
        <w:t>rogram</w:t>
      </w:r>
      <w:r w:rsidR="001B054C">
        <w:t>)</w:t>
      </w:r>
      <w:r w:rsidR="004A1384">
        <w:t xml:space="preserve"> </w:t>
      </w:r>
    </w:p>
    <w:p w14:paraId="6D069C41" w14:textId="0CE49724" w:rsidR="004701AC" w:rsidRDefault="00CB1956" w:rsidP="00021EF3">
      <w:pPr>
        <w:pStyle w:val="ListBullet"/>
      </w:pPr>
      <w:r>
        <w:t>r</w:t>
      </w:r>
      <w:r w:rsidR="004A1384" w:rsidRPr="00CB1956">
        <w:t>egional</w:t>
      </w:r>
      <w:r w:rsidR="004A1384">
        <w:t xml:space="preserve"> tourism supports</w:t>
      </w:r>
      <w:r w:rsidR="001B054C">
        <w:t xml:space="preserve"> such as </w:t>
      </w:r>
      <w:r w:rsidR="00C131CA">
        <w:t xml:space="preserve">those within the Visitor Economy Recovery and Reform Plan and </w:t>
      </w:r>
      <w:r w:rsidR="001A4F6E">
        <w:t>the Victorian Government Travel Voucher Scheme</w:t>
      </w:r>
    </w:p>
    <w:p w14:paraId="1639975B" w14:textId="6F6789F1" w:rsidR="004701AC" w:rsidRDefault="00597826" w:rsidP="00021EF3">
      <w:pPr>
        <w:pStyle w:val="ListBullet"/>
      </w:pPr>
      <w:r>
        <w:t>t</w:t>
      </w:r>
      <w:r w:rsidR="004701AC" w:rsidRPr="00CB1956">
        <w:t>he</w:t>
      </w:r>
      <w:r w:rsidR="004701AC">
        <w:t xml:space="preserve"> Melbourne City Funds including outdoor dining grants, infrastructure improvements and marketing and events</w:t>
      </w:r>
    </w:p>
    <w:p w14:paraId="47066921" w14:textId="2B7063CC" w:rsidR="0035630E" w:rsidRDefault="004A1384" w:rsidP="00021EF3">
      <w:r>
        <w:t xml:space="preserve">As such, </w:t>
      </w:r>
      <w:r w:rsidR="00DF27BA">
        <w:t>BCAP</w:t>
      </w:r>
      <w:r w:rsidR="0035630E">
        <w:t xml:space="preserve"> and LHVF</w:t>
      </w:r>
      <w:r w:rsidR="00F1711F">
        <w:t xml:space="preserve"> were created</w:t>
      </w:r>
      <w:r w:rsidR="0035630E">
        <w:t xml:space="preserve"> to support businesses impacted by </w:t>
      </w:r>
      <w:r w:rsidR="00EF4A8A">
        <w:t>public health</w:t>
      </w:r>
      <w:r w:rsidR="0035630E">
        <w:t xml:space="preserve"> restrictions. </w:t>
      </w:r>
      <w:r w:rsidR="008042F2">
        <w:t xml:space="preserve">The two programs were mutually exclusive, </w:t>
      </w:r>
      <w:r w:rsidR="00350C42">
        <w:t>businesses could not receive both grants</w:t>
      </w:r>
      <w:r w:rsidR="00DC2A97">
        <w:t>.</w:t>
      </w:r>
      <w:r w:rsidR="00710C0C">
        <w:t xml:space="preserve"> </w:t>
      </w:r>
      <w:r w:rsidR="003E7EE2">
        <w:t xml:space="preserve">Additionally, </w:t>
      </w:r>
      <w:r w:rsidR="00882D20">
        <w:t xml:space="preserve">inclusion in other </w:t>
      </w:r>
      <w:r w:rsidR="005C095E">
        <w:t xml:space="preserve">comparable government </w:t>
      </w:r>
      <w:r w:rsidR="00674A9C">
        <w:t xml:space="preserve">COVID-19 support </w:t>
      </w:r>
      <w:r w:rsidR="00882D20">
        <w:t>programs excluded businesses from accessing both LHVF a</w:t>
      </w:r>
      <w:r w:rsidR="00AE3A03">
        <w:t>n</w:t>
      </w:r>
      <w:r w:rsidR="00882D20">
        <w:t xml:space="preserve">d BCAP. </w:t>
      </w:r>
    </w:p>
    <w:p w14:paraId="7EC02B72" w14:textId="4B93FEF9" w:rsidR="008944EA" w:rsidRDefault="00DF27BA" w:rsidP="00021EF3">
      <w:pPr>
        <w:pStyle w:val="Heading3"/>
      </w:pPr>
      <w:bookmarkStart w:id="202" w:name="_Toc173244943"/>
      <w:bookmarkStart w:id="203" w:name="_Toc173245852"/>
      <w:bookmarkStart w:id="204" w:name="_Toc173246281"/>
      <w:bookmarkStart w:id="205" w:name="_Toc173308283"/>
      <w:bookmarkStart w:id="206" w:name="_Toc173344706"/>
      <w:bookmarkStart w:id="207" w:name="_Toc173344933"/>
      <w:bookmarkStart w:id="208" w:name="_Toc173915888"/>
      <w:bookmarkStart w:id="209" w:name="_Toc174118125"/>
      <w:bookmarkStart w:id="210" w:name="_Toc176516244"/>
      <w:r>
        <w:t>BCAP</w:t>
      </w:r>
      <w:bookmarkEnd w:id="202"/>
      <w:bookmarkEnd w:id="203"/>
      <w:bookmarkEnd w:id="204"/>
      <w:bookmarkEnd w:id="205"/>
      <w:bookmarkEnd w:id="206"/>
      <w:bookmarkEnd w:id="207"/>
      <w:bookmarkEnd w:id="208"/>
      <w:bookmarkEnd w:id="209"/>
      <w:bookmarkEnd w:id="210"/>
    </w:p>
    <w:p w14:paraId="787EC0D2" w14:textId="45EE05C4" w:rsidR="00233F83" w:rsidRDefault="00EE5F7D" w:rsidP="00021EF3">
      <w:r>
        <w:t>BCAP</w:t>
      </w:r>
      <w:r w:rsidR="005752A2">
        <w:t xml:space="preserve"> was </w:t>
      </w:r>
      <w:r w:rsidR="00680F74">
        <w:t>designed</w:t>
      </w:r>
      <w:r w:rsidR="00E75195">
        <w:t xml:space="preserve"> </w:t>
      </w:r>
      <w:r w:rsidR="00680F74">
        <w:t xml:space="preserve">to cover the costs of </w:t>
      </w:r>
      <w:r w:rsidR="00694E09">
        <w:t>sole</w:t>
      </w:r>
      <w:r w:rsidR="009C5C45">
        <w:t xml:space="preserve"> </w:t>
      </w:r>
      <w:r w:rsidR="00694E09">
        <w:t>traders</w:t>
      </w:r>
      <w:r w:rsidR="005B610D">
        <w:t xml:space="preserve"> and</w:t>
      </w:r>
      <w:r w:rsidR="00680F74">
        <w:t xml:space="preserve"> </w:t>
      </w:r>
      <w:r w:rsidR="004F736A">
        <w:t>small</w:t>
      </w:r>
      <w:r w:rsidR="005B610D">
        <w:t>-</w:t>
      </w:r>
      <w:r w:rsidR="004F736A">
        <w:t xml:space="preserve"> and medium sized </w:t>
      </w:r>
      <w:r w:rsidR="00680F74">
        <w:t xml:space="preserve">businesses </w:t>
      </w:r>
      <w:r w:rsidR="008861DC">
        <w:t xml:space="preserve">while </w:t>
      </w:r>
      <w:r w:rsidR="00680F74">
        <w:t xml:space="preserve">they were subject to </w:t>
      </w:r>
      <w:r w:rsidR="00CB2584">
        <w:t xml:space="preserve">public health </w:t>
      </w:r>
      <w:r w:rsidR="00266DCD">
        <w:t>restrictions</w:t>
      </w:r>
      <w:r w:rsidR="0050772E">
        <w:t xml:space="preserve"> </w:t>
      </w:r>
      <w:r w:rsidR="0059489B">
        <w:t xml:space="preserve">during the </w:t>
      </w:r>
      <w:r w:rsidR="007D7945">
        <w:t>COVID-19 pandemic.</w:t>
      </w:r>
      <w:r w:rsidR="009628B3">
        <w:rPr>
          <w:rStyle w:val="EndnoteReference"/>
        </w:rPr>
        <w:endnoteReference w:id="15"/>
      </w:r>
      <w:r w:rsidR="00906877">
        <w:t xml:space="preserve"> </w:t>
      </w:r>
    </w:p>
    <w:p w14:paraId="359D060C" w14:textId="385162A8" w:rsidR="00F26117" w:rsidRPr="00F26117" w:rsidRDefault="00906877" w:rsidP="00021EF3">
      <w:r>
        <w:t xml:space="preserve">BCAP </w:t>
      </w:r>
      <w:r w:rsidR="0009087A">
        <w:t xml:space="preserve">was first created </w:t>
      </w:r>
      <w:r w:rsidR="0073415B">
        <w:t xml:space="preserve">to provide targeted support to businesses that </w:t>
      </w:r>
      <w:r w:rsidR="008B74E6">
        <w:t xml:space="preserve">were most likely to have incurred direct costs </w:t>
      </w:r>
      <w:r w:rsidR="00BD1952">
        <w:t xml:space="preserve">due to the </w:t>
      </w:r>
      <w:r w:rsidR="003D343E">
        <w:t>five</w:t>
      </w:r>
      <w:r w:rsidR="006A4162">
        <w:t>-</w:t>
      </w:r>
      <w:r w:rsidR="003D343E">
        <w:t xml:space="preserve">day </w:t>
      </w:r>
      <w:r w:rsidR="00D42B36">
        <w:t xml:space="preserve">circuit breaker </w:t>
      </w:r>
      <w:r w:rsidR="003D343E">
        <w:t xml:space="preserve">lockdown in February 2021. </w:t>
      </w:r>
      <w:r w:rsidR="00F90290">
        <w:t>This first round of BCAP provided $2</w:t>
      </w:r>
      <w:r w:rsidR="00986579">
        <w:t>,</w:t>
      </w:r>
      <w:r w:rsidR="00F90290">
        <w:t xml:space="preserve">000 grants to a small number of eligible </w:t>
      </w:r>
      <w:r w:rsidR="00F0440C">
        <w:t xml:space="preserve">Australian and New Zealand Standard Industrial Classification </w:t>
      </w:r>
      <w:r w:rsidR="007E7D73">
        <w:t>(</w:t>
      </w:r>
      <w:r w:rsidR="00F90290">
        <w:t>ANZSIC</w:t>
      </w:r>
      <w:r w:rsidR="007E7D73">
        <w:t>)</w:t>
      </w:r>
      <w:r w:rsidR="00F90290">
        <w:t xml:space="preserve"> codes</w:t>
      </w:r>
      <w:r w:rsidR="00CD66CB">
        <w:t xml:space="preserve"> in</w:t>
      </w:r>
      <w:r w:rsidR="00441EE8">
        <w:t xml:space="preserve"> the </w:t>
      </w:r>
      <w:r w:rsidR="00CD66CB">
        <w:t>hospitality, food wholesaling, tourism and events and related services industries</w:t>
      </w:r>
      <w:r w:rsidR="00233F83">
        <w:t xml:space="preserve"> as well as selected retailers</w:t>
      </w:r>
      <w:r w:rsidR="00CD66CB">
        <w:t>.</w:t>
      </w:r>
      <w:r w:rsidR="00F65E55">
        <w:t xml:space="preserve"> </w:t>
      </w:r>
      <w:r w:rsidR="00F605F0">
        <w:t>Businesses</w:t>
      </w:r>
      <w:r w:rsidR="00F65E55">
        <w:t xml:space="preserve"> </w:t>
      </w:r>
      <w:r w:rsidR="00F605F0">
        <w:t>with an eligible ANZSIC code</w:t>
      </w:r>
      <w:r w:rsidR="00F65E55">
        <w:t xml:space="preserve"> </w:t>
      </w:r>
      <w:r w:rsidR="00893A14">
        <w:t>needed to be loca</w:t>
      </w:r>
      <w:r w:rsidR="0034723D">
        <w:t xml:space="preserve">ted within </w:t>
      </w:r>
      <w:r w:rsidR="00813D52">
        <w:t>Victoria</w:t>
      </w:r>
      <w:r w:rsidR="0030078B">
        <w:t xml:space="preserve">. They </w:t>
      </w:r>
      <w:r w:rsidR="00E314A2">
        <w:t>needed to</w:t>
      </w:r>
      <w:r w:rsidR="00AD7679">
        <w:t xml:space="preserve"> have incurred </w:t>
      </w:r>
      <w:r w:rsidR="003C1F78">
        <w:t xml:space="preserve">costs directly related to the </w:t>
      </w:r>
      <w:r w:rsidR="004F03BC">
        <w:t>circuit breaker action coming into effect (i.e</w:t>
      </w:r>
      <w:r w:rsidR="004D6537">
        <w:t>.,</w:t>
      </w:r>
      <w:r w:rsidR="004F03BC">
        <w:t xml:space="preserve"> lost perishable goods </w:t>
      </w:r>
      <w:r w:rsidR="0039610B">
        <w:t xml:space="preserve">or </w:t>
      </w:r>
      <w:r w:rsidR="00DB1C1D">
        <w:t>booking cancellations)</w:t>
      </w:r>
      <w:r w:rsidR="00FC57C6">
        <w:t xml:space="preserve">, have registered </w:t>
      </w:r>
      <w:r w:rsidR="00FC5A67">
        <w:t>for Goods and Services Tax (</w:t>
      </w:r>
      <w:r w:rsidR="00FC57C6">
        <w:t>GST</w:t>
      </w:r>
      <w:r w:rsidR="00FC5A67">
        <w:t>)</w:t>
      </w:r>
      <w:r w:rsidR="00125E7F">
        <w:t xml:space="preserve">, </w:t>
      </w:r>
      <w:r w:rsidR="009E36C4">
        <w:t>Australian Business Number (</w:t>
      </w:r>
      <w:r w:rsidR="00125E7F">
        <w:t>AB</w:t>
      </w:r>
      <w:r w:rsidR="00403B43">
        <w:t>N</w:t>
      </w:r>
      <w:r w:rsidR="009E36C4">
        <w:t>)</w:t>
      </w:r>
      <w:r w:rsidR="00403B43">
        <w:t xml:space="preserve"> and</w:t>
      </w:r>
      <w:r w:rsidR="00813D52">
        <w:t xml:space="preserve"> have</w:t>
      </w:r>
      <w:r w:rsidR="00403B43">
        <w:t xml:space="preserve"> an annual payroll of up to $3 million in 2019-20. </w:t>
      </w:r>
    </w:p>
    <w:p w14:paraId="5B9412E9" w14:textId="58601D4D" w:rsidR="00F87342" w:rsidRDefault="00233F83" w:rsidP="00021EF3">
      <w:r>
        <w:t xml:space="preserve">The second round of BCAP, known as BCAP2, </w:t>
      </w:r>
      <w:r w:rsidR="00F86DAB">
        <w:t xml:space="preserve">was created to provide financial support to the businesses most heavily impacted by the COVID-19 </w:t>
      </w:r>
      <w:r w:rsidR="00502420">
        <w:t>public health</w:t>
      </w:r>
      <w:r w:rsidR="00F86DAB">
        <w:t xml:space="preserve"> restrictions that occurred between </w:t>
      </w:r>
      <w:r w:rsidR="00CA207A">
        <w:t xml:space="preserve">May and </w:t>
      </w:r>
      <w:r w:rsidR="00D93C55">
        <w:t>June 2021.</w:t>
      </w:r>
      <w:r w:rsidR="00701E19">
        <w:t xml:space="preserve"> </w:t>
      </w:r>
      <w:r w:rsidR="003C1432">
        <w:t>BCAP2 provided grants of up to $</w:t>
      </w:r>
      <w:r w:rsidR="00CB58DB">
        <w:t>5</w:t>
      </w:r>
      <w:r w:rsidR="00986579">
        <w:t>,</w:t>
      </w:r>
      <w:r w:rsidR="003C1432">
        <w:t>000</w:t>
      </w:r>
      <w:r w:rsidR="00694E09">
        <w:t xml:space="preserve"> to eligible businesses</w:t>
      </w:r>
      <w:r w:rsidR="00E554FF">
        <w:t xml:space="preserve">. </w:t>
      </w:r>
      <w:r w:rsidR="00CB58DB">
        <w:t>An additional $2</w:t>
      </w:r>
      <w:r w:rsidR="00986579">
        <w:t>,</w:t>
      </w:r>
      <w:r w:rsidR="00CB58DB">
        <w:t xml:space="preserve">000 could be </w:t>
      </w:r>
      <w:r w:rsidR="00C77EE1">
        <w:t>received by businesses if they were eligible for the ‘Tourism Supplement</w:t>
      </w:r>
      <w:r w:rsidR="004935C3">
        <w:t>’</w:t>
      </w:r>
      <w:r w:rsidR="00C77EE1">
        <w:t xml:space="preserve"> which coincided with BCAP2</w:t>
      </w:r>
      <w:r w:rsidR="004935C3">
        <w:t xml:space="preserve">. </w:t>
      </w:r>
      <w:r w:rsidR="00F87342">
        <w:t>BCAP2, similarly to BCAP</w:t>
      </w:r>
      <w:r w:rsidR="005B610D">
        <w:t>,</w:t>
      </w:r>
      <w:r w:rsidR="00F87342">
        <w:t xml:space="preserve"> required an ABN and GST to have been registered by a certain date</w:t>
      </w:r>
      <w:r w:rsidR="007954C9">
        <w:t>. The most significant difference between the two is the eligible ANZSIC codes, BCAP2</w:t>
      </w:r>
      <w:r w:rsidR="00A13AF5">
        <w:t xml:space="preserve"> expanded the eligible ANZSIC codes</w:t>
      </w:r>
      <w:r w:rsidR="00222C5F">
        <w:t xml:space="preserve"> to capture a larger group of hospitality, food wholesaling, tourism, retail and events and related services</w:t>
      </w:r>
      <w:r w:rsidR="00A30EFA">
        <w:t xml:space="preserve">. </w:t>
      </w:r>
    </w:p>
    <w:p w14:paraId="35B0DD7A" w14:textId="0DF4D6F7" w:rsidR="009B383F" w:rsidRDefault="00DD345C" w:rsidP="00021EF3">
      <w:r>
        <w:t>Another stream, known as BCAP2e</w:t>
      </w:r>
      <w:r w:rsidR="00CE7C3B">
        <w:t>,</w:t>
      </w:r>
      <w:r w:rsidR="006D7603">
        <w:t xml:space="preserve"> was opened in July 2021</w:t>
      </w:r>
      <w:r w:rsidR="00F77FFB">
        <w:t xml:space="preserve">, to again provide targeted support to businesses </w:t>
      </w:r>
      <w:r w:rsidR="0089347D">
        <w:t xml:space="preserve">that were impacted by the </w:t>
      </w:r>
      <w:r w:rsidR="00292014">
        <w:t xml:space="preserve">July lockdown </w:t>
      </w:r>
      <w:r w:rsidR="00C97076">
        <w:t>and subsequent restrictions on business operations</w:t>
      </w:r>
      <w:r w:rsidR="006D7603">
        <w:t xml:space="preserve">. </w:t>
      </w:r>
      <w:r w:rsidR="00213D85">
        <w:t xml:space="preserve">This stream </w:t>
      </w:r>
      <w:r w:rsidR="000E48CC">
        <w:t xml:space="preserve">had the same eligibility criteria as BCAP2, </w:t>
      </w:r>
      <w:r w:rsidR="00E05CB9">
        <w:t xml:space="preserve">(with a later date for ABN and GST registration than BCAP2) </w:t>
      </w:r>
      <w:r w:rsidR="000E48CC">
        <w:t xml:space="preserve">and was created to </w:t>
      </w:r>
      <w:r w:rsidR="00DC2573">
        <w:t xml:space="preserve">provide support to businesses </w:t>
      </w:r>
      <w:r w:rsidR="002142D5">
        <w:t xml:space="preserve">that </w:t>
      </w:r>
      <w:r w:rsidR="00DC2573">
        <w:t>had missed out on applying to BCAP2</w:t>
      </w:r>
      <w:r w:rsidR="009B383F">
        <w:t xml:space="preserve"> yet</w:t>
      </w:r>
      <w:r w:rsidR="00F66D71">
        <w:t xml:space="preserve"> needed financial support from the state </w:t>
      </w:r>
      <w:r w:rsidR="003B0AAA">
        <w:t>government</w:t>
      </w:r>
      <w:r w:rsidR="00DC2573">
        <w:t xml:space="preserve">. </w:t>
      </w:r>
      <w:r w:rsidR="00311409">
        <w:t>BCAP2e provided grants of up to $4</w:t>
      </w:r>
      <w:r w:rsidR="00986579">
        <w:t>,</w:t>
      </w:r>
      <w:r w:rsidR="00311409">
        <w:t xml:space="preserve">800 to each </w:t>
      </w:r>
      <w:r w:rsidR="00CC65F7">
        <w:t xml:space="preserve">business. </w:t>
      </w:r>
    </w:p>
    <w:p w14:paraId="3B5323EC" w14:textId="505C05F0" w:rsidR="00F66D71" w:rsidRDefault="00DC4288" w:rsidP="00021EF3">
      <w:r>
        <w:t>Throughout the June</w:t>
      </w:r>
      <w:r w:rsidR="00BE528F">
        <w:t xml:space="preserve"> and </w:t>
      </w:r>
      <w:r w:rsidR="00632818">
        <w:t>July</w:t>
      </w:r>
      <w:r>
        <w:t xml:space="preserve"> </w:t>
      </w:r>
      <w:r w:rsidR="00BE528F">
        <w:t>lockdowns and restrictions</w:t>
      </w:r>
      <w:r>
        <w:t>, recipients of BCAP2 were receiving top</w:t>
      </w:r>
      <w:r w:rsidR="00945F41">
        <w:t>-</w:t>
      </w:r>
      <w:r>
        <w:t xml:space="preserve">ups. </w:t>
      </w:r>
      <w:r w:rsidR="00060402">
        <w:t>BCAP</w:t>
      </w:r>
      <w:r w:rsidR="00632818">
        <w:t>2 and BCAP2e then synced and began providing top</w:t>
      </w:r>
      <w:r w:rsidR="00945F41">
        <w:t>-</w:t>
      </w:r>
      <w:r w:rsidR="00632818">
        <w:t>ups</w:t>
      </w:r>
      <w:r w:rsidR="00EC71FC">
        <w:t>/further funding</w:t>
      </w:r>
      <w:r w:rsidR="00632818">
        <w:t xml:space="preserve"> simultaneously</w:t>
      </w:r>
      <w:r w:rsidR="00D46557">
        <w:t xml:space="preserve"> and will therefore be referred to as BCAP2/2e. </w:t>
      </w:r>
    </w:p>
    <w:p w14:paraId="56BBF1E9" w14:textId="3978DF15" w:rsidR="0030612F" w:rsidRDefault="0030612F" w:rsidP="00021EF3">
      <w:r>
        <w:t>F</w:t>
      </w:r>
      <w:r w:rsidR="00A60683">
        <w:t xml:space="preserve">urther rounds of BCAP relied on the eligibility criteria established </w:t>
      </w:r>
      <w:r w:rsidR="00997745">
        <w:t xml:space="preserve">through BCAP2/2e. </w:t>
      </w:r>
      <w:r w:rsidR="00EA2341">
        <w:t>If a business had received either, then they were eligible to receive the subsequent Business Continuity Fund, BCAP 3 (and metro/regional top</w:t>
      </w:r>
      <w:r w:rsidR="00945F41">
        <w:t>-</w:t>
      </w:r>
      <w:r w:rsidR="00EA2341">
        <w:t xml:space="preserve">ups), BCAP 4 and BCAP 5. </w:t>
      </w:r>
      <w:r w:rsidR="00F6552C">
        <w:t xml:space="preserve">The eligibility criteria for each round </w:t>
      </w:r>
      <w:r w:rsidR="004D6537">
        <w:t>were</w:t>
      </w:r>
      <w:r w:rsidR="00F6552C">
        <w:t xml:space="preserve"> only revalidated in </w:t>
      </w:r>
      <w:r w:rsidR="00C86196">
        <w:t>September 2021 with BCAP 4</w:t>
      </w:r>
      <w:r w:rsidR="00AB377A">
        <w:t xml:space="preserve"> and O</w:t>
      </w:r>
      <w:r w:rsidR="006E5674">
        <w:t>c</w:t>
      </w:r>
      <w:r w:rsidR="00AB377A">
        <w:t>tober</w:t>
      </w:r>
      <w:r w:rsidR="006E5674">
        <w:t xml:space="preserve">/November 2021 with BCAP 5. </w:t>
      </w:r>
      <w:r w:rsidR="00AC6558">
        <w:t xml:space="preserve">The payment amount for each round did differ </w:t>
      </w:r>
      <w:r w:rsidR="00C37976">
        <w:t>and eventually moved to be based off of payroll and employing status</w:t>
      </w:r>
      <w:r w:rsidR="00CE7C3B">
        <w:t>;</w:t>
      </w:r>
      <w:r w:rsidR="00C060A5">
        <w:t xml:space="preserve"> this occurred with BCAP 4 and BCAP 5 </w:t>
      </w:r>
      <w:r w:rsidR="00AC6558">
        <w:t xml:space="preserve">(see </w:t>
      </w:r>
      <w:r w:rsidR="00453EF6">
        <w:fldChar w:fldCharType="begin"/>
      </w:r>
      <w:r w:rsidR="00453EF6">
        <w:instrText xml:space="preserve"> REF _Ref173343457 \r \h </w:instrText>
      </w:r>
      <w:r w:rsidR="00021EF3">
        <w:instrText xml:space="preserve"> \* MERGEFORMAT </w:instrText>
      </w:r>
      <w:r w:rsidR="00453EF6">
        <w:fldChar w:fldCharType="separate"/>
      </w:r>
      <w:r w:rsidR="0016271C">
        <w:t>Figure 1.1</w:t>
      </w:r>
      <w:r w:rsidR="00453EF6">
        <w:fldChar w:fldCharType="end"/>
      </w:r>
      <w:r w:rsidR="00CC41B3">
        <w:t xml:space="preserve"> </w:t>
      </w:r>
      <w:r w:rsidR="00093C38">
        <w:t xml:space="preserve">and </w:t>
      </w:r>
      <w:r w:rsidR="00054A7A" w:rsidRPr="00581D9A">
        <w:t xml:space="preserve">Appendix </w:t>
      </w:r>
      <w:r w:rsidR="00054A7A" w:rsidRPr="00581D9A">
        <w:fldChar w:fldCharType="begin"/>
      </w:r>
      <w:r w:rsidR="00054A7A" w:rsidRPr="00581D9A">
        <w:instrText xml:space="preserve"> REF _Ref173308558 \r \h  \* MERGEFORMAT </w:instrText>
      </w:r>
      <w:r w:rsidR="00054A7A" w:rsidRPr="00581D9A">
        <w:fldChar w:fldCharType="separate"/>
      </w:r>
      <w:r w:rsidR="0016271C">
        <w:t>F.1</w:t>
      </w:r>
      <w:r w:rsidR="00054A7A" w:rsidRPr="00581D9A">
        <w:fldChar w:fldCharType="end"/>
      </w:r>
      <w:r w:rsidR="0053686A">
        <w:t xml:space="preserve"> </w:t>
      </w:r>
      <w:r w:rsidR="00AC6558">
        <w:t xml:space="preserve">for more detail). </w:t>
      </w:r>
    </w:p>
    <w:p w14:paraId="74540216" w14:textId="3393D54D" w:rsidR="009C68FE" w:rsidRDefault="00DF27BA" w:rsidP="00021EF3">
      <w:pPr>
        <w:pStyle w:val="Heading3"/>
      </w:pPr>
      <w:r>
        <w:t>LHVF</w:t>
      </w:r>
    </w:p>
    <w:p w14:paraId="7BA25FE5" w14:textId="26F80D0E" w:rsidR="00D86630" w:rsidRDefault="00DF4AC6" w:rsidP="00021EF3">
      <w:r>
        <w:t>LHVF</w:t>
      </w:r>
      <w:r w:rsidR="00E75195">
        <w:t xml:space="preserve"> was </w:t>
      </w:r>
      <w:r w:rsidR="00376A40">
        <w:t>established</w:t>
      </w:r>
      <w:r w:rsidR="00E75195">
        <w:t xml:space="preserve"> </w:t>
      </w:r>
      <w:r w:rsidR="00D86630">
        <w:t xml:space="preserve">to </w:t>
      </w:r>
      <w:r w:rsidR="004E0FF9">
        <w:t>provide</w:t>
      </w:r>
      <w:r w:rsidR="00D86630">
        <w:t xml:space="preserve"> direc</w:t>
      </w:r>
      <w:r w:rsidR="004E0FF9">
        <w:t>t financial</w:t>
      </w:r>
      <w:r w:rsidR="00D86630">
        <w:t xml:space="preserve"> support licensed hospitality and venue businesses</w:t>
      </w:r>
      <w:r w:rsidR="005E10F2">
        <w:t xml:space="preserve"> </w:t>
      </w:r>
      <w:r w:rsidR="001E47A1">
        <w:t>within Victoria</w:t>
      </w:r>
      <w:r w:rsidR="009A0D0B">
        <w:t xml:space="preserve"> </w:t>
      </w:r>
      <w:r w:rsidR="0062184A">
        <w:t>during the COVID-19 pandemic.</w:t>
      </w:r>
    </w:p>
    <w:p w14:paraId="61512E2A" w14:textId="50EC9443" w:rsidR="00906E0D" w:rsidRDefault="00906E0D" w:rsidP="00021EF3">
      <w:r>
        <w:t>The first round of LHVF was in September 2020</w:t>
      </w:r>
      <w:r w:rsidR="00D27D9F">
        <w:t xml:space="preserve"> during the </w:t>
      </w:r>
      <w:r w:rsidR="00841D97">
        <w:t>second Victorian lockdown (</w:t>
      </w:r>
      <w:r w:rsidR="00E7414B">
        <w:t xml:space="preserve">9 July – 27 </w:t>
      </w:r>
      <w:r w:rsidR="00035254">
        <w:t>October</w:t>
      </w:r>
      <w:r w:rsidR="00E7414B">
        <w:t xml:space="preserve"> 2020)</w:t>
      </w:r>
      <w:r w:rsidR="002D0632">
        <w:t xml:space="preserve"> a</w:t>
      </w:r>
      <w:r w:rsidR="00422DB9">
        <w:t xml:space="preserve">nd intended to cover </w:t>
      </w:r>
      <w:r w:rsidR="00FD4B3C">
        <w:t>ongoing and often unavoidable expenses</w:t>
      </w:r>
      <w:r w:rsidR="00422DB9">
        <w:t xml:space="preserve"> </w:t>
      </w:r>
      <w:r w:rsidR="008C17DC">
        <w:t>faced by hospitality businesses</w:t>
      </w:r>
      <w:r w:rsidR="00422DB9">
        <w:t xml:space="preserve"> whose operating capability had been </w:t>
      </w:r>
      <w:r w:rsidR="008C17DC">
        <w:t xml:space="preserve">significantly </w:t>
      </w:r>
      <w:r w:rsidR="0079116F">
        <w:t>affected</w:t>
      </w:r>
      <w:r w:rsidR="00422DB9">
        <w:t xml:space="preserve"> by the ongoing public health </w:t>
      </w:r>
      <w:r w:rsidR="008672B6">
        <w:t xml:space="preserve">restrictions. </w:t>
      </w:r>
      <w:r w:rsidR="00D24684">
        <w:t xml:space="preserve">This round provided </w:t>
      </w:r>
      <w:r w:rsidR="00C40D39">
        <w:t xml:space="preserve">a one-off payment based on venue capacity and the </w:t>
      </w:r>
      <w:r w:rsidR="009E36C4">
        <w:t>Local Government Area (</w:t>
      </w:r>
      <w:r w:rsidR="00C40D39">
        <w:t>LGA</w:t>
      </w:r>
      <w:r w:rsidR="009E36C4">
        <w:t>)</w:t>
      </w:r>
      <w:r w:rsidR="00C40D39">
        <w:t xml:space="preserve"> the business </w:t>
      </w:r>
      <w:r w:rsidR="00724F8B">
        <w:t xml:space="preserve">was located in </w:t>
      </w:r>
      <w:r w:rsidR="00C40D39">
        <w:t>(</w:t>
      </w:r>
      <w:r w:rsidR="00054A7A">
        <w:t>see</w:t>
      </w:r>
      <w:r w:rsidR="00C40D39">
        <w:t xml:space="preserve"> </w:t>
      </w:r>
      <w:r w:rsidR="00054A7A" w:rsidRPr="00581D9A">
        <w:t xml:space="preserve">Appendix </w:t>
      </w:r>
      <w:r w:rsidR="00054A7A" w:rsidRPr="00581D9A">
        <w:fldChar w:fldCharType="begin"/>
      </w:r>
      <w:r w:rsidR="00054A7A" w:rsidRPr="00581D9A">
        <w:instrText xml:space="preserve"> REF _Ref173308588 \r \h  \* MERGEFORMAT </w:instrText>
      </w:r>
      <w:r w:rsidR="00054A7A" w:rsidRPr="00581D9A">
        <w:fldChar w:fldCharType="separate"/>
      </w:r>
      <w:r w:rsidR="0016271C">
        <w:t>F.3</w:t>
      </w:r>
      <w:r w:rsidR="00054A7A" w:rsidRPr="00581D9A">
        <w:fldChar w:fldCharType="end"/>
      </w:r>
      <w:r w:rsidR="0053686A">
        <w:t xml:space="preserve"> </w:t>
      </w:r>
      <w:r w:rsidR="00697924">
        <w:t xml:space="preserve">for more detail). </w:t>
      </w:r>
    </w:p>
    <w:p w14:paraId="119F5C20" w14:textId="7688C6A8" w:rsidR="00C10A66" w:rsidRDefault="00C10A66" w:rsidP="00021EF3">
      <w:r>
        <w:t xml:space="preserve">To be eligible for LHVF, a business had to be located within Victoria, </w:t>
      </w:r>
      <w:r w:rsidR="00CF6CFA">
        <w:t xml:space="preserve">hold </w:t>
      </w:r>
      <w:r w:rsidR="00A023BC">
        <w:t xml:space="preserve">a liquor licence, </w:t>
      </w:r>
      <w:r w:rsidR="000E285A">
        <w:t>be registered for GST and an ABN</w:t>
      </w:r>
      <w:r w:rsidR="00EA459C">
        <w:t>, be registered with either a federal or state regul</w:t>
      </w:r>
      <w:r w:rsidR="007B6E7F">
        <w:t xml:space="preserve">ator (such as WorkSafe Victoria), have a </w:t>
      </w:r>
      <w:r w:rsidR="00BC70D4">
        <w:t xml:space="preserve">food </w:t>
      </w:r>
      <w:r w:rsidR="00BC70D4">
        <w:lastRenderedPageBreak/>
        <w:t xml:space="preserve">registration </w:t>
      </w:r>
      <w:r w:rsidR="00CF5DAA">
        <w:t xml:space="preserve">and have been operating </w:t>
      </w:r>
      <w:r w:rsidR="00837685">
        <w:t xml:space="preserve">prior to the public health </w:t>
      </w:r>
      <w:r w:rsidR="00363203">
        <w:t>restrictions with the intention to continue operating when restrictions lift</w:t>
      </w:r>
      <w:r w:rsidR="00CE7C53">
        <w:t xml:space="preserve"> (</w:t>
      </w:r>
      <w:r w:rsidR="00054A7A">
        <w:t xml:space="preserve">see </w:t>
      </w:r>
      <w:r w:rsidR="00054A7A" w:rsidRPr="00581D9A">
        <w:t>Appendix</w:t>
      </w:r>
      <w:r w:rsidR="0020013D" w:rsidRPr="00581D9A">
        <w:t xml:space="preserve"> </w:t>
      </w:r>
      <w:r w:rsidR="00054A7A" w:rsidRPr="00581D9A">
        <w:fldChar w:fldCharType="begin"/>
      </w:r>
      <w:r w:rsidR="00054A7A" w:rsidRPr="00581D9A">
        <w:instrText xml:space="preserve"> REF _Ref173308617 \r \h  \* MERGEFORMAT </w:instrText>
      </w:r>
      <w:r w:rsidR="00054A7A" w:rsidRPr="00581D9A">
        <w:fldChar w:fldCharType="separate"/>
      </w:r>
      <w:r w:rsidR="0016271C">
        <w:t>F.3</w:t>
      </w:r>
      <w:r w:rsidR="00054A7A" w:rsidRPr="00581D9A">
        <w:fldChar w:fldCharType="end"/>
      </w:r>
      <w:r w:rsidR="0020013D" w:rsidDel="0053686A">
        <w:t xml:space="preserve"> </w:t>
      </w:r>
      <w:r w:rsidR="0020013D">
        <w:t>for more detail)</w:t>
      </w:r>
      <w:r w:rsidR="00363203">
        <w:t>.</w:t>
      </w:r>
    </w:p>
    <w:p w14:paraId="5AB00E8A" w14:textId="6D130C95" w:rsidR="000B357E" w:rsidRDefault="000B357E" w:rsidP="00021EF3">
      <w:r>
        <w:t>LHVF</w:t>
      </w:r>
      <w:r w:rsidR="008453A4">
        <w:t xml:space="preserve">21 was the ongoing stream of LHVF that was </w:t>
      </w:r>
      <w:r w:rsidR="007962F5">
        <w:t>announced</w:t>
      </w:r>
      <w:r w:rsidR="005560E3">
        <w:t xml:space="preserve"> shortly after the beginning of the fourth instance of intensive public health restrictions</w:t>
      </w:r>
      <w:r w:rsidR="00FF706F">
        <w:t xml:space="preserve"> (3</w:t>
      </w:r>
      <w:r w:rsidR="00842D6D">
        <w:t xml:space="preserve"> </w:t>
      </w:r>
      <w:r w:rsidR="00810AAD">
        <w:t>June 2021</w:t>
      </w:r>
      <w:r w:rsidR="00FF706F">
        <w:t>). It was identical to the 2020 round of LHVF in its intention</w:t>
      </w:r>
      <w:r w:rsidR="00C10A66">
        <w:t xml:space="preserve"> and eligibility criteri</w:t>
      </w:r>
      <w:r w:rsidR="008E579C">
        <w:t>a</w:t>
      </w:r>
      <w:r w:rsidR="00FB5EB2">
        <w:t xml:space="preserve"> (with a slight alteration as to the date in which the business’ ABN and GST needed to be registered</w:t>
      </w:r>
      <w:r w:rsidR="00F22523">
        <w:t>)</w:t>
      </w:r>
      <w:r w:rsidR="00C10A66">
        <w:t>.</w:t>
      </w:r>
      <w:r w:rsidR="0038697D">
        <w:t xml:space="preserve"> However, the grant amount</w:t>
      </w:r>
      <w:r w:rsidR="008E579C">
        <w:t>s</w:t>
      </w:r>
      <w:r w:rsidR="0038697D">
        <w:t xml:space="preserve"> did change</w:t>
      </w:r>
      <w:r w:rsidR="00D720E0">
        <w:t xml:space="preserve"> and</w:t>
      </w:r>
      <w:r w:rsidR="00072073">
        <w:t xml:space="preserve"> were based solely on business location</w:t>
      </w:r>
      <w:r w:rsidR="0038697D">
        <w:t xml:space="preserve"> </w:t>
      </w:r>
      <w:r w:rsidR="00FF4F78">
        <w:t>(see</w:t>
      </w:r>
      <w:r w:rsidR="00093C38">
        <w:t xml:space="preserve"> </w:t>
      </w:r>
      <w:r w:rsidR="00581D9A">
        <w:fldChar w:fldCharType="begin"/>
      </w:r>
      <w:r w:rsidR="00581D9A">
        <w:instrText xml:space="preserve"> REF _Ref173343457 \r \h </w:instrText>
      </w:r>
      <w:r w:rsidR="00021EF3">
        <w:instrText xml:space="preserve"> \* MERGEFORMAT </w:instrText>
      </w:r>
      <w:r w:rsidR="00581D9A">
        <w:fldChar w:fldCharType="separate"/>
      </w:r>
      <w:r w:rsidR="0016271C">
        <w:t>Figure 1.1</w:t>
      </w:r>
      <w:r w:rsidR="00581D9A">
        <w:fldChar w:fldCharType="end"/>
      </w:r>
      <w:r w:rsidR="00093C38">
        <w:t xml:space="preserve"> and</w:t>
      </w:r>
      <w:r w:rsidR="0053686A">
        <w:t xml:space="preserve"> </w:t>
      </w:r>
      <w:r w:rsidR="00054A7A" w:rsidRPr="00581D9A">
        <w:t>Appendix</w:t>
      </w:r>
      <w:r w:rsidR="00FF4F78" w:rsidRPr="00581D9A">
        <w:t xml:space="preserve"> </w:t>
      </w:r>
      <w:r w:rsidR="00054A7A" w:rsidRPr="00581D9A">
        <w:fldChar w:fldCharType="begin"/>
      </w:r>
      <w:r w:rsidR="00054A7A" w:rsidRPr="00581D9A">
        <w:instrText xml:space="preserve"> REF _Ref173308650 \r \h  \* MERGEFORMAT </w:instrText>
      </w:r>
      <w:r w:rsidR="00054A7A" w:rsidRPr="00581D9A">
        <w:fldChar w:fldCharType="separate"/>
      </w:r>
      <w:r w:rsidR="0016271C">
        <w:t>F.3</w:t>
      </w:r>
      <w:r w:rsidR="00054A7A" w:rsidRPr="00581D9A">
        <w:fldChar w:fldCharType="end"/>
      </w:r>
      <w:r w:rsidR="00FF4F78">
        <w:t xml:space="preserve">). </w:t>
      </w:r>
    </w:p>
    <w:p w14:paraId="447F37E1" w14:textId="37A7AE25" w:rsidR="007E56DA" w:rsidRDefault="00177B4B" w:rsidP="00021EF3">
      <w:r>
        <w:t>I</w:t>
      </w:r>
      <w:r w:rsidR="004542A3">
        <w:t>n July 2021</w:t>
      </w:r>
      <w:r>
        <w:t>, LHVF21e was created specifically</w:t>
      </w:r>
      <w:r w:rsidR="004542A3">
        <w:t xml:space="preserve"> to </w:t>
      </w:r>
      <w:r w:rsidR="00F04947">
        <w:t xml:space="preserve">support businesses </w:t>
      </w:r>
      <w:r w:rsidR="002142D5">
        <w:t xml:space="preserve">that </w:t>
      </w:r>
      <w:r w:rsidR="00F04947">
        <w:t xml:space="preserve">had not </w:t>
      </w:r>
      <w:r w:rsidR="0077726B">
        <w:t>received the LHVF21 grant payment</w:t>
      </w:r>
      <w:r w:rsidR="00B25521">
        <w:t xml:space="preserve">. </w:t>
      </w:r>
    </w:p>
    <w:p w14:paraId="6BD78C53" w14:textId="53E617AC" w:rsidR="005E10F2" w:rsidRDefault="00F03FEB" w:rsidP="00021EF3">
      <w:r>
        <w:t xml:space="preserve">Further rounds of LHVF21 and LHVF21e </w:t>
      </w:r>
      <w:r w:rsidR="00595AA1">
        <w:t xml:space="preserve">occurred in </w:t>
      </w:r>
      <w:r w:rsidR="00C948E2">
        <w:t>August, September</w:t>
      </w:r>
      <w:r w:rsidR="009C0194">
        <w:t>, October and November 2021. Applications for the program closed in November 2021</w:t>
      </w:r>
      <w:r w:rsidR="00041546">
        <w:t>;</w:t>
      </w:r>
      <w:r w:rsidR="009C0194">
        <w:t xml:space="preserve"> however</w:t>
      </w:r>
      <w:r w:rsidR="00041546">
        <w:t>,</w:t>
      </w:r>
      <w:r w:rsidR="009C0194">
        <w:t xml:space="preserve"> businesses were receiving payments up until </w:t>
      </w:r>
      <w:r w:rsidR="00D05945">
        <w:t xml:space="preserve">April 2023. </w:t>
      </w:r>
      <w:r w:rsidR="00325A1F">
        <w:t xml:space="preserve">These further rounds relied on the eligibility of the businesses being confirmed in LHVF21 and LHVF21e and </w:t>
      </w:r>
      <w:r w:rsidR="00993C36">
        <w:t xml:space="preserve">provided automatic payments to the businesses </w:t>
      </w:r>
      <w:r w:rsidR="00041546">
        <w:t xml:space="preserve">that </w:t>
      </w:r>
      <w:r w:rsidR="00993C36">
        <w:t>had received the initial grants</w:t>
      </w:r>
      <w:r w:rsidR="00577E07">
        <w:t xml:space="preserve">. The </w:t>
      </w:r>
      <w:r w:rsidR="00C32BCA">
        <w:t>additional rounds varied in grant amount</w:t>
      </w:r>
      <w:r w:rsidR="00A4025C">
        <w:t xml:space="preserve"> (see </w:t>
      </w:r>
      <w:r w:rsidR="00054A7A" w:rsidRPr="00581D9A">
        <w:t>Appendix</w:t>
      </w:r>
      <w:r w:rsidR="00A4025C" w:rsidRPr="00581D9A">
        <w:t xml:space="preserve"> </w:t>
      </w:r>
      <w:r w:rsidR="00054A7A" w:rsidRPr="00581D9A">
        <w:fldChar w:fldCharType="begin"/>
      </w:r>
      <w:r w:rsidR="00054A7A" w:rsidRPr="00581D9A">
        <w:instrText xml:space="preserve"> REF _Ref173308669 \r \h  \* MERGEFORMAT </w:instrText>
      </w:r>
      <w:r w:rsidR="00054A7A" w:rsidRPr="00581D9A">
        <w:fldChar w:fldCharType="separate"/>
      </w:r>
      <w:r w:rsidR="0016271C">
        <w:t>F.3</w:t>
      </w:r>
      <w:r w:rsidR="00054A7A" w:rsidRPr="00581D9A">
        <w:fldChar w:fldCharType="end"/>
      </w:r>
      <w:r w:rsidR="00A4025C" w:rsidRPr="00581D9A">
        <w:t>).</w:t>
      </w:r>
      <w:r w:rsidR="00A4025C">
        <w:t xml:space="preserve"> </w:t>
      </w:r>
    </w:p>
    <w:p w14:paraId="495D10D0" w14:textId="77777777" w:rsidR="00C81A7C" w:rsidRDefault="00C81A7C" w:rsidP="00021EF3">
      <w:pPr>
        <w:sectPr w:rsidR="00C81A7C" w:rsidSect="00532BD4">
          <w:footnotePr>
            <w:numFmt w:val="chicago"/>
          </w:footnotePr>
          <w:endnotePr>
            <w:numFmt w:val="decimal"/>
          </w:endnotePr>
          <w:pgSz w:w="11906" w:h="16838" w:code="9"/>
          <w:pgMar w:top="1440" w:right="1440" w:bottom="1440" w:left="1440" w:header="680" w:footer="425" w:gutter="0"/>
          <w:pgNumType w:start="1"/>
          <w:cols w:space="284"/>
          <w:noEndnote/>
          <w:docGrid w:linePitch="360"/>
        </w:sectPr>
      </w:pPr>
      <w:bookmarkStart w:id="211" w:name="_Ref173323351"/>
    </w:p>
    <w:p w14:paraId="3BECAA57" w14:textId="0A411509" w:rsidR="00C40DB2" w:rsidRDefault="00C40DB2" w:rsidP="00021EF3">
      <w:pPr>
        <w:pStyle w:val="CaptionFigure"/>
      </w:pPr>
      <w:bookmarkStart w:id="212" w:name="_Ref173343457"/>
      <w:r>
        <w:lastRenderedPageBreak/>
        <w:t>: Timeline of significant public heath actions in Victoria, and BCAP and LHVF application open dates</w:t>
      </w:r>
      <w:bookmarkEnd w:id="211"/>
      <w:bookmarkEnd w:id="212"/>
      <w:r w:rsidR="00792D18">
        <w:t>.</w:t>
      </w:r>
      <w:r>
        <w:t xml:space="preserve"> </w:t>
      </w:r>
    </w:p>
    <w:p w14:paraId="014F908B" w14:textId="77777777" w:rsidR="00C40DB2" w:rsidRPr="00E618A5" w:rsidRDefault="00C40DB2" w:rsidP="00021EF3">
      <w:pPr>
        <w:rPr>
          <w:rFonts w:cs="Arial"/>
        </w:rPr>
      </w:pPr>
      <w:r>
        <w:rPr>
          <w:rFonts w:cs="Arial"/>
          <w:noProof/>
        </w:rPr>
        <w:drawing>
          <wp:inline distT="0" distB="0" distL="0" distR="0" wp14:anchorId="25D335E4" wp14:editId="5D409B1C">
            <wp:extent cx="8969053" cy="4448175"/>
            <wp:effectExtent l="0" t="0" r="3810" b="0"/>
            <wp:docPr id="1489793887" name="Picture 1489793887" descr="A timeline that begins in 2020 and tracks the lockdowns in Victoria, as well as notes the start date of BCAP, BCAP2/2e, LVHF and LHVF grant rounds. The timeline concludes in Octo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887" name="Picture 1489793887" descr="A timeline that begins in 2020 and tracks the lockdowns in Victoria, as well as notes the start date of BCAP, BCAP2/2e, LVHF and LHVF grant rounds. The timeline concludes in October 20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80534" cy="4503464"/>
                    </a:xfrm>
                    <a:prstGeom prst="rect">
                      <a:avLst/>
                    </a:prstGeom>
                    <a:noFill/>
                  </pic:spPr>
                </pic:pic>
              </a:graphicData>
            </a:graphic>
          </wp:inline>
        </w:drawing>
      </w:r>
    </w:p>
    <w:p w14:paraId="7E6CDB6A" w14:textId="07FA60FD" w:rsidR="00C81A7C" w:rsidRDefault="00C40DB2" w:rsidP="00021EF3">
      <w:pPr>
        <w:pStyle w:val="Source"/>
        <w:sectPr w:rsidR="00C81A7C" w:rsidSect="00144137">
          <w:footnotePr>
            <w:numFmt w:val="chicago"/>
          </w:footnotePr>
          <w:endnotePr>
            <w:numFmt w:val="decimal"/>
          </w:endnotePr>
          <w:pgSz w:w="16838" w:h="11906" w:orient="landscape" w:code="9"/>
          <w:pgMar w:top="1440" w:right="1440" w:bottom="1440" w:left="1440" w:header="680" w:footer="425" w:gutter="0"/>
          <w:cols w:space="284"/>
          <w:noEndnote/>
          <w:docGrid w:linePitch="360"/>
        </w:sectPr>
      </w:pPr>
      <w:r>
        <w:t>Source: Deloitte Access Economics</w:t>
      </w:r>
      <w:bookmarkStart w:id="213" w:name="_Toc173244844"/>
      <w:bookmarkStart w:id="214" w:name="_Toc173245854"/>
      <w:bookmarkStart w:id="215" w:name="_Toc173245944"/>
      <w:bookmarkStart w:id="216" w:name="_Toc173246283"/>
      <w:bookmarkStart w:id="217" w:name="_Toc173244845"/>
      <w:bookmarkStart w:id="218" w:name="_Toc173245855"/>
      <w:bookmarkStart w:id="219" w:name="_Toc173245945"/>
      <w:bookmarkStart w:id="220" w:name="_Toc173246284"/>
      <w:bookmarkStart w:id="221" w:name="_Toc170913959"/>
      <w:bookmarkStart w:id="222" w:name="_Toc173244945"/>
      <w:bookmarkStart w:id="223" w:name="_Toc173245856"/>
      <w:bookmarkStart w:id="224" w:name="_Toc173246285"/>
      <w:bookmarkStart w:id="225" w:name="_Toc173308285"/>
      <w:bookmarkEnd w:id="213"/>
      <w:bookmarkEnd w:id="214"/>
      <w:bookmarkEnd w:id="215"/>
      <w:bookmarkEnd w:id="216"/>
      <w:bookmarkEnd w:id="217"/>
      <w:bookmarkEnd w:id="218"/>
      <w:bookmarkEnd w:id="219"/>
      <w:bookmarkEnd w:id="220"/>
      <w:r w:rsidR="00BE23B5">
        <w:t>.</w:t>
      </w:r>
    </w:p>
    <w:p w14:paraId="4FBD8611" w14:textId="702CD177" w:rsidR="000A0DB0" w:rsidRDefault="002F6BA5" w:rsidP="00021EF3">
      <w:pPr>
        <w:pStyle w:val="Heading2"/>
      </w:pPr>
      <w:bookmarkStart w:id="226" w:name="_Toc173344708"/>
      <w:bookmarkStart w:id="227" w:name="_Toc173344935"/>
      <w:bookmarkStart w:id="228" w:name="_Toc173915890"/>
      <w:bookmarkStart w:id="229" w:name="_Toc174118127"/>
      <w:bookmarkStart w:id="230" w:name="_Toc176516246"/>
      <w:bookmarkStart w:id="231" w:name="_Hlk175142473"/>
      <w:r>
        <w:lastRenderedPageBreak/>
        <w:t>Purpose of the evaluation</w:t>
      </w:r>
      <w:bookmarkEnd w:id="221"/>
      <w:bookmarkEnd w:id="222"/>
      <w:bookmarkEnd w:id="223"/>
      <w:bookmarkEnd w:id="224"/>
      <w:bookmarkEnd w:id="225"/>
      <w:bookmarkEnd w:id="226"/>
      <w:bookmarkEnd w:id="227"/>
      <w:bookmarkEnd w:id="228"/>
      <w:bookmarkEnd w:id="229"/>
      <w:bookmarkEnd w:id="230"/>
    </w:p>
    <w:bookmarkEnd w:id="231"/>
    <w:p w14:paraId="1DC05F8A" w14:textId="762E4815" w:rsidR="00245866" w:rsidRDefault="00245866" w:rsidP="00021EF3">
      <w:r>
        <w:t>In 2023, the Victorian Auditor General’s Office (VAGO) recommended that the two programs, which accounted for approximately 57 per cent of the Victorian Government’s COVID-19 business support expenditure, be independently evaluated.</w:t>
      </w:r>
      <w:r>
        <w:rPr>
          <w:rStyle w:val="EndnoteReference"/>
        </w:rPr>
        <w:endnoteReference w:id="16"/>
      </w:r>
      <w:r>
        <w:t xml:space="preserve"> Under Recommendation 7 of the Auditor-General’s Report on the Annual Financial Report of the State of Victoria: 2022-23, it was recommended that all rounds of BCAP and LHVF be assessed by an independent evaluator for effectiveness, value for money and lessons learnt for future programs.</w:t>
      </w:r>
    </w:p>
    <w:p w14:paraId="781DE1E8" w14:textId="3AA00321" w:rsidR="00245866" w:rsidRDefault="00245866" w:rsidP="00021EF3">
      <w:r>
        <w:t xml:space="preserve">Deloitte has been engaged by the Department of Jobs, Skills, Industry and Regions </w:t>
      </w:r>
      <w:r w:rsidR="00ED2F7A">
        <w:t xml:space="preserve">(the </w:t>
      </w:r>
      <w:r w:rsidR="0026508D">
        <w:t>“</w:t>
      </w:r>
      <w:r w:rsidR="00ED2F7A">
        <w:t>Department</w:t>
      </w:r>
      <w:r w:rsidR="0026508D">
        <w:t>”</w:t>
      </w:r>
      <w:r w:rsidR="00ED2F7A">
        <w:t xml:space="preserve">) </w:t>
      </w:r>
      <w:r>
        <w:t xml:space="preserve">to conduct this </w:t>
      </w:r>
      <w:r w:rsidR="003C5340">
        <w:t xml:space="preserve">independent </w:t>
      </w:r>
      <w:r>
        <w:t>evaluation, which is detailed in this report. The remainder of this report is structured as follows:</w:t>
      </w:r>
    </w:p>
    <w:p w14:paraId="2D708B00" w14:textId="1CC07543" w:rsidR="00245866" w:rsidRDefault="00245866" w:rsidP="00021EF3">
      <w:pPr>
        <w:pStyle w:val="ListBullet"/>
      </w:pPr>
      <w:r>
        <w:t xml:space="preserve">Chapter 2: </w:t>
      </w:r>
      <w:r w:rsidR="009B383F">
        <w:t>Evaluation methodology</w:t>
      </w:r>
    </w:p>
    <w:p w14:paraId="51915372" w14:textId="1C545572" w:rsidR="00245866" w:rsidRDefault="00245866" w:rsidP="00021EF3">
      <w:pPr>
        <w:pStyle w:val="ListBullet"/>
      </w:pPr>
      <w:r>
        <w:t xml:space="preserve">Chapter 3: </w:t>
      </w:r>
      <w:r w:rsidR="009B383F">
        <w:t>Findings, including Justification/Appropriateness, Design/Implementation, Effectiveness, Value for Money and Lessons Learned</w:t>
      </w:r>
    </w:p>
    <w:p w14:paraId="1FA29598" w14:textId="6270996D" w:rsidR="00245866" w:rsidRPr="00245866" w:rsidRDefault="00245866" w:rsidP="00021EF3">
      <w:pPr>
        <w:pStyle w:val="ListBullet"/>
      </w:pPr>
      <w:r>
        <w:t xml:space="preserve">Chapter 4: </w:t>
      </w:r>
      <w:r w:rsidR="009B383F">
        <w:t>Recommendations</w:t>
      </w:r>
    </w:p>
    <w:p w14:paraId="750F62CD" w14:textId="4723248C" w:rsidR="00404237" w:rsidRPr="00404237" w:rsidRDefault="004D476E" w:rsidP="00021EF3">
      <w:pPr>
        <w:pStyle w:val="Heading2"/>
      </w:pPr>
      <w:bookmarkStart w:id="232" w:name="_Toc170913960"/>
      <w:bookmarkStart w:id="233" w:name="_Toc173244946"/>
      <w:bookmarkStart w:id="234" w:name="_Toc173344709"/>
      <w:bookmarkStart w:id="235" w:name="_Toc173344936"/>
      <w:bookmarkStart w:id="236" w:name="_Toc173915891"/>
      <w:bookmarkStart w:id="237" w:name="_Toc174118128"/>
      <w:bookmarkStart w:id="238" w:name="_Toc176516247"/>
      <w:r>
        <w:t>Evaluation methodology</w:t>
      </w:r>
      <w:bookmarkEnd w:id="232"/>
      <w:bookmarkEnd w:id="233"/>
      <w:bookmarkEnd w:id="234"/>
      <w:bookmarkEnd w:id="235"/>
      <w:bookmarkEnd w:id="236"/>
      <w:bookmarkEnd w:id="237"/>
      <w:bookmarkEnd w:id="238"/>
    </w:p>
    <w:bookmarkStart w:id="239" w:name="_Toc169025094"/>
    <w:p w14:paraId="54FCD030" w14:textId="61982376" w:rsidR="00730701" w:rsidRDefault="00730701" w:rsidP="00021EF3">
      <w:pPr>
        <w:pStyle w:val="Heading3"/>
      </w:pPr>
      <w:r w:rsidRPr="00730701">
        <w:fldChar w:fldCharType="begin"/>
      </w:r>
      <w:r w:rsidRPr="00730701">
        <w:instrText>HYPERLINK \l "_Toc149148504"</w:instrText>
      </w:r>
      <w:r w:rsidRPr="00730701">
        <w:fldChar w:fldCharType="separate"/>
      </w:r>
      <w:bookmarkStart w:id="240" w:name="_Toc174118129"/>
      <w:bookmarkStart w:id="241" w:name="_Toc173915892"/>
      <w:bookmarkStart w:id="242" w:name="_Toc173308287"/>
      <w:bookmarkStart w:id="243" w:name="_Toc173344710"/>
      <w:bookmarkStart w:id="244" w:name="_Toc173344937"/>
      <w:bookmarkStart w:id="245" w:name="_Toc170913962"/>
      <w:bookmarkStart w:id="246" w:name="_Toc173244947"/>
      <w:bookmarkStart w:id="247" w:name="_Toc173245858"/>
      <w:bookmarkStart w:id="248" w:name="_Toc173246287"/>
      <w:bookmarkStart w:id="249" w:name="_Toc176516248"/>
      <w:r w:rsidRPr="00730701">
        <w:t>Key evaluation questions</w:t>
      </w:r>
      <w:bookmarkEnd w:id="240"/>
      <w:bookmarkEnd w:id="241"/>
      <w:bookmarkEnd w:id="242"/>
      <w:bookmarkEnd w:id="243"/>
      <w:bookmarkEnd w:id="244"/>
      <w:r w:rsidRPr="00730701">
        <w:fldChar w:fldCharType="end"/>
      </w:r>
      <w:bookmarkEnd w:id="239"/>
      <w:bookmarkEnd w:id="245"/>
      <w:bookmarkEnd w:id="246"/>
      <w:bookmarkEnd w:id="247"/>
      <w:bookmarkEnd w:id="248"/>
      <w:bookmarkEnd w:id="249"/>
      <w:r w:rsidR="0010457A">
        <w:t xml:space="preserve"> (KEQs)</w:t>
      </w:r>
    </w:p>
    <w:p w14:paraId="4BDA1FFA" w14:textId="0ED695CF" w:rsidR="006F69CF" w:rsidRDefault="006F69CF" w:rsidP="00021EF3">
      <w:r>
        <w:t xml:space="preserve">The evaluation </w:t>
      </w:r>
      <w:r w:rsidR="00404237">
        <w:t xml:space="preserve">questions were organised into four domains as outlined below in </w:t>
      </w:r>
      <w:r w:rsidR="00404237">
        <w:fldChar w:fldCharType="begin"/>
      </w:r>
      <w:r w:rsidR="00404237">
        <w:instrText xml:space="preserve"> REF _Ref173323136 \r \h </w:instrText>
      </w:r>
      <w:r w:rsidR="00021EF3">
        <w:instrText xml:space="preserve"> \* MERGEFORMAT </w:instrText>
      </w:r>
      <w:r w:rsidR="00404237">
        <w:fldChar w:fldCharType="separate"/>
      </w:r>
      <w:r w:rsidR="0016271C">
        <w:t>Table 1.1</w:t>
      </w:r>
      <w:r w:rsidR="00404237">
        <w:fldChar w:fldCharType="end"/>
      </w:r>
      <w:r w:rsidRPr="006F69CF">
        <w:t xml:space="preserve">. Qualitative and quantitative data was collected against the </w:t>
      </w:r>
      <w:r w:rsidR="00E76F44">
        <w:t>four</w:t>
      </w:r>
      <w:r w:rsidRPr="006F69CF">
        <w:t xml:space="preserve"> evaluation domains within this evaluation scope. </w:t>
      </w:r>
      <w:r w:rsidR="00C1744C">
        <w:t xml:space="preserve">Each evaluation domain includes a </w:t>
      </w:r>
      <w:r w:rsidR="0010457A">
        <w:t>KEQ</w:t>
      </w:r>
      <w:r w:rsidR="00C1744C">
        <w:t xml:space="preserve"> and sub-evaluation quest</w:t>
      </w:r>
      <w:r w:rsidR="00B36FAD">
        <w:t>ion</w:t>
      </w:r>
      <w:r w:rsidR="00C1744C">
        <w:t>s</w:t>
      </w:r>
      <w:r w:rsidR="0010457A">
        <w:t xml:space="preserve"> (SEQs)</w:t>
      </w:r>
      <w:r w:rsidR="00C1744C">
        <w:t xml:space="preserve"> to guide the lines of inquiry for the evaluation</w:t>
      </w:r>
      <w:r w:rsidR="00333E15">
        <w:t xml:space="preserve"> and have been addressed systematically throughout the evaluation.</w:t>
      </w:r>
    </w:p>
    <w:p w14:paraId="0CEAA5D9" w14:textId="50986182" w:rsidR="00351F39" w:rsidRPr="00351F39" w:rsidRDefault="007A5236" w:rsidP="00351F39">
      <w:pPr>
        <w:pStyle w:val="CaptionTable"/>
      </w:pPr>
      <w:bookmarkStart w:id="250" w:name="_Ref173323136"/>
      <w:r>
        <w:t xml:space="preserve">: </w:t>
      </w:r>
      <w:r w:rsidR="0010457A">
        <w:t>KEQs</w:t>
      </w:r>
      <w:r w:rsidR="008C0D1A">
        <w:t xml:space="preserve"> and </w:t>
      </w:r>
      <w:bookmarkEnd w:id="250"/>
      <w:r w:rsidR="0010457A">
        <w:t>SEQs</w:t>
      </w:r>
      <w:r w:rsidR="00792D18">
        <w:t>.</w:t>
      </w:r>
    </w:p>
    <w:tbl>
      <w:tblPr>
        <w:tblStyle w:val="Deloittetable"/>
        <w:tblW w:w="5000" w:type="pct"/>
        <w:tblLook w:val="0420" w:firstRow="1" w:lastRow="0" w:firstColumn="0" w:lastColumn="0" w:noHBand="0" w:noVBand="1"/>
      </w:tblPr>
      <w:tblGrid>
        <w:gridCol w:w="2977"/>
        <w:gridCol w:w="3962"/>
        <w:gridCol w:w="2087"/>
      </w:tblGrid>
      <w:tr w:rsidR="004A0831" w:rsidRPr="002B53C4" w14:paraId="6404C355" w14:textId="42696712" w:rsidTr="004A0831">
        <w:trPr>
          <w:cnfStyle w:val="100000000000" w:firstRow="1" w:lastRow="0" w:firstColumn="0" w:lastColumn="0" w:oddVBand="0" w:evenVBand="0" w:oddHBand="0" w:evenHBand="0" w:firstRowFirstColumn="0" w:firstRowLastColumn="0" w:lastRowFirstColumn="0" w:lastRowLastColumn="0"/>
          <w:trHeight w:val="378"/>
          <w:tblHeader/>
        </w:trPr>
        <w:tc>
          <w:tcPr>
            <w:tcW w:w="1649" w:type="pct"/>
            <w:hideMark/>
          </w:tcPr>
          <w:p w14:paraId="11DEBE52" w14:textId="696D6774" w:rsidR="004A0831" w:rsidRPr="002B53C4" w:rsidRDefault="004A0831" w:rsidP="00021EF3">
            <w:r w:rsidRPr="002B53C4">
              <w:rPr>
                <w:b/>
                <w:bCs/>
              </w:rPr>
              <w:t>Domain</w:t>
            </w:r>
            <w:r>
              <w:rPr>
                <w:b/>
                <w:bCs/>
              </w:rPr>
              <w:t xml:space="preserve"> and KEQ</w:t>
            </w:r>
          </w:p>
        </w:tc>
        <w:tc>
          <w:tcPr>
            <w:tcW w:w="2195" w:type="pct"/>
            <w:hideMark/>
          </w:tcPr>
          <w:p w14:paraId="2937FD7F" w14:textId="7C4DEE3D" w:rsidR="004A0831" w:rsidRPr="002B53C4" w:rsidRDefault="004A0831" w:rsidP="00021EF3">
            <w:r>
              <w:rPr>
                <w:b/>
                <w:bCs/>
              </w:rPr>
              <w:t>SEQ</w:t>
            </w:r>
          </w:p>
        </w:tc>
        <w:tc>
          <w:tcPr>
            <w:tcW w:w="1156" w:type="pct"/>
          </w:tcPr>
          <w:p w14:paraId="38B21179" w14:textId="77DE57FD" w:rsidR="004A0831" w:rsidRPr="0039790B" w:rsidRDefault="004A0831" w:rsidP="00021EF3">
            <w:pPr>
              <w:rPr>
                <w:b/>
              </w:rPr>
            </w:pPr>
            <w:r>
              <w:rPr>
                <w:b/>
              </w:rPr>
              <w:t>Section reference in the report</w:t>
            </w:r>
          </w:p>
        </w:tc>
      </w:tr>
      <w:tr w:rsidR="00EF75B8" w:rsidRPr="002B53C4" w14:paraId="1208CDFF" w14:textId="393DE8A4" w:rsidTr="004A0831">
        <w:trPr>
          <w:trHeight w:val="378"/>
        </w:trPr>
        <w:tc>
          <w:tcPr>
            <w:tcW w:w="1649" w:type="pct"/>
            <w:hideMark/>
          </w:tcPr>
          <w:p w14:paraId="2DB223F6" w14:textId="77777777" w:rsidR="00EF75B8" w:rsidRPr="008D32C7" w:rsidRDefault="00EF75B8" w:rsidP="00021EF3">
            <w:pPr>
              <w:rPr>
                <w:b/>
              </w:rPr>
            </w:pPr>
            <w:r w:rsidRPr="008D32C7">
              <w:rPr>
                <w:b/>
              </w:rPr>
              <w:t>Justification/ Appropriateness</w:t>
            </w:r>
          </w:p>
          <w:p w14:paraId="49EA4C51" w14:textId="77777777" w:rsidR="00EF75B8" w:rsidRPr="002B53C4" w:rsidRDefault="00EF75B8" w:rsidP="00021EF3">
            <w:r w:rsidRPr="002B53C4">
              <w:t>Was the rationale and design of the in-scope grants programs appropriate for the needs and context?</w:t>
            </w:r>
          </w:p>
        </w:tc>
        <w:tc>
          <w:tcPr>
            <w:tcW w:w="2195" w:type="pct"/>
            <w:hideMark/>
          </w:tcPr>
          <w:p w14:paraId="5E12CB29" w14:textId="1ECA0B47" w:rsidR="00EF75B8" w:rsidRPr="004A0831" w:rsidRDefault="00EF75B8" w:rsidP="00021EF3">
            <w:r w:rsidRPr="004A0831">
              <w:t>1.To what extent did the in-scope programs fulfill an unmet need?</w:t>
            </w:r>
          </w:p>
        </w:tc>
        <w:tc>
          <w:tcPr>
            <w:tcW w:w="1156" w:type="pct"/>
          </w:tcPr>
          <w:p w14:paraId="1271DDD1" w14:textId="481F75BD" w:rsidR="00EF75B8" w:rsidRPr="002B53C4" w:rsidRDefault="00EF75B8" w:rsidP="00021EF3">
            <w:r>
              <w:fldChar w:fldCharType="begin"/>
            </w:r>
            <w:r>
              <w:instrText xml:space="preserve"> REF _Ref173938737 \r \h  \* MERGEFORMAT </w:instrText>
            </w:r>
            <w:r>
              <w:fldChar w:fldCharType="separate"/>
            </w:r>
            <w:r>
              <w:t>2.1.1</w:t>
            </w:r>
            <w:r>
              <w:fldChar w:fldCharType="end"/>
            </w:r>
          </w:p>
        </w:tc>
      </w:tr>
      <w:tr w:rsidR="00EF75B8" w:rsidRPr="002B53C4" w14:paraId="67CD3688" w14:textId="67C6FD82" w:rsidTr="004A0831">
        <w:trPr>
          <w:trHeight w:val="378"/>
        </w:trPr>
        <w:tc>
          <w:tcPr>
            <w:tcW w:w="1649" w:type="pct"/>
            <w:hideMark/>
          </w:tcPr>
          <w:p w14:paraId="27B913C2" w14:textId="0418B097" w:rsidR="00EF75B8" w:rsidRPr="00EF75B8" w:rsidRDefault="00EF75B8" w:rsidP="00EF75B8">
            <w:pPr>
              <w:rPr>
                <w:b/>
              </w:rPr>
            </w:pPr>
            <w:r w:rsidRPr="008D32C7">
              <w:rPr>
                <w:b/>
              </w:rPr>
              <w:t>Justification/ Appropriateness</w:t>
            </w:r>
          </w:p>
        </w:tc>
        <w:tc>
          <w:tcPr>
            <w:tcW w:w="2195" w:type="pct"/>
            <w:hideMark/>
          </w:tcPr>
          <w:p w14:paraId="31AA27FF" w14:textId="54CC166F" w:rsidR="00EF75B8" w:rsidRPr="002B53C4" w:rsidRDefault="00EF75B8" w:rsidP="00021EF3">
            <w:r w:rsidRPr="002B53C4">
              <w:t>2.</w:t>
            </w:r>
            <w:r>
              <w:t xml:space="preserve"> </w:t>
            </w:r>
            <w:r w:rsidRPr="002B53C4">
              <w:t>How did COVID-19 restrictions affect the context under which the Department made decisions regarding business support?</w:t>
            </w:r>
          </w:p>
        </w:tc>
        <w:tc>
          <w:tcPr>
            <w:tcW w:w="1156" w:type="pct"/>
          </w:tcPr>
          <w:p w14:paraId="1DE6540F" w14:textId="593DEC68" w:rsidR="00EF75B8" w:rsidRPr="002B53C4" w:rsidRDefault="00EF75B8" w:rsidP="00021EF3">
            <w:r>
              <w:fldChar w:fldCharType="begin"/>
            </w:r>
            <w:r>
              <w:instrText xml:space="preserve"> REF _Ref173938778 \r \h  \* MERGEFORMAT </w:instrText>
            </w:r>
            <w:r>
              <w:fldChar w:fldCharType="separate"/>
            </w:r>
            <w:r>
              <w:t>2.1.3</w:t>
            </w:r>
            <w:r>
              <w:fldChar w:fldCharType="end"/>
            </w:r>
          </w:p>
        </w:tc>
      </w:tr>
      <w:tr w:rsidR="00EF75B8" w:rsidRPr="002B53C4" w14:paraId="5D7AA368" w14:textId="6E43C091" w:rsidTr="004A0831">
        <w:trPr>
          <w:trHeight w:val="406"/>
        </w:trPr>
        <w:tc>
          <w:tcPr>
            <w:tcW w:w="1649" w:type="pct"/>
            <w:hideMark/>
          </w:tcPr>
          <w:p w14:paraId="32327D2D" w14:textId="784310D4" w:rsidR="00EF75B8" w:rsidRPr="002B53C4" w:rsidRDefault="00EF75B8" w:rsidP="00021EF3">
            <w:r w:rsidRPr="008D32C7">
              <w:rPr>
                <w:b/>
              </w:rPr>
              <w:t>Justification/ Appropriateness</w:t>
            </w:r>
          </w:p>
        </w:tc>
        <w:tc>
          <w:tcPr>
            <w:tcW w:w="2195" w:type="pct"/>
            <w:hideMark/>
          </w:tcPr>
          <w:p w14:paraId="4D1C9B32" w14:textId="5558E721" w:rsidR="00EF75B8" w:rsidRPr="002B53C4" w:rsidRDefault="00EF75B8" w:rsidP="00021EF3">
            <w:r w:rsidRPr="002B53C4">
              <w:t>3.</w:t>
            </w:r>
            <w:r>
              <w:t xml:space="preserve"> </w:t>
            </w:r>
            <w:r w:rsidRPr="002B53C4">
              <w:t>To what extent were the eligibility criteria appropriate for reaching intended cohorts?</w:t>
            </w:r>
          </w:p>
        </w:tc>
        <w:tc>
          <w:tcPr>
            <w:tcW w:w="1156" w:type="pct"/>
          </w:tcPr>
          <w:p w14:paraId="6ABE550C" w14:textId="37A33330" w:rsidR="00EF75B8" w:rsidRPr="002B53C4" w:rsidRDefault="00EF75B8" w:rsidP="00021EF3">
            <w:r>
              <w:fldChar w:fldCharType="begin"/>
            </w:r>
            <w:r>
              <w:instrText xml:space="preserve"> REF _Ref173938943 \r \h  \* MERGEFORMAT </w:instrText>
            </w:r>
            <w:r>
              <w:fldChar w:fldCharType="separate"/>
            </w:r>
            <w:r>
              <w:t>2.2.2</w:t>
            </w:r>
            <w:r>
              <w:fldChar w:fldCharType="end"/>
            </w:r>
          </w:p>
        </w:tc>
      </w:tr>
      <w:tr w:rsidR="00EF75B8" w:rsidRPr="002B53C4" w14:paraId="2B0EC16C" w14:textId="7DE46C8E" w:rsidTr="004A0831">
        <w:trPr>
          <w:trHeight w:val="378"/>
        </w:trPr>
        <w:tc>
          <w:tcPr>
            <w:tcW w:w="1649" w:type="pct"/>
            <w:hideMark/>
          </w:tcPr>
          <w:p w14:paraId="39F88EE8" w14:textId="3FE99FA2" w:rsidR="00EF75B8" w:rsidRPr="002B53C4" w:rsidRDefault="00EF75B8" w:rsidP="00021EF3">
            <w:r w:rsidRPr="008D32C7">
              <w:rPr>
                <w:b/>
              </w:rPr>
              <w:t>Justification/ Appropriateness</w:t>
            </w:r>
          </w:p>
        </w:tc>
        <w:tc>
          <w:tcPr>
            <w:tcW w:w="2195" w:type="pct"/>
            <w:hideMark/>
          </w:tcPr>
          <w:p w14:paraId="051FABCE" w14:textId="055F24F9" w:rsidR="00EF75B8" w:rsidRPr="002B53C4" w:rsidRDefault="00EF75B8" w:rsidP="00021EF3">
            <w:r w:rsidRPr="002B53C4">
              <w:t>4.How well did the Department engage with internal and external stakeholders when determining a response?</w:t>
            </w:r>
          </w:p>
        </w:tc>
        <w:tc>
          <w:tcPr>
            <w:tcW w:w="1156" w:type="pct"/>
          </w:tcPr>
          <w:p w14:paraId="04AABE2A" w14:textId="0AEF9760" w:rsidR="00EF75B8" w:rsidRPr="002B53C4" w:rsidRDefault="00EF75B8" w:rsidP="00021EF3">
            <w:r>
              <w:fldChar w:fldCharType="begin"/>
            </w:r>
            <w:r>
              <w:instrText xml:space="preserve"> REF _Ref173938802 \r \h  \* MERGEFORMAT </w:instrText>
            </w:r>
            <w:r>
              <w:fldChar w:fldCharType="separate"/>
            </w:r>
            <w:r>
              <w:t>2.1.4</w:t>
            </w:r>
            <w:r>
              <w:fldChar w:fldCharType="end"/>
            </w:r>
          </w:p>
        </w:tc>
      </w:tr>
      <w:tr w:rsidR="00EF75B8" w:rsidRPr="002B53C4" w14:paraId="2671ECD3" w14:textId="4C44F189" w:rsidTr="004A0831">
        <w:trPr>
          <w:trHeight w:val="406"/>
        </w:trPr>
        <w:tc>
          <w:tcPr>
            <w:tcW w:w="1649" w:type="pct"/>
            <w:hideMark/>
          </w:tcPr>
          <w:p w14:paraId="7518C32D" w14:textId="009DE531" w:rsidR="00EF75B8" w:rsidRPr="002B53C4" w:rsidRDefault="00EF75B8" w:rsidP="00021EF3">
            <w:r w:rsidRPr="008D32C7">
              <w:rPr>
                <w:b/>
              </w:rPr>
              <w:t>Justification/ Appropriateness</w:t>
            </w:r>
          </w:p>
        </w:tc>
        <w:tc>
          <w:tcPr>
            <w:tcW w:w="2195" w:type="pct"/>
            <w:hideMark/>
          </w:tcPr>
          <w:p w14:paraId="13BF216C" w14:textId="3BF96BC8" w:rsidR="00EF75B8" w:rsidRPr="002B53C4" w:rsidRDefault="00EF75B8" w:rsidP="00021EF3">
            <w:r w:rsidRPr="002B53C4">
              <w:t>5.</w:t>
            </w:r>
            <w:r>
              <w:t xml:space="preserve"> </w:t>
            </w:r>
            <w:r w:rsidRPr="002B53C4">
              <w:t xml:space="preserve">What has the Department learned in relation to its role in supporting businesses under emergency circumstances? </w:t>
            </w:r>
          </w:p>
        </w:tc>
        <w:tc>
          <w:tcPr>
            <w:tcW w:w="1156" w:type="pct"/>
          </w:tcPr>
          <w:p w14:paraId="2BA812D5" w14:textId="248EF6AC" w:rsidR="00EF75B8" w:rsidRPr="002B53C4" w:rsidRDefault="00EF75B8" w:rsidP="00021EF3">
            <w:r>
              <w:fldChar w:fldCharType="begin"/>
            </w:r>
            <w:r>
              <w:instrText xml:space="preserve"> REF _Ref173939202 \r \h  \* MERGEFORMAT </w:instrText>
            </w:r>
            <w:r>
              <w:fldChar w:fldCharType="separate"/>
            </w:r>
            <w:r>
              <w:t>2.5.1</w:t>
            </w:r>
            <w:r>
              <w:fldChar w:fldCharType="end"/>
            </w:r>
          </w:p>
        </w:tc>
      </w:tr>
      <w:tr w:rsidR="004A0831" w:rsidRPr="002B53C4" w14:paraId="56B054FE" w14:textId="4E707C85" w:rsidTr="004A0831">
        <w:trPr>
          <w:trHeight w:val="650"/>
        </w:trPr>
        <w:tc>
          <w:tcPr>
            <w:tcW w:w="1649" w:type="pct"/>
            <w:hideMark/>
          </w:tcPr>
          <w:p w14:paraId="1EE98128" w14:textId="77777777" w:rsidR="004A0831" w:rsidRPr="008D32C7" w:rsidRDefault="004A0831" w:rsidP="00021EF3">
            <w:pPr>
              <w:rPr>
                <w:b/>
              </w:rPr>
            </w:pPr>
            <w:r w:rsidRPr="008D32C7">
              <w:rPr>
                <w:b/>
              </w:rPr>
              <w:t>Design/</w:t>
            </w:r>
            <w:r>
              <w:rPr>
                <w:b/>
              </w:rPr>
              <w:t xml:space="preserve"> </w:t>
            </w:r>
            <w:r w:rsidRPr="008D32C7">
              <w:rPr>
                <w:b/>
              </w:rPr>
              <w:t>Implementation</w:t>
            </w:r>
          </w:p>
          <w:p w14:paraId="7052F3A3" w14:textId="77777777" w:rsidR="004A0831" w:rsidRPr="002B53C4" w:rsidRDefault="004A0831" w:rsidP="00021EF3">
            <w:r w:rsidRPr="002B53C4">
              <w:t>How well did the Department implement each of the grants, and how well did it adapt its approach in response to changing needs and contexts?</w:t>
            </w:r>
          </w:p>
        </w:tc>
        <w:tc>
          <w:tcPr>
            <w:tcW w:w="2195" w:type="pct"/>
            <w:hideMark/>
          </w:tcPr>
          <w:p w14:paraId="3E0165EF" w14:textId="626AEF74" w:rsidR="004A0831" w:rsidRPr="002B53C4" w:rsidRDefault="004A0831" w:rsidP="00021EF3">
            <w:r w:rsidRPr="002B53C4">
              <w:t>6.</w:t>
            </w:r>
            <w:r>
              <w:t xml:space="preserve"> </w:t>
            </w:r>
            <w:r w:rsidRPr="002B53C4">
              <w:t>What are the continuous improvement opportunities identified relating to grant design and implementation?</w:t>
            </w:r>
          </w:p>
        </w:tc>
        <w:tc>
          <w:tcPr>
            <w:tcW w:w="1156" w:type="pct"/>
          </w:tcPr>
          <w:p w14:paraId="4B717D90" w14:textId="1B99F230" w:rsidR="004A0831" w:rsidRPr="002B53C4" w:rsidRDefault="004A0831" w:rsidP="00021EF3">
            <w:r>
              <w:fldChar w:fldCharType="begin"/>
            </w:r>
            <w:r>
              <w:instrText xml:space="preserve"> REF _Ref173939202 \r \h </w:instrText>
            </w:r>
            <w:r w:rsidR="00021EF3">
              <w:instrText xml:space="preserve"> \* MERGEFORMAT </w:instrText>
            </w:r>
            <w:r>
              <w:fldChar w:fldCharType="separate"/>
            </w:r>
            <w:r>
              <w:t>2.5.1</w:t>
            </w:r>
            <w:r>
              <w:fldChar w:fldCharType="end"/>
            </w:r>
          </w:p>
        </w:tc>
      </w:tr>
      <w:tr w:rsidR="004A0831" w:rsidRPr="002B53C4" w14:paraId="6DF34695" w14:textId="2B72A970" w:rsidTr="004A0831">
        <w:trPr>
          <w:trHeight w:val="658"/>
        </w:trPr>
        <w:tc>
          <w:tcPr>
            <w:tcW w:w="1649" w:type="pct"/>
            <w:hideMark/>
          </w:tcPr>
          <w:p w14:paraId="79543714" w14:textId="062E7789" w:rsidR="004A0831" w:rsidRPr="006D5674" w:rsidRDefault="006D5674" w:rsidP="006D5674">
            <w:pPr>
              <w:rPr>
                <w:b/>
              </w:rPr>
            </w:pPr>
            <w:r w:rsidRPr="008D32C7">
              <w:rPr>
                <w:b/>
              </w:rPr>
              <w:t>Design/</w:t>
            </w:r>
            <w:r>
              <w:rPr>
                <w:b/>
              </w:rPr>
              <w:t xml:space="preserve"> </w:t>
            </w:r>
            <w:r w:rsidRPr="008D32C7">
              <w:rPr>
                <w:b/>
              </w:rPr>
              <w:t>Implementation</w:t>
            </w:r>
          </w:p>
        </w:tc>
        <w:tc>
          <w:tcPr>
            <w:tcW w:w="2195" w:type="pct"/>
            <w:hideMark/>
          </w:tcPr>
          <w:p w14:paraId="4785AAB9" w14:textId="14947323" w:rsidR="004A0831" w:rsidRPr="002B53C4" w:rsidRDefault="004A0831" w:rsidP="00021EF3">
            <w:r w:rsidRPr="002B53C4">
              <w:t xml:space="preserve">7.  How well has the Department adapted its emergency grant making practices? </w:t>
            </w:r>
          </w:p>
        </w:tc>
        <w:tc>
          <w:tcPr>
            <w:tcW w:w="1156" w:type="pct"/>
          </w:tcPr>
          <w:p w14:paraId="0FEF532E" w14:textId="7BECDCC6" w:rsidR="004A0831" w:rsidRPr="002B53C4" w:rsidRDefault="004A0831" w:rsidP="00021EF3">
            <w:r>
              <w:fldChar w:fldCharType="begin"/>
            </w:r>
            <w:r>
              <w:instrText xml:space="preserve"> REF _Ref173938888 \r \h </w:instrText>
            </w:r>
            <w:r w:rsidR="00021EF3">
              <w:instrText xml:space="preserve"> \* MERGEFORMAT </w:instrText>
            </w:r>
            <w:r>
              <w:fldChar w:fldCharType="separate"/>
            </w:r>
            <w:r>
              <w:t>2.1.2</w:t>
            </w:r>
            <w:r>
              <w:fldChar w:fldCharType="end"/>
            </w:r>
          </w:p>
        </w:tc>
      </w:tr>
      <w:tr w:rsidR="004A0831" w:rsidRPr="002B53C4" w14:paraId="22726060" w14:textId="542C4751" w:rsidTr="004A0831">
        <w:trPr>
          <w:trHeight w:val="378"/>
        </w:trPr>
        <w:tc>
          <w:tcPr>
            <w:tcW w:w="1649" w:type="pct"/>
            <w:hideMark/>
          </w:tcPr>
          <w:p w14:paraId="11831B74" w14:textId="31775913" w:rsidR="004A0831" w:rsidRPr="008D32C7" w:rsidRDefault="004A0831" w:rsidP="00021EF3">
            <w:pPr>
              <w:rPr>
                <w:b/>
              </w:rPr>
            </w:pPr>
            <w:r w:rsidRPr="008D32C7">
              <w:rPr>
                <w:b/>
              </w:rPr>
              <w:lastRenderedPageBreak/>
              <w:t>Effectiveness</w:t>
            </w:r>
          </w:p>
          <w:p w14:paraId="5C8A5A79" w14:textId="276455A0" w:rsidR="004A0831" w:rsidRPr="002B53C4" w:rsidRDefault="004A0831" w:rsidP="00021EF3">
            <w:r w:rsidRPr="002B53C4">
              <w:t xml:space="preserve">To what extent were the BCAP and LVHF </w:t>
            </w:r>
            <w:r>
              <w:t xml:space="preserve">grants </w:t>
            </w:r>
            <w:r w:rsidRPr="002B53C4">
              <w:t>effective in achieving intended outcomes including supporting Victorian business operators cope with the impacts of COVID-19 restrictions?</w:t>
            </w:r>
          </w:p>
        </w:tc>
        <w:tc>
          <w:tcPr>
            <w:tcW w:w="2195" w:type="pct"/>
            <w:hideMark/>
          </w:tcPr>
          <w:p w14:paraId="01B89D2C" w14:textId="61C53BD8" w:rsidR="004A0831" w:rsidRPr="002B53C4" w:rsidRDefault="004A0831" w:rsidP="00021EF3">
            <w:r w:rsidRPr="002B53C4">
              <w:t>8.</w:t>
            </w:r>
            <w:r>
              <w:t xml:space="preserve"> </w:t>
            </w:r>
            <w:r w:rsidRPr="002B53C4">
              <w:t>What impact did the grants have on business operators and on business resilience?</w:t>
            </w:r>
          </w:p>
        </w:tc>
        <w:tc>
          <w:tcPr>
            <w:tcW w:w="1156" w:type="pct"/>
          </w:tcPr>
          <w:p w14:paraId="2E2C00DE" w14:textId="48DE80C1" w:rsidR="004A0831" w:rsidRPr="002B53C4" w:rsidRDefault="004A0831" w:rsidP="00021EF3">
            <w:r>
              <w:fldChar w:fldCharType="begin"/>
            </w:r>
            <w:r>
              <w:instrText xml:space="preserve"> REF _Ref173939071 \r \h </w:instrText>
            </w:r>
            <w:r w:rsidR="00021EF3">
              <w:instrText xml:space="preserve"> \* MERGEFORMAT </w:instrText>
            </w:r>
            <w:r>
              <w:fldChar w:fldCharType="separate"/>
            </w:r>
            <w:r>
              <w:t>2.3.1</w:t>
            </w:r>
            <w:r>
              <w:fldChar w:fldCharType="end"/>
            </w:r>
          </w:p>
        </w:tc>
      </w:tr>
      <w:tr w:rsidR="004A0831" w:rsidRPr="002B53C4" w14:paraId="01768AA0" w14:textId="78FD8F9E" w:rsidTr="004A0831">
        <w:trPr>
          <w:trHeight w:val="683"/>
        </w:trPr>
        <w:tc>
          <w:tcPr>
            <w:tcW w:w="1649" w:type="pct"/>
            <w:hideMark/>
          </w:tcPr>
          <w:p w14:paraId="4C364AED" w14:textId="64F6EAD6" w:rsidR="004A0831" w:rsidRPr="006D5674" w:rsidRDefault="006D5674" w:rsidP="006D5674">
            <w:pPr>
              <w:rPr>
                <w:b/>
              </w:rPr>
            </w:pPr>
            <w:r w:rsidRPr="008D32C7">
              <w:rPr>
                <w:b/>
              </w:rPr>
              <w:t>Effectiveness</w:t>
            </w:r>
          </w:p>
          <w:p w14:paraId="19B9D725" w14:textId="77777777" w:rsidR="006D5674" w:rsidRPr="006D5674" w:rsidRDefault="006D5674" w:rsidP="006D5674"/>
        </w:tc>
        <w:tc>
          <w:tcPr>
            <w:tcW w:w="2195" w:type="pct"/>
            <w:hideMark/>
          </w:tcPr>
          <w:p w14:paraId="75BD7D22" w14:textId="6C281032" w:rsidR="004A0831" w:rsidRPr="002B53C4" w:rsidRDefault="004A0831" w:rsidP="00021EF3">
            <w:r w:rsidRPr="002B53C4">
              <w:t xml:space="preserve">9. Which of the grants and related outcomes contributed the greatest and least value to recipients and the Victorian community? </w:t>
            </w:r>
          </w:p>
        </w:tc>
        <w:tc>
          <w:tcPr>
            <w:tcW w:w="1156" w:type="pct"/>
          </w:tcPr>
          <w:p w14:paraId="7E68EFDB" w14:textId="1AFE4A73" w:rsidR="004A0831" w:rsidRPr="002B53C4" w:rsidRDefault="004A0831" w:rsidP="00021EF3">
            <w:r>
              <w:fldChar w:fldCharType="begin"/>
            </w:r>
            <w:r>
              <w:instrText xml:space="preserve"> REF _Ref173939071 \r \h </w:instrText>
            </w:r>
            <w:r w:rsidR="00021EF3">
              <w:instrText xml:space="preserve"> \* MERGEFORMAT </w:instrText>
            </w:r>
            <w:r>
              <w:fldChar w:fldCharType="separate"/>
            </w:r>
            <w:r>
              <w:t>2.3.1</w:t>
            </w:r>
            <w:r>
              <w:fldChar w:fldCharType="end"/>
            </w:r>
          </w:p>
        </w:tc>
      </w:tr>
      <w:tr w:rsidR="004A0831" w:rsidRPr="002B53C4" w14:paraId="7C25167D" w14:textId="370F020E" w:rsidTr="004A0831">
        <w:trPr>
          <w:trHeight w:val="683"/>
        </w:trPr>
        <w:tc>
          <w:tcPr>
            <w:tcW w:w="1649" w:type="pct"/>
            <w:hideMark/>
          </w:tcPr>
          <w:p w14:paraId="07C02824" w14:textId="40388667" w:rsidR="004A0831" w:rsidRPr="006D5674" w:rsidRDefault="006D5674" w:rsidP="006D5674">
            <w:pPr>
              <w:rPr>
                <w:b/>
              </w:rPr>
            </w:pPr>
            <w:r w:rsidRPr="008D32C7">
              <w:rPr>
                <w:b/>
              </w:rPr>
              <w:t>Effectiveness</w:t>
            </w:r>
          </w:p>
        </w:tc>
        <w:tc>
          <w:tcPr>
            <w:tcW w:w="2195" w:type="pct"/>
            <w:hideMark/>
          </w:tcPr>
          <w:p w14:paraId="6CB1CD7D" w14:textId="76614423" w:rsidR="004A0831" w:rsidRPr="002B53C4" w:rsidRDefault="004A0831" w:rsidP="00021EF3">
            <w:r w:rsidRPr="002B53C4">
              <w:t>10.</w:t>
            </w:r>
            <w:r>
              <w:t xml:space="preserve"> </w:t>
            </w:r>
            <w:r w:rsidRPr="002B53C4">
              <w:t xml:space="preserve">How did the benefits of the programs vary for different cohorts, contexts and geographical locations (i.e., metropolitan, outer-metropolitan, regional and rural locations)? </w:t>
            </w:r>
          </w:p>
        </w:tc>
        <w:tc>
          <w:tcPr>
            <w:tcW w:w="1156" w:type="pct"/>
          </w:tcPr>
          <w:p w14:paraId="7BCA5C58" w14:textId="287AEB8E" w:rsidR="004A0831" w:rsidRPr="002B53C4" w:rsidRDefault="004A0831" w:rsidP="00021EF3">
            <w:r>
              <w:fldChar w:fldCharType="begin"/>
            </w:r>
            <w:r>
              <w:instrText xml:space="preserve"> REF _Ref173939135 \r \h </w:instrText>
            </w:r>
            <w:r w:rsidR="00021EF3">
              <w:instrText xml:space="preserve"> \* MERGEFORMAT </w:instrText>
            </w:r>
            <w:r>
              <w:fldChar w:fldCharType="separate"/>
            </w:r>
            <w:r>
              <w:t>2.3.3</w:t>
            </w:r>
            <w:r>
              <w:fldChar w:fldCharType="end"/>
            </w:r>
          </w:p>
        </w:tc>
      </w:tr>
      <w:tr w:rsidR="004A0831" w:rsidRPr="002B53C4" w14:paraId="177F0D8A" w14:textId="17AE5BE2" w:rsidTr="004A0831">
        <w:trPr>
          <w:trHeight w:val="683"/>
        </w:trPr>
        <w:tc>
          <w:tcPr>
            <w:tcW w:w="1649" w:type="pct"/>
            <w:hideMark/>
          </w:tcPr>
          <w:p w14:paraId="6E765D0A" w14:textId="2A1728BC" w:rsidR="004A0831" w:rsidRPr="006D5674" w:rsidRDefault="006D5674" w:rsidP="006D5674">
            <w:pPr>
              <w:rPr>
                <w:b/>
              </w:rPr>
            </w:pPr>
            <w:r w:rsidRPr="008D32C7">
              <w:rPr>
                <w:b/>
              </w:rPr>
              <w:t>Effectiveness</w:t>
            </w:r>
          </w:p>
        </w:tc>
        <w:tc>
          <w:tcPr>
            <w:tcW w:w="2195" w:type="pct"/>
            <w:hideMark/>
          </w:tcPr>
          <w:p w14:paraId="15FFF5A2" w14:textId="7105A570" w:rsidR="004A0831" w:rsidRPr="002B53C4" w:rsidRDefault="004A0831" w:rsidP="00021EF3">
            <w:r w:rsidRPr="002B53C4">
              <w:t>11.</w:t>
            </w:r>
            <w:r>
              <w:t xml:space="preserve"> </w:t>
            </w:r>
            <w:r w:rsidRPr="002B53C4">
              <w:t>To what extent did the external factors outside of the Department’s control affect the extent to which the grants benefitted the recipients and the broader Victorian economy?</w:t>
            </w:r>
          </w:p>
        </w:tc>
        <w:tc>
          <w:tcPr>
            <w:tcW w:w="1156" w:type="pct"/>
          </w:tcPr>
          <w:p w14:paraId="4588CB51" w14:textId="0EAB6EE5" w:rsidR="004A0831" w:rsidRPr="002B53C4" w:rsidRDefault="004A0831" w:rsidP="00021EF3">
            <w:r>
              <w:fldChar w:fldCharType="begin"/>
            </w:r>
            <w:r>
              <w:instrText xml:space="preserve"> REF _Ref173939103 \r \h </w:instrText>
            </w:r>
            <w:r w:rsidR="00021EF3">
              <w:instrText xml:space="preserve"> \* MERGEFORMAT </w:instrText>
            </w:r>
            <w:r>
              <w:fldChar w:fldCharType="separate"/>
            </w:r>
            <w:r>
              <w:t>2.3.2</w:t>
            </w:r>
            <w:r>
              <w:fldChar w:fldCharType="end"/>
            </w:r>
          </w:p>
        </w:tc>
      </w:tr>
      <w:tr w:rsidR="004A0831" w:rsidRPr="002B53C4" w14:paraId="40CDBB34" w14:textId="7D472CBD" w:rsidTr="004A0831">
        <w:trPr>
          <w:trHeight w:val="378"/>
        </w:trPr>
        <w:tc>
          <w:tcPr>
            <w:tcW w:w="1649" w:type="pct"/>
            <w:hideMark/>
          </w:tcPr>
          <w:p w14:paraId="4F1283E8" w14:textId="77777777" w:rsidR="004A0831" w:rsidRPr="008D32C7" w:rsidRDefault="004A0831" w:rsidP="00021EF3">
            <w:pPr>
              <w:rPr>
                <w:b/>
              </w:rPr>
            </w:pPr>
            <w:r w:rsidRPr="008D32C7">
              <w:rPr>
                <w:b/>
              </w:rPr>
              <w:t>Value for money</w:t>
            </w:r>
          </w:p>
          <w:p w14:paraId="5C976942" w14:textId="77777777" w:rsidR="004A0831" w:rsidRPr="002B53C4" w:rsidRDefault="004A0831" w:rsidP="00021EF3">
            <w:r w:rsidRPr="002B53C4">
              <w:t>Were the BCAP and LVHF worth implementing? Did the value of the outcomes outweigh the value of the resources used to obtain them?</w:t>
            </w:r>
          </w:p>
        </w:tc>
        <w:tc>
          <w:tcPr>
            <w:tcW w:w="2195" w:type="pct"/>
            <w:hideMark/>
          </w:tcPr>
          <w:p w14:paraId="254AC754" w14:textId="17C19F8F" w:rsidR="004A0831" w:rsidRPr="002B53C4" w:rsidRDefault="004A0831" w:rsidP="00021EF3">
            <w:r w:rsidRPr="002B53C4">
              <w:t>12. Did the Department demonstrate efficiency in the delivery of the grants?</w:t>
            </w:r>
          </w:p>
        </w:tc>
        <w:tc>
          <w:tcPr>
            <w:tcW w:w="1156" w:type="pct"/>
          </w:tcPr>
          <w:p w14:paraId="228962DE" w14:textId="61CA0588" w:rsidR="004A0831" w:rsidRPr="002B53C4" w:rsidRDefault="004A0831" w:rsidP="00021EF3">
            <w:r>
              <w:fldChar w:fldCharType="begin"/>
            </w:r>
            <w:r>
              <w:instrText xml:space="preserve"> REF _Ref173938968 \r \h </w:instrText>
            </w:r>
            <w:r w:rsidR="00021EF3">
              <w:instrText xml:space="preserve"> \* MERGEFORMAT </w:instrText>
            </w:r>
            <w:r>
              <w:fldChar w:fldCharType="separate"/>
            </w:r>
            <w:r>
              <w:t>2.2.3</w:t>
            </w:r>
            <w:r>
              <w:fldChar w:fldCharType="end"/>
            </w:r>
          </w:p>
        </w:tc>
      </w:tr>
      <w:tr w:rsidR="004A0831" w:rsidRPr="002B53C4" w14:paraId="5376B683" w14:textId="0B7D1F09" w:rsidTr="004A0831">
        <w:trPr>
          <w:trHeight w:val="378"/>
        </w:trPr>
        <w:tc>
          <w:tcPr>
            <w:tcW w:w="1649" w:type="pct"/>
            <w:hideMark/>
          </w:tcPr>
          <w:p w14:paraId="4E07028B" w14:textId="116DA297" w:rsidR="004A0831" w:rsidRPr="006D5674" w:rsidRDefault="006D5674" w:rsidP="006D5674">
            <w:pPr>
              <w:rPr>
                <w:b/>
              </w:rPr>
            </w:pPr>
            <w:r w:rsidRPr="008D32C7">
              <w:rPr>
                <w:b/>
              </w:rPr>
              <w:t>Value for money</w:t>
            </w:r>
          </w:p>
        </w:tc>
        <w:tc>
          <w:tcPr>
            <w:tcW w:w="2195" w:type="pct"/>
            <w:hideMark/>
          </w:tcPr>
          <w:p w14:paraId="624A3240" w14:textId="3F3724F1" w:rsidR="004A0831" w:rsidRPr="002B53C4" w:rsidRDefault="004A0831" w:rsidP="00021EF3">
            <w:r w:rsidRPr="002B53C4">
              <w:t>13.</w:t>
            </w:r>
            <w:r>
              <w:t xml:space="preserve"> </w:t>
            </w:r>
            <w:r w:rsidRPr="002B53C4">
              <w:t>How valuable were the outcomes to recipients and the community?</w:t>
            </w:r>
          </w:p>
        </w:tc>
        <w:tc>
          <w:tcPr>
            <w:tcW w:w="1156" w:type="pct"/>
          </w:tcPr>
          <w:p w14:paraId="69C1047E" w14:textId="1E43110B" w:rsidR="004A0831" w:rsidRPr="002B53C4" w:rsidRDefault="004A0831" w:rsidP="00021EF3">
            <w:r>
              <w:fldChar w:fldCharType="begin"/>
            </w:r>
            <w:r>
              <w:instrText xml:space="preserve"> REF _Ref173939160 \r \h </w:instrText>
            </w:r>
            <w:r w:rsidR="00021EF3">
              <w:instrText xml:space="preserve"> \* MERGEFORMAT </w:instrText>
            </w:r>
            <w:r>
              <w:fldChar w:fldCharType="separate"/>
            </w:r>
            <w:r>
              <w:t>2.4.1</w:t>
            </w:r>
            <w:r>
              <w:fldChar w:fldCharType="end"/>
            </w:r>
          </w:p>
        </w:tc>
      </w:tr>
      <w:tr w:rsidR="004A0831" w:rsidRPr="002B53C4" w14:paraId="7EE4150D" w14:textId="5DDF9177" w:rsidTr="004A0831">
        <w:trPr>
          <w:trHeight w:val="539"/>
        </w:trPr>
        <w:tc>
          <w:tcPr>
            <w:tcW w:w="1649" w:type="pct"/>
            <w:hideMark/>
          </w:tcPr>
          <w:p w14:paraId="4048B0EA" w14:textId="627A4F93" w:rsidR="004A0831" w:rsidRPr="006D5674" w:rsidRDefault="006D5674" w:rsidP="006D5674">
            <w:pPr>
              <w:rPr>
                <w:b/>
              </w:rPr>
            </w:pPr>
            <w:r w:rsidRPr="008D32C7">
              <w:rPr>
                <w:b/>
              </w:rPr>
              <w:t>Value for money</w:t>
            </w:r>
          </w:p>
        </w:tc>
        <w:tc>
          <w:tcPr>
            <w:tcW w:w="2195" w:type="pct"/>
            <w:hideMark/>
          </w:tcPr>
          <w:p w14:paraId="0CE31688" w14:textId="3B68A68E" w:rsidR="004A0831" w:rsidRPr="002B53C4" w:rsidRDefault="004A0831" w:rsidP="00021EF3">
            <w:r w:rsidRPr="002B53C4">
              <w:t>14.</w:t>
            </w:r>
            <w:r>
              <w:t xml:space="preserve"> </w:t>
            </w:r>
            <w:r w:rsidRPr="002B53C4">
              <w:t>How did the cost of delivery compare to other similar grant programs?</w:t>
            </w:r>
          </w:p>
        </w:tc>
        <w:tc>
          <w:tcPr>
            <w:tcW w:w="1156" w:type="pct"/>
          </w:tcPr>
          <w:p w14:paraId="36482A05" w14:textId="0DF19649" w:rsidR="004A0831" w:rsidRPr="002B53C4" w:rsidRDefault="004A0831" w:rsidP="00021EF3">
            <w:r>
              <w:fldChar w:fldCharType="begin"/>
            </w:r>
            <w:r>
              <w:instrText xml:space="preserve"> REF _Ref173939167 \r \h </w:instrText>
            </w:r>
            <w:r w:rsidR="00021EF3">
              <w:instrText xml:space="preserve"> \* MERGEFORMAT </w:instrText>
            </w:r>
            <w:r>
              <w:fldChar w:fldCharType="separate"/>
            </w:r>
            <w:r>
              <w:t>2.4.2</w:t>
            </w:r>
            <w:r>
              <w:fldChar w:fldCharType="end"/>
            </w:r>
          </w:p>
        </w:tc>
      </w:tr>
    </w:tbl>
    <w:p w14:paraId="322DA61D" w14:textId="3C64AE5F" w:rsidR="00404237" w:rsidRDefault="00D60B65" w:rsidP="00021EF3">
      <w:pPr>
        <w:pStyle w:val="Source"/>
      </w:pPr>
      <w:r>
        <w:t>Source: The Department.</w:t>
      </w:r>
    </w:p>
    <w:p w14:paraId="7A9E263E" w14:textId="59C7E707" w:rsidR="00CE7300" w:rsidRPr="00CE7300" w:rsidRDefault="00CE7300" w:rsidP="00021EF3">
      <w:r>
        <w:t>This evaluation did not assess other COVID-19 supports provided by the Victorian or Commonwealth Governments during the same period. Nor did it consider or undertake any audit or investigative activity relating to the BCAP and LHVF programs.</w:t>
      </w:r>
    </w:p>
    <w:p w14:paraId="7673FFFF" w14:textId="1D892A6F" w:rsidR="008E7A47" w:rsidRDefault="008E7A47" w:rsidP="00021EF3">
      <w:pPr>
        <w:pStyle w:val="Heading3un-numbered"/>
      </w:pPr>
      <w:bookmarkStart w:id="251" w:name="_Toc173344711"/>
      <w:bookmarkStart w:id="252" w:name="_Toc173344938"/>
      <w:bookmarkStart w:id="253" w:name="_Toc173915893"/>
      <w:bookmarkStart w:id="254" w:name="_Toc174118130"/>
      <w:bookmarkStart w:id="255" w:name="_Toc176516249"/>
      <w:r>
        <w:t>Quantitative d</w:t>
      </w:r>
      <w:r w:rsidRPr="00730701">
        <w:t>ata analysis methodology</w:t>
      </w:r>
      <w:bookmarkEnd w:id="251"/>
      <w:bookmarkEnd w:id="252"/>
      <w:bookmarkEnd w:id="253"/>
      <w:bookmarkEnd w:id="254"/>
      <w:bookmarkEnd w:id="255"/>
    </w:p>
    <w:p w14:paraId="5B30C083" w14:textId="77777777" w:rsidR="008E7A47" w:rsidRDefault="008E7A47" w:rsidP="00021EF3">
      <w:pPr>
        <w:pStyle w:val="Heading4un-numbered"/>
      </w:pPr>
      <w:r>
        <w:t>Analysis of key program outcomes</w:t>
      </w:r>
    </w:p>
    <w:p w14:paraId="78564A90" w14:textId="2257C461" w:rsidR="008E7A47" w:rsidRDefault="008E7A47" w:rsidP="00021EF3">
      <w:r>
        <w:t>The Evaluation Plan identified a number of key outcomes to be considered as part of the quantitative and economic analysis of the programs.</w:t>
      </w:r>
    </w:p>
    <w:p w14:paraId="21776283" w14:textId="2718C368" w:rsidR="008E7A47" w:rsidRDefault="008E7A47" w:rsidP="00021EF3">
      <w:r>
        <w:t xml:space="preserve">A unique methodology was developed for the assessment of each outcome based on the available data, including the program data, secondary data sources (e.g., ABS data, </w:t>
      </w:r>
      <w:r w:rsidRPr="00A90165">
        <w:t>Australian Securities &amp; Investments Commission</w:t>
      </w:r>
      <w:r>
        <w:t xml:space="preserve"> (ASIC) data) and the business survey. The sophistication of these methodologies varied based on the extent </w:t>
      </w:r>
      <w:r w:rsidR="00DC6771">
        <w:t xml:space="preserve">of </w:t>
      </w:r>
      <w:r>
        <w:t>data available for each specific outcome. It is noted that the evaluation was generally limited by the use of publicly available secondary data sources. The use of publicly available data sources generally limited analysis to an industry or region level, rather than business level, negating the direct comparison of treated and non-treated businesses (except in the case of business survival analysis). Use of business</w:t>
      </w:r>
      <w:r w:rsidR="00A101A7">
        <w:t>-</w:t>
      </w:r>
      <w:r>
        <w:t xml:space="preserve">level microdata sources (e.g., the ABS’ </w:t>
      </w:r>
      <w:r w:rsidRPr="00E31CDC">
        <w:t>Business Longitudinal Analysis Data Environment</w:t>
      </w:r>
      <w:r>
        <w:t xml:space="preserve"> (BLADE)) was explored but not accessible within project timeframes.</w:t>
      </w:r>
    </w:p>
    <w:p w14:paraId="7C0AFA27" w14:textId="42141721" w:rsidR="008E7A47" w:rsidRDefault="008E7A47" w:rsidP="00021EF3">
      <w:r>
        <w:t xml:space="preserve">The methodologies used to assess the following key outcomes was as follows, with further detail and results outlined in </w:t>
      </w:r>
      <w:r w:rsidRPr="00581D9A">
        <w:fldChar w:fldCharType="begin"/>
      </w:r>
      <w:r w:rsidRPr="00581D9A">
        <w:instrText xml:space="preserve"> REF _Ref173249538 \r \h  \* MERGEFORMAT </w:instrText>
      </w:r>
      <w:r w:rsidRPr="00581D9A">
        <w:fldChar w:fldCharType="separate"/>
      </w:r>
      <w:r w:rsidR="0016271C">
        <w:t>Appendix A</w:t>
      </w:r>
      <w:r w:rsidRPr="00581D9A">
        <w:fldChar w:fldCharType="end"/>
      </w:r>
      <w:r>
        <w:t>.</w:t>
      </w:r>
    </w:p>
    <w:p w14:paraId="4C2B9DB5" w14:textId="13528D13" w:rsidR="008E7A47" w:rsidRDefault="008E7A47" w:rsidP="00021EF3">
      <w:pPr>
        <w:pStyle w:val="ListBullet"/>
      </w:pPr>
      <w:r>
        <w:rPr>
          <w:b/>
          <w:bCs/>
        </w:rPr>
        <w:t xml:space="preserve">Business survival </w:t>
      </w:r>
      <w:r>
        <w:t>– the impact on business survival was assessed based on business</w:t>
      </w:r>
      <w:r w:rsidR="00FC39CB">
        <w:t>-</w:t>
      </w:r>
      <w:r>
        <w:t>level regression analysis using Australian Business Register</w:t>
      </w:r>
      <w:r w:rsidR="002823EE">
        <w:t xml:space="preserve"> (ABR)</w:t>
      </w:r>
      <w:r>
        <w:t xml:space="preserve"> data, ASIC insolvency data and the grants database. The </w:t>
      </w:r>
      <w:r>
        <w:lastRenderedPageBreak/>
        <w:t>analysis compared insolvency outcomes for treated and non-treated businesses. This was supported by jurisdictional comparison based on the ASIC insolvency data as well as data from the business survey.</w:t>
      </w:r>
    </w:p>
    <w:p w14:paraId="404E0631" w14:textId="65646CAE" w:rsidR="008E7A47" w:rsidRDefault="008E7A47" w:rsidP="00021EF3">
      <w:pPr>
        <w:pStyle w:val="ListBullet"/>
      </w:pPr>
      <w:r>
        <w:rPr>
          <w:b/>
          <w:bCs/>
        </w:rPr>
        <w:t xml:space="preserve">Employment </w:t>
      </w:r>
      <w:r>
        <w:t>– employment outcomes were analysed based on industry</w:t>
      </w:r>
      <w:r w:rsidR="00FC39CB">
        <w:t>-</w:t>
      </w:r>
      <w:r>
        <w:t xml:space="preserve"> and regional</w:t>
      </w:r>
      <w:r w:rsidR="00FC39CB">
        <w:t>-</w:t>
      </w:r>
      <w:r>
        <w:t xml:space="preserve">level regression analysis using ABS data on the number of hours worked by industry, which examined the relationship between intensity of treatment within an industry and hours worked. This was supported by analysis based on the business survey. </w:t>
      </w:r>
    </w:p>
    <w:p w14:paraId="0C504CB0" w14:textId="5BC78923" w:rsidR="008E7A47" w:rsidRPr="00D0413B" w:rsidRDefault="008E7A47" w:rsidP="00021EF3">
      <w:pPr>
        <w:pStyle w:val="ListBullet"/>
      </w:pPr>
      <w:r w:rsidRPr="00336C80">
        <w:rPr>
          <w:b/>
        </w:rPr>
        <w:t>Wellbeing</w:t>
      </w:r>
      <w:r>
        <w:t xml:space="preserve"> – the impact of the grants on the wellbeing of business owners and sole traders was assessed by using data from </w:t>
      </w:r>
      <w:r w:rsidR="00FC39CB">
        <w:t>t</w:t>
      </w:r>
      <w:r>
        <w:t xml:space="preserve">he </w:t>
      </w:r>
      <w:r w:rsidRPr="00DC7A67">
        <w:t>Household, Income and Labour Dynamics in Australia (</w:t>
      </w:r>
      <w:r>
        <w:t>HILDA</w:t>
      </w:r>
      <w:r w:rsidRPr="00DC7A67">
        <w:t>) Survey</w:t>
      </w:r>
      <w:r>
        <w:t xml:space="preserve">. Comparisons were made across employment characteristics and geographies. </w:t>
      </w:r>
    </w:p>
    <w:p w14:paraId="7F9AA8F7" w14:textId="77777777" w:rsidR="008E7A47" w:rsidRPr="00D0413B" w:rsidRDefault="008E7A47" w:rsidP="00021EF3">
      <w:pPr>
        <w:pStyle w:val="ListBullet"/>
      </w:pPr>
      <w:r>
        <w:rPr>
          <w:b/>
          <w:bCs/>
        </w:rPr>
        <w:t xml:space="preserve">Cost coverage – </w:t>
      </w:r>
      <w:r>
        <w:t>the extent to which the grants supported participate business in covering costs during periods of shutdown was examined based on analysis of the ratio of grant revenue per business to estimated business costs over a defined period, using both the program data and ABS National Accounts data. This was also supported by data from the business survey.</w:t>
      </w:r>
    </w:p>
    <w:p w14:paraId="6B51124D" w14:textId="77777777" w:rsidR="008E7A47" w:rsidRPr="000E003E" w:rsidRDefault="008E7A47" w:rsidP="00021EF3">
      <w:pPr>
        <w:pStyle w:val="ListBullet"/>
      </w:pPr>
      <w:r w:rsidRPr="000E003E">
        <w:rPr>
          <w:b/>
        </w:rPr>
        <w:t xml:space="preserve">Business confidence </w:t>
      </w:r>
      <w:r w:rsidRPr="000E003E">
        <w:t xml:space="preserve">– discussion of business confidence was produced based on publicly available surveys published by </w:t>
      </w:r>
      <w:r>
        <w:t>National Australia Bank (</w:t>
      </w:r>
      <w:r w:rsidRPr="000E003E">
        <w:t>NAB</w:t>
      </w:r>
      <w:r>
        <w:t>)</w:t>
      </w:r>
      <w:r w:rsidRPr="000E003E">
        <w:t>.</w:t>
      </w:r>
    </w:p>
    <w:p w14:paraId="2037F681" w14:textId="77777777" w:rsidR="008E7A47" w:rsidRPr="000E003E" w:rsidRDefault="008E7A47" w:rsidP="00021EF3">
      <w:pPr>
        <w:pStyle w:val="ListBullet"/>
      </w:pPr>
      <w:r w:rsidRPr="000E003E">
        <w:rPr>
          <w:b/>
        </w:rPr>
        <w:t>Broader economic and fiscal health</w:t>
      </w:r>
      <w:r w:rsidRPr="000E003E">
        <w:t xml:space="preserve"> – analysis of the border economic impacts of the grant program was based on a review of academic literature and analysis of publicly available economic indicators.</w:t>
      </w:r>
    </w:p>
    <w:p w14:paraId="1DF8874F" w14:textId="5E69DED6" w:rsidR="008E7A47" w:rsidRDefault="008E7A47" w:rsidP="00021EF3">
      <w:pPr>
        <w:pStyle w:val="Heading3un-numbered"/>
      </w:pPr>
      <w:bookmarkStart w:id="256" w:name="_Toc176516250"/>
      <w:bookmarkStart w:id="257" w:name="_Toc173344712"/>
      <w:bookmarkStart w:id="258" w:name="_Toc173344939"/>
      <w:bookmarkStart w:id="259" w:name="_Toc173915894"/>
      <w:bookmarkStart w:id="260" w:name="_Toc174118131"/>
      <w:r>
        <w:t>Cost</w:t>
      </w:r>
      <w:r w:rsidR="00F445EC">
        <w:t>-</w:t>
      </w:r>
      <w:r>
        <w:t>benefit analysis</w:t>
      </w:r>
      <w:bookmarkEnd w:id="256"/>
      <w:r w:rsidR="00F445EC">
        <w:t xml:space="preserve"> (CBA)</w:t>
      </w:r>
      <w:r>
        <w:t xml:space="preserve"> </w:t>
      </w:r>
      <w:bookmarkEnd w:id="257"/>
      <w:bookmarkEnd w:id="258"/>
      <w:bookmarkEnd w:id="259"/>
      <w:bookmarkEnd w:id="260"/>
    </w:p>
    <w:p w14:paraId="626BB05F" w14:textId="4D49D758" w:rsidR="008E7A47" w:rsidRDefault="008E7A47" w:rsidP="00021EF3">
      <w:r>
        <w:t xml:space="preserve">A </w:t>
      </w:r>
      <w:r w:rsidR="00EA50AB">
        <w:t>CBA</w:t>
      </w:r>
      <w:r>
        <w:t xml:space="preserve"> considers economic, environmental and social impacts attributable to an intervention or policy. The CBA only estimates the incremental impact of the programs – that is, the costs and benefits attributable to the programs relative to a defined base case. In this instance, the base case assumes that the Victorian Government did not operate the in-scope programs</w:t>
      </w:r>
      <w:r w:rsidR="003E29E9">
        <w:t xml:space="preserve"> </w:t>
      </w:r>
      <w:r w:rsidR="00A42248">
        <w:t>or deliver an equivalent intervention.</w:t>
      </w:r>
    </w:p>
    <w:p w14:paraId="585A2213" w14:textId="24D73631" w:rsidR="008E7A47" w:rsidRDefault="008E7A47" w:rsidP="00021EF3">
      <w:r>
        <w:t xml:space="preserve">In this analysis, we estimate the net benefits that accrue </w:t>
      </w:r>
      <w:r w:rsidR="00A42248">
        <w:t xml:space="preserve">within the Victorian economy </w:t>
      </w:r>
      <w:r>
        <w:t>and costs incurred within Victoria.</w:t>
      </w:r>
    </w:p>
    <w:p w14:paraId="14DA0C85" w14:textId="081F2658" w:rsidR="008E7A47" w:rsidRDefault="008E7A47" w:rsidP="00021EF3">
      <w:r>
        <w:t xml:space="preserve">Where possible, the incremental costs and benefits of the programs have been monetised. This is not always possible either due to the effects being non-financial or intangible or there being insufficient data to value those benefits. The CBA framework is outlined in Section </w:t>
      </w:r>
      <w:r w:rsidR="00581D9A">
        <w:rPr>
          <w:highlight w:val="yellow"/>
        </w:rPr>
        <w:fldChar w:fldCharType="begin"/>
      </w:r>
      <w:r w:rsidR="00581D9A">
        <w:instrText xml:space="preserve"> REF _Ref173343524 \r \h </w:instrText>
      </w:r>
      <w:r w:rsidR="00021EF3">
        <w:rPr>
          <w:highlight w:val="yellow"/>
        </w:rPr>
        <w:instrText xml:space="preserve"> \* MERGEFORMAT </w:instrText>
      </w:r>
      <w:r w:rsidR="00581D9A">
        <w:rPr>
          <w:highlight w:val="yellow"/>
        </w:rPr>
      </w:r>
      <w:r w:rsidR="00581D9A">
        <w:rPr>
          <w:highlight w:val="yellow"/>
        </w:rPr>
        <w:fldChar w:fldCharType="separate"/>
      </w:r>
      <w:r w:rsidR="0016271C">
        <w:t>2.4</w:t>
      </w:r>
      <w:r w:rsidR="00581D9A">
        <w:rPr>
          <w:highlight w:val="yellow"/>
        </w:rPr>
        <w:fldChar w:fldCharType="end"/>
      </w:r>
      <w:r>
        <w:t>. This shows the categories of costs and benefits measured in this CBA and the evaluation method.</w:t>
      </w:r>
    </w:p>
    <w:p w14:paraId="3F3C15AC" w14:textId="6F46CCDD" w:rsidR="00B62C50" w:rsidRDefault="008E7A47" w:rsidP="00021EF3">
      <w:r>
        <w:t>The CBA leverages the analysis described above to inform assumptions around the attributable impact of the program on key outcomes such as business survival and increased employment relative to a defined base case, assigning monetary values to these outcomes to inform calculations of economic benefit.</w:t>
      </w:r>
    </w:p>
    <w:p w14:paraId="6AF55D12" w14:textId="77777777" w:rsidR="00681851" w:rsidRDefault="00681851" w:rsidP="00021EF3">
      <w:pPr>
        <w:pStyle w:val="Heading3un-numbered"/>
      </w:pPr>
      <w:bookmarkStart w:id="261" w:name="_Toc173344713"/>
      <w:bookmarkStart w:id="262" w:name="_Toc173344940"/>
      <w:bookmarkStart w:id="263" w:name="_Toc173915895"/>
      <w:bookmarkStart w:id="264" w:name="_Toc174118132"/>
      <w:bookmarkStart w:id="265" w:name="_Toc176516251"/>
      <w:r w:rsidRPr="00730701">
        <w:t>Data sources used to inform this evaluation</w:t>
      </w:r>
      <w:bookmarkEnd w:id="261"/>
      <w:bookmarkEnd w:id="262"/>
      <w:bookmarkEnd w:id="263"/>
      <w:bookmarkEnd w:id="264"/>
      <w:bookmarkEnd w:id="265"/>
    </w:p>
    <w:p w14:paraId="62007A8A" w14:textId="77777777" w:rsidR="00681851" w:rsidRPr="00A8748C" w:rsidRDefault="00681851" w:rsidP="00021EF3">
      <w:r w:rsidRPr="00A8748C">
        <w:t xml:space="preserve">A range of qualitative and quantitative data collection methods were used to inform the findings of this evaluation. This included a review of available program data and documentation to identify how the </w:t>
      </w:r>
      <w:r>
        <w:t>programs were</w:t>
      </w:r>
      <w:r w:rsidRPr="00A8748C">
        <w:t xml:space="preserve"> delivered. Internal and external stakeholders to government were consulted on the via interviews</w:t>
      </w:r>
      <w:r>
        <w:t xml:space="preserve"> while direct participant feedback was gathered through a business survey. Extensive quantitative analysis of secondary data sources was also undertaken to support assessment of impact on outcomes. </w:t>
      </w:r>
      <w:r w:rsidRPr="00A8748C">
        <w:t xml:space="preserve">Evidence was analysed and synthesised by themes and evaluation domains into the findings presented in this report. </w:t>
      </w:r>
    </w:p>
    <w:p w14:paraId="1A208E84" w14:textId="569B4ABF" w:rsidR="00681851" w:rsidRDefault="00BD6977" w:rsidP="00021EF3">
      <w:r>
        <w:t>A summary of the inputs into the evaluation is as follows:</w:t>
      </w:r>
    </w:p>
    <w:p w14:paraId="325C7CCA" w14:textId="03E1DD90" w:rsidR="00BD6977" w:rsidRPr="00BD6977" w:rsidRDefault="00453EF6" w:rsidP="00021EF3">
      <w:pPr>
        <w:pStyle w:val="ListBullet"/>
      </w:pPr>
      <w:r>
        <w:t>r</w:t>
      </w:r>
      <w:r w:rsidR="00BD6977" w:rsidRPr="00BD6977">
        <w:t xml:space="preserve">eview and analysis of provided </w:t>
      </w:r>
      <w:r w:rsidR="00BD6977" w:rsidRPr="00BD6977">
        <w:rPr>
          <w:b/>
          <w:bCs/>
        </w:rPr>
        <w:t xml:space="preserve">program materials and data </w:t>
      </w:r>
      <w:r w:rsidR="00BD6977" w:rsidRPr="00BD6977">
        <w:t xml:space="preserve">by the </w:t>
      </w:r>
      <w:r w:rsidR="00470198" w:rsidRPr="00BD6977">
        <w:t>Department.</w:t>
      </w:r>
    </w:p>
    <w:p w14:paraId="212C2CF3" w14:textId="1AC9C608" w:rsidR="00BD6977" w:rsidRPr="00BD6977" w:rsidRDefault="00453EF6" w:rsidP="00021EF3">
      <w:pPr>
        <w:pStyle w:val="ListBullet"/>
      </w:pPr>
      <w:r>
        <w:t>i</w:t>
      </w:r>
      <w:r w:rsidR="00BD6977" w:rsidRPr="00BD6977">
        <w:t xml:space="preserve">nsights captured through </w:t>
      </w:r>
      <w:r w:rsidR="000A70DA">
        <w:rPr>
          <w:b/>
          <w:bCs/>
        </w:rPr>
        <w:t>nine</w:t>
      </w:r>
      <w:r w:rsidR="000A70DA" w:rsidRPr="00BD6977">
        <w:rPr>
          <w:b/>
          <w:bCs/>
        </w:rPr>
        <w:t xml:space="preserve"> </w:t>
      </w:r>
      <w:r w:rsidR="00BD6977" w:rsidRPr="00BD6977">
        <w:rPr>
          <w:b/>
          <w:bCs/>
        </w:rPr>
        <w:t>stakeholder interviews</w:t>
      </w:r>
      <w:r w:rsidR="00BD6977" w:rsidRPr="00BD6977">
        <w:t>, which included consultations with:</w:t>
      </w:r>
    </w:p>
    <w:p w14:paraId="36C51868" w14:textId="48C70CD1" w:rsidR="00BD6977" w:rsidRPr="00BD6977" w:rsidRDefault="00453EF6" w:rsidP="00021EF3">
      <w:pPr>
        <w:pStyle w:val="ListBullet"/>
        <w:numPr>
          <w:ilvl w:val="1"/>
          <w:numId w:val="24"/>
        </w:numPr>
      </w:pPr>
      <w:r>
        <w:t>r</w:t>
      </w:r>
      <w:r w:rsidR="00BD6977" w:rsidRPr="00BD6977">
        <w:t>epresentatives of the Department involved in the delivery of the programs</w:t>
      </w:r>
      <w:r w:rsidR="00AF413B">
        <w:t>.</w:t>
      </w:r>
    </w:p>
    <w:p w14:paraId="4246151D" w14:textId="0E55EA5D" w:rsidR="00BD6977" w:rsidRPr="00BD6977" w:rsidRDefault="00453EF6" w:rsidP="00021EF3">
      <w:pPr>
        <w:pStyle w:val="ListBullet"/>
        <w:numPr>
          <w:ilvl w:val="1"/>
          <w:numId w:val="24"/>
        </w:numPr>
      </w:pPr>
      <w:r>
        <w:t>s</w:t>
      </w:r>
      <w:r w:rsidR="00BD6977" w:rsidRPr="00BD6977">
        <w:t>ome industry peak bodies involved in the delivery of the programs</w:t>
      </w:r>
      <w:r w:rsidR="00AF413B">
        <w:t>.</w:t>
      </w:r>
    </w:p>
    <w:p w14:paraId="15A4D061" w14:textId="33523B7B" w:rsidR="00BD6977" w:rsidRPr="00BD6977" w:rsidRDefault="00453EF6" w:rsidP="00021EF3">
      <w:pPr>
        <w:pStyle w:val="ListBullet"/>
      </w:pPr>
      <w:r>
        <w:rPr>
          <w:b/>
          <w:bCs/>
        </w:rPr>
        <w:t>d</w:t>
      </w:r>
      <w:r w:rsidR="00BD6977" w:rsidRPr="00BD6977">
        <w:rPr>
          <w:b/>
          <w:bCs/>
        </w:rPr>
        <w:t xml:space="preserve">esktop research and literature reviews </w:t>
      </w:r>
      <w:r w:rsidR="00BD6977" w:rsidRPr="00BD6977">
        <w:t>on COVID-19 emergency support programs throughout Australia and internationally</w:t>
      </w:r>
    </w:p>
    <w:p w14:paraId="6EDAE0B8" w14:textId="51FE6FEB" w:rsidR="00BD6977" w:rsidRPr="00BD6977" w:rsidRDefault="00453EF6" w:rsidP="00021EF3">
      <w:pPr>
        <w:pStyle w:val="ListBullet"/>
      </w:pPr>
      <w:r>
        <w:t>a</w:t>
      </w:r>
      <w:r w:rsidR="00BD6977" w:rsidRPr="00BD6977">
        <w:t>nalysis of business level data contained within the Department</w:t>
      </w:r>
      <w:r w:rsidR="007D331C">
        <w:t>’</w:t>
      </w:r>
      <w:r w:rsidR="00BD6977" w:rsidRPr="00BD6977">
        <w:t>s grants database</w:t>
      </w:r>
      <w:r w:rsidR="00AF413B">
        <w:t>.</w:t>
      </w:r>
    </w:p>
    <w:p w14:paraId="5DEBD79F" w14:textId="4B83D2D0" w:rsidR="00BD6977" w:rsidRPr="00BD6977" w:rsidRDefault="00453EF6" w:rsidP="00021EF3">
      <w:pPr>
        <w:pStyle w:val="ListBullet"/>
      </w:pPr>
      <w:r>
        <w:t>i</w:t>
      </w:r>
      <w:r w:rsidR="00BD6977" w:rsidRPr="00BD6977">
        <w:t xml:space="preserve">nsights from </w:t>
      </w:r>
      <w:r w:rsidR="00BD6977" w:rsidRPr="00BD6977">
        <w:rPr>
          <w:b/>
          <w:bCs/>
        </w:rPr>
        <w:t>a business survey of BCAP and LHVF participants</w:t>
      </w:r>
      <w:r w:rsidR="00BD6977" w:rsidRPr="00BD6977">
        <w:t xml:space="preserve"> undertaken by this evaluation,</w:t>
      </w:r>
      <w:r w:rsidR="00BD6977" w:rsidRPr="00BD6977">
        <w:rPr>
          <w:b/>
          <w:bCs/>
        </w:rPr>
        <w:t xml:space="preserve"> </w:t>
      </w:r>
      <w:r w:rsidR="00BD6977" w:rsidRPr="00BD6977">
        <w:t>specifically relating to the impact of the grants on participants</w:t>
      </w:r>
      <w:r w:rsidR="002B4FF9">
        <w:t>, where a</w:t>
      </w:r>
      <w:r w:rsidR="00B33ED6">
        <w:t xml:space="preserve"> total of </w:t>
      </w:r>
      <w:r w:rsidR="00B33ED6" w:rsidRPr="00EE5DAE">
        <w:t>478</w:t>
      </w:r>
      <w:r w:rsidR="00B33ED6" w:rsidRPr="00EE5DAE">
        <w:rPr>
          <w:rFonts w:hint="eastAsia"/>
        </w:rPr>
        <w:t xml:space="preserve"> responses were received</w:t>
      </w:r>
      <w:r w:rsidR="00C22F53">
        <w:t xml:space="preserve"> (reflecting a 4.8 per cent response rate)</w:t>
      </w:r>
      <w:r w:rsidR="00B33ED6">
        <w:t xml:space="preserve">, </w:t>
      </w:r>
      <w:r w:rsidR="002B4FF9">
        <w:t>including</w:t>
      </w:r>
      <w:r w:rsidR="00B33ED6">
        <w:t>:</w:t>
      </w:r>
    </w:p>
    <w:p w14:paraId="3BBBD471" w14:textId="551B63DF" w:rsidR="00BD6977" w:rsidRPr="002F5788" w:rsidRDefault="00453EF6" w:rsidP="00021EF3">
      <w:pPr>
        <w:pStyle w:val="ListBullet"/>
        <w:numPr>
          <w:ilvl w:val="1"/>
          <w:numId w:val="23"/>
        </w:numPr>
      </w:pPr>
      <w:r w:rsidRPr="002F5788">
        <w:t>a</w:t>
      </w:r>
      <w:r w:rsidR="00BD6977" w:rsidRPr="002F5788">
        <w:t xml:space="preserve"> total of 206 responses for BCAP</w:t>
      </w:r>
      <w:r w:rsidR="00AF413B">
        <w:t>.</w:t>
      </w:r>
    </w:p>
    <w:p w14:paraId="2FD1B92F" w14:textId="0DFC52EB" w:rsidR="00BD6977" w:rsidRPr="002F5788" w:rsidRDefault="00453EF6" w:rsidP="00021EF3">
      <w:pPr>
        <w:pStyle w:val="ListBullet"/>
        <w:numPr>
          <w:ilvl w:val="1"/>
          <w:numId w:val="23"/>
        </w:numPr>
      </w:pPr>
      <w:r w:rsidRPr="002F5788">
        <w:t>a</w:t>
      </w:r>
      <w:r w:rsidR="00BD6977" w:rsidRPr="002F5788">
        <w:t xml:space="preserve"> total of 229 responses for LHVF</w:t>
      </w:r>
      <w:r w:rsidR="00AF413B">
        <w:t>.</w:t>
      </w:r>
    </w:p>
    <w:p w14:paraId="62BEABBB" w14:textId="5EE362C4" w:rsidR="00BD6977" w:rsidRDefault="00453EF6" w:rsidP="00021EF3">
      <w:pPr>
        <w:pStyle w:val="ListBullet"/>
      </w:pPr>
      <w:r>
        <w:lastRenderedPageBreak/>
        <w:t>i</w:t>
      </w:r>
      <w:r w:rsidR="00BD6977" w:rsidRPr="00BD6977">
        <w:t xml:space="preserve">nsights from detailed </w:t>
      </w:r>
      <w:r w:rsidR="00BD6977" w:rsidRPr="00BD6977">
        <w:rPr>
          <w:b/>
          <w:bCs/>
        </w:rPr>
        <w:t xml:space="preserve">case study analysis, </w:t>
      </w:r>
      <w:r w:rsidR="00BD6977" w:rsidRPr="00BD6977">
        <w:t>encompassing 3 BCAP participants and 3 LHVF participants</w:t>
      </w:r>
      <w:r w:rsidR="004D6537" w:rsidRPr="00BD6977">
        <w:t>.</w:t>
      </w:r>
    </w:p>
    <w:p w14:paraId="431A3ACC" w14:textId="78636435" w:rsidR="002B4FF9" w:rsidRDefault="002B4FF9" w:rsidP="00021EF3">
      <w:r>
        <w:t xml:space="preserve">The business survey was sent to </w:t>
      </w:r>
      <w:r w:rsidR="003642B3">
        <w:t>a sample of</w:t>
      </w:r>
      <w:r>
        <w:t xml:space="preserve"> 5,000 grant recipients from each program, </w:t>
      </w:r>
      <w:r w:rsidR="003642B3">
        <w:t>compared to</w:t>
      </w:r>
      <w:r>
        <w:t xml:space="preserve"> the total 9,763 LHVF grant recipients and 141,789 BCAP </w:t>
      </w:r>
      <w:r w:rsidR="00163B5C">
        <w:t xml:space="preserve">grant </w:t>
      </w:r>
      <w:r>
        <w:t xml:space="preserve">recipients. While </w:t>
      </w:r>
      <w:r w:rsidR="00D452F2">
        <w:t>the response rate</w:t>
      </w:r>
      <w:r>
        <w:t xml:space="preserve"> is</w:t>
      </w:r>
      <w:r w:rsidDel="00F6363F">
        <w:t xml:space="preserve"> </w:t>
      </w:r>
      <w:r w:rsidR="00F6363F">
        <w:t xml:space="preserve">low </w:t>
      </w:r>
      <w:r>
        <w:t>relative to the entire population, it allow</w:t>
      </w:r>
      <w:r w:rsidR="00C3644B">
        <w:t>ed</w:t>
      </w:r>
      <w:r>
        <w:t xml:space="preserve"> confidence in the results at the 90</w:t>
      </w:r>
      <w:r w:rsidR="00C3644B">
        <w:t xml:space="preserve"> per cent</w:t>
      </w:r>
      <w:r>
        <w:t xml:space="preserve"> confidence level and 10 per cent confidence interval when considering basic descriptive statistic</w:t>
      </w:r>
      <w:r w:rsidR="00C3644B">
        <w:t>s</w:t>
      </w:r>
      <w:r>
        <w:t xml:space="preserve"> for both BCAP and LHVF.  </w:t>
      </w:r>
    </w:p>
    <w:p w14:paraId="38B514E8" w14:textId="2E0EBDCF" w:rsidR="008E7A47" w:rsidRPr="00144137" w:rsidRDefault="00681851" w:rsidP="00021EF3">
      <w:r w:rsidRPr="00A8748C">
        <w:t>The semi</w:t>
      </w:r>
      <w:r>
        <w:t>-</w:t>
      </w:r>
      <w:r w:rsidRPr="00A8748C">
        <w:t>structured interview guides and online business survey questions used in stakeholder consultation are presented in</w:t>
      </w:r>
      <w:r w:rsidRPr="00A8748C" w:rsidDel="005A6E90">
        <w:t xml:space="preserve"> </w:t>
      </w:r>
      <w:r w:rsidR="005A6E90">
        <w:fldChar w:fldCharType="begin"/>
      </w:r>
      <w:r w:rsidR="005A6E90">
        <w:instrText xml:space="preserve"> REF _Ref173255391 \r \h </w:instrText>
      </w:r>
      <w:r w:rsidR="00021EF3">
        <w:instrText xml:space="preserve"> \* MERGEFORMAT </w:instrText>
      </w:r>
      <w:r w:rsidR="005A6E90">
        <w:fldChar w:fldCharType="separate"/>
      </w:r>
      <w:r w:rsidR="0016271C">
        <w:t>Appendix E</w:t>
      </w:r>
      <w:r w:rsidR="005A6E90">
        <w:fldChar w:fldCharType="end"/>
      </w:r>
      <w:r w:rsidRPr="000B1248">
        <w:t>.</w:t>
      </w:r>
    </w:p>
    <w:p w14:paraId="13122BC0" w14:textId="3940CAF9" w:rsidR="002907F6" w:rsidRDefault="002907F6" w:rsidP="00021EF3">
      <w:pPr>
        <w:pStyle w:val="Heading3un-numbered"/>
      </w:pPr>
      <w:bookmarkStart w:id="266" w:name="_Toc173344714"/>
      <w:bookmarkStart w:id="267" w:name="_Toc173344941"/>
      <w:bookmarkStart w:id="268" w:name="_Toc173915896"/>
      <w:bookmarkStart w:id="269" w:name="_Toc174118133"/>
      <w:bookmarkStart w:id="270" w:name="_Toc176516252"/>
      <w:r>
        <w:t>Outcome logic model</w:t>
      </w:r>
      <w:bookmarkEnd w:id="266"/>
      <w:bookmarkEnd w:id="267"/>
      <w:bookmarkEnd w:id="268"/>
      <w:bookmarkEnd w:id="269"/>
      <w:bookmarkEnd w:id="270"/>
      <w:r w:rsidR="00F86A1E">
        <w:t xml:space="preserve"> (OLM)</w:t>
      </w:r>
    </w:p>
    <w:p w14:paraId="3B251741" w14:textId="056B2525" w:rsidR="002907F6" w:rsidRPr="002476FE" w:rsidRDefault="002907F6" w:rsidP="00021EF3">
      <w:r>
        <w:t>An OLM was developed early in the evaluation</w:t>
      </w:r>
      <w:r w:rsidRPr="006F69CF">
        <w:t xml:space="preserve"> </w:t>
      </w:r>
      <w:r>
        <w:t>to</w:t>
      </w:r>
      <w:r w:rsidRPr="002423C3">
        <w:t xml:space="preserve"> articulate how the different activities undertaken as part of the programs </w:t>
      </w:r>
      <w:r>
        <w:t>were</w:t>
      </w:r>
      <w:r w:rsidRPr="002423C3">
        <w:t xml:space="preserve"> intended to contribute to the achievement of expected outcomes. Th</w:t>
      </w:r>
      <w:r>
        <w:t>e OLM</w:t>
      </w:r>
      <w:r w:rsidRPr="002423C3">
        <w:t xml:space="preserve"> directly supports the evaluation by guiding assessment of the program’s ability to provide effective business supports and support COVID-19 recovery.</w:t>
      </w:r>
      <w:r w:rsidRPr="002476FE">
        <w:rPr>
          <w:rFonts w:eastAsiaTheme="minorEastAsia" w:cs="Arial"/>
          <w:color w:val="000000" w:themeColor="text1"/>
          <w:kern w:val="24"/>
          <w:sz w:val="22"/>
          <w:szCs w:val="22"/>
          <w:lang w:eastAsia="en-AU"/>
        </w:rPr>
        <w:t xml:space="preserve"> </w:t>
      </w:r>
      <w:r w:rsidR="00150146">
        <w:t>The</w:t>
      </w:r>
      <w:r>
        <w:t xml:space="preserve"> OLM</w:t>
      </w:r>
      <w:r w:rsidRPr="002476FE">
        <w:t xml:space="preserve"> was developed using the following inputs</w:t>
      </w:r>
      <w:r w:rsidR="00BF7EA2">
        <w:t>,</w:t>
      </w:r>
      <w:r w:rsidR="00356F10">
        <w:t xml:space="preserve"> and </w:t>
      </w:r>
      <w:r w:rsidR="00BF7EA2">
        <w:t xml:space="preserve">refined </w:t>
      </w:r>
      <w:r w:rsidR="008B1927">
        <w:t>through</w:t>
      </w:r>
      <w:r w:rsidR="00BF7EA2">
        <w:t xml:space="preserve"> </w:t>
      </w:r>
      <w:r w:rsidR="00151D70">
        <w:t>input</w:t>
      </w:r>
      <w:r w:rsidR="00BF7EA2" w:rsidDel="00151D70">
        <w:t xml:space="preserve"> </w:t>
      </w:r>
      <w:r w:rsidR="00BF7EA2">
        <w:t>from the Department</w:t>
      </w:r>
      <w:r w:rsidRPr="002476FE">
        <w:t>:</w:t>
      </w:r>
    </w:p>
    <w:p w14:paraId="18F9DC6D" w14:textId="1AD0D39E" w:rsidR="002907F6" w:rsidRPr="002476FE" w:rsidRDefault="002907F6" w:rsidP="00021EF3">
      <w:pPr>
        <w:numPr>
          <w:ilvl w:val="0"/>
          <w:numId w:val="17"/>
        </w:numPr>
      </w:pPr>
      <w:r>
        <w:t>r</w:t>
      </w:r>
      <w:r w:rsidRPr="002476FE">
        <w:t xml:space="preserve">eview of provided </w:t>
      </w:r>
      <w:r w:rsidRPr="002476FE">
        <w:rPr>
          <w:b/>
          <w:bCs/>
        </w:rPr>
        <w:t xml:space="preserve">program materials </w:t>
      </w:r>
      <w:r w:rsidRPr="002476FE">
        <w:t xml:space="preserve">by the Department, </w:t>
      </w:r>
      <w:r>
        <w:t xml:space="preserve">including </w:t>
      </w:r>
      <w:r w:rsidR="00150146">
        <w:t xml:space="preserve">revision of </w:t>
      </w:r>
      <w:r>
        <w:t>a high-level OLM for BCAP</w:t>
      </w:r>
    </w:p>
    <w:p w14:paraId="448A03D6" w14:textId="5849FBAD" w:rsidR="002907F6" w:rsidRDefault="002907F6" w:rsidP="00021EF3">
      <w:pPr>
        <w:numPr>
          <w:ilvl w:val="0"/>
          <w:numId w:val="17"/>
        </w:numPr>
      </w:pPr>
      <w:r>
        <w:rPr>
          <w:b/>
          <w:bCs/>
        </w:rPr>
        <w:t>d</w:t>
      </w:r>
      <w:r w:rsidRPr="002476FE">
        <w:rPr>
          <w:b/>
          <w:bCs/>
        </w:rPr>
        <w:t xml:space="preserve">esktop review </w:t>
      </w:r>
      <w:r w:rsidRPr="002476FE">
        <w:t>of publicly available information relating to the programs, including program/grant guidelines, eligibility criteria and a funding agreement between the Victorian and Australian Government</w:t>
      </w:r>
      <w:r w:rsidR="00D80554">
        <w:t>.</w:t>
      </w:r>
    </w:p>
    <w:p w14:paraId="2D002956" w14:textId="77777777" w:rsidR="0089758E" w:rsidRDefault="0089758E" w:rsidP="00021EF3"/>
    <w:p w14:paraId="6E024727" w14:textId="77777777" w:rsidR="00A65BA1" w:rsidRDefault="00A65BA1" w:rsidP="00021EF3">
      <w:pPr>
        <w:rPr>
          <w:b/>
        </w:rPr>
        <w:sectPr w:rsidR="00A65BA1" w:rsidSect="005235DE">
          <w:footnotePr>
            <w:numFmt w:val="chicago"/>
          </w:footnotePr>
          <w:endnotePr>
            <w:numFmt w:val="decimal"/>
          </w:endnotePr>
          <w:pgSz w:w="11906" w:h="16838" w:code="9"/>
          <w:pgMar w:top="1440" w:right="1440" w:bottom="1440" w:left="1440" w:header="680" w:footer="425" w:gutter="0"/>
          <w:cols w:space="284"/>
          <w:noEndnote/>
          <w:docGrid w:linePitch="360"/>
        </w:sectPr>
      </w:pPr>
    </w:p>
    <w:p w14:paraId="00A1DF9D" w14:textId="37B5146F" w:rsidR="0036576B" w:rsidRDefault="0036576B" w:rsidP="00021EF3">
      <w:pPr>
        <w:pStyle w:val="CaptionFigure"/>
      </w:pPr>
      <w:bookmarkStart w:id="271" w:name="_Toc173244948"/>
      <w:bookmarkStart w:id="272" w:name="_Toc173245859"/>
      <w:bookmarkStart w:id="273" w:name="_Toc173246288"/>
      <w:bookmarkStart w:id="274" w:name="_Toc173308288"/>
      <w:r>
        <w:lastRenderedPageBreak/>
        <w:t xml:space="preserve">: </w:t>
      </w:r>
      <w:bookmarkEnd w:id="271"/>
      <w:bookmarkEnd w:id="272"/>
      <w:bookmarkEnd w:id="273"/>
      <w:bookmarkEnd w:id="274"/>
      <w:r w:rsidR="00110530">
        <w:t>OLM</w:t>
      </w:r>
      <w:r w:rsidR="00792D18">
        <w:t xml:space="preserve"> for the COVID-19 Business Support Grants.</w:t>
      </w:r>
    </w:p>
    <w:p w14:paraId="39D459F0" w14:textId="4E7DBF9D" w:rsidR="0036576B" w:rsidRPr="0036576B" w:rsidRDefault="0089758E" w:rsidP="00021EF3">
      <w:r>
        <w:rPr>
          <w:noProof/>
        </w:rPr>
        <w:drawing>
          <wp:inline distT="0" distB="0" distL="0" distR="0" wp14:anchorId="1BF87223" wp14:editId="2A23D829">
            <wp:extent cx="9138287" cy="4305300"/>
            <wp:effectExtent l="0" t="0" r="5715" b="0"/>
            <wp:docPr id="27" name="Picture 27" descr="The outcome logic model for the COVID-19 Business Supports Grant shows the inputs, activities, outputs, outcomes and external factors of the program.  &#10;Inputs: The inputs for the program include government funding, Victorian Public Service (VPS) resources and effort, and time spent by businesses applying for the grants. &#10;Activities: Using these inputs, the activities undertaken include stakeholder engagement and preliminary impact analysis to support initial program design, designing and delivering the grant guidelines, application process, application platform, grant funding distribution and eligibility check process, delivering communication activities, conducting post payment audients and fielding inquiries from key stakeholders.&#10;Outputs: Through these activities, the outputs generated include the number of grant applications assessed, number of grants and top ups distributed, total value of grants distributed, number of businesses supported and number of audits conducted.&#10;These then result in outcomes across the short, medium and long term.&#10;For businesses in the short term, or within less than 6 months, they have increased cashflow, feel supported and more secure, they have a sense of relief, are able to cover costs and meet payments, and they can retain staff. In the medium term, after 0.5 years but within two years, business survivability increases, healthy businesses are able to expand, struggling businesses can reduce losses and business confidence improves. After two years in the long term, this leads to a quicker recovery to 'COVID normal' businesses for participating Victorian businesses.&#10;For the community in the short term, a significant cash injection into the Victorian economy reduces the immediate downturn and increased security for SMEs has a positive wellbeing effect on local communities, including friends and families of business owners. In the medium term, between 6 months to two years, the Victorian economy is better positioned to enter a recovery phase, unemployment is reduced, health and wellbeing of individuals in affected businesses and communities improves, there are positive social impacts from reduced liquidations and unemployment, and there is decreased compliance with circuit breaker actions. Government costs associated with liquidations and unemployment also decrease. In the long term, beyond two years, this strengthens the overall recovery of the Victorian economy, increases stability for industries and regions affected by circuit breaker actions and supports government objectives related to economic recovery post COVID-19.&#10;External factors affecting this primarily relate to restricted trading restrictions throughout the pandemic due to public health restrictions, the need to rapidly stand up the program and the varied business support programs implemented by state and federal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outcome logic model for the COVID-19 Business Supports Grant shows the inputs, activities, outputs, outcomes and external factors of the program.  &#10;Inputs: The inputs for the program include government funding, Victorian Public Service (VPS) resources and effort, and time spent by businesses applying for the grants. &#10;Activities: Using these inputs, the activities undertaken include stakeholder engagement and preliminary impact analysis to support initial program design, designing and delivering the grant guidelines, application process, application platform, grant funding distribution and eligibility check process, delivering communication activities, conducting post payment audients and fielding inquiries from key stakeholders.&#10;Outputs: Through these activities, the outputs generated include the number of grant applications assessed, number of grants and top ups distributed, total value of grants distributed, number of businesses supported and number of audits conducted.&#10;These then result in outcomes across the short, medium and long term.&#10;For businesses in the short term, or within less than 6 months, they have increased cashflow, feel supported and more secure, they have a sense of relief, are able to cover costs and meet payments, and they can retain staff. In the medium term, after 0.5 years but within two years, business survivability increases, healthy businesses are able to expand, struggling businesses can reduce losses and business confidence improves. After two years in the long term, this leads to a quicker recovery to 'COVID normal' businesses for participating Victorian businesses.&#10;For the community in the short term, a significant cash injection into the Victorian economy reduces the immediate downturn and increased security for SMEs has a positive wellbeing effect on local communities, including friends and families of business owners. In the medium term, between 6 months to two years, the Victorian economy is better positioned to enter a recovery phase, unemployment is reduced, health and wellbeing of individuals in affected businesses and communities improves, there are positive social impacts from reduced liquidations and unemployment, and there is decreased compliance with circuit breaker actions. Government costs associated with liquidations and unemployment also decrease. In the long term, beyond two years, this strengthens the overall recovery of the Victorian economy, increases stability for industries and regions affected by circuit breaker actions and supports government objectives related to economic recovery post COVID-19.&#10;External factors affecting this primarily relate to restricted trading restrictions throughout the pandemic due to public health restrictions, the need to rapidly stand up the program and the varied business support programs implemented by state and federal govern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0032" cy="4306122"/>
                    </a:xfrm>
                    <a:prstGeom prst="rect">
                      <a:avLst/>
                    </a:prstGeom>
                    <a:noFill/>
                  </pic:spPr>
                </pic:pic>
              </a:graphicData>
            </a:graphic>
          </wp:inline>
        </w:drawing>
      </w:r>
    </w:p>
    <w:p w14:paraId="64B3DD31" w14:textId="62723F43" w:rsidR="0089758E" w:rsidRPr="0036576B" w:rsidRDefault="0089758E" w:rsidP="00021EF3">
      <w:pPr>
        <w:pStyle w:val="Source"/>
      </w:pPr>
      <w:r>
        <w:t>Source: Deloitte Access Economics.</w:t>
      </w:r>
    </w:p>
    <w:p w14:paraId="68708C97" w14:textId="30FA404A" w:rsidR="00A65BA1" w:rsidRPr="00A94440" w:rsidRDefault="00A65BA1" w:rsidP="00021EF3">
      <w:pPr>
        <w:pStyle w:val="ListBullet"/>
        <w:rPr>
          <w:rFonts w:eastAsiaTheme="minorEastAsia"/>
        </w:rPr>
        <w:sectPr w:rsidR="00A65BA1" w:rsidRPr="00A94440" w:rsidSect="005235DE">
          <w:footnotePr>
            <w:numFmt w:val="chicago"/>
          </w:footnotePr>
          <w:endnotePr>
            <w:numFmt w:val="decimal"/>
          </w:endnotePr>
          <w:pgSz w:w="16838" w:h="11906" w:orient="landscape" w:code="9"/>
          <w:pgMar w:top="1440" w:right="1440" w:bottom="1440" w:left="1440" w:header="680" w:footer="425" w:gutter="0"/>
          <w:cols w:space="284"/>
          <w:noEndnote/>
          <w:docGrid w:linePitch="360"/>
        </w:sectPr>
      </w:pPr>
    </w:p>
    <w:p w14:paraId="1CDBB2DF" w14:textId="2DE5232C" w:rsidR="00C9303F" w:rsidRPr="00144137" w:rsidRDefault="00C9303F" w:rsidP="00021EF3">
      <w:pPr>
        <w:pStyle w:val="Heading1"/>
      </w:pPr>
      <w:bookmarkStart w:id="275" w:name="_Toc176516253"/>
      <w:r>
        <w:lastRenderedPageBreak/>
        <w:t>Findings</w:t>
      </w:r>
      <w:bookmarkEnd w:id="275"/>
    </w:p>
    <w:p w14:paraId="106832A3" w14:textId="7DB34169" w:rsidR="00B073A1" w:rsidRDefault="00B073A1" w:rsidP="00021EF3">
      <w:pPr>
        <w:pStyle w:val="Heading2"/>
      </w:pPr>
      <w:bookmarkStart w:id="276" w:name="_Ref172884989"/>
      <w:bookmarkStart w:id="277" w:name="_Toc173244958"/>
      <w:bookmarkStart w:id="278" w:name="_Toc176516254"/>
      <w:bookmarkStart w:id="279" w:name="_Toc170913966"/>
      <w:r>
        <w:t>Justification/Appropriateness</w:t>
      </w:r>
      <w:bookmarkEnd w:id="276"/>
      <w:bookmarkEnd w:id="277"/>
      <w:bookmarkEnd w:id="278"/>
    </w:p>
    <w:p w14:paraId="6683C7CC" w14:textId="0DA2E736" w:rsidR="00D96102" w:rsidRDefault="006545C0" w:rsidP="00021EF3">
      <w:r w:rsidRPr="00A04FF8">
        <w:rPr>
          <w:b/>
          <w:bCs/>
          <w:color w:val="62B5E5" w:themeColor="accent3"/>
        </w:rPr>
        <w:t>KEQ</w:t>
      </w:r>
      <w:r w:rsidR="00461935">
        <w:rPr>
          <w:b/>
          <w:bCs/>
          <w:color w:val="62B5E5" w:themeColor="accent3"/>
        </w:rPr>
        <w:t xml:space="preserve"> 1</w:t>
      </w:r>
      <w:r w:rsidRPr="00A04FF8">
        <w:rPr>
          <w:b/>
          <w:bCs/>
          <w:color w:val="62B5E5" w:themeColor="accent3"/>
        </w:rPr>
        <w:t xml:space="preserve">: </w:t>
      </w:r>
      <w:r w:rsidRPr="00A04FF8">
        <w:rPr>
          <w:b/>
          <w:bCs/>
        </w:rPr>
        <w:t>Was the rationale and design of the in-scope grants programs appropriate for the needs and context?</w:t>
      </w:r>
      <w:r w:rsidR="00D96102" w:rsidRPr="00D96102">
        <w:rPr>
          <w:b/>
          <w:bCs/>
          <w:color w:val="62B5E5" w:themeColor="accent3"/>
        </w:rPr>
        <w:t xml:space="preserve"> </w:t>
      </w:r>
    </w:p>
    <w:p w14:paraId="0239170B" w14:textId="4B3640C0" w:rsidR="00F62309" w:rsidRPr="00E34487" w:rsidRDefault="00D96102" w:rsidP="00021EF3">
      <w:pPr>
        <w:pStyle w:val="Heading3SEQs"/>
      </w:pPr>
      <w:bookmarkStart w:id="280" w:name="_Ref173938737"/>
      <w:bookmarkStart w:id="281" w:name="_Toc174118136"/>
      <w:bookmarkStart w:id="282" w:name="_Toc176516255"/>
      <w:r w:rsidRPr="00847A7D">
        <w:t xml:space="preserve">SEQ </w:t>
      </w:r>
      <w:r w:rsidR="005E4DB2">
        <w:rPr>
          <w:b w:val="0"/>
        </w:rPr>
        <w:t>1</w:t>
      </w:r>
      <w:r w:rsidRPr="00A04FF8">
        <w:rPr>
          <w:b w:val="0"/>
        </w:rPr>
        <w:t xml:space="preserve">: </w:t>
      </w:r>
      <w:r w:rsidRPr="00893EB3">
        <w:rPr>
          <w:b w:val="0"/>
        </w:rPr>
        <w:t>To what extent did the in-scope programs fulfill an unmet need?</w:t>
      </w:r>
      <w:bookmarkEnd w:id="280"/>
      <w:bookmarkEnd w:id="281"/>
      <w:bookmarkEnd w:id="282"/>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4D7009" w14:paraId="1FC66736"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6335BDFC" w14:textId="219CD703" w:rsidR="004D7009" w:rsidRPr="00A04FF8" w:rsidRDefault="00F62309" w:rsidP="00021EF3">
            <w:pPr>
              <w:spacing w:after="0"/>
              <w:rPr>
                <w:b/>
              </w:rPr>
            </w:pPr>
            <w:r w:rsidRPr="00A04FF8">
              <w:rPr>
                <w:b/>
                <w:bCs/>
                <w:color w:val="62B5E5" w:themeColor="accent3"/>
              </w:rPr>
              <w:t>Finding 1: </w:t>
            </w:r>
            <w:r w:rsidR="0002016A" w:rsidRPr="0002016A">
              <w:rPr>
                <w:b/>
                <w:bCs/>
              </w:rPr>
              <w:t>The grants fulfilled an unmet need by providing cash</w:t>
            </w:r>
            <w:r w:rsidR="00DF4C71">
              <w:rPr>
                <w:b/>
                <w:bCs/>
              </w:rPr>
              <w:t xml:space="preserve"> </w:t>
            </w:r>
            <w:r w:rsidR="0002016A" w:rsidRPr="0002016A">
              <w:rPr>
                <w:b/>
                <w:bCs/>
              </w:rPr>
              <w:t>flow to businesses impacted by pandemic</w:t>
            </w:r>
            <w:r w:rsidR="00D938D1">
              <w:rPr>
                <w:b/>
                <w:bCs/>
              </w:rPr>
              <w:t>-</w:t>
            </w:r>
            <w:r w:rsidR="0002016A" w:rsidRPr="0002016A">
              <w:rPr>
                <w:b/>
                <w:bCs/>
              </w:rPr>
              <w:t>related restrictions, supporting them to continue operations.</w:t>
            </w:r>
          </w:p>
        </w:tc>
      </w:tr>
    </w:tbl>
    <w:p w14:paraId="197233FF" w14:textId="597F85AB" w:rsidR="004D7009" w:rsidRPr="00F6579B" w:rsidRDefault="004D7009" w:rsidP="00021EF3">
      <w:pPr>
        <w:spacing w:before="160"/>
      </w:pPr>
      <w:r w:rsidRPr="00F6579B">
        <w:t xml:space="preserve">With extensive COVID-19 </w:t>
      </w:r>
      <w:r w:rsidR="00C16E20">
        <w:t>pandemic</w:t>
      </w:r>
      <w:r w:rsidRPr="00F6579B">
        <w:t xml:space="preserve"> restrictions limiting movement and trade in Victoria during 2020 and 2021, businesses faced unprecedented challenges including heightened uncertainty, reduced foot traffic and consumer demand. In 2020, </w:t>
      </w:r>
      <w:r w:rsidR="00D938D1">
        <w:t>more than</w:t>
      </w:r>
      <w:r w:rsidR="00D938D1" w:rsidRPr="00F6579B">
        <w:t xml:space="preserve"> </w:t>
      </w:r>
      <w:r w:rsidRPr="00F6579B">
        <w:t>32 per cent of Victorian businesses experienced at least an 80 per cent drop in revenue.</w:t>
      </w:r>
      <w:r w:rsidRPr="00F6579B">
        <w:rPr>
          <w:rStyle w:val="EndnoteReference"/>
        </w:rPr>
        <w:endnoteReference w:id="17"/>
      </w:r>
      <w:r w:rsidRPr="00F6579B">
        <w:t xml:space="preserve"> The state’s GSP declined by 4.7 per cent, the largest downturn of any Australian state or territory, and Victorian business confidence dropped to a record low of -64 NAB index points in March 2020.</w:t>
      </w:r>
      <w:r w:rsidRPr="00F6579B">
        <w:rPr>
          <w:rStyle w:val="EndnoteReference"/>
        </w:rPr>
        <w:endnoteReference w:id="18"/>
      </w:r>
      <w:r w:rsidRPr="00F6579B">
        <w:t xml:space="preserve"> As lockdowns persisted and restricted the ability of households to spend throughout 2020, particularly on services, private consumption in Victoria fell by 10.2 per cent, while real turnover in the retail sector fell by 3.1 per cent. Macroeconomic conditions were poor, necessitating government intervention to ensure businesses survived.</w:t>
      </w:r>
      <w:r w:rsidRPr="00F6579B">
        <w:rPr>
          <w:rStyle w:val="EndnoteReference"/>
        </w:rPr>
        <w:endnoteReference w:id="19"/>
      </w:r>
      <w:r w:rsidRPr="00F6579B">
        <w:t xml:space="preserve"> </w:t>
      </w:r>
    </w:p>
    <w:p w14:paraId="4D418C03" w14:textId="0C435B34" w:rsidR="004D7009" w:rsidRPr="00F6579B" w:rsidRDefault="00DC30A6" w:rsidP="00021EF3">
      <w:r>
        <w:t>Business</w:t>
      </w:r>
      <w:r w:rsidR="006D1712">
        <w:t>es</w:t>
      </w:r>
      <w:r>
        <w:t xml:space="preserve"> were expected</w:t>
      </w:r>
      <w:r w:rsidR="004D7009" w:rsidRPr="00F6579B">
        <w:t xml:space="preserve"> to lose perishable goods</w:t>
      </w:r>
      <w:r w:rsidR="00DF4C71">
        <w:t>,</w:t>
      </w:r>
      <w:r w:rsidR="004D7009" w:rsidRPr="00F6579B">
        <w:t xml:space="preserve"> such as fresh food and flowers, and experience decreased revenue and cash</w:t>
      </w:r>
      <w:r w:rsidR="00DF4C71">
        <w:t xml:space="preserve"> </w:t>
      </w:r>
      <w:r w:rsidR="004D7009" w:rsidRPr="00F6579B">
        <w:t>flow while still needing to meet unavoidable costs</w:t>
      </w:r>
      <w:r w:rsidR="00DF4C71">
        <w:t>,</w:t>
      </w:r>
      <w:r w:rsidR="004D7009" w:rsidRPr="00F6579B">
        <w:t xml:space="preserve"> such as rent and utilities. Without government intervention, it was anticipated that business insolvencies and failures would rise </w:t>
      </w:r>
      <w:r w:rsidR="002E507B">
        <w:t>as</w:t>
      </w:r>
      <w:r w:rsidR="004D7009" w:rsidRPr="00F6579B">
        <w:t xml:space="preserve"> businesses were unable to meet </w:t>
      </w:r>
      <w:r w:rsidR="002E507B">
        <w:t xml:space="preserve">unavoidable </w:t>
      </w:r>
      <w:r w:rsidR="004D7009" w:rsidRPr="00F6579B">
        <w:t xml:space="preserve">costs </w:t>
      </w:r>
      <w:r w:rsidR="003C4281">
        <w:t>due to</w:t>
      </w:r>
      <w:r w:rsidR="002E507B" w:rsidRPr="00F6579B">
        <w:t xml:space="preserve"> reduced revenue</w:t>
      </w:r>
      <w:r w:rsidR="004D7009" w:rsidRPr="00F6579B">
        <w:t xml:space="preserve"> and </w:t>
      </w:r>
      <w:r w:rsidR="002E507B" w:rsidRPr="00F6579B">
        <w:t>cash</w:t>
      </w:r>
      <w:r w:rsidR="00DF4C71">
        <w:t xml:space="preserve"> </w:t>
      </w:r>
      <w:r w:rsidR="002E507B" w:rsidRPr="00F6579B">
        <w:t>flow</w:t>
      </w:r>
      <w:r w:rsidR="00F62309" w:rsidRPr="00F6579B">
        <w:t>.</w:t>
      </w:r>
      <w:r w:rsidR="004D7009" w:rsidRPr="00F6579B">
        <w:t xml:space="preserve"> </w:t>
      </w:r>
      <w:r w:rsidR="004D7009">
        <w:t xml:space="preserve">This was supported through the business survey, where </w:t>
      </w:r>
      <w:r w:rsidR="008A367C">
        <w:t>the overwhelming majority of BCAP (</w:t>
      </w:r>
      <w:r w:rsidR="005158F7">
        <w:t>85 per cent) and LHVF (</w:t>
      </w:r>
      <w:r w:rsidR="003472C2">
        <w:t xml:space="preserve">88 per cent) of respondents </w:t>
      </w:r>
      <w:r w:rsidR="004D7009" w:rsidRPr="00F6579B">
        <w:t xml:space="preserve">indicated that their business operations in Victoria </w:t>
      </w:r>
      <w:r w:rsidR="003472C2">
        <w:t>may have or</w:t>
      </w:r>
      <w:r w:rsidR="004D7009" w:rsidRPr="00F6579B">
        <w:t xml:space="preserve"> would have ceased without the grants. Stakeholders also emphasised the need to directly support business costs, in addition to supporting social cohesion and the mental health of business owners, employees and their families.</w:t>
      </w:r>
    </w:p>
    <w:p w14:paraId="66A528C7" w14:textId="2406DFB9" w:rsidR="004D7009" w:rsidRPr="00F6579B" w:rsidRDefault="004D7009" w:rsidP="00021EF3">
      <w:r w:rsidRPr="00F6579B">
        <w:t xml:space="preserve">While extensive Commonwealth business support was provided through the </w:t>
      </w:r>
      <w:proofErr w:type="spellStart"/>
      <w:r w:rsidRPr="00F6579B">
        <w:t>JobKeeper</w:t>
      </w:r>
      <w:proofErr w:type="spellEnd"/>
      <w:r w:rsidRPr="00F6579B">
        <w:t xml:space="preserve"> wage subsidy, this was phased out in February </w:t>
      </w:r>
      <w:r w:rsidR="00DF4C71">
        <w:t xml:space="preserve">2021 </w:t>
      </w:r>
      <w:r w:rsidRPr="00F6579B">
        <w:t xml:space="preserve">to March 2021. </w:t>
      </w:r>
      <w:r w:rsidR="00F62309" w:rsidRPr="00F6579B">
        <w:t>However,</w:t>
      </w:r>
      <w:r w:rsidR="0069362A">
        <w:t xml:space="preserve"> b</w:t>
      </w:r>
      <w:r w:rsidR="0069362A" w:rsidRPr="00F6579B">
        <w:t>usinesses were still experiencing heightened uncertainty and reduced cash</w:t>
      </w:r>
      <w:r w:rsidR="00DF4C71">
        <w:t xml:space="preserve"> </w:t>
      </w:r>
      <w:r w:rsidR="0069362A" w:rsidRPr="00F6579B">
        <w:t>flow</w:t>
      </w:r>
      <w:r w:rsidRPr="00F6579B">
        <w:t xml:space="preserve"> </w:t>
      </w:r>
      <w:r w:rsidR="00954A40">
        <w:t>as</w:t>
      </w:r>
      <w:r w:rsidR="00F62309" w:rsidRPr="00F6579B">
        <w:t xml:space="preserve"> </w:t>
      </w:r>
      <w:r w:rsidRPr="00F6579B">
        <w:t>public health restrictions persisted well into 2021 given vaccination rates remained low and less than 30 per cent of the state had received one COVID-19 vaccination dose by July 2021.</w:t>
      </w:r>
      <w:r w:rsidRPr="00F6579B">
        <w:rPr>
          <w:rStyle w:val="EndnoteReference"/>
        </w:rPr>
        <w:endnoteReference w:id="20"/>
      </w:r>
      <w:r w:rsidRPr="00F6579B">
        <w:t xml:space="preserve"> </w:t>
      </w:r>
    </w:p>
    <w:p w14:paraId="0ACFAEF4" w14:textId="06947EC0" w:rsidR="00FC0718" w:rsidRDefault="006C47D6" w:rsidP="00021EF3">
      <w:r>
        <w:t xml:space="preserve">The approach of the Victorian Government was also aligned with </w:t>
      </w:r>
      <w:r w:rsidR="00CF7BB2">
        <w:t xml:space="preserve">that of </w:t>
      </w:r>
      <w:r w:rsidR="00F41ABA">
        <w:t>numerous</w:t>
      </w:r>
      <w:r w:rsidR="00CF7BB2" w:rsidDel="00F41ABA">
        <w:t xml:space="preserve"> </w:t>
      </w:r>
      <w:r w:rsidR="00F41ABA">
        <w:t xml:space="preserve">comparable </w:t>
      </w:r>
      <w:r w:rsidR="00CF7BB2">
        <w:t>jurisdictions national and globally</w:t>
      </w:r>
      <w:r w:rsidR="00F0137E">
        <w:t xml:space="preserve">. </w:t>
      </w:r>
      <w:r w:rsidR="004663C8">
        <w:t>F</w:t>
      </w:r>
      <w:r w:rsidR="004D7009" w:rsidRPr="00F6579B">
        <w:t xml:space="preserve">ollowing the </w:t>
      </w:r>
      <w:r w:rsidR="000B3773" w:rsidRPr="00F6579B">
        <w:t>ce</w:t>
      </w:r>
      <w:r w:rsidR="000B3773">
        <w:t>ssation</w:t>
      </w:r>
      <w:r w:rsidR="000B3773" w:rsidRPr="00F6579B">
        <w:t xml:space="preserve"> </w:t>
      </w:r>
      <w:r w:rsidR="004D7009" w:rsidRPr="00F6579B">
        <w:t xml:space="preserve">of </w:t>
      </w:r>
      <w:proofErr w:type="spellStart"/>
      <w:r w:rsidR="004D7009" w:rsidRPr="00F6579B">
        <w:t>JobKeeper</w:t>
      </w:r>
      <w:proofErr w:type="spellEnd"/>
      <w:r w:rsidR="000B3773">
        <w:t xml:space="preserve"> in 2021</w:t>
      </w:r>
      <w:r w:rsidR="004D7009" w:rsidRPr="00F6579B">
        <w:t>, other state and territory governments intervened with cash</w:t>
      </w:r>
      <w:r w:rsidR="00DF4C71">
        <w:t xml:space="preserve"> </w:t>
      </w:r>
      <w:r w:rsidR="004D7009" w:rsidRPr="00F6579B">
        <w:t>flow supports for businesses continuing to be impacted by the pandemic</w:t>
      </w:r>
      <w:r w:rsidR="0030003E">
        <w:t>. Some examples</w:t>
      </w:r>
      <w:r w:rsidR="00C52F32">
        <w:t xml:space="preserve"> for NSW, the Australian Capital Territory (</w:t>
      </w:r>
      <w:r w:rsidR="00C52F32" w:rsidRPr="00F6579B">
        <w:t>ACT</w:t>
      </w:r>
      <w:r w:rsidR="00C52F32">
        <w:t>)</w:t>
      </w:r>
      <w:r w:rsidR="0030003E">
        <w:t xml:space="preserve"> </w:t>
      </w:r>
      <w:r w:rsidR="00B95367">
        <w:t>and Queensland (QLD)</w:t>
      </w:r>
      <w:r w:rsidR="0030003E">
        <w:t xml:space="preserve"> are</w:t>
      </w:r>
      <w:r w:rsidR="00600856">
        <w:t xml:space="preserve"> described in </w:t>
      </w:r>
      <w:r w:rsidR="00EE3268">
        <w:fldChar w:fldCharType="begin"/>
      </w:r>
      <w:r w:rsidR="00EE3268">
        <w:instrText xml:space="preserve"> REF _Ref173308168 \r \h </w:instrText>
      </w:r>
      <w:r w:rsidR="00021EF3">
        <w:instrText xml:space="preserve"> \* MERGEFORMAT </w:instrText>
      </w:r>
      <w:r w:rsidR="00EE3268">
        <w:fldChar w:fldCharType="separate"/>
      </w:r>
      <w:r w:rsidR="0016271C">
        <w:t>Table 2.1</w:t>
      </w:r>
      <w:r w:rsidR="00EE3268">
        <w:fldChar w:fldCharType="end"/>
      </w:r>
      <w:r w:rsidR="0030003E">
        <w:t xml:space="preserve">, </w:t>
      </w:r>
      <w:r w:rsidR="00B95367">
        <w:t>while</w:t>
      </w:r>
      <w:r w:rsidR="0030003E">
        <w:t xml:space="preserve"> further detail can be found </w:t>
      </w:r>
      <w:r w:rsidR="00C52F32">
        <w:t xml:space="preserve">in </w:t>
      </w:r>
      <w:r w:rsidR="00B95367" w:rsidRPr="000B1248">
        <w:fldChar w:fldCharType="begin"/>
      </w:r>
      <w:r w:rsidR="00B95367" w:rsidRPr="000B1248">
        <w:instrText xml:space="preserve"> REF _Ref173308180 \r \h  \* MERGEFORMAT </w:instrText>
      </w:r>
      <w:r w:rsidR="00B95367" w:rsidRPr="000B1248">
        <w:fldChar w:fldCharType="separate"/>
      </w:r>
      <w:r w:rsidR="0016271C">
        <w:t>Appendix C</w:t>
      </w:r>
      <w:r w:rsidR="00B95367" w:rsidRPr="000B1248">
        <w:fldChar w:fldCharType="end"/>
      </w:r>
      <w:r w:rsidR="00C52F32">
        <w:t>.</w:t>
      </w:r>
      <w:r w:rsidR="004C39D0">
        <w:t xml:space="preserve"> </w:t>
      </w:r>
    </w:p>
    <w:p w14:paraId="02A84245" w14:textId="3C86FB5B" w:rsidR="00FC0718" w:rsidRDefault="00BD685B" w:rsidP="00021EF3">
      <w:r>
        <w:t>However,</w:t>
      </w:r>
      <w:r w:rsidR="00AA4EB2">
        <w:t xml:space="preserve"> the approach to cash flow supports varied between jurisdictions. For example, NSW adopted a wage subsidy</w:t>
      </w:r>
      <w:r w:rsidR="00F720A4">
        <w:t xml:space="preserve"> for businesses experiencing a </w:t>
      </w:r>
      <w:r w:rsidR="00AD258B">
        <w:t>minimum reduction in turnover</w:t>
      </w:r>
      <w:r w:rsidR="00A6564C">
        <w:t xml:space="preserve"> in a similar way to national jurisdictions such as Australia and Canada</w:t>
      </w:r>
      <w:r w:rsidR="00AD258B">
        <w:t>, while the ACT, QLD and Victoria</w:t>
      </w:r>
      <w:r w:rsidR="00A6564C">
        <w:t xml:space="preserve"> adopted </w:t>
      </w:r>
      <w:r w:rsidR="002C6164">
        <w:t xml:space="preserve">grants for businesses </w:t>
      </w:r>
      <w:r w:rsidR="00E148E9">
        <w:t xml:space="preserve">that </w:t>
      </w:r>
      <w:r w:rsidR="002C6164">
        <w:t>could be used for a variety of costs.</w:t>
      </w:r>
      <w:r w:rsidR="00F764D5">
        <w:t xml:space="preserve"> </w:t>
      </w:r>
    </w:p>
    <w:p w14:paraId="309FB27D" w14:textId="330002DC" w:rsidR="00C52F32" w:rsidRDefault="00F764D5" w:rsidP="00021EF3">
      <w:r>
        <w:t>While wage subsidies provide</w:t>
      </w:r>
      <w:r w:rsidR="006F5113">
        <w:t xml:space="preserve"> more</w:t>
      </w:r>
      <w:r>
        <w:t xml:space="preserve"> </w:t>
      </w:r>
      <w:r w:rsidR="000B3406">
        <w:t xml:space="preserve">targeted and specific support to businesses </w:t>
      </w:r>
      <w:r w:rsidR="006F5113">
        <w:t xml:space="preserve">than </w:t>
      </w:r>
      <w:r w:rsidR="00F84027">
        <w:t xml:space="preserve">flat </w:t>
      </w:r>
      <w:r w:rsidR="006F5113">
        <w:t>grants</w:t>
      </w:r>
      <w:r w:rsidR="001A0552">
        <w:t xml:space="preserve"> </w:t>
      </w:r>
      <w:r w:rsidR="006F5113">
        <w:t xml:space="preserve">in </w:t>
      </w:r>
      <w:r w:rsidR="00916419">
        <w:t xml:space="preserve">seeking to retain </w:t>
      </w:r>
      <w:r w:rsidR="001A0552">
        <w:t>employees</w:t>
      </w:r>
      <w:r w:rsidR="00916419">
        <w:t xml:space="preserve">, </w:t>
      </w:r>
      <w:r w:rsidR="006F5113">
        <w:t>maintain employer-employee relationships</w:t>
      </w:r>
      <w:r w:rsidR="009B00A4">
        <w:t xml:space="preserve"> </w:t>
      </w:r>
      <w:r w:rsidR="00916419">
        <w:t>and</w:t>
      </w:r>
      <w:r w:rsidR="009B00A4">
        <w:t xml:space="preserve"> support future activity</w:t>
      </w:r>
      <w:r w:rsidR="006F5113">
        <w:t>,</w:t>
      </w:r>
      <w:r w:rsidR="0095464F">
        <w:rPr>
          <w:rStyle w:val="EndnoteReference"/>
        </w:rPr>
        <w:endnoteReference w:id="21"/>
      </w:r>
      <w:r w:rsidR="001A0552">
        <w:t xml:space="preserve"> </w:t>
      </w:r>
      <w:r w:rsidR="006F5113">
        <w:t xml:space="preserve">they can </w:t>
      </w:r>
      <w:r w:rsidR="00B00E8D">
        <w:t>discourage</w:t>
      </w:r>
      <w:r w:rsidR="0075677B">
        <w:t xml:space="preserve"> flexibility </w:t>
      </w:r>
      <w:r w:rsidR="00373B8C">
        <w:t xml:space="preserve">to adapt to </w:t>
      </w:r>
      <w:r w:rsidR="00040E81">
        <w:t>changing economic conditions</w:t>
      </w:r>
      <w:r w:rsidR="003C6BD2">
        <w:t xml:space="preserve">, incentivise </w:t>
      </w:r>
      <w:r w:rsidR="00D37950">
        <w:t>labour hoarding</w:t>
      </w:r>
      <w:r w:rsidR="0084741D">
        <w:t xml:space="preserve"> </w:t>
      </w:r>
      <w:r w:rsidR="00CA7D45">
        <w:t>and restrict job creation</w:t>
      </w:r>
      <w:r w:rsidR="00040E81">
        <w:t>.</w:t>
      </w:r>
      <w:r w:rsidR="00456E2C">
        <w:rPr>
          <w:rStyle w:val="EndnoteReference"/>
        </w:rPr>
        <w:endnoteReference w:id="22"/>
      </w:r>
      <w:r w:rsidR="00270E17">
        <w:t xml:space="preserve"> Comparatively, </w:t>
      </w:r>
      <w:r w:rsidR="00E365DB">
        <w:t xml:space="preserve">flat </w:t>
      </w:r>
      <w:r w:rsidR="00DD1AA0">
        <w:t xml:space="preserve">business support </w:t>
      </w:r>
      <w:r w:rsidR="00F451DF">
        <w:t xml:space="preserve">grants </w:t>
      </w:r>
      <w:r w:rsidR="002111B9">
        <w:t>provide flexibility in supporting businesses to cover a broader range of costs</w:t>
      </w:r>
      <w:r w:rsidR="00F451DF">
        <w:t xml:space="preserve"> (including those such as rent or utilities not covered by a wage subsidy)</w:t>
      </w:r>
      <w:r w:rsidR="00C1475D">
        <w:t>,</w:t>
      </w:r>
      <w:r w:rsidR="00826343">
        <w:t xml:space="preserve"> or </w:t>
      </w:r>
      <w:r w:rsidR="00B46447">
        <w:t xml:space="preserve">innovate and adapt to changing </w:t>
      </w:r>
      <w:r w:rsidR="007566C2">
        <w:t xml:space="preserve">economic conditions. </w:t>
      </w:r>
      <w:r w:rsidR="00532310">
        <w:t xml:space="preserve">Flat </w:t>
      </w:r>
      <w:r w:rsidR="006333E2">
        <w:t>grants</w:t>
      </w:r>
      <w:r w:rsidR="002111B9">
        <w:t xml:space="preserve"> </w:t>
      </w:r>
      <w:r w:rsidR="00C1475D">
        <w:t>may</w:t>
      </w:r>
      <w:r w:rsidR="00DD1AA0">
        <w:t xml:space="preserve"> </w:t>
      </w:r>
      <w:r w:rsidR="002111B9">
        <w:t xml:space="preserve">also </w:t>
      </w:r>
      <w:r w:rsidR="00C1475D">
        <w:t xml:space="preserve">better </w:t>
      </w:r>
      <w:r w:rsidR="0079176F">
        <w:t xml:space="preserve">support </w:t>
      </w:r>
      <w:r w:rsidR="00C423A6">
        <w:t xml:space="preserve">lower-income workers and </w:t>
      </w:r>
      <w:r w:rsidR="00C1475D">
        <w:t xml:space="preserve">more equitable distribution of </w:t>
      </w:r>
      <w:r w:rsidR="00681999">
        <w:t xml:space="preserve">income </w:t>
      </w:r>
      <w:r w:rsidR="009B24F6">
        <w:t>than</w:t>
      </w:r>
      <w:r w:rsidR="00E365DB">
        <w:t xml:space="preserve"> proportional subsidies</w:t>
      </w:r>
      <w:r w:rsidR="006333E2">
        <w:t xml:space="preserve"> by </w:t>
      </w:r>
      <w:r w:rsidR="00FE1C85">
        <w:t>allowing</w:t>
      </w:r>
      <w:r w:rsidR="00A166EE">
        <w:t xml:space="preserve"> investment </w:t>
      </w:r>
      <w:r w:rsidR="00FE1C85">
        <w:t>in employee training and improvements that lead to higher productivity and wages</w:t>
      </w:r>
      <w:r w:rsidR="00A166EE">
        <w:t xml:space="preserve"> </w:t>
      </w:r>
      <w:r w:rsidR="00B94DC4">
        <w:t>in the long</w:t>
      </w:r>
      <w:r w:rsidR="002C5B86">
        <w:t xml:space="preserve"> </w:t>
      </w:r>
      <w:r w:rsidR="00B94DC4">
        <w:t>term</w:t>
      </w:r>
      <w:r w:rsidR="00E365DB">
        <w:t>.</w:t>
      </w:r>
      <w:r w:rsidR="006E5E4A">
        <w:rPr>
          <w:rStyle w:val="EndnoteReference"/>
        </w:rPr>
        <w:endnoteReference w:id="23"/>
      </w:r>
      <w:r w:rsidR="00E365DB">
        <w:t xml:space="preserve"> However, being flat, grants </w:t>
      </w:r>
      <w:r w:rsidR="00D31916">
        <w:t xml:space="preserve">may </w:t>
      </w:r>
      <w:r w:rsidR="00810419">
        <w:t>inherently creat</w:t>
      </w:r>
      <w:r w:rsidR="00916419">
        <w:t>e</w:t>
      </w:r>
      <w:r w:rsidR="00810419">
        <w:t xml:space="preserve"> disincentives for work</w:t>
      </w:r>
      <w:r w:rsidR="00E365DB">
        <w:t>,</w:t>
      </w:r>
      <w:r w:rsidR="007E3939">
        <w:t xml:space="preserve"> and</w:t>
      </w:r>
      <w:r w:rsidR="00916419">
        <w:t xml:space="preserve"> </w:t>
      </w:r>
      <w:r w:rsidR="00036233">
        <w:t xml:space="preserve">the </w:t>
      </w:r>
      <w:r w:rsidR="00CE46E0">
        <w:t xml:space="preserve">less defined usage </w:t>
      </w:r>
      <w:r w:rsidR="00BC083A">
        <w:t>means there is</w:t>
      </w:r>
      <w:r w:rsidR="007566C2">
        <w:t xml:space="preserve"> potential </w:t>
      </w:r>
      <w:r w:rsidR="00BC083A">
        <w:t xml:space="preserve">for the grant </w:t>
      </w:r>
      <w:r w:rsidR="007566C2">
        <w:t>to be misused.</w:t>
      </w:r>
      <w:r w:rsidR="00A60F71">
        <w:rPr>
          <w:rStyle w:val="EndnoteReference"/>
        </w:rPr>
        <w:endnoteReference w:id="24"/>
      </w:r>
      <w:r w:rsidR="00F451DF">
        <w:t xml:space="preserve"> </w:t>
      </w:r>
    </w:p>
    <w:p w14:paraId="7D56A69C" w14:textId="77777777" w:rsidR="00732C47" w:rsidRDefault="00732C47" w:rsidP="00021EF3"/>
    <w:p w14:paraId="0BE5DF0F" w14:textId="77777777" w:rsidR="00732C47" w:rsidRDefault="00732C47" w:rsidP="00021EF3"/>
    <w:p w14:paraId="239DEDCD" w14:textId="4D16734C" w:rsidR="00C52F32" w:rsidRDefault="00C52F32" w:rsidP="00021EF3">
      <w:pPr>
        <w:pStyle w:val="CaptionTable"/>
      </w:pPr>
      <w:bookmarkStart w:id="283" w:name="_Ref173308168"/>
      <w:r>
        <w:lastRenderedPageBreak/>
        <w:t>: Examples of cash flow supports for businesses</w:t>
      </w:r>
      <w:bookmarkEnd w:id="283"/>
      <w:r w:rsidR="00792D18">
        <w:t>.</w:t>
      </w:r>
    </w:p>
    <w:tbl>
      <w:tblPr>
        <w:tblStyle w:val="Deloittetable"/>
        <w:tblW w:w="0" w:type="auto"/>
        <w:tblLook w:val="04A0" w:firstRow="1" w:lastRow="0" w:firstColumn="1" w:lastColumn="0" w:noHBand="0" w:noVBand="1"/>
      </w:tblPr>
      <w:tblGrid>
        <w:gridCol w:w="1276"/>
        <w:gridCol w:w="7750"/>
      </w:tblGrid>
      <w:tr w:rsidR="00C52F32" w14:paraId="19D1527A" w14:textId="77777777" w:rsidTr="00893EB3">
        <w:trPr>
          <w:cnfStyle w:val="100000000000" w:firstRow="1" w:lastRow="0" w:firstColumn="0" w:lastColumn="0" w:oddVBand="0" w:evenVBand="0" w:oddHBand="0" w:evenHBand="0" w:firstRowFirstColumn="0" w:firstRowLastColumn="0" w:lastRowFirstColumn="0" w:lastRowLastColumn="0"/>
          <w:tblHeader/>
        </w:trPr>
        <w:tc>
          <w:tcPr>
            <w:tcW w:w="0" w:type="dxa"/>
          </w:tcPr>
          <w:p w14:paraId="7033F0E9" w14:textId="4505C201" w:rsidR="00C52F32" w:rsidRPr="00B95367" w:rsidRDefault="00C52F32" w:rsidP="00021EF3">
            <w:pPr>
              <w:rPr>
                <w:b/>
              </w:rPr>
            </w:pPr>
            <w:r w:rsidRPr="00B95367">
              <w:rPr>
                <w:b/>
              </w:rPr>
              <w:t>Jurisdiction</w:t>
            </w:r>
          </w:p>
        </w:tc>
        <w:tc>
          <w:tcPr>
            <w:tcW w:w="0" w:type="dxa"/>
          </w:tcPr>
          <w:p w14:paraId="13AE1E69" w14:textId="4A332A5D" w:rsidR="00C52F32" w:rsidRPr="00B95367" w:rsidRDefault="00C52F32" w:rsidP="00021EF3">
            <w:pPr>
              <w:rPr>
                <w:b/>
              </w:rPr>
            </w:pPr>
            <w:r w:rsidRPr="00B95367">
              <w:rPr>
                <w:b/>
              </w:rPr>
              <w:t>Example</w:t>
            </w:r>
          </w:p>
        </w:tc>
      </w:tr>
      <w:tr w:rsidR="00C52F32" w14:paraId="5DAFF730" w14:textId="77777777" w:rsidTr="00B95367">
        <w:tc>
          <w:tcPr>
            <w:tcW w:w="1276" w:type="dxa"/>
          </w:tcPr>
          <w:p w14:paraId="0E55CBDE" w14:textId="14B91367" w:rsidR="00C52F32" w:rsidRPr="00B95367" w:rsidRDefault="00C52F32" w:rsidP="00021EF3">
            <w:pPr>
              <w:rPr>
                <w:b/>
              </w:rPr>
            </w:pPr>
            <w:r w:rsidRPr="00B95367">
              <w:rPr>
                <w:b/>
              </w:rPr>
              <w:t>NSW</w:t>
            </w:r>
          </w:p>
        </w:tc>
        <w:tc>
          <w:tcPr>
            <w:tcW w:w="7750" w:type="dxa"/>
          </w:tcPr>
          <w:p w14:paraId="0C7ACA4F" w14:textId="60AA4502" w:rsidR="00C52F32" w:rsidRPr="00C52F32" w:rsidRDefault="00C52F32" w:rsidP="00021EF3">
            <w:r>
              <w:t>I</w:t>
            </w:r>
            <w:r w:rsidRPr="00F6579B">
              <w:t xml:space="preserve">n </w:t>
            </w:r>
            <w:r>
              <w:t>NSW</w:t>
            </w:r>
            <w:r w:rsidRPr="00F6579B">
              <w:t>, the 2021 COVID-19 Business Grant was introduced to provide $7,500 to $15,000 grants based on the extent of business turnover decline</w:t>
            </w:r>
            <w:r w:rsidR="002946FA">
              <w:t>. However,</w:t>
            </w:r>
            <w:r>
              <w:t xml:space="preserve"> a </w:t>
            </w:r>
            <w:proofErr w:type="spellStart"/>
            <w:r w:rsidRPr="00F6579B">
              <w:t>JobSaver</w:t>
            </w:r>
            <w:proofErr w:type="spellEnd"/>
            <w:r w:rsidRPr="00F6579B">
              <w:t xml:space="preserve"> wage subsidy was subsequently </w:t>
            </w:r>
            <w:r w:rsidR="002946FA">
              <w:t>introduced</w:t>
            </w:r>
            <w:r w:rsidRPr="00F6579B">
              <w:t xml:space="preserve"> in July 2021, covering 40 per cent of payroll per week (with a minimum of $1,500 and maximum of $100,000)</w:t>
            </w:r>
            <w:r>
              <w:t>.</w:t>
            </w:r>
          </w:p>
        </w:tc>
      </w:tr>
      <w:tr w:rsidR="00C52F32" w14:paraId="45090E49" w14:textId="77777777" w:rsidTr="00B95367">
        <w:tc>
          <w:tcPr>
            <w:tcW w:w="1276" w:type="dxa"/>
          </w:tcPr>
          <w:p w14:paraId="42AAD902" w14:textId="0F7202EB" w:rsidR="00C52F32" w:rsidRPr="00B95367" w:rsidRDefault="00C52F32" w:rsidP="00021EF3">
            <w:pPr>
              <w:rPr>
                <w:b/>
              </w:rPr>
            </w:pPr>
            <w:r w:rsidRPr="00B95367">
              <w:rPr>
                <w:b/>
              </w:rPr>
              <w:t>ACT</w:t>
            </w:r>
          </w:p>
        </w:tc>
        <w:tc>
          <w:tcPr>
            <w:tcW w:w="7750" w:type="dxa"/>
          </w:tcPr>
          <w:p w14:paraId="2F540322" w14:textId="465B36BB" w:rsidR="00C52F32" w:rsidRDefault="00C52F32" w:rsidP="00021EF3">
            <w:r>
              <w:t>I</w:t>
            </w:r>
            <w:r w:rsidRPr="00F6579B">
              <w:t>n the ACT</w:t>
            </w:r>
            <w:r w:rsidR="0007100D">
              <w:t>,</w:t>
            </w:r>
            <w:r w:rsidRPr="00F6579B">
              <w:t xml:space="preserve"> the COVID-19 Business Support Grant provided businesses with up to $125,000 across three payments from August 2021</w:t>
            </w:r>
            <w:r>
              <w:t>.</w:t>
            </w:r>
          </w:p>
        </w:tc>
      </w:tr>
      <w:tr w:rsidR="00C52F32" w14:paraId="7E30FF58" w14:textId="77777777" w:rsidTr="00B95367">
        <w:tc>
          <w:tcPr>
            <w:tcW w:w="1276" w:type="dxa"/>
          </w:tcPr>
          <w:p w14:paraId="0775E5AF" w14:textId="6F805912" w:rsidR="00C52F32" w:rsidRPr="00B95367" w:rsidRDefault="00C52F32" w:rsidP="00021EF3">
            <w:pPr>
              <w:rPr>
                <w:b/>
              </w:rPr>
            </w:pPr>
            <w:r w:rsidRPr="00B95367">
              <w:rPr>
                <w:b/>
              </w:rPr>
              <w:t>QLD</w:t>
            </w:r>
          </w:p>
        </w:tc>
        <w:tc>
          <w:tcPr>
            <w:tcW w:w="7750" w:type="dxa"/>
          </w:tcPr>
          <w:p w14:paraId="50F911E9" w14:textId="0006C8E4" w:rsidR="00C52F32" w:rsidRDefault="00C52F32" w:rsidP="00021EF3">
            <w:pPr>
              <w:ind w:left="0"/>
            </w:pPr>
            <w:r>
              <w:t>I</w:t>
            </w:r>
            <w:r w:rsidRPr="003E140D">
              <w:t>n QLD, the 2021 COVID-19 Business Support Grant and COVID-19 Tourism and Hospitality Sector Hardship Grant</w:t>
            </w:r>
            <w:r w:rsidRPr="00F6579B">
              <w:t xml:space="preserve"> provided $10,000 to $30,000, or $30,000 to $100,000 one-off payments to eligible businesses</w:t>
            </w:r>
            <w:r w:rsidR="00A70BE9">
              <w:t>,</w:t>
            </w:r>
            <w:r w:rsidRPr="00F6579B">
              <w:t xml:space="preserve"> respectively. </w:t>
            </w:r>
          </w:p>
        </w:tc>
      </w:tr>
    </w:tbl>
    <w:p w14:paraId="2D60C763" w14:textId="194939FB" w:rsidR="007E43FD" w:rsidRDefault="00C52F32" w:rsidP="00021EF3">
      <w:pPr>
        <w:pStyle w:val="Source"/>
      </w:pPr>
      <w:r>
        <w:t>Source: Deloitte Access Economics.</w:t>
      </w:r>
    </w:p>
    <w:p w14:paraId="7F6622A6" w14:textId="09CF4958" w:rsidR="007F3826" w:rsidRDefault="00F764D5" w:rsidP="00021EF3">
      <w:r>
        <w:t>However, si</w:t>
      </w:r>
      <w:r w:rsidR="004D7009" w:rsidRPr="00F6579B">
        <w:t>milar to other jurisdiction’s cash</w:t>
      </w:r>
      <w:r w:rsidR="003277E7">
        <w:t xml:space="preserve"> </w:t>
      </w:r>
      <w:r w:rsidR="004D7009" w:rsidRPr="00F6579B">
        <w:t>flow supports</w:t>
      </w:r>
      <w:r w:rsidR="004D7009">
        <w:t xml:space="preserve"> for </w:t>
      </w:r>
      <w:r w:rsidR="00F62309">
        <w:t>business</w:t>
      </w:r>
      <w:r w:rsidR="004D7009" w:rsidRPr="00F6579B">
        <w:t xml:space="preserve">, the BCAP and LHVF grants fulfilled </w:t>
      </w:r>
      <w:r w:rsidR="004D7009">
        <w:t xml:space="preserve">an unmet </w:t>
      </w:r>
      <w:r w:rsidR="004D7009" w:rsidRPr="00F6579B">
        <w:t xml:space="preserve">need </w:t>
      </w:r>
      <w:r w:rsidR="003A0873">
        <w:t>in providing</w:t>
      </w:r>
      <w:r w:rsidR="004D7009" w:rsidRPr="00F6579B">
        <w:t xml:space="preserve"> businesses with certainty and the necessary cash</w:t>
      </w:r>
      <w:r w:rsidR="003277E7">
        <w:t xml:space="preserve"> </w:t>
      </w:r>
      <w:r w:rsidR="004D7009" w:rsidRPr="00F6579B">
        <w:t xml:space="preserve">flow to stay afloat during periods of closure and reduced operations. Survey results support this, </w:t>
      </w:r>
      <w:r w:rsidR="004D7009">
        <w:t>with 68 per cent of BCAP respondents and 72 per cent of LHVF respondents indicating the grants enabled their business to cover costs.</w:t>
      </w:r>
      <w:r w:rsidR="004663C8">
        <w:t xml:space="preserve"> </w:t>
      </w:r>
      <w:r w:rsidR="001C44EA">
        <w:t>Additional</w:t>
      </w:r>
      <w:r w:rsidR="00F24C6D">
        <w:t xml:space="preserve">ly, </w:t>
      </w:r>
      <w:r w:rsidR="00CC69F4">
        <w:t>case studies de</w:t>
      </w:r>
      <w:r w:rsidR="000E032E">
        <w:t xml:space="preserve">veloped for this evaluation supported this. For instance, </w:t>
      </w:r>
      <w:r w:rsidR="00E82EDC">
        <w:t>an</w:t>
      </w:r>
      <w:r w:rsidR="00F24C6D">
        <w:t xml:space="preserve"> </w:t>
      </w:r>
      <w:r w:rsidR="00E82EDC">
        <w:t>i</w:t>
      </w:r>
      <w:r w:rsidR="001F12F2">
        <w:t xml:space="preserve">ndependent </w:t>
      </w:r>
      <w:proofErr w:type="spellStart"/>
      <w:r w:rsidR="00E82EDC">
        <w:t>m</w:t>
      </w:r>
      <w:r w:rsidR="001F12F2">
        <w:t>yotherapist</w:t>
      </w:r>
      <w:proofErr w:type="spellEnd"/>
      <w:r w:rsidR="008E090C">
        <w:t>, who set up and ran their own prac</w:t>
      </w:r>
      <w:r w:rsidR="00690482">
        <w:t xml:space="preserve">tice </w:t>
      </w:r>
      <w:r w:rsidR="00406FF9">
        <w:t>within their local community,</w:t>
      </w:r>
      <w:r w:rsidR="00E77B51">
        <w:t xml:space="preserve"> </w:t>
      </w:r>
      <w:r w:rsidR="00EA4DBD">
        <w:t xml:space="preserve">reported that </w:t>
      </w:r>
      <w:r w:rsidR="00BC7134">
        <w:t xml:space="preserve">without the </w:t>
      </w:r>
      <w:r w:rsidR="001F12F2">
        <w:t>BCAP grants, they would have had to close their business</w:t>
      </w:r>
      <w:r w:rsidR="00930C59">
        <w:t xml:space="preserve"> (see</w:t>
      </w:r>
      <w:r w:rsidR="00C429D0">
        <w:t xml:space="preserve"> </w:t>
      </w:r>
      <w:r w:rsidR="00A01296">
        <w:fldChar w:fldCharType="begin"/>
      </w:r>
      <w:r w:rsidR="00A01296">
        <w:instrText xml:space="preserve"> REF _Ref173917380 \r \h </w:instrText>
      </w:r>
      <w:r w:rsidR="00021EF3">
        <w:instrText xml:space="preserve"> \* MERGEFORMAT </w:instrText>
      </w:r>
      <w:r w:rsidR="00A01296">
        <w:fldChar w:fldCharType="separate"/>
      </w:r>
      <w:r w:rsidR="0016271C">
        <w:t>Appendix D</w:t>
      </w:r>
      <w:r w:rsidR="00A01296">
        <w:fldChar w:fldCharType="end"/>
      </w:r>
      <w:r w:rsidR="00C429D0">
        <w:t>:</w:t>
      </w:r>
      <w:r w:rsidR="00930C59">
        <w:t xml:space="preserve"> Independent </w:t>
      </w:r>
      <w:proofErr w:type="spellStart"/>
      <w:r w:rsidR="00E82EDC">
        <w:t>m</w:t>
      </w:r>
      <w:r w:rsidR="00930C59">
        <w:t>yotherapist</w:t>
      </w:r>
      <w:proofErr w:type="spellEnd"/>
      <w:r w:rsidR="00930C59">
        <w:t xml:space="preserve"> </w:t>
      </w:r>
      <w:r w:rsidR="00E82EDC">
        <w:t>c</w:t>
      </w:r>
      <w:r w:rsidR="00930C59">
        <w:t xml:space="preserve">ase </w:t>
      </w:r>
      <w:r w:rsidR="00E82EDC">
        <w:t>s</w:t>
      </w:r>
      <w:r w:rsidR="06DE7031">
        <w:t xml:space="preserve">tudy). </w:t>
      </w:r>
    </w:p>
    <w:p w14:paraId="49C97C6B" w14:textId="4B14704F" w:rsidR="009264E9" w:rsidRDefault="004663C8" w:rsidP="00021EF3">
      <w:r>
        <w:t>With Victorian businesses being the</w:t>
      </w:r>
      <w:r w:rsidR="00AC06D7">
        <w:t xml:space="preserve"> </w:t>
      </w:r>
      <w:r>
        <w:t>more severely affec</w:t>
      </w:r>
      <w:r w:rsidR="00AC06D7">
        <w:t>t</w:t>
      </w:r>
      <w:r w:rsidR="00212DE0">
        <w:t>ed</w:t>
      </w:r>
      <w:r>
        <w:t xml:space="preserve"> by public health restrictions than any other jurisdiction, it follows that </w:t>
      </w:r>
      <w:r w:rsidR="00AC06D7">
        <w:t xml:space="preserve">Victorian businesses would have fallen even further behind </w:t>
      </w:r>
      <w:r>
        <w:t>without support at least equivalent to other jurisdictions.</w:t>
      </w:r>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9264E9" w14:paraId="7191B20E"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51B6EC3D" w14:textId="06DEA2B6" w:rsidR="009264E9" w:rsidRPr="00A04FF8" w:rsidRDefault="009264E9" w:rsidP="00021EF3">
            <w:pPr>
              <w:spacing w:after="0"/>
              <w:rPr>
                <w:b/>
                <w:bCs/>
              </w:rPr>
            </w:pPr>
            <w:r w:rsidRPr="00A04FF8">
              <w:rPr>
                <w:b/>
                <w:bCs/>
                <w:color w:val="62B5E5" w:themeColor="accent3"/>
              </w:rPr>
              <w:t xml:space="preserve">Finding </w:t>
            </w:r>
            <w:r w:rsidR="00CB3213">
              <w:rPr>
                <w:b/>
                <w:bCs/>
                <w:color w:val="62B5E5" w:themeColor="accent3"/>
              </w:rPr>
              <w:t>2</w:t>
            </w:r>
            <w:r w:rsidRPr="00A04FF8">
              <w:rPr>
                <w:b/>
                <w:bCs/>
                <w:color w:val="62B5E5" w:themeColor="accent3"/>
              </w:rPr>
              <w:t>: </w:t>
            </w:r>
            <w:r w:rsidRPr="00174AC7">
              <w:rPr>
                <w:b/>
                <w:bCs/>
              </w:rPr>
              <w:t xml:space="preserve">The </w:t>
            </w:r>
            <w:r w:rsidRPr="00672EA7">
              <w:rPr>
                <w:b/>
                <w:bCs/>
              </w:rPr>
              <w:t xml:space="preserve">targeted and tailored nature of the LHVF program was necessary given the </w:t>
            </w:r>
            <w:r w:rsidRPr="00174AC7">
              <w:rPr>
                <w:b/>
                <w:bCs/>
              </w:rPr>
              <w:t xml:space="preserve">hospitality sector was </w:t>
            </w:r>
            <w:r w:rsidR="00602B83" w:rsidRPr="00602B83">
              <w:rPr>
                <w:b/>
                <w:bCs/>
              </w:rPr>
              <w:t>more severely affected by movement and trading restrictions than most industries.</w:t>
            </w:r>
          </w:p>
        </w:tc>
      </w:tr>
    </w:tbl>
    <w:p w14:paraId="03B95EC2" w14:textId="27EB3658" w:rsidR="00C2391A" w:rsidRDefault="00494280" w:rsidP="00021EF3">
      <w:pPr>
        <w:spacing w:before="160"/>
      </w:pPr>
      <w:r>
        <w:t xml:space="preserve">The Victorian hospitality sector </w:t>
      </w:r>
      <w:r w:rsidR="00AD4EA4">
        <w:t xml:space="preserve">significantly contributes to Victoria’s </w:t>
      </w:r>
      <w:r w:rsidR="001D3660">
        <w:t>economy and culture. High-quality restaurants and cafes not only make the state a desirable destination for visitors and offer unique experiences to highlight the state’s heritage and cultural landscape, but they strengthen community bonds and contribute to the local identity of Victorians.</w:t>
      </w:r>
      <w:r w:rsidR="00AD4EA4">
        <w:t xml:space="preserve"> </w:t>
      </w:r>
      <w:r w:rsidR="008533DD" w:rsidRPr="008533DD">
        <w:t xml:space="preserve">Throughout </w:t>
      </w:r>
      <w:r w:rsidR="004D1091">
        <w:t xml:space="preserve">the COVID-19 pandemic in Victoria, the hospitality sector was </w:t>
      </w:r>
      <w:r w:rsidR="00B2327A">
        <w:t>disproportionately affected by</w:t>
      </w:r>
      <w:r w:rsidR="00860C75">
        <w:t xml:space="preserve"> public health restrictions</w:t>
      </w:r>
      <w:r w:rsidR="00790167">
        <w:t xml:space="preserve">, necessitating </w:t>
      </w:r>
      <w:r w:rsidR="00AD597A">
        <w:t>greater and more specific business support</w:t>
      </w:r>
      <w:r w:rsidR="00860C75">
        <w:t>.</w:t>
      </w:r>
      <w:r w:rsidR="00B92208">
        <w:t xml:space="preserve"> </w:t>
      </w:r>
      <w:r w:rsidR="00A96BE2">
        <w:t xml:space="preserve">As a sector </w:t>
      </w:r>
      <w:r w:rsidR="00155202">
        <w:t>traditionally</w:t>
      </w:r>
      <w:r w:rsidR="00A96BE2">
        <w:t xml:space="preserve"> reliant</w:t>
      </w:r>
      <w:r w:rsidR="005B0FE9">
        <w:t xml:space="preserve"> on the physical presence of customers</w:t>
      </w:r>
      <w:r w:rsidR="00155202">
        <w:t>, r</w:t>
      </w:r>
      <w:r w:rsidR="00A96BE2">
        <w:t>estrictions themselves placed additional downwards pressure on</w:t>
      </w:r>
      <w:r w:rsidR="00D745CE">
        <w:t xml:space="preserve"> demand in th</w:t>
      </w:r>
      <w:r w:rsidR="005679A1">
        <w:t>e hospitality sector</w:t>
      </w:r>
      <w:r w:rsidR="00352E19">
        <w:t xml:space="preserve"> relative to other sectors</w:t>
      </w:r>
      <w:r w:rsidR="005679A1">
        <w:t xml:space="preserve">. </w:t>
      </w:r>
      <w:r w:rsidR="00E218EC">
        <w:t xml:space="preserve">Curfew and travel limits reduced the distance and times during which people could travel to access hospitality services. </w:t>
      </w:r>
      <w:r w:rsidR="005679A1">
        <w:t>Mandatory mask</w:t>
      </w:r>
      <w:r w:rsidR="0084216A">
        <w:t xml:space="preserve"> restrictions and density limits </w:t>
      </w:r>
      <w:r w:rsidR="008B1398">
        <w:t>reduced the number of customers that could be served by a business at any one time</w:t>
      </w:r>
      <w:r w:rsidR="003D5ED6">
        <w:t xml:space="preserve">. </w:t>
      </w:r>
      <w:r w:rsidR="00217E25">
        <w:t xml:space="preserve">This was particularly impactful for larger </w:t>
      </w:r>
      <w:r w:rsidR="00E218EC">
        <w:t xml:space="preserve">businesses with higher patron capacity. </w:t>
      </w:r>
      <w:r w:rsidR="0002687A">
        <w:t xml:space="preserve">Stakeholders </w:t>
      </w:r>
      <w:r w:rsidR="00CF6C51">
        <w:t xml:space="preserve">noted that the </w:t>
      </w:r>
      <w:r w:rsidR="000454D4">
        <w:t xml:space="preserve">hospitality sector was demonstrably </w:t>
      </w:r>
      <w:r w:rsidR="009432E3">
        <w:t xml:space="preserve">and more directly </w:t>
      </w:r>
      <w:r w:rsidR="000454D4">
        <w:t xml:space="preserve">affected </w:t>
      </w:r>
      <w:r w:rsidR="00C54611">
        <w:t>by restrictions themselves</w:t>
      </w:r>
      <w:r w:rsidR="00396F40">
        <w:t xml:space="preserve"> and needed targeted support. </w:t>
      </w:r>
      <w:r w:rsidR="00A24229">
        <w:t>The varied impact of restrictions on different businesses within the sector necessitated tailored support of varied grant amounts based on patron capacity.</w:t>
      </w:r>
      <w:r w:rsidR="004A3F89">
        <w:t xml:space="preserve"> </w:t>
      </w:r>
    </w:p>
    <w:p w14:paraId="7C178747" w14:textId="703D7448" w:rsidR="00C54611" w:rsidRPr="008533DD" w:rsidRDefault="00C54611" w:rsidP="00021EF3">
      <w:r>
        <w:t>Further,</w:t>
      </w:r>
      <w:r w:rsidR="004762FB">
        <w:t xml:space="preserve"> </w:t>
      </w:r>
      <w:r w:rsidR="004D4C44">
        <w:t xml:space="preserve">the hospitality sector could not </w:t>
      </w:r>
      <w:r w:rsidR="00397775">
        <w:t>fully</w:t>
      </w:r>
      <w:r w:rsidR="00CA7174">
        <w:t xml:space="preserve"> transition to e-commerce</w:t>
      </w:r>
      <w:r w:rsidR="003C6491">
        <w:t xml:space="preserve">, online services or work-from-home arrangements </w:t>
      </w:r>
      <w:r w:rsidR="005D65DD">
        <w:t>in the way that</w:t>
      </w:r>
      <w:r w:rsidR="00D73458">
        <w:t xml:space="preserve"> other sectors</w:t>
      </w:r>
      <w:r w:rsidR="003C6491">
        <w:t xml:space="preserve"> (such as retail or commercial services</w:t>
      </w:r>
      <w:r w:rsidR="00D73458">
        <w:t>)</w:t>
      </w:r>
      <w:r w:rsidR="003C6491">
        <w:t xml:space="preserve"> </w:t>
      </w:r>
      <w:r w:rsidR="00611912">
        <w:t>were able to</w:t>
      </w:r>
      <w:r w:rsidR="00D73458">
        <w:t>.</w:t>
      </w:r>
      <w:r w:rsidR="00184ACA">
        <w:t xml:space="preserve"> This is because the </w:t>
      </w:r>
      <w:r w:rsidR="00854F3C">
        <w:t xml:space="preserve">sector is </w:t>
      </w:r>
      <w:r w:rsidR="003E7CA9">
        <w:t>service based</w:t>
      </w:r>
      <w:r w:rsidR="00463F9F">
        <w:t xml:space="preserve"> and </w:t>
      </w:r>
      <w:r w:rsidR="00CC099E">
        <w:t>relies on</w:t>
      </w:r>
      <w:r w:rsidR="003A1E9A">
        <w:t xml:space="preserve"> face-to-face service</w:t>
      </w:r>
      <w:r w:rsidR="00232D86">
        <w:t xml:space="preserve"> provision and</w:t>
      </w:r>
      <w:r w:rsidR="00CC099E">
        <w:t xml:space="preserve"> </w:t>
      </w:r>
      <w:r w:rsidR="00C17866">
        <w:t>physical consumption by the customer</w:t>
      </w:r>
      <w:r w:rsidR="00B618A7">
        <w:t xml:space="preserve"> – either by their presence itself, or their consumption of a good provided </w:t>
      </w:r>
      <w:r w:rsidR="006E71D1">
        <w:t>at the services physical location</w:t>
      </w:r>
      <w:r w:rsidR="00B618A7">
        <w:t>.</w:t>
      </w:r>
      <w:r w:rsidR="00411D52">
        <w:t xml:space="preserve"> </w:t>
      </w:r>
      <w:r w:rsidR="00FA2DF6">
        <w:t>Though some were able to pivot to</w:t>
      </w:r>
      <w:r w:rsidR="00D554BA">
        <w:t>wards</w:t>
      </w:r>
      <w:r w:rsidR="00FA2DF6">
        <w:t xml:space="preserve"> selling take away or home</w:t>
      </w:r>
      <w:r w:rsidR="00172C2B">
        <w:t>-prepared meals, this was</w:t>
      </w:r>
      <w:r w:rsidR="0001379E">
        <w:t xml:space="preserve"> </w:t>
      </w:r>
      <w:r w:rsidR="00172C2B">
        <w:t>n</w:t>
      </w:r>
      <w:r w:rsidR="0001379E">
        <w:t>o</w:t>
      </w:r>
      <w:r w:rsidR="00172C2B">
        <w:t xml:space="preserve">t appropriate for all businesses. </w:t>
      </w:r>
      <w:r w:rsidR="008D2C1A">
        <w:t>A local sports and recreation club was one such business</w:t>
      </w:r>
      <w:r w:rsidR="00506104">
        <w:t xml:space="preserve">. The club </w:t>
      </w:r>
      <w:r w:rsidR="00F30874">
        <w:t>operated as a community hub, hosting ev</w:t>
      </w:r>
      <w:r w:rsidR="008633CB">
        <w:t>ents</w:t>
      </w:r>
      <w:r w:rsidR="0001379E">
        <w:t>,</w:t>
      </w:r>
      <w:r w:rsidR="008633CB">
        <w:t xml:space="preserve"> such as </w:t>
      </w:r>
      <w:r w:rsidR="0087351F">
        <w:t>weddings, birthdays and community events</w:t>
      </w:r>
      <w:r w:rsidR="0001379E">
        <w:t>,</w:t>
      </w:r>
      <w:r w:rsidR="00B7284C">
        <w:t xml:space="preserve"> as well as serving as a location for community members to </w:t>
      </w:r>
      <w:r w:rsidR="006654A0">
        <w:t xml:space="preserve">gather. The club was unable to adapt any </w:t>
      </w:r>
      <w:r w:rsidR="00540CF3">
        <w:t>alternate sources of revenue</w:t>
      </w:r>
      <w:r w:rsidR="00354B9C">
        <w:t xml:space="preserve"> </w:t>
      </w:r>
      <w:r w:rsidR="00627BCF">
        <w:t xml:space="preserve">and </w:t>
      </w:r>
      <w:r w:rsidR="00B54265">
        <w:t xml:space="preserve">was unable to pay outstanding bills prior to their reception of LHVF (see </w:t>
      </w:r>
      <w:r w:rsidR="0050188E">
        <w:fldChar w:fldCharType="begin"/>
      </w:r>
      <w:r w:rsidR="0050188E">
        <w:instrText xml:space="preserve"> REF _Ref173936078 \r \h </w:instrText>
      </w:r>
      <w:r w:rsidR="00021EF3">
        <w:instrText xml:space="preserve"> \* MERGEFORMAT </w:instrText>
      </w:r>
      <w:r w:rsidR="0050188E">
        <w:fldChar w:fldCharType="separate"/>
      </w:r>
      <w:r w:rsidR="0016271C">
        <w:t>Appendix D</w:t>
      </w:r>
      <w:r w:rsidR="0050188E">
        <w:fldChar w:fldCharType="end"/>
      </w:r>
      <w:r w:rsidR="0050188E">
        <w:t>: Local sports and recreation</w:t>
      </w:r>
      <w:r w:rsidR="00B54265">
        <w:t xml:space="preserve"> club case study)</w:t>
      </w:r>
      <w:r w:rsidR="003B7BE1">
        <w:t>.</w:t>
      </w:r>
      <w:r w:rsidR="00172C2B">
        <w:t xml:space="preserve"> </w:t>
      </w:r>
      <w:r w:rsidR="00411D52">
        <w:t xml:space="preserve">Businesses in the hospitality sector were </w:t>
      </w:r>
      <w:r w:rsidR="00D20292">
        <w:t>also</w:t>
      </w:r>
      <w:r w:rsidR="00411D52">
        <w:t xml:space="preserve"> mor</w:t>
      </w:r>
      <w:r w:rsidR="00037B50">
        <w:t>e likely to have perishable goods</w:t>
      </w:r>
      <w:r w:rsidR="0001379E">
        <w:t>,</w:t>
      </w:r>
      <w:r w:rsidR="00037B50">
        <w:t xml:space="preserve"> such as food and beverages on hand compared to other sectors</w:t>
      </w:r>
      <w:r w:rsidR="00264866">
        <w:t xml:space="preserve">. </w:t>
      </w:r>
      <w:r w:rsidR="009141B0">
        <w:t xml:space="preserve">It was therefore expected </w:t>
      </w:r>
      <w:r w:rsidR="00D554BA">
        <w:t>that</w:t>
      </w:r>
      <w:r w:rsidR="00371E81">
        <w:t xml:space="preserve"> such businesses would have experienced greater costs following unexpected business closure</w:t>
      </w:r>
      <w:r w:rsidR="00977E0A">
        <w:t xml:space="preserve"> when</w:t>
      </w:r>
      <w:r w:rsidR="000F68A6">
        <w:t xml:space="preserve"> perishable goods</w:t>
      </w:r>
      <w:r w:rsidR="000D0A31">
        <w:t xml:space="preserve"> </w:t>
      </w:r>
      <w:r w:rsidR="001E43BD">
        <w:t>remained</w:t>
      </w:r>
      <w:r w:rsidR="00577BE7">
        <w:t xml:space="preserve"> unused and </w:t>
      </w:r>
      <w:r w:rsidR="000D0A31">
        <w:t>deteriorated within the closure period</w:t>
      </w:r>
      <w:r w:rsidR="00C61CC7">
        <w:t>.</w:t>
      </w:r>
      <w:r w:rsidR="00804E4F">
        <w:t xml:space="preserve"> Consequently, t</w:t>
      </w:r>
      <w:r w:rsidR="00672A33">
        <w:t xml:space="preserve">he hospitality sector </w:t>
      </w:r>
      <w:r w:rsidR="001E43BD">
        <w:t xml:space="preserve">was also expected to </w:t>
      </w:r>
      <w:r w:rsidR="00D20292">
        <w:t xml:space="preserve">incur </w:t>
      </w:r>
      <w:r w:rsidR="001E43BD">
        <w:t>greater cost and time to reacquire such goods before reopening operations.</w:t>
      </w:r>
    </w:p>
    <w:p w14:paraId="6CBCF9A9" w14:textId="77777777" w:rsidR="00732C47" w:rsidRPr="008533DD" w:rsidRDefault="00732C47" w:rsidP="00021EF3"/>
    <w:p w14:paraId="6EB0F43D" w14:textId="77777777" w:rsidR="00F0579E" w:rsidRDefault="00F0579E" w:rsidP="00021EF3"/>
    <w:p w14:paraId="2B77518A" w14:textId="7F411AC0" w:rsidR="00CD682E" w:rsidRPr="00893EB3" w:rsidRDefault="00CD682E" w:rsidP="00021EF3">
      <w:pPr>
        <w:pStyle w:val="Heading3SEQs"/>
        <w:rPr>
          <w:b w:val="0"/>
        </w:rPr>
      </w:pPr>
      <w:bookmarkStart w:id="284" w:name="_Ref173938888"/>
      <w:bookmarkStart w:id="285" w:name="_Toc174118137"/>
      <w:bookmarkStart w:id="286" w:name="_Toc176516256"/>
      <w:r w:rsidRPr="009656FA">
        <w:lastRenderedPageBreak/>
        <w:t>SEQ</w:t>
      </w:r>
      <w:r w:rsidRPr="00BD3C03">
        <w:rPr>
          <w:b w:val="0"/>
        </w:rPr>
        <w:t xml:space="preserve"> 7: </w:t>
      </w:r>
      <w:r w:rsidRPr="00893EB3">
        <w:rPr>
          <w:b w:val="0"/>
        </w:rPr>
        <w:t>How well has the Department adapted its emergency grant making practices?</w:t>
      </w:r>
      <w:bookmarkEnd w:id="284"/>
      <w:bookmarkEnd w:id="285"/>
      <w:bookmarkEnd w:id="286"/>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CD682E" w14:paraId="1641F901"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1B7FF0B4" w14:textId="6599D140" w:rsidR="00CD682E" w:rsidRPr="00A04FF8" w:rsidRDefault="00CD682E" w:rsidP="00021EF3">
            <w:pPr>
              <w:spacing w:after="0"/>
              <w:rPr>
                <w:b/>
                <w:bCs/>
              </w:rPr>
            </w:pPr>
            <w:r w:rsidRPr="00A04FF8">
              <w:rPr>
                <w:b/>
                <w:bCs/>
                <w:color w:val="62B5E5" w:themeColor="accent3"/>
              </w:rPr>
              <w:t xml:space="preserve">Finding </w:t>
            </w:r>
            <w:r>
              <w:rPr>
                <w:b/>
                <w:bCs/>
                <w:color w:val="62B5E5" w:themeColor="accent3"/>
              </w:rPr>
              <w:t>3</w:t>
            </w:r>
            <w:r w:rsidRPr="00A04FF8">
              <w:rPr>
                <w:b/>
                <w:bCs/>
                <w:color w:val="62B5E5" w:themeColor="accent3"/>
              </w:rPr>
              <w:t>: </w:t>
            </w:r>
            <w:r w:rsidRPr="000A6791">
              <w:rPr>
                <w:b/>
                <w:bCs/>
              </w:rPr>
              <w:t xml:space="preserve">The Department </w:t>
            </w:r>
            <w:r w:rsidRPr="00800CDA">
              <w:rPr>
                <w:b/>
                <w:bCs/>
              </w:rPr>
              <w:t>quickly stood up and adapted a large-scale grant assessment and distribution system at an unprecedented scale and speed.</w:t>
            </w:r>
          </w:p>
        </w:tc>
      </w:tr>
    </w:tbl>
    <w:p w14:paraId="7BFA61C1" w14:textId="50C0E344" w:rsidR="00CD682E" w:rsidRDefault="00CD682E" w:rsidP="00021EF3">
      <w:pPr>
        <w:spacing w:before="160"/>
        <w:rPr>
          <w:color w:val="FF0000"/>
        </w:rPr>
      </w:pPr>
      <w:r>
        <w:t xml:space="preserve">The delivery of grants </w:t>
      </w:r>
      <w:r w:rsidR="00A10FBC">
        <w:t>at</w:t>
      </w:r>
      <w:r>
        <w:t xml:space="preserve"> the scale of BCAP and LHVF was unprecedented for the Victorian Government, necessitating significant adaptation of existing grant making practices. </w:t>
      </w:r>
      <w:r w:rsidR="00931FB1">
        <w:t>This also took</w:t>
      </w:r>
      <w:r>
        <w:t xml:space="preserve"> place under </w:t>
      </w:r>
      <w:r w:rsidR="00D97303">
        <w:t>considerable</w:t>
      </w:r>
      <w:r>
        <w:t xml:space="preserve"> time pressure and within significant data constraints. Despite these challenges, the Department was able to successfully adapt their grant making practices. </w:t>
      </w:r>
      <w:r w:rsidR="007D349C" w:rsidRPr="00311F70">
        <w:t>By program end, the platform had processed more than 15</w:t>
      </w:r>
      <w:r w:rsidR="007D349C">
        <w:t>1</w:t>
      </w:r>
      <w:r w:rsidR="007D349C" w:rsidRPr="00311F70">
        <w:t>,000 business</w:t>
      </w:r>
      <w:r w:rsidR="007D349C">
        <w:t xml:space="preserve"> applications.</w:t>
      </w:r>
    </w:p>
    <w:p w14:paraId="4F852F1F" w14:textId="04CD6B41" w:rsidR="00CD682E" w:rsidRDefault="00CD682E" w:rsidP="00021EF3">
      <w:pPr>
        <w:spacing w:before="160"/>
      </w:pPr>
      <w:r>
        <w:t>The Department’s e</w:t>
      </w:r>
      <w:r w:rsidRPr="00F85665">
        <w:t xml:space="preserve">xisting systems and processes were </w:t>
      </w:r>
      <w:r>
        <w:t xml:space="preserve">generally </w:t>
      </w:r>
      <w:r w:rsidRPr="00F85665">
        <w:t xml:space="preserve">designed to deliver </w:t>
      </w:r>
      <w:r>
        <w:t xml:space="preserve">approximately 100 grants or less, meaning significant </w:t>
      </w:r>
      <w:r w:rsidR="00195DD6">
        <w:t>adjustments</w:t>
      </w:r>
      <w:r>
        <w:t xml:space="preserve"> had to be made within a short space of time to achieve the required efficiencies to deliver a program of this scale (see </w:t>
      </w:r>
      <w:r w:rsidR="00FC08B7" w:rsidRPr="000B1248">
        <w:t>Finding 4</w:t>
      </w:r>
      <w:r w:rsidR="00582EE7">
        <w:t>). The</w:t>
      </w:r>
      <w:r>
        <w:t xml:space="preserve"> Department also worked to refine these processes and systems over time as the programs progressed. </w:t>
      </w:r>
      <w:r w:rsidRPr="00721453">
        <w:t xml:space="preserve">For example, </w:t>
      </w:r>
      <w:r w:rsidR="002451AF">
        <w:t>overtime</w:t>
      </w:r>
      <w:r w:rsidRPr="00721453">
        <w:t xml:space="preserve"> they were able to </w:t>
      </w:r>
      <w:r w:rsidR="002451AF">
        <w:t>increasingly</w:t>
      </w:r>
      <w:r w:rsidRPr="00721453">
        <w:t xml:space="preserve"> automate some of the processes involved in the application</w:t>
      </w:r>
      <w:r>
        <w:t>s and payments</w:t>
      </w:r>
      <w:r w:rsidRPr="00721453">
        <w:t xml:space="preserve"> process, such as </w:t>
      </w:r>
      <w:r w:rsidRPr="001511FC">
        <w:t>alerting previous grant recipients to the opening</w:t>
      </w:r>
      <w:r>
        <w:t xml:space="preserve"> of new rounds, </w:t>
      </w:r>
      <w:r w:rsidRPr="001511FC">
        <w:t xml:space="preserve">the automation of top-up payments and the inclusion of </w:t>
      </w:r>
      <w:r w:rsidRPr="00721453">
        <w:t xml:space="preserve">a </w:t>
      </w:r>
      <w:r w:rsidRPr="001511FC">
        <w:t>pre-populated</w:t>
      </w:r>
      <w:r w:rsidRPr="00721453">
        <w:t xml:space="preserve"> form for </w:t>
      </w:r>
      <w:r w:rsidRPr="001511FC">
        <w:t>returning grant applicants</w:t>
      </w:r>
      <w:r w:rsidR="005361E0">
        <w:t xml:space="preserve">. This improved the </w:t>
      </w:r>
      <w:r w:rsidR="0043617D">
        <w:t>user experience and</w:t>
      </w:r>
      <w:r w:rsidRPr="001511FC">
        <w:t xml:space="preserve"> increas</w:t>
      </w:r>
      <w:r w:rsidR="0043617D">
        <w:t>ed</w:t>
      </w:r>
      <w:r w:rsidRPr="001511FC">
        <w:t xml:space="preserve"> accessibility</w:t>
      </w:r>
      <w:r w:rsidRPr="00721453">
        <w:t xml:space="preserve"> for </w:t>
      </w:r>
      <w:r w:rsidRPr="001511FC">
        <w:t>recipients</w:t>
      </w:r>
      <w:r>
        <w:t>.</w:t>
      </w:r>
      <w:r w:rsidRPr="00721453">
        <w:t xml:space="preserve"> </w:t>
      </w:r>
      <w:r w:rsidRPr="001E7260">
        <w:t>Additionally, the Department</w:t>
      </w:r>
      <w:r>
        <w:t xml:space="preserve"> </w:t>
      </w:r>
      <w:r w:rsidR="006425FA">
        <w:t xml:space="preserve">was able to </w:t>
      </w:r>
      <w:r w:rsidR="004A6189">
        <w:t>develop</w:t>
      </w:r>
      <w:r w:rsidR="006425FA">
        <w:t xml:space="preserve"> data sharing practices</w:t>
      </w:r>
      <w:r w:rsidR="004A6189">
        <w:t xml:space="preserve"> </w:t>
      </w:r>
      <w:r w:rsidR="00A16E91">
        <w:t>with other government bodies</w:t>
      </w:r>
      <w:r w:rsidR="004A6189">
        <w:t xml:space="preserve"> over time to support eligibility validation </w:t>
      </w:r>
      <w:r w:rsidR="00A16E91">
        <w:t xml:space="preserve">(see </w:t>
      </w:r>
      <w:r w:rsidR="00FC08B7" w:rsidRPr="000B1248">
        <w:t>Finding 7</w:t>
      </w:r>
      <w:r w:rsidR="00A16E91">
        <w:t>).</w:t>
      </w:r>
    </w:p>
    <w:p w14:paraId="35487F4D" w14:textId="00A2DAA8" w:rsidR="00CC00F4" w:rsidRDefault="00CD682E" w:rsidP="00021EF3">
      <w:pPr>
        <w:spacing w:before="160"/>
      </w:pPr>
      <w:r>
        <w:t xml:space="preserve">The eligibility criteria </w:t>
      </w:r>
      <w:r w:rsidR="00A16E91">
        <w:t>themselves</w:t>
      </w:r>
      <w:r>
        <w:t xml:space="preserve"> were also refined overtime, evident through the following examples (noting this is non-exhaustive)</w:t>
      </w:r>
      <w:r w:rsidR="00CC00F4">
        <w:t xml:space="preserve"> in </w:t>
      </w:r>
      <w:r w:rsidR="00EE3268">
        <w:fldChar w:fldCharType="begin"/>
      </w:r>
      <w:r w:rsidR="00EE3268">
        <w:instrText xml:space="preserve"> REF _Ref173256288 \r \h </w:instrText>
      </w:r>
      <w:r w:rsidR="00021EF3">
        <w:instrText xml:space="preserve"> \* MERGEFORMAT </w:instrText>
      </w:r>
      <w:r w:rsidR="00EE3268">
        <w:fldChar w:fldCharType="separate"/>
      </w:r>
      <w:r w:rsidR="0016271C">
        <w:t>Table 2.2</w:t>
      </w:r>
      <w:r w:rsidR="00EE3268">
        <w:fldChar w:fldCharType="end"/>
      </w:r>
      <w:r w:rsidR="00CC00F4">
        <w:t>.</w:t>
      </w:r>
    </w:p>
    <w:p w14:paraId="6230A057" w14:textId="77323801" w:rsidR="00CC00F4" w:rsidRDefault="00CC00F4" w:rsidP="00021EF3">
      <w:pPr>
        <w:pStyle w:val="CaptionTable"/>
      </w:pPr>
      <w:bookmarkStart w:id="287" w:name="_Ref173256288"/>
      <w:r>
        <w:t xml:space="preserve">: </w:t>
      </w:r>
      <w:r w:rsidR="00372766">
        <w:t>Examples of refinements in eligibility criteria</w:t>
      </w:r>
      <w:bookmarkEnd w:id="287"/>
      <w:r w:rsidR="00792D18">
        <w:t>.</w:t>
      </w:r>
    </w:p>
    <w:tbl>
      <w:tblPr>
        <w:tblStyle w:val="Deloittetable"/>
        <w:tblW w:w="0" w:type="auto"/>
        <w:tblLook w:val="04A0" w:firstRow="1" w:lastRow="0" w:firstColumn="1" w:lastColumn="0" w:noHBand="0" w:noVBand="1"/>
      </w:tblPr>
      <w:tblGrid>
        <w:gridCol w:w="2694"/>
        <w:gridCol w:w="6332"/>
      </w:tblGrid>
      <w:tr w:rsidR="00372766" w14:paraId="22716BC0" w14:textId="77777777" w:rsidTr="001E7260">
        <w:trPr>
          <w:cnfStyle w:val="100000000000" w:firstRow="1" w:lastRow="0" w:firstColumn="0" w:lastColumn="0" w:oddVBand="0" w:evenVBand="0" w:oddHBand="0" w:evenHBand="0" w:firstRowFirstColumn="0" w:firstRowLastColumn="0" w:lastRowFirstColumn="0" w:lastRowLastColumn="0"/>
          <w:tblHeader/>
        </w:trPr>
        <w:tc>
          <w:tcPr>
            <w:tcW w:w="2694" w:type="dxa"/>
          </w:tcPr>
          <w:p w14:paraId="043121CE" w14:textId="2020CF5D" w:rsidR="00372766" w:rsidRPr="001E7260" w:rsidRDefault="00372766" w:rsidP="00021EF3">
            <w:pPr>
              <w:rPr>
                <w:b/>
              </w:rPr>
            </w:pPr>
            <w:r w:rsidRPr="001E7260">
              <w:rPr>
                <w:b/>
              </w:rPr>
              <w:t>Example</w:t>
            </w:r>
          </w:p>
        </w:tc>
        <w:tc>
          <w:tcPr>
            <w:tcW w:w="6332" w:type="dxa"/>
          </w:tcPr>
          <w:p w14:paraId="6BEA9C0C" w14:textId="705B0B86" w:rsidR="00372766" w:rsidRPr="001E7260" w:rsidRDefault="00372766" w:rsidP="00021EF3">
            <w:pPr>
              <w:rPr>
                <w:b/>
              </w:rPr>
            </w:pPr>
            <w:r w:rsidRPr="001E7260">
              <w:rPr>
                <w:b/>
              </w:rPr>
              <w:t>Description</w:t>
            </w:r>
          </w:p>
        </w:tc>
      </w:tr>
      <w:tr w:rsidR="00372766" w14:paraId="134B83E4" w14:textId="77777777" w:rsidTr="001E7260">
        <w:tc>
          <w:tcPr>
            <w:tcW w:w="2694" w:type="dxa"/>
          </w:tcPr>
          <w:p w14:paraId="743F7419" w14:textId="779D1593" w:rsidR="00372766" w:rsidRDefault="00372766" w:rsidP="00021EF3">
            <w:r>
              <w:t>The eligibility criteria of BCAP2/2e evolved.</w:t>
            </w:r>
          </w:p>
        </w:tc>
        <w:tc>
          <w:tcPr>
            <w:tcW w:w="6332" w:type="dxa"/>
          </w:tcPr>
          <w:p w14:paraId="4155CAA2" w14:textId="2CDA2ECF" w:rsidR="00372766" w:rsidRDefault="00372766" w:rsidP="00021EF3">
            <w:r>
              <w:t xml:space="preserve">In May 2021, when it became clear that the state’s pandemic response was going to last longer than anticipated and </w:t>
            </w:r>
            <w:r w:rsidR="00735C37">
              <w:t>a</w:t>
            </w:r>
            <w:r>
              <w:t xml:space="preserve">ffect more businesses than those </w:t>
            </w:r>
            <w:r w:rsidR="00862F48">
              <w:t xml:space="preserve">that </w:t>
            </w:r>
            <w:r>
              <w:t xml:space="preserve">were eligible in the original BCAP round, the Department broadened the scope of ANZSIC codes </w:t>
            </w:r>
            <w:r w:rsidR="00862F48">
              <w:t xml:space="preserve">that </w:t>
            </w:r>
            <w:r>
              <w:t>were eligible for support under BCAP, creating the BCAP2/2e round.</w:t>
            </w:r>
          </w:p>
        </w:tc>
      </w:tr>
      <w:tr w:rsidR="00372766" w14:paraId="6D69144D" w14:textId="77777777" w:rsidTr="001E7260">
        <w:tc>
          <w:tcPr>
            <w:tcW w:w="2694" w:type="dxa"/>
          </w:tcPr>
          <w:p w14:paraId="530F8FE7" w14:textId="4514F967" w:rsidR="00372766" w:rsidRPr="00372766" w:rsidRDefault="00372766" w:rsidP="00021EF3">
            <w:r w:rsidRPr="00372766">
              <w:t>The Department worked to implement more robust criteria, such as the incorporat</w:t>
            </w:r>
            <w:r w:rsidR="00DC0812">
              <w:t>ion</w:t>
            </w:r>
            <w:r w:rsidRPr="00372766">
              <w:t xml:space="preserve"> WorkSafe payroll data, as the programs progressed.</w:t>
            </w:r>
          </w:p>
        </w:tc>
        <w:tc>
          <w:tcPr>
            <w:tcW w:w="6332" w:type="dxa"/>
          </w:tcPr>
          <w:p w14:paraId="1710751A" w14:textId="52BB6733" w:rsidR="00372766" w:rsidRDefault="00372766" w:rsidP="00021EF3">
            <w:r>
              <w:t>Initially, the Department did not have access to payroll data</w:t>
            </w:r>
            <w:r w:rsidR="008C1F1A">
              <w:t>,</w:t>
            </w:r>
            <w:r>
              <w:t xml:space="preserve"> meaning payroll could not be built into the eligibility criteria. However, the Department worked with WorkSafe to establish an </w:t>
            </w:r>
            <w:r w:rsidR="003F12C5">
              <w:t xml:space="preserve">ongoing </w:t>
            </w:r>
            <w:r>
              <w:t>information sharing system which matched grant applications to WorkSafe payroll data.</w:t>
            </w:r>
          </w:p>
        </w:tc>
      </w:tr>
      <w:tr w:rsidR="00372766" w14:paraId="0BA67DF3" w14:textId="77777777" w:rsidTr="001E7260">
        <w:tc>
          <w:tcPr>
            <w:tcW w:w="2694" w:type="dxa"/>
          </w:tcPr>
          <w:p w14:paraId="733CAE1A" w14:textId="1C2F135D" w:rsidR="00372766" w:rsidRDefault="00372766" w:rsidP="00021EF3">
            <w:r>
              <w:t>The amount provided in round four of BCAP2/2e was tailored to the specific business.</w:t>
            </w:r>
          </w:p>
        </w:tc>
        <w:tc>
          <w:tcPr>
            <w:tcW w:w="6332" w:type="dxa"/>
          </w:tcPr>
          <w:p w14:paraId="79F01D71" w14:textId="50348961" w:rsidR="00372766" w:rsidRDefault="00D77F5A" w:rsidP="00021EF3">
            <w:r>
              <w:t>Business</w:t>
            </w:r>
            <w:r w:rsidR="00372766" w:rsidRPr="00372766">
              <w:t xml:space="preserve"> payroll</w:t>
            </w:r>
            <w:r w:rsidR="00372766">
              <w:t xml:space="preserve"> </w:t>
            </w:r>
            <w:r w:rsidR="00A4792D">
              <w:t xml:space="preserve">data </w:t>
            </w:r>
            <w:r w:rsidR="00372766">
              <w:t>was used</w:t>
            </w:r>
            <w:r w:rsidR="00372766" w:rsidRPr="00372766">
              <w:t xml:space="preserve"> to determine the amount received. In round five of BCAP2/2e, </w:t>
            </w:r>
            <w:r w:rsidR="008325B6">
              <w:t>whether the business was employing or not also determined</w:t>
            </w:r>
            <w:r w:rsidR="00372766" w:rsidRPr="00372766">
              <w:t xml:space="preserve"> appropriate grant amount</w:t>
            </w:r>
            <w:r w:rsidR="00214D61">
              <w:t xml:space="preserve"> </w:t>
            </w:r>
            <w:r w:rsidR="00DC0812">
              <w:t>(</w:t>
            </w:r>
            <w:r w:rsidR="00214D61">
              <w:t xml:space="preserve">i.e., sole traders </w:t>
            </w:r>
            <w:r w:rsidR="003E387C">
              <w:t>received a specific amount)</w:t>
            </w:r>
            <w:r w:rsidR="00372766" w:rsidRPr="00372766">
              <w:t>.</w:t>
            </w:r>
          </w:p>
        </w:tc>
      </w:tr>
      <w:tr w:rsidR="00372766" w14:paraId="30E1962C" w14:textId="77777777" w:rsidTr="001E7260">
        <w:tc>
          <w:tcPr>
            <w:tcW w:w="2694" w:type="dxa"/>
          </w:tcPr>
          <w:p w14:paraId="0D3A9D89" w14:textId="31DF421B" w:rsidR="00372766" w:rsidRDefault="00372766" w:rsidP="00021EF3">
            <w:r w:rsidRPr="00EE4F60">
              <w:rPr>
                <w:rFonts w:cs="Arial"/>
              </w:rPr>
              <w:t>The specification of eligibility based on location (i.e., metropolitan and regional businesses)</w:t>
            </w:r>
            <w:r>
              <w:rPr>
                <w:rFonts w:cs="Arial"/>
              </w:rPr>
              <w:t>.</w:t>
            </w:r>
          </w:p>
        </w:tc>
        <w:tc>
          <w:tcPr>
            <w:tcW w:w="6332" w:type="dxa"/>
          </w:tcPr>
          <w:p w14:paraId="1CBA4479" w14:textId="5554EB15" w:rsidR="00372766" w:rsidRDefault="00372766" w:rsidP="00021EF3">
            <w:r w:rsidRPr="00EE4F60">
              <w:rPr>
                <w:rFonts w:cs="Arial"/>
              </w:rPr>
              <w:t xml:space="preserve">During the sixth Victorian lockdown (5 August </w:t>
            </w:r>
            <w:r w:rsidR="003441F4">
              <w:rPr>
                <w:rFonts w:cs="Arial"/>
              </w:rPr>
              <w:t xml:space="preserve">2021 </w:t>
            </w:r>
            <w:r w:rsidRPr="00EE4F60">
              <w:rPr>
                <w:rFonts w:cs="Arial"/>
              </w:rPr>
              <w:t>– 21 October 2021), businesses based in metropolitan Melbourne received an additional BCAP round. Whilst regional Victoria still need</w:t>
            </w:r>
            <w:r w:rsidR="008214DF">
              <w:rPr>
                <w:rFonts w:cs="Arial"/>
              </w:rPr>
              <w:t>ed</w:t>
            </w:r>
            <w:r w:rsidRPr="00EE4F60">
              <w:rPr>
                <w:rFonts w:cs="Arial"/>
              </w:rPr>
              <w:t xml:space="preserve"> government support, metropolitan Melbourne was significantly more effected by COVID-19 and public health restrictions over this period. By building geography into the eligibility, the Department was able to adjust the grant amount to reflect variations in impact based on location at the time.</w:t>
            </w:r>
          </w:p>
        </w:tc>
      </w:tr>
    </w:tbl>
    <w:p w14:paraId="2A394280" w14:textId="6F2CBDE1" w:rsidR="00372766" w:rsidRPr="00372766" w:rsidRDefault="00372766" w:rsidP="00021EF3">
      <w:pPr>
        <w:pStyle w:val="Source"/>
      </w:pPr>
      <w:r>
        <w:t>Source: Deloitte Access Economics.</w:t>
      </w:r>
    </w:p>
    <w:p w14:paraId="53DC717C" w14:textId="7318A3D0" w:rsidR="00CD682E" w:rsidRDefault="00CD682E" w:rsidP="00021EF3">
      <w:pPr>
        <w:spacing w:before="160"/>
      </w:pPr>
      <w:r>
        <w:t>Although the Department demonstrated rapid adapta</w:t>
      </w:r>
      <w:r w:rsidR="00AC5FDA">
        <w:t>bility</w:t>
      </w:r>
      <w:r>
        <w:t xml:space="preserve"> in their approach to grant making and disbursement, ongoing challenges related to a lack of access to key data sets and centralised decision making limited the capacity of the Department to make </w:t>
      </w:r>
      <w:r w:rsidR="00885F0C">
        <w:t xml:space="preserve">some </w:t>
      </w:r>
      <w:r>
        <w:t>necessary changes and refinements to the programs over time.</w:t>
      </w:r>
      <w:r w:rsidR="0022176A">
        <w:t xml:space="preserve"> In particular, </w:t>
      </w:r>
      <w:r w:rsidR="00F26FA2">
        <w:t xml:space="preserve">despite adapting and rapidly </w:t>
      </w:r>
      <w:r w:rsidR="00FE6E50">
        <w:t>collaborat</w:t>
      </w:r>
      <w:r w:rsidR="00A4707B">
        <w:t>ing</w:t>
      </w:r>
      <w:r w:rsidR="00F26FA2">
        <w:t xml:space="preserve"> </w:t>
      </w:r>
      <w:r w:rsidR="00BF14BE">
        <w:t xml:space="preserve">with </w:t>
      </w:r>
      <w:r w:rsidR="003240D0">
        <w:t xml:space="preserve">other parts of the Victorian Government </w:t>
      </w:r>
      <w:r w:rsidR="00F26FA2">
        <w:t xml:space="preserve">to design and scope </w:t>
      </w:r>
      <w:r w:rsidR="000066DE">
        <w:t>a response</w:t>
      </w:r>
      <w:r w:rsidR="002E4A00">
        <w:t xml:space="preserve"> to</w:t>
      </w:r>
      <w:r w:rsidR="006721F3">
        <w:t xml:space="preserve"> changes in public health restrictions </w:t>
      </w:r>
      <w:r w:rsidR="00F116F8">
        <w:t>(see Finding 7)</w:t>
      </w:r>
      <w:r w:rsidR="003240D0">
        <w:t xml:space="preserve">, </w:t>
      </w:r>
      <w:r w:rsidR="0022176A">
        <w:t>the Department could not always implement their des</w:t>
      </w:r>
      <w:r w:rsidR="00357F8B">
        <w:t xml:space="preserve">ired refinements in eligibility criteria </w:t>
      </w:r>
      <w:r w:rsidR="003240D0">
        <w:t xml:space="preserve">due to the </w:t>
      </w:r>
      <w:r w:rsidR="00901830">
        <w:t>requirement for ultimate approval in decision making sitting outside the Department</w:t>
      </w:r>
      <w:r w:rsidR="009A47BA">
        <w:t>.</w:t>
      </w:r>
      <w:r w:rsidR="00C42C9D">
        <w:t xml:space="preserve"> Though this was due to the unprecedented emergency nature of the pandemic, </w:t>
      </w:r>
      <w:r w:rsidR="00A5068E">
        <w:t>this may</w:t>
      </w:r>
      <w:r w:rsidR="00277A36">
        <w:t xml:space="preserve"> </w:t>
      </w:r>
      <w:r w:rsidR="00FE2749">
        <w:t>have led</w:t>
      </w:r>
      <w:r w:rsidR="00735D82">
        <w:t xml:space="preserve"> to less targeted and precise</w:t>
      </w:r>
      <w:r w:rsidR="000066DE">
        <w:t xml:space="preserve"> </w:t>
      </w:r>
      <w:r w:rsidR="00FE6E50">
        <w:t>eligibility criteria</w:t>
      </w:r>
      <w:r w:rsidR="004733F8">
        <w:t>.</w:t>
      </w:r>
      <w:r>
        <w:t xml:space="preserve"> </w:t>
      </w:r>
      <w:r w:rsidR="004733F8">
        <w:t>Further</w:t>
      </w:r>
      <w:r>
        <w:t xml:space="preserve">, the lack of access to other sources of data to validate grant applications (e.g., </w:t>
      </w:r>
      <w:r w:rsidR="00B82ECF">
        <w:t>Australian Tax Office (</w:t>
      </w:r>
      <w:r>
        <w:t>ATO</w:t>
      </w:r>
      <w:r w:rsidR="00B82ECF">
        <w:t>)</w:t>
      </w:r>
      <w:r>
        <w:t xml:space="preserve"> single touch payroll data) meant that the Department struggled to </w:t>
      </w:r>
      <w:r w:rsidR="00354E8F">
        <w:t>closely</w:t>
      </w:r>
      <w:r>
        <w:t xml:space="preserve"> </w:t>
      </w:r>
      <w:r w:rsidR="00354E8F">
        <w:t>align the eligibility criteria</w:t>
      </w:r>
      <w:r w:rsidR="006A6B8C">
        <w:t>,</w:t>
      </w:r>
      <w:r>
        <w:t xml:space="preserve"> intention of the programs and the evolving needs of businesses. </w:t>
      </w:r>
    </w:p>
    <w:p w14:paraId="57078156" w14:textId="515D8717" w:rsidR="006511FD" w:rsidRDefault="00CD682E" w:rsidP="00021EF3">
      <w:r>
        <w:lastRenderedPageBreak/>
        <w:t xml:space="preserve">The Department worked </w:t>
      </w:r>
      <w:r w:rsidR="0026104C">
        <w:t>with key industry associations</w:t>
      </w:r>
      <w:r w:rsidR="0026104C" w:rsidRPr="000B1248">
        <w:rPr>
          <w:rStyle w:val="CommentReference"/>
        </w:rPr>
        <w:t xml:space="preserve"> </w:t>
      </w:r>
      <w:r>
        <w:t xml:space="preserve">to best scale their practices appropriately (see </w:t>
      </w:r>
      <w:r w:rsidR="00E62030" w:rsidRPr="000B1248">
        <w:t>Finding 5</w:t>
      </w:r>
      <w:r>
        <w:t>)</w:t>
      </w:r>
      <w:r w:rsidR="006F626D">
        <w:t>. They also</w:t>
      </w:r>
      <w:r>
        <w:t xml:space="preserve"> internally worked to refine their practices and ability to successfully target their impact toward</w:t>
      </w:r>
      <w:r w:rsidR="00CD44C8">
        <w:t>s</w:t>
      </w:r>
      <w:r>
        <w:t xml:space="preserve"> those who needed it, whilst also </w:t>
      </w:r>
      <w:r w:rsidR="00E62030">
        <w:t xml:space="preserve">meeting </w:t>
      </w:r>
      <w:r w:rsidR="00FD22D9">
        <w:t xml:space="preserve">the </w:t>
      </w:r>
      <w:r w:rsidR="00C32CCD">
        <w:t>overall and unprecedent volume of demand.</w:t>
      </w:r>
    </w:p>
    <w:p w14:paraId="2C61A52E" w14:textId="02AB131C" w:rsidR="0092236C" w:rsidRPr="00E6527D" w:rsidRDefault="007711BE" w:rsidP="00021EF3">
      <w:pPr>
        <w:rPr>
          <w:strike/>
          <w:color w:val="FF0000"/>
        </w:rPr>
      </w:pPr>
      <w:r>
        <w:t>The v</w:t>
      </w:r>
      <w:r w:rsidR="008C28B9">
        <w:t xml:space="preserve">iews of businesses were mixed </w:t>
      </w:r>
      <w:r>
        <w:t>as to whether the Department’s adapted grants processes (</w:t>
      </w:r>
      <w:r w:rsidR="00661772">
        <w:t>and</w:t>
      </w:r>
      <w:r w:rsidR="008100C3">
        <w:t>,</w:t>
      </w:r>
      <w:r w:rsidR="00661772">
        <w:t xml:space="preserve"> in particular</w:t>
      </w:r>
      <w:r w:rsidR="008100C3">
        <w:t>,</w:t>
      </w:r>
      <w:r w:rsidR="00661772">
        <w:t xml:space="preserve"> the application process)</w:t>
      </w:r>
      <w:r w:rsidR="001D379E">
        <w:t xml:space="preserve"> were suited to their needs</w:t>
      </w:r>
      <w:r w:rsidR="00ED2183">
        <w:t xml:space="preserve"> and supported the </w:t>
      </w:r>
      <w:r w:rsidR="00387ADD">
        <w:t>rapid delivery of the grants</w:t>
      </w:r>
      <w:r w:rsidR="001D379E">
        <w:t xml:space="preserve">. </w:t>
      </w:r>
      <w:r w:rsidR="000D2D24">
        <w:t xml:space="preserve">Feedback provided through the business survey suggested that </w:t>
      </w:r>
      <w:r w:rsidR="001E4011">
        <w:t xml:space="preserve">the majority of </w:t>
      </w:r>
      <w:r w:rsidR="000D2D24">
        <w:t>applicants were able to easily navigate the application process</w:t>
      </w:r>
      <w:r w:rsidR="00474D32">
        <w:t>, with around 80</w:t>
      </w:r>
      <w:r w:rsidR="006F626D">
        <w:t xml:space="preserve"> per cent </w:t>
      </w:r>
      <w:r w:rsidR="00474D32">
        <w:t>of respondents to the business survey indicated they were satisfied or very satisfied with the experience in applying for and receiving the grants.</w:t>
      </w:r>
      <w:r w:rsidR="00B03068">
        <w:t xml:space="preserve"> </w:t>
      </w:r>
      <w:r w:rsidR="00474D32">
        <w:t>H</w:t>
      </w:r>
      <w:r w:rsidR="00B03068">
        <w:t>owever</w:t>
      </w:r>
      <w:r w:rsidR="00474D32">
        <w:t>,</w:t>
      </w:r>
      <w:r w:rsidR="00B03068">
        <w:t xml:space="preserve"> </w:t>
      </w:r>
      <w:r w:rsidR="00DF351D">
        <w:t xml:space="preserve">a </w:t>
      </w:r>
      <w:r w:rsidR="00186BE1">
        <w:t>small</w:t>
      </w:r>
      <w:r w:rsidR="00DF351D">
        <w:t xml:space="preserve"> minority</w:t>
      </w:r>
      <w:r w:rsidR="00B03068">
        <w:t xml:space="preserve"> </w:t>
      </w:r>
      <w:r w:rsidR="005B465D">
        <w:t>of</w:t>
      </w:r>
      <w:r w:rsidR="00B03068">
        <w:t xml:space="preserve"> respondents</w:t>
      </w:r>
      <w:r w:rsidR="000D2D24">
        <w:t xml:space="preserve"> </w:t>
      </w:r>
      <w:r w:rsidR="00EC4961">
        <w:t>indicated they faced challenges in completing the application</w:t>
      </w:r>
      <w:r w:rsidR="003468A2">
        <w:t xml:space="preserve"> (</w:t>
      </w:r>
      <w:r w:rsidR="00621546">
        <w:t>4</w:t>
      </w:r>
      <w:r w:rsidR="006F626D">
        <w:t xml:space="preserve"> per cent</w:t>
      </w:r>
      <w:r w:rsidR="00621546">
        <w:t xml:space="preserve"> of BCAP respondents were dissatisfied with the process compared to 9</w:t>
      </w:r>
      <w:r w:rsidR="006F626D">
        <w:t xml:space="preserve"> per cent</w:t>
      </w:r>
      <w:r w:rsidR="00621546">
        <w:t xml:space="preserve"> for LHVF)</w:t>
      </w:r>
      <w:r w:rsidR="00387ADD">
        <w:t xml:space="preserve">, </w:t>
      </w:r>
      <w:r w:rsidR="009706EF">
        <w:t xml:space="preserve">citing challenges with </w:t>
      </w:r>
      <w:r w:rsidR="00E3541D">
        <w:t xml:space="preserve">time taken to complete the application, comprehending the questions and </w:t>
      </w:r>
      <w:r w:rsidR="004917A0">
        <w:t xml:space="preserve">justifying eligibility </w:t>
      </w:r>
      <w:r w:rsidR="009724CD">
        <w:t xml:space="preserve">to the Department </w:t>
      </w:r>
      <w:r w:rsidR="004917A0">
        <w:t>when</w:t>
      </w:r>
      <w:r w:rsidR="009724CD">
        <w:t xml:space="preserve"> aspects of business eligibility (e.g.</w:t>
      </w:r>
      <w:r w:rsidR="008100C3">
        <w:t>,</w:t>
      </w:r>
      <w:r w:rsidR="009724CD">
        <w:t xml:space="preserve"> business structure or ABN) changed partway through the program. For these businesses, this</w:t>
      </w:r>
      <w:r w:rsidR="00387ADD">
        <w:t xml:space="preserve"> caused </w:t>
      </w:r>
      <w:r w:rsidR="00C37285">
        <w:t>additional</w:t>
      </w:r>
      <w:r w:rsidR="00387ADD">
        <w:t xml:space="preserve"> stress </w:t>
      </w:r>
      <w:r w:rsidR="00C37285">
        <w:t>in some instances</w:t>
      </w:r>
      <w:r w:rsidR="00EC4961">
        <w:t>.</w:t>
      </w:r>
      <w:r w:rsidR="00B013A9">
        <w:t xml:space="preserve"> Further, some </w:t>
      </w:r>
      <w:r w:rsidR="004E4A6A">
        <w:t xml:space="preserve">applicants </w:t>
      </w:r>
      <w:r w:rsidR="001E4011">
        <w:t xml:space="preserve">who did not </w:t>
      </w:r>
      <w:r w:rsidR="00A7400B">
        <w:t>receive the expected amount</w:t>
      </w:r>
      <w:r w:rsidR="006C1EB9">
        <w:t xml:space="preserve"> </w:t>
      </w:r>
      <w:r w:rsidR="001665D3">
        <w:t xml:space="preserve">based on issues related to the eligibility criteria and application process </w:t>
      </w:r>
      <w:r w:rsidR="007C4DC2">
        <w:t xml:space="preserve">felt there was a lack of flexibility </w:t>
      </w:r>
      <w:r w:rsidR="00912B5B">
        <w:t>in the process for reviewing applications.</w:t>
      </w:r>
      <w:r w:rsidR="00962CB4">
        <w:t xml:space="preserve"> </w:t>
      </w:r>
      <w:r w:rsidR="00D5689D">
        <w:t xml:space="preserve">For </w:t>
      </w:r>
      <w:r w:rsidR="00C00D68">
        <w:t>example</w:t>
      </w:r>
      <w:r w:rsidR="00962CB4">
        <w:t xml:space="preserve">, </w:t>
      </w:r>
      <w:r w:rsidR="009F5E50">
        <w:t>a</w:t>
      </w:r>
      <w:r w:rsidR="003223B8">
        <w:t xml:space="preserve"> </w:t>
      </w:r>
      <w:r w:rsidR="00D5689D">
        <w:t>r</w:t>
      </w:r>
      <w:r w:rsidR="003223B8">
        <w:t xml:space="preserve">estaurant and event space </w:t>
      </w:r>
      <w:r w:rsidR="004A09F2">
        <w:t>which could not</w:t>
      </w:r>
      <w:r w:rsidR="00986180">
        <w:t xml:space="preserve"> demonstrate</w:t>
      </w:r>
      <w:r w:rsidR="003C2D43">
        <w:t xml:space="preserve"> their</w:t>
      </w:r>
      <w:r w:rsidR="00986180">
        <w:t xml:space="preserve"> current seating capacity</w:t>
      </w:r>
      <w:r w:rsidR="006E0F06">
        <w:t xml:space="preserve"> </w:t>
      </w:r>
      <w:r w:rsidR="00672B88">
        <w:t xml:space="preserve">through their </w:t>
      </w:r>
      <w:r w:rsidR="005F337E">
        <w:t>liquor l</w:t>
      </w:r>
      <w:r w:rsidR="00417EBC">
        <w:t>icen</w:t>
      </w:r>
      <w:r w:rsidR="00176198">
        <w:t>c</w:t>
      </w:r>
      <w:r w:rsidR="00417EBC">
        <w:t xml:space="preserve">e </w:t>
      </w:r>
      <w:r w:rsidR="00E70BA6">
        <w:t>received</w:t>
      </w:r>
      <w:r w:rsidR="008C5E9C">
        <w:t xml:space="preserve"> a lower grant</w:t>
      </w:r>
      <w:r w:rsidR="003C2D43">
        <w:t xml:space="preserve"> amount</w:t>
      </w:r>
      <w:r w:rsidR="007E01CB">
        <w:t>.</w:t>
      </w:r>
      <w:r w:rsidR="00E048E8">
        <w:t xml:space="preserve"> </w:t>
      </w:r>
      <w:r w:rsidR="00042891">
        <w:t>It should be noted that, f</w:t>
      </w:r>
      <w:r w:rsidR="0007242A">
        <w:t xml:space="preserve">rom a government perspective, there </w:t>
      </w:r>
      <w:r w:rsidR="001C24BB">
        <w:t>should</w:t>
      </w:r>
      <w:r w:rsidR="0007242A">
        <w:t xml:space="preserve"> be a reasonable onus on grant applicants in demonstrating their eligibility,</w:t>
      </w:r>
      <w:r w:rsidR="004D042E">
        <w:t xml:space="preserve"> </w:t>
      </w:r>
      <w:r w:rsidR="001C24BB">
        <w:t>which in this case relates to</w:t>
      </w:r>
      <w:r w:rsidR="00B8049D">
        <w:t xml:space="preserve"> demonstrating</w:t>
      </w:r>
      <w:r w:rsidR="001C24BB">
        <w:t xml:space="preserve"> venue capacity </w:t>
      </w:r>
      <w:r w:rsidR="00A228CB">
        <w:t xml:space="preserve">(see </w:t>
      </w:r>
      <w:r w:rsidR="00A01296">
        <w:fldChar w:fldCharType="begin"/>
      </w:r>
      <w:r w:rsidR="00A01296">
        <w:instrText xml:space="preserve"> REF _Ref173917406 \r \h </w:instrText>
      </w:r>
      <w:r w:rsidR="00021EF3">
        <w:instrText xml:space="preserve"> \* MERGEFORMAT </w:instrText>
      </w:r>
      <w:r w:rsidR="00A01296">
        <w:fldChar w:fldCharType="separate"/>
      </w:r>
      <w:r w:rsidR="0016271C">
        <w:t>Appendix D</w:t>
      </w:r>
      <w:r w:rsidR="00A01296">
        <w:fldChar w:fldCharType="end"/>
      </w:r>
      <w:r w:rsidR="00A228CB">
        <w:t>: Restaurant and event space</w:t>
      </w:r>
      <w:r w:rsidR="00144BCA">
        <w:t xml:space="preserve"> case study</w:t>
      </w:r>
      <w:r w:rsidR="00A228CB">
        <w:t>).</w:t>
      </w:r>
    </w:p>
    <w:p w14:paraId="6BAACABD" w14:textId="26FE9716" w:rsidR="00C0428C" w:rsidRPr="008B3B4A" w:rsidRDefault="00C0428C" w:rsidP="00021EF3">
      <w:pPr>
        <w:pStyle w:val="Heading3SEQs"/>
      </w:pPr>
      <w:bookmarkStart w:id="288" w:name="_Ref173938778"/>
      <w:bookmarkStart w:id="289" w:name="_Toc174118138"/>
      <w:bookmarkStart w:id="290" w:name="_Toc176516257"/>
      <w:r w:rsidRPr="00A04FF8">
        <w:t xml:space="preserve">SEQ </w:t>
      </w:r>
      <w:r>
        <w:rPr>
          <w:b w:val="0"/>
        </w:rPr>
        <w:t>2</w:t>
      </w:r>
      <w:r w:rsidRPr="00A04FF8">
        <w:rPr>
          <w:b w:val="0"/>
        </w:rPr>
        <w:t>:</w:t>
      </w:r>
      <w:r w:rsidRPr="00A04FF8">
        <w:t xml:space="preserve"> </w:t>
      </w:r>
      <w:r w:rsidRPr="00893EB3">
        <w:rPr>
          <w:b w:val="0"/>
        </w:rPr>
        <w:t>How did COVID-19</w:t>
      </w:r>
      <w:r w:rsidR="00C16E20" w:rsidRPr="00893EB3">
        <w:rPr>
          <w:b w:val="0"/>
        </w:rPr>
        <w:t xml:space="preserve"> pandemic</w:t>
      </w:r>
      <w:r w:rsidRPr="00893EB3">
        <w:rPr>
          <w:b w:val="0"/>
        </w:rPr>
        <w:t xml:space="preserve"> restrictions affect the context under which the Department made decisions regarding business support?</w:t>
      </w:r>
      <w:bookmarkEnd w:id="288"/>
      <w:bookmarkEnd w:id="289"/>
      <w:bookmarkEnd w:id="290"/>
    </w:p>
    <w:p w14:paraId="1230AB20" w14:textId="43FE0BD5" w:rsidR="00C0428C" w:rsidRDefault="00C0428C" w:rsidP="00021EF3">
      <w:r>
        <w:t>Public health restrictions were in response to the level of transmission and cases of COVID-19 in Victoria at different points in time. Decision making regarding restrictions was rapid</w:t>
      </w:r>
      <w:r w:rsidR="00623F0A">
        <w:t xml:space="preserve"> in response </w:t>
      </w:r>
      <w:r>
        <w:t>to the unfolding public health crisis. While forecasting was undertaken, the extent of the health crisis, and therefore</w:t>
      </w:r>
      <w:r w:rsidR="00080704">
        <w:t>,</w:t>
      </w:r>
      <w:r>
        <w:t xml:space="preserve"> the extent and length of restrictions into the future were uncertain. </w:t>
      </w:r>
    </w:p>
    <w:p w14:paraId="545ADDCA" w14:textId="010C9F05" w:rsidR="00CD682E" w:rsidRDefault="00944C5E" w:rsidP="00021EF3">
      <w:r>
        <w:t>Decision making on the part of the Department was made within this context, with</w:t>
      </w:r>
      <w:r w:rsidR="00C0428C">
        <w:t xml:space="preserve"> </w:t>
      </w:r>
      <w:r>
        <w:t>b</w:t>
      </w:r>
      <w:r w:rsidR="004F1067">
        <w:t>usiness suppor</w:t>
      </w:r>
      <w:r w:rsidR="00C0428C">
        <w:t>t needed to be rolled out rapidly in response to changing restrictions and lockdowns</w:t>
      </w:r>
      <w:r w:rsidR="00BE23EB">
        <w:t>,</w:t>
      </w:r>
      <w:r w:rsidR="00C0428C">
        <w:t xml:space="preserve"> </w:t>
      </w:r>
      <w:r w:rsidR="00C11BA3">
        <w:t>with</w:t>
      </w:r>
      <w:r w:rsidR="00C0428C">
        <w:t xml:space="preserve"> the Department </w:t>
      </w:r>
      <w:r w:rsidR="00C11BA3">
        <w:t>needing</w:t>
      </w:r>
      <w:r w:rsidR="00C0428C">
        <w:t xml:space="preserve"> to adapt </w:t>
      </w:r>
      <w:r w:rsidR="00C11BA3">
        <w:t xml:space="preserve">the grants programs </w:t>
      </w:r>
      <w:r w:rsidR="00DF7AFB">
        <w:t>in line with</w:t>
      </w:r>
      <w:r w:rsidR="00C0428C">
        <w:t xml:space="preserve"> </w:t>
      </w:r>
      <w:r w:rsidR="002A0B42">
        <w:t>this</w:t>
      </w:r>
      <w:r w:rsidR="00BE1B3D">
        <w:t xml:space="preserve"> (see above)</w:t>
      </w:r>
      <w:r w:rsidR="002A0B42">
        <w:t>.</w:t>
      </w:r>
    </w:p>
    <w:p w14:paraId="438EB594" w14:textId="392F11B8" w:rsidR="00CE5C1F" w:rsidRPr="005A0881" w:rsidRDefault="00B95448" w:rsidP="00021EF3">
      <w:pPr>
        <w:pStyle w:val="Heading3SEQs"/>
      </w:pPr>
      <w:bookmarkStart w:id="291" w:name="_Ref173938802"/>
      <w:bookmarkStart w:id="292" w:name="_Toc174118139"/>
      <w:bookmarkStart w:id="293" w:name="_Toc176516258"/>
      <w:r w:rsidRPr="00A04FF8">
        <w:t>SEQ 4:</w:t>
      </w:r>
      <w:r w:rsidR="00EE4D3A" w:rsidRPr="00A04FF8">
        <w:t xml:space="preserve"> </w:t>
      </w:r>
      <w:r w:rsidR="00EE4D3A" w:rsidRPr="00893EB3">
        <w:rPr>
          <w:b w:val="0"/>
        </w:rPr>
        <w:t>How well did the Department engage with internal and external stakeholders when determining a response?</w:t>
      </w:r>
      <w:bookmarkEnd w:id="291"/>
      <w:bookmarkEnd w:id="292"/>
      <w:bookmarkEnd w:id="293"/>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E44834" w14:paraId="1B49F758"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54D8C6A8" w14:textId="7AAC673B" w:rsidR="00E44834" w:rsidRPr="00A04FF8" w:rsidRDefault="00E44834" w:rsidP="00021EF3">
            <w:pPr>
              <w:spacing w:after="0"/>
              <w:rPr>
                <w:b/>
                <w:bCs/>
              </w:rPr>
            </w:pPr>
            <w:r w:rsidRPr="00A04FF8">
              <w:rPr>
                <w:b/>
                <w:bCs/>
                <w:color w:val="62B5E5" w:themeColor="accent3"/>
              </w:rPr>
              <w:t>Finding</w:t>
            </w:r>
            <w:r>
              <w:rPr>
                <w:b/>
                <w:bCs/>
                <w:color w:val="62B5E5" w:themeColor="accent3"/>
              </w:rPr>
              <w:t xml:space="preserve"> </w:t>
            </w:r>
            <w:r w:rsidR="00D83A88">
              <w:rPr>
                <w:b/>
                <w:bCs/>
                <w:color w:val="62B5E5" w:themeColor="accent3"/>
              </w:rPr>
              <w:t>4</w:t>
            </w:r>
            <w:r w:rsidRPr="00A04FF8">
              <w:rPr>
                <w:b/>
                <w:bCs/>
                <w:color w:val="62B5E5" w:themeColor="accent3"/>
              </w:rPr>
              <w:t>: </w:t>
            </w:r>
            <w:r w:rsidRPr="00C57781">
              <w:rPr>
                <w:b/>
                <w:bCs/>
              </w:rPr>
              <w:t xml:space="preserve"> The Department engaged rapidly and </w:t>
            </w:r>
            <w:r w:rsidR="00457EF4" w:rsidRPr="00457EF4">
              <w:rPr>
                <w:b/>
                <w:bCs/>
              </w:rPr>
              <w:t>collaborated effectively within the Victorian Government and with federal government agencies to design and implement the programs.</w:t>
            </w:r>
          </w:p>
        </w:tc>
      </w:tr>
    </w:tbl>
    <w:p w14:paraId="69F7A644" w14:textId="17E112DD" w:rsidR="00D83A88" w:rsidRPr="00311F70" w:rsidRDefault="00A6336E" w:rsidP="00021EF3">
      <w:pPr>
        <w:spacing w:before="160"/>
      </w:pPr>
      <w:r w:rsidRPr="00311F70">
        <w:t xml:space="preserve">To rapidly design and deliver the BCAP and LHVF programs, </w:t>
      </w:r>
      <w:r w:rsidR="00E440C1" w:rsidRPr="00311F70">
        <w:t>extensive engagement within the Department was required.</w:t>
      </w:r>
      <w:r w:rsidR="00DD6EF7" w:rsidRPr="00311F70">
        <w:t xml:space="preserve"> </w:t>
      </w:r>
      <w:r w:rsidR="00B41AAE">
        <w:t>L</w:t>
      </w:r>
      <w:r w:rsidR="00F64280" w:rsidRPr="00311F70">
        <w:t xml:space="preserve">egal, risk and technology expertise </w:t>
      </w:r>
      <w:r w:rsidR="000B3E28">
        <w:t>were</w:t>
      </w:r>
      <w:r w:rsidR="00B41AAE">
        <w:t xml:space="preserve"> rapidly engaged </w:t>
      </w:r>
      <w:r w:rsidR="00F64280" w:rsidRPr="00311F70">
        <w:t xml:space="preserve">within the Department </w:t>
      </w:r>
      <w:r w:rsidR="000B3E28">
        <w:t>and</w:t>
      </w:r>
      <w:r w:rsidR="000B3E28" w:rsidRPr="00311F70">
        <w:t xml:space="preserve"> </w:t>
      </w:r>
      <w:r w:rsidR="00F64280" w:rsidRPr="00311F70">
        <w:t>consulted with</w:t>
      </w:r>
      <w:r w:rsidR="00FF65A2" w:rsidRPr="00311F70">
        <w:t xml:space="preserve"> to determine the feasibility of the program and </w:t>
      </w:r>
      <w:r w:rsidR="00B254A3" w:rsidRPr="00311F70">
        <w:t xml:space="preserve">capabilities </w:t>
      </w:r>
      <w:r w:rsidR="00311F70" w:rsidRPr="00311F70">
        <w:t xml:space="preserve">available </w:t>
      </w:r>
      <w:r w:rsidR="00B254A3" w:rsidRPr="00311F70">
        <w:t>to deliver the program.</w:t>
      </w:r>
      <w:r w:rsidR="00E456C5" w:rsidRPr="00311F70">
        <w:t xml:space="preserve"> </w:t>
      </w:r>
      <w:r w:rsidR="0005480B">
        <w:t>A</w:t>
      </w:r>
      <w:r w:rsidR="00365EDD" w:rsidRPr="00311F70">
        <w:t>n unprecedented speed and level of collaboration was achieved to design the programs</w:t>
      </w:r>
      <w:r w:rsidR="0009467D" w:rsidRPr="00311F70">
        <w:t>,</w:t>
      </w:r>
      <w:r w:rsidR="00365EDD" w:rsidRPr="00311F70">
        <w:t xml:space="preserve"> </w:t>
      </w:r>
      <w:r w:rsidR="0009467D" w:rsidRPr="00311F70">
        <w:t xml:space="preserve">mitigate risks </w:t>
      </w:r>
      <w:r w:rsidR="001F6F9D" w:rsidRPr="00311F70">
        <w:t xml:space="preserve">to the </w:t>
      </w:r>
      <w:r w:rsidR="008C4C8C" w:rsidRPr="00311F70">
        <w:t>Victorian Government</w:t>
      </w:r>
      <w:r w:rsidR="0009467D" w:rsidRPr="00311F70">
        <w:t xml:space="preserve"> </w:t>
      </w:r>
      <w:r w:rsidR="00365EDD" w:rsidRPr="00311F70">
        <w:t xml:space="preserve">and ensure capability </w:t>
      </w:r>
      <w:r w:rsidR="006336A7" w:rsidRPr="00311F70">
        <w:t>and necessary infrastructure</w:t>
      </w:r>
      <w:r w:rsidR="00365EDD" w:rsidRPr="00311F70">
        <w:t xml:space="preserve"> to deliver </w:t>
      </w:r>
      <w:r w:rsidR="0009467D" w:rsidRPr="00311F70">
        <w:t xml:space="preserve">the grants </w:t>
      </w:r>
      <w:r w:rsidR="00871FE5" w:rsidRPr="00311F70">
        <w:t xml:space="preserve">was present </w:t>
      </w:r>
      <w:r w:rsidR="001F6F9D" w:rsidRPr="00311F70">
        <w:t>with</w:t>
      </w:r>
      <w:r w:rsidR="00871FE5" w:rsidRPr="00311F70">
        <w:t>in the Department.</w:t>
      </w:r>
    </w:p>
    <w:p w14:paraId="07DE1CE2" w14:textId="309D5B50" w:rsidR="00F003E7" w:rsidRDefault="00E456C5" w:rsidP="00021EF3">
      <w:r w:rsidRPr="00311F70">
        <w:t xml:space="preserve">Once the </w:t>
      </w:r>
      <w:r w:rsidR="0077489F" w:rsidRPr="00311F70">
        <w:t>programs transitioned into</w:t>
      </w:r>
      <w:r w:rsidR="00A956AB" w:rsidRPr="00311F70">
        <w:t xml:space="preserve"> delivery</w:t>
      </w:r>
      <w:r w:rsidR="005128EE" w:rsidRPr="00311F70">
        <w:t>,</w:t>
      </w:r>
      <w:r w:rsidR="000F33DA" w:rsidRPr="00311F70">
        <w:t xml:space="preserve"> engagement with internal stakeholders con</w:t>
      </w:r>
      <w:r w:rsidR="00D038CD" w:rsidRPr="00311F70">
        <w:t xml:space="preserve">tinued </w:t>
      </w:r>
      <w:r w:rsidR="006D59EE">
        <w:t xml:space="preserve">in order </w:t>
      </w:r>
      <w:r w:rsidR="00D038CD" w:rsidRPr="00311F70">
        <w:t xml:space="preserve">to scale up a grant platform initially designed for </w:t>
      </w:r>
      <w:r w:rsidR="00C26499">
        <w:t>less than 100</w:t>
      </w:r>
      <w:r w:rsidR="00D038CD" w:rsidRPr="00311F70">
        <w:t xml:space="preserve"> grant recipients</w:t>
      </w:r>
      <w:r w:rsidR="00024BC5">
        <w:t xml:space="preserve"> (see </w:t>
      </w:r>
      <w:r w:rsidR="00024BC5" w:rsidRPr="000B1248">
        <w:t>Finding 3</w:t>
      </w:r>
      <w:r w:rsidR="00024BC5">
        <w:t>)</w:t>
      </w:r>
      <w:r w:rsidR="00D038CD" w:rsidRPr="00311F70">
        <w:t xml:space="preserve">. </w:t>
      </w:r>
      <w:r w:rsidR="00D74C08" w:rsidRPr="00311F70">
        <w:t>This</w:t>
      </w:r>
      <w:r w:rsidR="00CF2D8A" w:rsidRPr="00311F70">
        <w:t xml:space="preserve"> </w:t>
      </w:r>
      <w:r w:rsidR="00F325A6" w:rsidRPr="00311F70">
        <w:t>involved cross collaboration</w:t>
      </w:r>
      <w:r w:rsidR="00F00B82" w:rsidRPr="00311F70">
        <w:t xml:space="preserve"> between</w:t>
      </w:r>
      <w:r w:rsidR="00F003E7">
        <w:t>:</w:t>
      </w:r>
    </w:p>
    <w:p w14:paraId="747E2171" w14:textId="059094FD" w:rsidR="00F003E7" w:rsidRDefault="00F00B82" w:rsidP="00021EF3">
      <w:pPr>
        <w:pStyle w:val="ListBullet"/>
      </w:pPr>
      <w:r w:rsidRPr="00311F70">
        <w:t xml:space="preserve">operational and </w:t>
      </w:r>
      <w:r w:rsidR="006B1F95" w:rsidRPr="00311F70">
        <w:t xml:space="preserve">technical teams managing </w:t>
      </w:r>
      <w:r w:rsidR="004D6537" w:rsidRPr="00311F70">
        <w:t>Salesforce</w:t>
      </w:r>
      <w:r w:rsidR="00D74C08" w:rsidRPr="00311F70">
        <w:t xml:space="preserve"> </w:t>
      </w:r>
      <w:r w:rsidR="00687CB3" w:rsidRPr="00311F70">
        <w:t>and the application process</w:t>
      </w:r>
      <w:r w:rsidR="00CC7333" w:rsidRPr="00502462">
        <w:t>,</w:t>
      </w:r>
    </w:p>
    <w:p w14:paraId="1750FD35" w14:textId="3C12E79D" w:rsidR="00F003E7" w:rsidRDefault="00247139" w:rsidP="00021EF3">
      <w:pPr>
        <w:pStyle w:val="ListBullet"/>
      </w:pPr>
      <w:r w:rsidRPr="00311F70">
        <w:t>the program centre and Business Hotline assisting with business complaints</w:t>
      </w:r>
      <w:r w:rsidR="00CC7333" w:rsidRPr="00502462">
        <w:t>,</w:t>
      </w:r>
    </w:p>
    <w:p w14:paraId="6BCC23CC" w14:textId="3C4C383E" w:rsidR="00F003E7" w:rsidRDefault="00247139" w:rsidP="00021EF3">
      <w:pPr>
        <w:pStyle w:val="ListBullet"/>
      </w:pPr>
      <w:r w:rsidRPr="00311F70">
        <w:t>policymakers who had designed the programs</w:t>
      </w:r>
      <w:r w:rsidR="00CC7333" w:rsidRPr="00502462">
        <w:t>, and</w:t>
      </w:r>
    </w:p>
    <w:p w14:paraId="512C29A6" w14:textId="531683EE" w:rsidR="00F003E7" w:rsidRDefault="00247139" w:rsidP="00021EF3">
      <w:pPr>
        <w:pStyle w:val="ListBullet"/>
      </w:pPr>
      <w:r w:rsidRPr="00311F70">
        <w:t xml:space="preserve">technical and </w:t>
      </w:r>
      <w:r w:rsidR="00EA395E">
        <w:t>information technology (</w:t>
      </w:r>
      <w:r w:rsidRPr="00311F70">
        <w:t>IT</w:t>
      </w:r>
      <w:r w:rsidR="00EA395E">
        <w:t>)</w:t>
      </w:r>
      <w:r w:rsidRPr="00311F70">
        <w:t xml:space="preserve"> </w:t>
      </w:r>
      <w:r w:rsidR="00507380" w:rsidRPr="00311F70">
        <w:t>teams</w:t>
      </w:r>
      <w:r w:rsidR="00974A0D">
        <w:t xml:space="preserve"> maintaining the necessary infrastructure</w:t>
      </w:r>
      <w:r w:rsidR="000D1BCA" w:rsidRPr="00311F70">
        <w:t>.</w:t>
      </w:r>
      <w:r w:rsidR="00AA399F" w:rsidRPr="00311F70">
        <w:t xml:space="preserve"> </w:t>
      </w:r>
    </w:p>
    <w:p w14:paraId="2C933C14" w14:textId="2F1207FD" w:rsidR="00E456C5" w:rsidRPr="00311F70" w:rsidRDefault="009411AA" w:rsidP="00021EF3">
      <w:r>
        <w:t>As outlined in Finding 3,</w:t>
      </w:r>
      <w:r w:rsidR="00AA399F" w:rsidRPr="00311F70">
        <w:t xml:space="preserve"> </w:t>
      </w:r>
      <w:r w:rsidR="00995796" w:rsidRPr="00311F70">
        <w:t>the fast</w:t>
      </w:r>
      <w:r w:rsidR="00425C73" w:rsidRPr="00311F70">
        <w:t>-</w:t>
      </w:r>
      <w:r w:rsidR="00995796" w:rsidRPr="00311F70">
        <w:t xml:space="preserve">moving </w:t>
      </w:r>
      <w:r w:rsidR="00C704DC">
        <w:t xml:space="preserve">and frequent changes in public health restrictions required the </w:t>
      </w:r>
      <w:r w:rsidR="00002304">
        <w:t>D</w:t>
      </w:r>
      <w:r w:rsidR="00C704DC">
        <w:t xml:space="preserve">epartment to be </w:t>
      </w:r>
      <w:r w:rsidR="00444685">
        <w:t>responsive</w:t>
      </w:r>
      <w:r>
        <w:t>.</w:t>
      </w:r>
      <w:r w:rsidR="00C704DC">
        <w:t xml:space="preserve"> </w:t>
      </w:r>
      <w:r w:rsidR="006D59EE">
        <w:t xml:space="preserve">For example, the scope of eligible </w:t>
      </w:r>
      <w:r w:rsidR="004E2660">
        <w:t>industries was reviewed and adjusted over time to algin with public health restrictions</w:t>
      </w:r>
      <w:r w:rsidR="00BA35B0">
        <w:t>, requiring</w:t>
      </w:r>
      <w:r w:rsidR="004E2660">
        <w:t xml:space="preserve"> </w:t>
      </w:r>
      <w:r w:rsidR="008B7FA9">
        <w:t xml:space="preserve">fast </w:t>
      </w:r>
      <w:r w:rsidR="00811876">
        <w:t xml:space="preserve">changes to the application </w:t>
      </w:r>
      <w:r w:rsidR="008B7FA9">
        <w:t xml:space="preserve">form and </w:t>
      </w:r>
      <w:r w:rsidR="00321E62">
        <w:t xml:space="preserve">IT </w:t>
      </w:r>
      <w:r w:rsidR="008B7FA9">
        <w:t>infrastructure</w:t>
      </w:r>
      <w:r w:rsidR="000C0C75">
        <w:t>.</w:t>
      </w:r>
      <w:r w:rsidR="008B7FA9">
        <w:t xml:space="preserve"> </w:t>
      </w:r>
      <w:r w:rsidR="00C704DC">
        <w:t xml:space="preserve">This </w:t>
      </w:r>
      <w:proofErr w:type="gramStart"/>
      <w:r w:rsidR="00C704DC">
        <w:t>drove</w:t>
      </w:r>
      <w:proofErr w:type="gramEnd"/>
      <w:r w:rsidR="00C704DC">
        <w:t xml:space="preserve"> a high</w:t>
      </w:r>
      <w:r w:rsidR="00995796" w:rsidRPr="00311F70">
        <w:t xml:space="preserve"> </w:t>
      </w:r>
      <w:r w:rsidR="003012E1" w:rsidRPr="00311F70">
        <w:t>level of collaboration</w:t>
      </w:r>
      <w:r w:rsidR="00656339">
        <w:t xml:space="preserve"> and enabled the automation of processes such as eligibility checks</w:t>
      </w:r>
      <w:r w:rsidR="00C704DC">
        <w:t xml:space="preserve"> once </w:t>
      </w:r>
      <w:r w:rsidR="009A77BB" w:rsidRPr="00311F70">
        <w:t>speed of delivery became paramount</w:t>
      </w:r>
      <w:r w:rsidR="00371AB2" w:rsidRPr="00311F70">
        <w:t xml:space="preserve"> within the Department.</w:t>
      </w:r>
    </w:p>
    <w:p w14:paraId="33304397" w14:textId="7A8172FD" w:rsidR="002E3E51" w:rsidRPr="00311F70" w:rsidRDefault="00907B68" w:rsidP="00021EF3">
      <w:r w:rsidRPr="00311F70">
        <w:t xml:space="preserve">The Department also engaged extensively with </w:t>
      </w:r>
      <w:r w:rsidR="008806E8">
        <w:t>Victorian</w:t>
      </w:r>
      <w:r w:rsidR="005F586F" w:rsidRPr="00311F70">
        <w:t xml:space="preserve"> </w:t>
      </w:r>
      <w:r w:rsidR="00D1271C">
        <w:t>G</w:t>
      </w:r>
      <w:r w:rsidR="005F586F" w:rsidRPr="00311F70">
        <w:t xml:space="preserve">overnment </w:t>
      </w:r>
      <w:r w:rsidR="008806E8">
        <w:t xml:space="preserve">agencies including </w:t>
      </w:r>
      <w:r w:rsidR="00BE571B">
        <w:t xml:space="preserve">WorkSafe Victoria, Liquor Control Victoria </w:t>
      </w:r>
      <w:r w:rsidR="005F586F" w:rsidRPr="00311F70">
        <w:t xml:space="preserve">and local government </w:t>
      </w:r>
      <w:r w:rsidR="00B713F8" w:rsidRPr="00311F70">
        <w:t>to establish data sharing agreements.</w:t>
      </w:r>
      <w:r w:rsidR="003D73B4" w:rsidRPr="00311F70">
        <w:t xml:space="preserve"> </w:t>
      </w:r>
      <w:r w:rsidR="00F97467">
        <w:t>These</w:t>
      </w:r>
      <w:r w:rsidR="00E16014" w:rsidRPr="00311F70">
        <w:t xml:space="preserve"> enabled the Department to </w:t>
      </w:r>
      <w:r w:rsidR="002E1C42">
        <w:t>assess the</w:t>
      </w:r>
      <w:r w:rsidR="002E1C42" w:rsidRPr="00311F70">
        <w:t xml:space="preserve"> </w:t>
      </w:r>
      <w:r w:rsidR="00767DC9" w:rsidRPr="00311F70">
        <w:t>grant eligibility of businesses</w:t>
      </w:r>
      <w:r w:rsidR="00F96846" w:rsidRPr="00311F70">
        <w:t xml:space="preserve"> by accessing data on </w:t>
      </w:r>
      <w:r w:rsidR="000B3E28">
        <w:t xml:space="preserve">payroll, </w:t>
      </w:r>
      <w:r w:rsidR="00F96846" w:rsidRPr="00311F70">
        <w:t xml:space="preserve">insurance registration, food certificates and </w:t>
      </w:r>
      <w:r w:rsidR="00FE24E7" w:rsidRPr="00311F70">
        <w:t>number of employees.</w:t>
      </w:r>
      <w:r w:rsidR="006B37D8" w:rsidRPr="00311F70">
        <w:t xml:space="preserve"> </w:t>
      </w:r>
      <w:r w:rsidR="0036176E" w:rsidRPr="00311F70">
        <w:t xml:space="preserve">This engagement was </w:t>
      </w:r>
      <w:r w:rsidR="00F0721F" w:rsidRPr="00311F70">
        <w:t>collaborative</w:t>
      </w:r>
      <w:r w:rsidR="00B24901">
        <w:t>,</w:t>
      </w:r>
      <w:r w:rsidR="00F0721F" w:rsidRPr="00311F70">
        <w:t xml:space="preserve"> </w:t>
      </w:r>
      <w:r w:rsidR="00B24901">
        <w:t>f</w:t>
      </w:r>
      <w:r w:rsidR="00C2757B" w:rsidRPr="00311F70">
        <w:t xml:space="preserve">or example, </w:t>
      </w:r>
      <w:r w:rsidR="00463B0A" w:rsidRPr="00311F70">
        <w:t>when</w:t>
      </w:r>
      <w:r w:rsidR="000C71CC" w:rsidRPr="00311F70">
        <w:t xml:space="preserve"> discrepancies or gaps in </w:t>
      </w:r>
      <w:r w:rsidR="002534A2" w:rsidRPr="00311F70">
        <w:t>food certificate and liquor licen</w:t>
      </w:r>
      <w:r w:rsidR="00015362">
        <w:t>c</w:t>
      </w:r>
      <w:r w:rsidR="002534A2" w:rsidRPr="00311F70">
        <w:t>e data</w:t>
      </w:r>
      <w:r w:rsidR="00463B0A" w:rsidRPr="00311F70">
        <w:t xml:space="preserve"> were found</w:t>
      </w:r>
      <w:r w:rsidR="002B30E9" w:rsidRPr="00311F70">
        <w:t>, the Department</w:t>
      </w:r>
      <w:r w:rsidR="00463B0A" w:rsidRPr="00311F70">
        <w:t>’s program centre</w:t>
      </w:r>
      <w:r w:rsidR="002B30E9" w:rsidRPr="00311F70">
        <w:t xml:space="preserve"> worked </w:t>
      </w:r>
      <w:r w:rsidR="00463B0A" w:rsidRPr="00311F70">
        <w:t xml:space="preserve">directly </w:t>
      </w:r>
      <w:r w:rsidR="002B30E9" w:rsidRPr="00311F70">
        <w:t xml:space="preserve">with local government and councils to manually </w:t>
      </w:r>
      <w:r w:rsidR="00F01261" w:rsidRPr="00311F70">
        <w:t>rectify</w:t>
      </w:r>
      <w:r w:rsidR="000041B1" w:rsidRPr="00311F70">
        <w:t xml:space="preserve"> </w:t>
      </w:r>
      <w:r w:rsidR="00095AC9">
        <w:t>these</w:t>
      </w:r>
      <w:r w:rsidR="000041B1" w:rsidRPr="00311F70">
        <w:t>.</w:t>
      </w:r>
      <w:r w:rsidR="002A694B" w:rsidRPr="00311F70">
        <w:t xml:space="preserve"> </w:t>
      </w:r>
      <w:r w:rsidR="00A4124F">
        <w:t>Further</w:t>
      </w:r>
      <w:r w:rsidR="00374974">
        <w:t xml:space="preserve">, the Department collaborated with federal </w:t>
      </w:r>
      <w:r w:rsidR="00374974">
        <w:lastRenderedPageBreak/>
        <w:t xml:space="preserve">agencies to support data sharing of the </w:t>
      </w:r>
      <w:r w:rsidR="004215CB">
        <w:t>ABR</w:t>
      </w:r>
      <w:r w:rsidR="00374974">
        <w:t xml:space="preserve"> data.</w:t>
      </w:r>
      <w:r w:rsidR="001E5BCE">
        <w:t xml:space="preserve"> </w:t>
      </w:r>
      <w:r w:rsidR="005F3129">
        <w:t>Automated sharing of ABR numbers has continued since the conclusion of these programs.</w:t>
      </w:r>
      <w:r w:rsidR="00EC5F4D">
        <w:t xml:space="preserve"> </w:t>
      </w:r>
      <w:r w:rsidR="00800007">
        <w:t>Considering</w:t>
      </w:r>
      <w:r w:rsidR="00EC5F4D">
        <w:t xml:space="preserve"> </w:t>
      </w:r>
      <w:r w:rsidR="00DF1F16">
        <w:t>equivalent</w:t>
      </w:r>
      <w:r w:rsidR="00EC5F4D">
        <w:t xml:space="preserve"> data sharing arrangements in the future, </w:t>
      </w:r>
      <w:r w:rsidR="00DF1F16">
        <w:t>this</w:t>
      </w:r>
      <w:r w:rsidR="00EC5F4D">
        <w:t xml:space="preserve"> would </w:t>
      </w:r>
      <w:r w:rsidR="00F81D5A">
        <w:t>provide a precedent that could be drawn on</w:t>
      </w:r>
      <w:r w:rsidR="001664C2">
        <w:t xml:space="preserve"> should similar grant</w:t>
      </w:r>
      <w:r w:rsidR="00EC5F4D">
        <w:t xml:space="preserve"> programs </w:t>
      </w:r>
      <w:r w:rsidR="001664C2">
        <w:t xml:space="preserve">need </w:t>
      </w:r>
      <w:r w:rsidR="00EC5F4D">
        <w:t>to</w:t>
      </w:r>
      <w:r w:rsidR="00F56A7A">
        <w:t xml:space="preserve"> </w:t>
      </w:r>
      <w:r w:rsidR="001664C2">
        <w:t>be rapidly rolled out again.</w:t>
      </w:r>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CE5C1F" w14:paraId="621A4D5F"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0F0C3357" w14:textId="65BB7958" w:rsidR="00CE5C1F" w:rsidRPr="00A04FF8" w:rsidRDefault="00CE5C1F" w:rsidP="00021EF3">
            <w:pPr>
              <w:spacing w:after="0"/>
              <w:rPr>
                <w:b/>
                <w:bCs/>
              </w:rPr>
            </w:pPr>
            <w:r w:rsidRPr="00A04FF8">
              <w:rPr>
                <w:b/>
                <w:bCs/>
                <w:color w:val="62B5E5" w:themeColor="accent3"/>
              </w:rPr>
              <w:t xml:space="preserve">Finding </w:t>
            </w:r>
            <w:r w:rsidR="00D83A88">
              <w:rPr>
                <w:b/>
                <w:bCs/>
                <w:color w:val="62B5E5" w:themeColor="accent3"/>
              </w:rPr>
              <w:t>5</w:t>
            </w:r>
            <w:r w:rsidRPr="00A04FF8">
              <w:rPr>
                <w:b/>
                <w:bCs/>
                <w:color w:val="62B5E5" w:themeColor="accent3"/>
              </w:rPr>
              <w:t>: </w:t>
            </w:r>
            <w:r w:rsidR="00E9798E" w:rsidRPr="00E9798E">
              <w:rPr>
                <w:b/>
                <w:bCs/>
              </w:rPr>
              <w:t>Key industry bodies were involved in the design and implementation of the programs beyond the initial phase as appropriate.</w:t>
            </w:r>
          </w:p>
        </w:tc>
      </w:tr>
    </w:tbl>
    <w:p w14:paraId="62229608" w14:textId="447F4DB1" w:rsidR="00D247D1" w:rsidRPr="00AE73FB" w:rsidRDefault="00AF687D" w:rsidP="00021EF3">
      <w:pPr>
        <w:spacing w:before="160"/>
      </w:pPr>
      <w:r w:rsidRPr="00AE73FB">
        <w:t xml:space="preserve">It was evident </w:t>
      </w:r>
      <w:r w:rsidR="003D5D63">
        <w:t xml:space="preserve">from </w:t>
      </w:r>
      <w:r w:rsidR="00155AEC">
        <w:t xml:space="preserve">internal and external stakeholder </w:t>
      </w:r>
      <w:r w:rsidR="00BF4C82">
        <w:t>reports</w:t>
      </w:r>
      <w:r w:rsidR="004B16A2">
        <w:t xml:space="preserve"> </w:t>
      </w:r>
      <w:r w:rsidRPr="00AE73FB">
        <w:t>that the Department engaged regularly with external stakeholders throughout program design and delivery.</w:t>
      </w:r>
      <w:r w:rsidR="00624BDA" w:rsidRPr="00AE73FB">
        <w:t xml:space="preserve"> External stakeholders consulted </w:t>
      </w:r>
      <w:r w:rsidR="007D1E94" w:rsidRPr="00AE73FB">
        <w:t xml:space="preserve">by the Department </w:t>
      </w:r>
      <w:r w:rsidR="00624BDA" w:rsidRPr="00AE73FB">
        <w:t>primarily co</w:t>
      </w:r>
      <w:r w:rsidR="00D240B6" w:rsidRPr="00AE73FB">
        <w:t xml:space="preserve">mprised </w:t>
      </w:r>
      <w:r w:rsidR="005907A1">
        <w:t>of</w:t>
      </w:r>
      <w:r w:rsidR="00D240B6" w:rsidRPr="00AE73FB">
        <w:t xml:space="preserve"> main industry associations and peak bodies representing businesses impacted by the pandemic.</w:t>
      </w:r>
      <w:r w:rsidR="005717BC" w:rsidRPr="00AE73FB">
        <w:t xml:space="preserve"> </w:t>
      </w:r>
    </w:p>
    <w:p w14:paraId="26C926BE" w14:textId="167BB11D" w:rsidR="001C734D" w:rsidRDefault="004275BB" w:rsidP="00021EF3">
      <w:pPr>
        <w:spacing w:before="160"/>
      </w:pPr>
      <w:r>
        <w:t xml:space="preserve">Main industry association and peak bodies </w:t>
      </w:r>
      <w:r w:rsidR="00987F57">
        <w:t xml:space="preserve">contributed to the design and iteration of grant rounds </w:t>
      </w:r>
      <w:r w:rsidR="00AD2A4D">
        <w:t xml:space="preserve">with respect to eligibility, application processes, communication and grant amounts. </w:t>
      </w:r>
      <w:r w:rsidR="00924E38">
        <w:t>T</w:t>
      </w:r>
      <w:r w:rsidR="000B56FE">
        <w:t>hey provided feedback to the Department on the suitability of eligibility criteria for industries and whether it sufficiently captured the Department’s intent. In</w:t>
      </w:r>
      <w:r w:rsidR="00924E38">
        <w:t xml:space="preserve"> many cases, this resulted in a threshold adjustment for subsequent </w:t>
      </w:r>
      <w:r w:rsidR="00712140">
        <w:t>grant rounds. For exampl</w:t>
      </w:r>
      <w:r w:rsidR="004C5051">
        <w:t xml:space="preserve">e, the </w:t>
      </w:r>
      <w:r w:rsidR="003D674E">
        <w:t>m</w:t>
      </w:r>
      <w:r w:rsidR="003D674E" w:rsidRPr="003D674E">
        <w:t>idpoint grant</w:t>
      </w:r>
      <w:r w:rsidR="003D674E">
        <w:t xml:space="preserve"> threshold for LHVF was reduced from 200 to 100 patrons in </w:t>
      </w:r>
      <w:r w:rsidR="003D674E" w:rsidRPr="003D674E">
        <w:t xml:space="preserve">response to industry feedback about </w:t>
      </w:r>
      <w:r w:rsidR="003D674E">
        <w:t xml:space="preserve">the </w:t>
      </w:r>
      <w:r w:rsidR="003D674E" w:rsidRPr="003D674E">
        <w:t>relative costs facing different establishment sizes.</w:t>
      </w:r>
      <w:r w:rsidR="00F403A9">
        <w:t xml:space="preserve"> </w:t>
      </w:r>
      <w:r w:rsidR="00675159">
        <w:t>Some e</w:t>
      </w:r>
      <w:r w:rsidR="001C734D" w:rsidRPr="00AE73FB">
        <w:t xml:space="preserve">xternal </w:t>
      </w:r>
      <w:r w:rsidR="00A35349">
        <w:t>industry</w:t>
      </w:r>
      <w:r w:rsidR="001C734D" w:rsidRPr="00AE73FB">
        <w:t xml:space="preserve"> stakeholders </w:t>
      </w:r>
      <w:r w:rsidR="001C734D">
        <w:t>noted that</w:t>
      </w:r>
      <w:r w:rsidR="001C734D" w:rsidRPr="00AE73FB">
        <w:t xml:space="preserve"> the Department had </w:t>
      </w:r>
      <w:r w:rsidR="00273D10">
        <w:t>‘</w:t>
      </w:r>
      <w:r w:rsidR="001C734D" w:rsidRPr="00AE73FB">
        <w:t xml:space="preserve">taken them </w:t>
      </w:r>
      <w:r w:rsidR="001C734D">
        <w:t>along the</w:t>
      </w:r>
      <w:r w:rsidR="001C734D" w:rsidRPr="00AE73FB">
        <w:t xml:space="preserve"> </w:t>
      </w:r>
      <w:r w:rsidR="00410CB3" w:rsidRPr="00AE73FB">
        <w:t>journey</w:t>
      </w:r>
      <w:r w:rsidR="00273D10">
        <w:t>’</w:t>
      </w:r>
      <w:r w:rsidR="001C734D" w:rsidRPr="00AE73FB">
        <w:t xml:space="preserve"> with respect to program design and delivery, providing clear and consistent touch points</w:t>
      </w:r>
      <w:r w:rsidR="001C734D">
        <w:t xml:space="preserve"> and incorporating their feedback into grant design</w:t>
      </w:r>
      <w:r w:rsidR="001C734D" w:rsidRPr="00AE73FB">
        <w:t xml:space="preserve">. </w:t>
      </w:r>
      <w:r w:rsidR="00A35349">
        <w:t xml:space="preserve">Other external stakeholders such as </w:t>
      </w:r>
      <w:r w:rsidR="0011478C">
        <w:t>accounting and legal bodies</w:t>
      </w:r>
      <w:r w:rsidR="00A35349">
        <w:t xml:space="preserve"> were able to raise concerns with the Department</w:t>
      </w:r>
      <w:r w:rsidR="004A56F1">
        <w:t xml:space="preserve">, such as how to exclude businesses that would </w:t>
      </w:r>
      <w:r w:rsidR="00AC59E5">
        <w:t>be likely to close regardless of the pandemic</w:t>
      </w:r>
      <w:r w:rsidR="00E51560">
        <w:t>.</w:t>
      </w:r>
    </w:p>
    <w:p w14:paraId="742C76B9" w14:textId="053FEC2E" w:rsidR="008A242F" w:rsidRDefault="00F403A9" w:rsidP="00021EF3">
      <w:pPr>
        <w:spacing w:before="160"/>
      </w:pPr>
      <w:r>
        <w:t xml:space="preserve">External stakeholders also contributed to the ongoing implementation of the grants by acting as an intermediary, </w:t>
      </w:r>
      <w:r w:rsidR="00DC0BA3">
        <w:t xml:space="preserve">disseminating key information to their members and supporting them in accessing the grants. </w:t>
      </w:r>
      <w:r w:rsidRPr="00AE73FB">
        <w:t xml:space="preserve">Internal stakeholders observed that the support of industry bodies </w:t>
      </w:r>
      <w:r>
        <w:t xml:space="preserve">was integral to </w:t>
      </w:r>
      <w:r w:rsidR="001C734D">
        <w:t>the effective implementation of the programs.</w:t>
      </w:r>
    </w:p>
    <w:p w14:paraId="1AB9EC00" w14:textId="4355CA49" w:rsidR="0018525D" w:rsidRPr="00AE73FB" w:rsidRDefault="008A242F" w:rsidP="00021EF3">
      <w:pPr>
        <w:spacing w:before="160"/>
      </w:pPr>
      <w:r w:rsidRPr="00AE73FB">
        <w:t>Engagement with</w:t>
      </w:r>
      <w:r>
        <w:t xml:space="preserve"> external stakeholder</w:t>
      </w:r>
      <w:r w:rsidRPr="00AE73FB">
        <w:t xml:space="preserve"> groups </w:t>
      </w:r>
      <w:r>
        <w:t>evolved</w:t>
      </w:r>
      <w:r w:rsidRPr="00AE73FB">
        <w:t xml:space="preserve"> as programs </w:t>
      </w:r>
      <w:r>
        <w:t>developed over the life of the program</w:t>
      </w:r>
      <w:r w:rsidRPr="00AE73FB">
        <w:t xml:space="preserve">. Initially, external stakeholder consultation coordinated by the Department involved large forums with hundreds of industry representatives in attendance. </w:t>
      </w:r>
      <w:r w:rsidR="00117F2A">
        <w:t>T</w:t>
      </w:r>
      <w:r>
        <w:t>h</w:t>
      </w:r>
      <w:r w:rsidR="00EC6252">
        <w:t>is</w:t>
      </w:r>
      <w:r>
        <w:t xml:space="preserve"> engagement</w:t>
      </w:r>
      <w:r w:rsidRPr="00AE73FB">
        <w:t xml:space="preserve"> was focused </w:t>
      </w:r>
      <w:r w:rsidR="00E9427B">
        <w:t>on</w:t>
      </w:r>
      <w:r w:rsidRPr="00AE73FB">
        <w:t xml:space="preserve"> the Depar</w:t>
      </w:r>
      <w:r>
        <w:t>tment’s</w:t>
      </w:r>
      <w:r w:rsidRPr="00AE73FB">
        <w:t xml:space="preserve"> response to the pandemic</w:t>
      </w:r>
      <w:r w:rsidR="00E63D9C">
        <w:t>\</w:t>
      </w:r>
      <w:r w:rsidRPr="00AE73FB">
        <w:t xml:space="preserve">. </w:t>
      </w:r>
      <w:r w:rsidR="00E63D9C">
        <w:t>O</w:t>
      </w:r>
      <w:r w:rsidRPr="00AE73FB">
        <w:t>ver</w:t>
      </w:r>
      <w:r w:rsidR="00FE7BA1">
        <w:t xml:space="preserve"> </w:t>
      </w:r>
      <w:r w:rsidRPr="00AE73FB">
        <w:t xml:space="preserve">time, the formality of this engagement reduced as relationships were established with key bodies. This facilitated relational, more in depth and collaborative engagement as the grant programs were designed, iterated and delivered. </w:t>
      </w:r>
    </w:p>
    <w:p w14:paraId="48D7AEB3" w14:textId="022A5EBD" w:rsidR="00334720" w:rsidRDefault="00C6113E" w:rsidP="00021EF3">
      <w:pPr>
        <w:spacing w:before="160"/>
        <w:rPr>
          <w:rFonts w:eastAsiaTheme="majorEastAsia" w:cstheme="majorBidi"/>
          <w:b/>
          <w:bCs/>
          <w:color w:val="62B5E5" w:themeColor="accent3"/>
          <w:sz w:val="22"/>
          <w:szCs w:val="26"/>
        </w:rPr>
      </w:pPr>
      <w:r w:rsidRPr="00AE73FB">
        <w:t xml:space="preserve">In addition, there were opportunities to gain direct business feedback through the Business Victoria Hotline </w:t>
      </w:r>
      <w:r w:rsidR="004633BE">
        <w:t>during grant delivery</w:t>
      </w:r>
      <w:r w:rsidR="005E6C15" w:rsidRPr="00AE73FB">
        <w:t>.</w:t>
      </w:r>
      <w:r w:rsidR="00313B17" w:rsidRPr="00AE73FB">
        <w:t xml:space="preserve"> The program centre coordinated the receipt of complaints and challenge</w:t>
      </w:r>
      <w:r w:rsidR="000F3034" w:rsidRPr="00AE73FB">
        <w:t>s businesses faced in the grant application process</w:t>
      </w:r>
      <w:r w:rsidR="00B04477" w:rsidRPr="00AE73FB">
        <w:t>.</w:t>
      </w:r>
      <w:r w:rsidR="00334720">
        <w:br w:type="page"/>
      </w:r>
    </w:p>
    <w:p w14:paraId="1D06ED9A" w14:textId="611E8411" w:rsidR="00B073A1" w:rsidRPr="00B073A1" w:rsidRDefault="00B073A1" w:rsidP="00021EF3">
      <w:pPr>
        <w:pStyle w:val="Heading2"/>
      </w:pPr>
      <w:bookmarkStart w:id="294" w:name="_Toc173244962"/>
      <w:bookmarkStart w:id="295" w:name="_Toc176516259"/>
      <w:r>
        <w:lastRenderedPageBreak/>
        <w:t>Design/Implementation</w:t>
      </w:r>
      <w:bookmarkEnd w:id="294"/>
      <w:bookmarkEnd w:id="295"/>
    </w:p>
    <w:p w14:paraId="3ECC4CA4" w14:textId="58A01A7F" w:rsidR="0016293A" w:rsidRPr="002F2896" w:rsidRDefault="00B128C1" w:rsidP="00021EF3">
      <w:pPr>
        <w:rPr>
          <w:b/>
          <w:color w:val="62B5E5" w:themeColor="accent3"/>
        </w:rPr>
      </w:pPr>
      <w:r w:rsidRPr="00A04FF8">
        <w:rPr>
          <w:b/>
          <w:bCs/>
          <w:color w:val="62B5E5" w:themeColor="accent3"/>
        </w:rPr>
        <w:t>KEQ</w:t>
      </w:r>
      <w:r w:rsidR="00461935">
        <w:rPr>
          <w:b/>
          <w:bCs/>
          <w:color w:val="62B5E5" w:themeColor="accent3"/>
        </w:rPr>
        <w:t xml:space="preserve"> 2</w:t>
      </w:r>
      <w:r w:rsidRPr="00A04FF8">
        <w:rPr>
          <w:b/>
          <w:bCs/>
          <w:color w:val="62B5E5" w:themeColor="accent3"/>
        </w:rPr>
        <w:t xml:space="preserve">: </w:t>
      </w:r>
      <w:r w:rsidR="00FF5FCA" w:rsidRPr="00FF5FCA">
        <w:rPr>
          <w:b/>
          <w:bCs/>
        </w:rPr>
        <w:t>How well did the Department implement each of the grants, and how well did it adapt its approach in response to changing needs and contexts?</w:t>
      </w:r>
      <w:r w:rsidRPr="00D96102">
        <w:rPr>
          <w:b/>
          <w:bCs/>
          <w:color w:val="62B5E5" w:themeColor="accent3"/>
        </w:rPr>
        <w:t xml:space="preserve"> </w:t>
      </w:r>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B128C1" w14:paraId="18FBF215"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4FA57164" w14:textId="2E44C348" w:rsidR="00B128C1" w:rsidRPr="00A04FF8" w:rsidRDefault="00B128C1" w:rsidP="00021EF3">
            <w:pPr>
              <w:spacing w:after="0"/>
              <w:rPr>
                <w:b/>
                <w:bCs/>
              </w:rPr>
            </w:pPr>
            <w:r w:rsidRPr="00A04FF8">
              <w:rPr>
                <w:b/>
                <w:bCs/>
                <w:color w:val="62B5E5" w:themeColor="accent3"/>
              </w:rPr>
              <w:t xml:space="preserve">Finding </w:t>
            </w:r>
            <w:r w:rsidR="0070261F">
              <w:rPr>
                <w:b/>
                <w:bCs/>
                <w:color w:val="62B5E5" w:themeColor="accent3"/>
              </w:rPr>
              <w:t>6</w:t>
            </w:r>
            <w:r w:rsidRPr="00A04FF8">
              <w:rPr>
                <w:b/>
                <w:bCs/>
                <w:color w:val="62B5E5" w:themeColor="accent3"/>
              </w:rPr>
              <w:t>: </w:t>
            </w:r>
            <w:r w:rsidR="00BB4D39" w:rsidRPr="00BB4D39">
              <w:rPr>
                <w:b/>
                <w:bCs/>
              </w:rPr>
              <w:t xml:space="preserve">The </w:t>
            </w:r>
            <w:r w:rsidR="003E7345" w:rsidRPr="003E7345">
              <w:rPr>
                <w:b/>
                <w:bCs/>
              </w:rPr>
              <w:t xml:space="preserve">grants were </w:t>
            </w:r>
            <w:r w:rsidR="0055576C" w:rsidRPr="0055576C">
              <w:rPr>
                <w:b/>
                <w:bCs/>
              </w:rPr>
              <w:t>generally delivered as intended with emergency grant funding provided to more than 151,000 individual businesses across impacted industries.</w:t>
            </w:r>
          </w:p>
        </w:tc>
      </w:tr>
    </w:tbl>
    <w:p w14:paraId="71A3D276" w14:textId="128CC9C6" w:rsidR="00C63B5D" w:rsidRDefault="00FE7BA1" w:rsidP="00021EF3">
      <w:pPr>
        <w:spacing w:before="160"/>
      </w:pPr>
      <w:r>
        <w:t>T</w:t>
      </w:r>
      <w:r w:rsidR="009F5CA1">
        <w:t xml:space="preserve">he grants </w:t>
      </w:r>
      <w:r w:rsidR="00C63B5D" w:rsidRPr="00C63B5D">
        <w:t xml:space="preserve">were </w:t>
      </w:r>
      <w:r w:rsidR="009F5CA1">
        <w:t>intended</w:t>
      </w:r>
      <w:r w:rsidR="00C63B5D" w:rsidRPr="00C63B5D">
        <w:t xml:space="preserve"> to financially support businesses </w:t>
      </w:r>
      <w:r w:rsidR="00862F48">
        <w:t xml:space="preserve">that </w:t>
      </w:r>
      <w:r w:rsidR="00703253">
        <w:t>were</w:t>
      </w:r>
      <w:r w:rsidR="00C63B5D" w:rsidRPr="00C63B5D">
        <w:t xml:space="preserve"> negatively impacted by reduced trading due to public health restrictions. </w:t>
      </w:r>
      <w:r w:rsidR="0046041E">
        <w:t xml:space="preserve">In particular, the </w:t>
      </w:r>
      <w:r w:rsidR="0061112F">
        <w:t>grants</w:t>
      </w:r>
      <w:r w:rsidR="0046041E">
        <w:t xml:space="preserve"> sought to support businesses in meeting unavoidable payments</w:t>
      </w:r>
      <w:r w:rsidR="00C63B5D" w:rsidRPr="00C63B5D">
        <w:t xml:space="preserve"> </w:t>
      </w:r>
      <w:r w:rsidR="0061112F">
        <w:t>during periods of reduced revenue.</w:t>
      </w:r>
      <w:r w:rsidR="00C63B5D" w:rsidRPr="00C63B5D">
        <w:t xml:space="preserve"> </w:t>
      </w:r>
      <w:r w:rsidR="00EE1F85">
        <w:t>Available evidence suggests t</w:t>
      </w:r>
      <w:r w:rsidR="00C63B5D" w:rsidRPr="00C63B5D">
        <w:t xml:space="preserve">he programs were </w:t>
      </w:r>
      <w:r w:rsidR="00FF0F70">
        <w:t>generally</w:t>
      </w:r>
      <w:r w:rsidR="00FF0F70" w:rsidRPr="00C63B5D">
        <w:t xml:space="preserve"> </w:t>
      </w:r>
      <w:r w:rsidR="00C63B5D" w:rsidRPr="00C63B5D">
        <w:t xml:space="preserve">delivered as intended, </w:t>
      </w:r>
      <w:r w:rsidR="003A56FA">
        <w:t>providing</w:t>
      </w:r>
      <w:r w:rsidR="00C63B5D" w:rsidRPr="00C63B5D">
        <w:t xml:space="preserve"> close to </w:t>
      </w:r>
      <w:r w:rsidR="00C63B5D" w:rsidRPr="00571CBE">
        <w:t>1</w:t>
      </w:r>
      <w:r w:rsidR="009A28B0" w:rsidRPr="00571CBE">
        <w:t>51</w:t>
      </w:r>
      <w:r w:rsidR="00C63B5D" w:rsidRPr="00571CBE">
        <w:t>,000</w:t>
      </w:r>
      <w:r w:rsidR="00C63B5D" w:rsidRPr="00C63B5D">
        <w:t xml:space="preserve"> unique businesses with funds to cover </w:t>
      </w:r>
      <w:r w:rsidR="00FE7ACA">
        <w:t xml:space="preserve">often unavoidable </w:t>
      </w:r>
      <w:r w:rsidR="00C63B5D" w:rsidRPr="00C63B5D">
        <w:t>costs such as wages</w:t>
      </w:r>
      <w:r w:rsidR="00FE7ACA">
        <w:t>,</w:t>
      </w:r>
      <w:r w:rsidR="00C63B5D" w:rsidRPr="00C63B5D">
        <w:t xml:space="preserve"> utilities</w:t>
      </w:r>
      <w:r w:rsidR="00FE7ACA">
        <w:t xml:space="preserve"> and rent</w:t>
      </w:r>
      <w:r w:rsidR="00C63B5D">
        <w:t xml:space="preserve">. </w:t>
      </w:r>
      <w:r w:rsidR="00A873FC">
        <w:t>Further, the Department worked to adapt its approach over time in line with the evolving context, however</w:t>
      </w:r>
      <w:r w:rsidR="00DC000E">
        <w:t>,</w:t>
      </w:r>
      <w:r w:rsidR="00A873FC">
        <w:t xml:space="preserve"> faced challenges in doing s</w:t>
      </w:r>
      <w:r w:rsidR="008C4094">
        <w:t>o (see Finding 7).</w:t>
      </w:r>
    </w:p>
    <w:p w14:paraId="1C76A9A4" w14:textId="77777777" w:rsidR="006703A8" w:rsidRPr="006703A8" w:rsidRDefault="006703A8" w:rsidP="00021EF3">
      <w:pPr>
        <w:pStyle w:val="Heading3un-numbered"/>
      </w:pPr>
      <w:bookmarkStart w:id="296" w:name="_Toc173244963"/>
      <w:bookmarkStart w:id="297" w:name="_Toc173245878"/>
      <w:bookmarkStart w:id="298" w:name="_Toc173246307"/>
      <w:bookmarkStart w:id="299" w:name="_Toc173308299"/>
      <w:bookmarkStart w:id="300" w:name="_Toc173344718"/>
      <w:bookmarkStart w:id="301" w:name="_Toc173344945"/>
      <w:bookmarkStart w:id="302" w:name="_Toc173915900"/>
      <w:bookmarkStart w:id="303" w:name="_Toc174118141"/>
      <w:bookmarkStart w:id="304" w:name="_Toc176516260"/>
      <w:r w:rsidRPr="00DF3BD2">
        <w:t>BCAP</w:t>
      </w:r>
      <w:bookmarkEnd w:id="296"/>
      <w:bookmarkEnd w:id="297"/>
      <w:bookmarkEnd w:id="298"/>
      <w:bookmarkEnd w:id="299"/>
      <w:bookmarkEnd w:id="300"/>
      <w:bookmarkEnd w:id="301"/>
      <w:bookmarkEnd w:id="302"/>
      <w:bookmarkEnd w:id="303"/>
      <w:bookmarkEnd w:id="304"/>
    </w:p>
    <w:p w14:paraId="07A76FE2" w14:textId="1A689AAB" w:rsidR="0035483F" w:rsidRDefault="000E0B03" w:rsidP="00021EF3">
      <w:r>
        <w:t>BCAP was intended to assist non-employing, small</w:t>
      </w:r>
      <w:r w:rsidR="00224F0D">
        <w:t>-</w:t>
      </w:r>
      <w:r>
        <w:t xml:space="preserve"> and medium</w:t>
      </w:r>
      <w:r w:rsidR="00224F0D">
        <w:t>-</w:t>
      </w:r>
      <w:r>
        <w:t xml:space="preserve">sized businesses with </w:t>
      </w:r>
      <w:r w:rsidR="00B40362">
        <w:t>their costs during</w:t>
      </w:r>
      <w:r w:rsidR="009A2DA9">
        <w:t xml:space="preserve"> </w:t>
      </w:r>
      <w:r w:rsidR="00F43C6C">
        <w:t>the COVID-19 pandemic and</w:t>
      </w:r>
      <w:r w:rsidR="009A2DA9">
        <w:t xml:space="preserve"> </w:t>
      </w:r>
      <w:r w:rsidR="00F35E6B">
        <w:t>periods of</w:t>
      </w:r>
      <w:r w:rsidR="0043729B">
        <w:t xml:space="preserve"> trading restrictions.</w:t>
      </w:r>
      <w:r w:rsidR="009A2DA9">
        <w:t xml:space="preserve"> </w:t>
      </w:r>
      <w:r w:rsidR="00654303">
        <w:t xml:space="preserve">A total of $4.9 billion was delivered to </w:t>
      </w:r>
      <w:r w:rsidR="00654303" w:rsidRPr="004A17EE">
        <w:t>1</w:t>
      </w:r>
      <w:r w:rsidR="00CD1F08" w:rsidRPr="004A17EE">
        <w:t>4</w:t>
      </w:r>
      <w:r w:rsidR="004A17EE" w:rsidRPr="004A17EE">
        <w:t>1</w:t>
      </w:r>
      <w:r w:rsidR="00CD1F08" w:rsidRPr="004A17EE">
        <w:t>,</w:t>
      </w:r>
      <w:r w:rsidR="004A17EE" w:rsidRPr="004A17EE">
        <w:t>7</w:t>
      </w:r>
      <w:r w:rsidR="005D3932">
        <w:t>0</w:t>
      </w:r>
      <w:r w:rsidR="00654303" w:rsidRPr="004A17EE">
        <w:t>9</w:t>
      </w:r>
      <w:r w:rsidR="00654303">
        <w:t xml:space="preserve"> businesses </w:t>
      </w:r>
      <w:r w:rsidR="00A21196">
        <w:t xml:space="preserve">over a </w:t>
      </w:r>
      <w:r w:rsidR="001268D2">
        <w:t>28</w:t>
      </w:r>
      <w:r w:rsidR="00A21196">
        <w:t>-month period through BCAP</w:t>
      </w:r>
      <w:r w:rsidR="00EF2EFB">
        <w:t xml:space="preserve"> between March 2021 and July 2023</w:t>
      </w:r>
      <w:r w:rsidR="00A21196">
        <w:t xml:space="preserve">. </w:t>
      </w:r>
      <w:r w:rsidR="001F7CA3">
        <w:t>This was delivered over</w:t>
      </w:r>
      <w:r w:rsidR="00140C71">
        <w:t xml:space="preserve"> eight rounds (inclusive of top-ups and supplement rounds)</w:t>
      </w:r>
      <w:r w:rsidR="006C10AE">
        <w:t xml:space="preserve"> to eligible businesses. </w:t>
      </w:r>
    </w:p>
    <w:p w14:paraId="3C3A4244" w14:textId="088454DA" w:rsidR="005C3D01" w:rsidRDefault="00F27FC3" w:rsidP="00021EF3">
      <w:r>
        <w:t xml:space="preserve">BCAP was successfully distributed to </w:t>
      </w:r>
      <w:r w:rsidR="00085F69">
        <w:t>intended cohorts in terms of business size</w:t>
      </w:r>
      <w:r w:rsidR="00DB68CB">
        <w:t xml:space="preserve"> (number of employees)</w:t>
      </w:r>
      <w:r>
        <w:t xml:space="preserve">, with </w:t>
      </w:r>
      <w:r w:rsidR="00E05690">
        <w:t>53</w:t>
      </w:r>
      <w:r w:rsidR="00D76CBA">
        <w:t xml:space="preserve"> per cent</w:t>
      </w:r>
      <w:r w:rsidR="00E05690">
        <w:t xml:space="preserve"> of grants going to non-employing businesses, 3</w:t>
      </w:r>
      <w:r w:rsidR="005B3E5B">
        <w:t>5</w:t>
      </w:r>
      <w:r w:rsidR="00D76CBA">
        <w:t xml:space="preserve"> per cent </w:t>
      </w:r>
      <w:r w:rsidR="00E05690">
        <w:t xml:space="preserve">to businesses with </w:t>
      </w:r>
      <w:r w:rsidR="007B7432">
        <w:t>one employee to four</w:t>
      </w:r>
      <w:r w:rsidR="00E05690">
        <w:t xml:space="preserve"> employees, 1</w:t>
      </w:r>
      <w:r w:rsidR="00600F61">
        <w:t>0</w:t>
      </w:r>
      <w:r w:rsidR="00D76CBA">
        <w:t xml:space="preserve"> per cent </w:t>
      </w:r>
      <w:r w:rsidR="00E05690">
        <w:t xml:space="preserve">to businesses with </w:t>
      </w:r>
      <w:r w:rsidR="007B7432">
        <w:t>five to 19</w:t>
      </w:r>
      <w:r w:rsidR="00E05690">
        <w:t xml:space="preserve"> employees and 2</w:t>
      </w:r>
      <w:r w:rsidR="00D76CBA">
        <w:t xml:space="preserve"> per cent </w:t>
      </w:r>
      <w:r w:rsidR="00E05690">
        <w:t>going to businesses with 20</w:t>
      </w:r>
      <w:r w:rsidR="007B7432">
        <w:t xml:space="preserve"> to </w:t>
      </w:r>
      <w:r w:rsidR="00E05690">
        <w:t>99 employees.</w:t>
      </w:r>
    </w:p>
    <w:p w14:paraId="7CD1EB32" w14:textId="66C4AAAD" w:rsidR="0015120D" w:rsidRDefault="00A111FF" w:rsidP="00021EF3">
      <w:pPr>
        <w:pStyle w:val="CaptionChart"/>
      </w:pPr>
      <w:r>
        <w:t>:</w:t>
      </w:r>
      <w:r w:rsidR="0015120D">
        <w:t xml:space="preserve"> Distribution of BCAP by </w:t>
      </w:r>
      <w:r w:rsidR="00DB68CB">
        <w:t>number of employees in the business</w:t>
      </w:r>
      <w:r w:rsidR="00852620">
        <w:t>.</w:t>
      </w:r>
    </w:p>
    <w:p w14:paraId="4884345C" w14:textId="06FAD050" w:rsidR="0015120D" w:rsidRDefault="006B6A91" w:rsidP="00021EF3">
      <w:r>
        <w:rPr>
          <w:noProof/>
        </w:rPr>
        <w:drawing>
          <wp:inline distT="0" distB="0" distL="0" distR="0" wp14:anchorId="07497074" wp14:editId="159F9C17">
            <wp:extent cx="3203131" cy="2471895"/>
            <wp:effectExtent l="0" t="0" r="0" b="0"/>
            <wp:docPr id="583270296" name="Picture 583270296" descr="A pie chart showing the distribution of BCAP by number of employees in the business. Non-employing businesses received 53% of BCAP grants, businesses with 1 to 4 employees received 35%, businesses with 5 to 19 employees received 10% of BCAP grants, and businesses with 20 to 99 employees receiv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70296" name="Picture 583270296" descr="A pie chart showing the distribution of BCAP by number of employees in the business. Non-employing businesses received 53% of BCAP grants, businesses with 1 to 4 employees received 35%, businesses with 5 to 19 employees received 10% of BCAP grants, and businesses with 20 to 99 employees received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461" r="11949"/>
                    <a:stretch/>
                  </pic:blipFill>
                  <pic:spPr bwMode="auto">
                    <a:xfrm>
                      <a:off x="0" y="0"/>
                      <a:ext cx="3263450" cy="2518444"/>
                    </a:xfrm>
                    <a:prstGeom prst="rect">
                      <a:avLst/>
                    </a:prstGeom>
                    <a:noFill/>
                    <a:ln>
                      <a:noFill/>
                    </a:ln>
                    <a:extLst>
                      <a:ext uri="{53640926-AAD7-44D8-BBD7-CCE9431645EC}">
                        <a14:shadowObscured xmlns:a14="http://schemas.microsoft.com/office/drawing/2010/main"/>
                      </a:ext>
                    </a:extLst>
                  </pic:spPr>
                </pic:pic>
              </a:graphicData>
            </a:graphic>
          </wp:inline>
        </w:drawing>
      </w:r>
    </w:p>
    <w:p w14:paraId="28880119" w14:textId="05B4D4F2" w:rsidR="0015120D" w:rsidRDefault="0015120D" w:rsidP="00021EF3">
      <w:pPr>
        <w:pStyle w:val="Source"/>
      </w:pPr>
      <w:r>
        <w:t>Source: Deloitte Access Economics</w:t>
      </w:r>
      <w:r w:rsidR="00CA33F1">
        <w:t>.</w:t>
      </w:r>
    </w:p>
    <w:p w14:paraId="226FB727" w14:textId="2FDC951A" w:rsidR="00C82EC2" w:rsidRDefault="00EC1017" w:rsidP="00021EF3">
      <w:r>
        <w:t>Throughout</w:t>
      </w:r>
      <w:r w:rsidR="001254AF">
        <w:t xml:space="preserve"> the pandemic, restrictions </w:t>
      </w:r>
      <w:r w:rsidR="0069636F">
        <w:t>and their impacts</w:t>
      </w:r>
      <w:r>
        <w:t xml:space="preserve"> varied across industries.</w:t>
      </w:r>
      <w:r w:rsidR="001254AF">
        <w:t xml:space="preserve"> </w:t>
      </w:r>
      <w:r>
        <w:t>For example,</w:t>
      </w:r>
      <w:r w:rsidR="003A2F34">
        <w:t xml:space="preserve"> retail </w:t>
      </w:r>
      <w:r>
        <w:t>businesses</w:t>
      </w:r>
      <w:r w:rsidR="003A2F34">
        <w:t xml:space="preserve"> </w:t>
      </w:r>
      <w:r w:rsidR="006002AB">
        <w:t>could</w:t>
      </w:r>
      <w:r w:rsidR="003A2F34">
        <w:t xml:space="preserve"> </w:t>
      </w:r>
      <w:r w:rsidR="00033E9B">
        <w:t>continue to operate in some form by shifting online</w:t>
      </w:r>
      <w:r w:rsidR="00672DFA">
        <w:t xml:space="preserve">, </w:t>
      </w:r>
      <w:r w:rsidR="001B0A01">
        <w:t>while sectors like</w:t>
      </w:r>
      <w:r w:rsidR="003653EB">
        <w:t xml:space="preserve"> transport </w:t>
      </w:r>
      <w:r w:rsidR="001B0A01">
        <w:t>also continued</w:t>
      </w:r>
      <w:r w:rsidR="003653EB">
        <w:t xml:space="preserve"> </w:t>
      </w:r>
      <w:r w:rsidR="00586178">
        <w:t xml:space="preserve">(although </w:t>
      </w:r>
      <w:r w:rsidR="007D41EF">
        <w:t>often</w:t>
      </w:r>
      <w:r w:rsidR="00586178">
        <w:t xml:space="preserve"> at </w:t>
      </w:r>
      <w:r w:rsidR="007D41EF">
        <w:t>reduced capacity</w:t>
      </w:r>
      <w:r w:rsidR="000630F2">
        <w:t xml:space="preserve">). </w:t>
      </w:r>
      <w:r w:rsidR="00E850E6">
        <w:t xml:space="preserve">The gradual easing </w:t>
      </w:r>
      <w:r w:rsidR="00EE11E4">
        <w:t>o</w:t>
      </w:r>
      <w:r w:rsidR="00E850E6">
        <w:t>f</w:t>
      </w:r>
      <w:r w:rsidR="000630F2">
        <w:t xml:space="preserve"> restrictions </w:t>
      </w:r>
      <w:r w:rsidR="00E850E6">
        <w:t>over time following the pandemic also varied based on industry, with some industries impacted for longer than others.</w:t>
      </w:r>
      <w:r w:rsidR="0078109D">
        <w:t xml:space="preserve"> </w:t>
      </w:r>
      <w:r w:rsidR="004F1D67">
        <w:t>For</w:t>
      </w:r>
      <w:r w:rsidR="0078109D">
        <w:t xml:space="preserve"> example</w:t>
      </w:r>
      <w:r w:rsidR="004F1D67">
        <w:t xml:space="preserve">, </w:t>
      </w:r>
      <w:r w:rsidR="0078109D">
        <w:t>restaurant</w:t>
      </w:r>
      <w:r w:rsidR="00E66CB2">
        <w:t>s were</w:t>
      </w:r>
      <w:r w:rsidR="0078109D">
        <w:t xml:space="preserve"> subject to density limits</w:t>
      </w:r>
      <w:r w:rsidR="00040AA0">
        <w:t xml:space="preserve">, travel restrictions and </w:t>
      </w:r>
      <w:r w:rsidR="00973967">
        <w:t xml:space="preserve">reduced foot traffic. </w:t>
      </w:r>
      <w:r w:rsidR="00790B83">
        <w:t>It was therefore important th</w:t>
      </w:r>
      <w:r w:rsidR="00F27117">
        <w:t>at</w:t>
      </w:r>
      <w:r w:rsidR="00790B83">
        <w:t xml:space="preserve"> </w:t>
      </w:r>
      <w:r w:rsidR="002E074B">
        <w:t>support was</w:t>
      </w:r>
      <w:r w:rsidR="00790B83">
        <w:t xml:space="preserve"> targeted toward</w:t>
      </w:r>
      <w:r w:rsidR="00CD44C8">
        <w:t>s</w:t>
      </w:r>
      <w:r w:rsidR="00790B83">
        <w:t xml:space="preserve"> industries that </w:t>
      </w:r>
      <w:r w:rsidR="004727AC">
        <w:t xml:space="preserve">were most in need </w:t>
      </w:r>
      <w:r w:rsidR="00D349B9">
        <w:t>at a particular time.</w:t>
      </w:r>
    </w:p>
    <w:p w14:paraId="2DAC79B1" w14:textId="29BB5828" w:rsidR="00027445" w:rsidRDefault="00A32923" w:rsidP="00021EF3">
      <w:r>
        <w:t>T</w:t>
      </w:r>
      <w:r w:rsidR="008A63C5">
        <w:t xml:space="preserve">he </w:t>
      </w:r>
      <w:r w:rsidR="00746003">
        <w:t xml:space="preserve">distribution of BCAP </w:t>
      </w:r>
      <w:r w:rsidR="00AE0207">
        <w:t>funding</w:t>
      </w:r>
      <w:r w:rsidR="00746003">
        <w:t xml:space="preserve"> </w:t>
      </w:r>
      <w:r w:rsidR="00AE0207">
        <w:t>across the top five industries was as</w:t>
      </w:r>
      <w:r w:rsidR="00746003">
        <w:t xml:space="preserve"> follows: </w:t>
      </w:r>
      <w:r w:rsidR="002336C1">
        <w:t>13</w:t>
      </w:r>
      <w:r w:rsidR="00D76CBA" w:rsidRPr="00D76CBA">
        <w:t xml:space="preserve"> </w:t>
      </w:r>
      <w:r w:rsidR="00D76CBA">
        <w:t>per cent</w:t>
      </w:r>
      <w:r w:rsidR="002336C1">
        <w:t xml:space="preserve"> went to </w:t>
      </w:r>
      <w:r w:rsidR="00A37498">
        <w:t>O</w:t>
      </w:r>
      <w:r w:rsidR="002336C1">
        <w:t xml:space="preserve">ther </w:t>
      </w:r>
      <w:r w:rsidR="00111D81">
        <w:t>T</w:t>
      </w:r>
      <w:r w:rsidR="002336C1">
        <w:t xml:space="preserve">ransport </w:t>
      </w:r>
      <w:r w:rsidR="00111D81">
        <w:t>S</w:t>
      </w:r>
      <w:r w:rsidR="002336C1">
        <w:t xml:space="preserve">upport </w:t>
      </w:r>
      <w:r w:rsidR="00111D81">
        <w:t>S</w:t>
      </w:r>
      <w:r w:rsidR="002336C1">
        <w:t>ervices</w:t>
      </w:r>
      <w:r w:rsidR="000B6645">
        <w:rPr>
          <w:rStyle w:val="FootnoteReference"/>
        </w:rPr>
        <w:footnoteReference w:id="3"/>
      </w:r>
      <w:r w:rsidR="00224F0D">
        <w:t>,</w:t>
      </w:r>
      <w:r w:rsidR="002336C1">
        <w:t xml:space="preserve"> </w:t>
      </w:r>
      <w:r w:rsidR="00852F01">
        <w:t>10</w:t>
      </w:r>
      <w:r w:rsidR="00D76CBA" w:rsidRPr="00D76CBA">
        <w:t xml:space="preserve"> </w:t>
      </w:r>
      <w:r w:rsidR="00D76CBA">
        <w:t>per cent</w:t>
      </w:r>
      <w:r w:rsidR="00852F01">
        <w:t xml:space="preserve"> to </w:t>
      </w:r>
      <w:r w:rsidR="00111D81">
        <w:t>T</w:t>
      </w:r>
      <w:r w:rsidR="002336C1">
        <w:t xml:space="preserve">axi </w:t>
      </w:r>
      <w:r w:rsidR="00111D81">
        <w:t>S</w:t>
      </w:r>
      <w:r w:rsidR="002336C1">
        <w:t xml:space="preserve">ervice </w:t>
      </w:r>
      <w:r w:rsidR="00111D81">
        <w:t>O</w:t>
      </w:r>
      <w:r w:rsidR="002336C1">
        <w:t>peration</w:t>
      </w:r>
      <w:r w:rsidR="00C5773B">
        <w:t xml:space="preserve"> (</w:t>
      </w:r>
      <w:r w:rsidR="00243C2E">
        <w:t>totalling</w:t>
      </w:r>
      <w:r w:rsidR="00C5773B">
        <w:t xml:space="preserve"> </w:t>
      </w:r>
      <w:r w:rsidR="005105D9">
        <w:t>23</w:t>
      </w:r>
      <w:r w:rsidR="00D76CBA" w:rsidRPr="00D76CBA">
        <w:t xml:space="preserve"> </w:t>
      </w:r>
      <w:r w:rsidR="00D76CBA">
        <w:t>per cent</w:t>
      </w:r>
      <w:r w:rsidR="005105D9">
        <w:t xml:space="preserve"> going to </w:t>
      </w:r>
      <w:r w:rsidR="00A21D49">
        <w:t>T</w:t>
      </w:r>
      <w:r w:rsidR="005105D9">
        <w:t>ransport</w:t>
      </w:r>
      <w:r w:rsidR="009557AA">
        <w:t xml:space="preserve"> services)</w:t>
      </w:r>
      <w:r w:rsidR="00453EE8">
        <w:t>, 9</w:t>
      </w:r>
      <w:r w:rsidR="00D76CBA" w:rsidRPr="00D76CBA">
        <w:t xml:space="preserve"> </w:t>
      </w:r>
      <w:r w:rsidR="00D76CBA">
        <w:t>per cent</w:t>
      </w:r>
      <w:r w:rsidR="00453EE8">
        <w:t xml:space="preserve"> to </w:t>
      </w:r>
      <w:r w:rsidR="00A77DD0">
        <w:t>C</w:t>
      </w:r>
      <w:r w:rsidR="00453EE8">
        <w:t xml:space="preserve">afes and </w:t>
      </w:r>
      <w:r w:rsidR="00A77DD0">
        <w:t>R</w:t>
      </w:r>
      <w:r w:rsidR="00453EE8">
        <w:t>estaurants</w:t>
      </w:r>
      <w:r w:rsidR="00DB6C1F">
        <w:t>, 7</w:t>
      </w:r>
      <w:r w:rsidR="00D76CBA" w:rsidRPr="00D76CBA">
        <w:t xml:space="preserve"> </w:t>
      </w:r>
      <w:r w:rsidR="00D76CBA">
        <w:t>per cent</w:t>
      </w:r>
      <w:r w:rsidR="00DB6C1F">
        <w:t xml:space="preserve"> to </w:t>
      </w:r>
      <w:r w:rsidR="00A77DD0">
        <w:t>H</w:t>
      </w:r>
      <w:r w:rsidR="00DB6C1F">
        <w:t xml:space="preserve">airdressing and </w:t>
      </w:r>
      <w:r w:rsidR="00A77DD0">
        <w:t>B</w:t>
      </w:r>
      <w:r w:rsidR="00DB6C1F">
        <w:t xml:space="preserve">eauty </w:t>
      </w:r>
      <w:r w:rsidR="00A77DD0">
        <w:t>S</w:t>
      </w:r>
      <w:r w:rsidR="00DB6C1F">
        <w:t>ervices and 6</w:t>
      </w:r>
      <w:r w:rsidR="00D76CBA" w:rsidRPr="00D76CBA">
        <w:t xml:space="preserve"> </w:t>
      </w:r>
      <w:r w:rsidR="00D76CBA">
        <w:t xml:space="preserve">per cent </w:t>
      </w:r>
      <w:r w:rsidR="00DB6C1F">
        <w:t xml:space="preserve">to </w:t>
      </w:r>
      <w:r w:rsidR="00A77DD0">
        <w:t>B</w:t>
      </w:r>
      <w:r w:rsidR="00DB6C1F">
        <w:t xml:space="preserve">uilding and </w:t>
      </w:r>
      <w:r w:rsidR="00A77DD0">
        <w:t>O</w:t>
      </w:r>
      <w:r w:rsidR="00DB6C1F">
        <w:t>the</w:t>
      </w:r>
      <w:r w:rsidR="004323DC">
        <w:t>r</w:t>
      </w:r>
      <w:r w:rsidR="00DB6C1F">
        <w:t xml:space="preserve"> </w:t>
      </w:r>
      <w:r w:rsidR="00A77DD0">
        <w:t>I</w:t>
      </w:r>
      <w:r w:rsidR="00DB6C1F">
        <w:t xml:space="preserve">ndustrial </w:t>
      </w:r>
      <w:r w:rsidR="00A77DD0">
        <w:t>C</w:t>
      </w:r>
      <w:r w:rsidR="00DB6C1F">
        <w:t xml:space="preserve">leaning </w:t>
      </w:r>
      <w:r w:rsidR="00A77DD0">
        <w:t>S</w:t>
      </w:r>
      <w:r w:rsidR="00DB6C1F">
        <w:t>ervices</w:t>
      </w:r>
      <w:r w:rsidR="00A83558">
        <w:t xml:space="preserve">. </w:t>
      </w:r>
      <w:r w:rsidR="001B6E79">
        <w:t xml:space="preserve">This distribution </w:t>
      </w:r>
      <w:r w:rsidR="00E95088">
        <w:t>broadly</w:t>
      </w:r>
      <w:r w:rsidR="001B6E79">
        <w:t xml:space="preserve"> aligns to industries </w:t>
      </w:r>
      <w:r w:rsidR="00F177D6">
        <w:t>that were significantly</w:t>
      </w:r>
      <w:r w:rsidR="001B6E79">
        <w:t xml:space="preserve"> </w:t>
      </w:r>
      <w:r w:rsidR="00E95088">
        <w:t>impacted by restrictions</w:t>
      </w:r>
      <w:r w:rsidR="00B4578A">
        <w:t>. For example,</w:t>
      </w:r>
      <w:r w:rsidR="0043077B">
        <w:t xml:space="preserve"> </w:t>
      </w:r>
      <w:r w:rsidR="00243D31">
        <w:t>H</w:t>
      </w:r>
      <w:r w:rsidR="0043077B">
        <w:t xml:space="preserve">airdressing and </w:t>
      </w:r>
      <w:r w:rsidR="00243D31">
        <w:t>B</w:t>
      </w:r>
      <w:r w:rsidR="0043077B">
        <w:t xml:space="preserve">eauty services </w:t>
      </w:r>
      <w:r w:rsidR="00F177D6">
        <w:t>faced</w:t>
      </w:r>
      <w:r w:rsidR="0043077B">
        <w:t xml:space="preserve"> extensive restrictions and shutdown periods and are often employing businesses with rental and utility costs.</w:t>
      </w:r>
      <w:r w:rsidR="00E02355">
        <w:t xml:space="preserve"> </w:t>
      </w:r>
    </w:p>
    <w:p w14:paraId="615BF196" w14:textId="32491762" w:rsidR="009A0BE9" w:rsidRDefault="00A111FF" w:rsidP="00021EF3">
      <w:pPr>
        <w:pStyle w:val="CaptionChart"/>
      </w:pPr>
      <w:r>
        <w:lastRenderedPageBreak/>
        <w:t>:</w:t>
      </w:r>
      <w:r w:rsidR="009A0BE9">
        <w:t xml:space="preserve"> Top 5 ANZSIC </w:t>
      </w:r>
      <w:r w:rsidR="00886421">
        <w:t>class by total BCAP grant value</w:t>
      </w:r>
      <w:r w:rsidR="00852620">
        <w:t>.</w:t>
      </w:r>
      <w:r w:rsidR="00886421">
        <w:t xml:space="preserve"> </w:t>
      </w:r>
    </w:p>
    <w:p w14:paraId="24B20C1C" w14:textId="29868BFD" w:rsidR="00434C2D" w:rsidRDefault="009A0BE9" w:rsidP="00021EF3">
      <w:r w:rsidRPr="009A0BE9">
        <w:rPr>
          <w:noProof/>
        </w:rPr>
        <w:drawing>
          <wp:inline distT="0" distB="0" distL="0" distR="0" wp14:anchorId="256739AD" wp14:editId="7A5EEE95">
            <wp:extent cx="5506720" cy="2371725"/>
            <wp:effectExtent l="0" t="0" r="0" b="0"/>
            <wp:docPr id="99" name="Picture 99" descr="A bar chart that shows the top five ANZSIC class by total BCAP grant value received. Number 1 is other transport support services, who received 13% of the total BCAP grants and over $600,000. Second is Taxi Service Operation with 10% of total BCAP grants, at $500,000, Cafes and restaurants received 9%, at approximately $450,000, Hairdressing and Beauty Services received 7% at approximately $350,000 and Building and other industrial cleaning services  receiving 6% at approximately $2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bar chart that shows the top five ANZSIC class by total BCAP grant value received. Number 1 is other transport support services, who received 13% of the total BCAP grants and over $600,000. Second is Taxi Service Operation with 10% of total BCAP grants, at $500,000, Cafes and restaurants received 9%, at approximately $450,000, Hairdressing and Beauty Services received 7% at approximately $350,000 and Building and other industrial cleaning services  receiving 6% at approximately $280,0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6720" cy="2371725"/>
                    </a:xfrm>
                    <a:prstGeom prst="rect">
                      <a:avLst/>
                    </a:prstGeom>
                    <a:noFill/>
                    <a:ln>
                      <a:noFill/>
                    </a:ln>
                  </pic:spPr>
                </pic:pic>
              </a:graphicData>
            </a:graphic>
          </wp:inline>
        </w:drawing>
      </w:r>
    </w:p>
    <w:p w14:paraId="366A2081" w14:textId="7720D8C5" w:rsidR="009A0BE9" w:rsidRDefault="009A0BE9" w:rsidP="00021EF3">
      <w:pPr>
        <w:pStyle w:val="Source"/>
      </w:pPr>
      <w:r>
        <w:t>Source: Deloitte Access Economics</w:t>
      </w:r>
      <w:r w:rsidR="00CA33F1">
        <w:t>.</w:t>
      </w:r>
    </w:p>
    <w:p w14:paraId="438E8DBC" w14:textId="2C72557B" w:rsidR="00DE1870" w:rsidRDefault="009606DC" w:rsidP="00021EF3">
      <w:r>
        <w:t>B</w:t>
      </w:r>
      <w:r w:rsidR="004F5C08">
        <w:t>usinesses</w:t>
      </w:r>
      <w:r w:rsidR="007F0A85">
        <w:t xml:space="preserve"> based </w:t>
      </w:r>
      <w:r w:rsidR="004F5C08">
        <w:t>i</w:t>
      </w:r>
      <w:r w:rsidR="007F0A85">
        <w:t>n</w:t>
      </w:r>
      <w:r w:rsidR="00032827">
        <w:t xml:space="preserve"> </w:t>
      </w:r>
      <w:r w:rsidR="00D54725">
        <w:t>m</w:t>
      </w:r>
      <w:r w:rsidR="00032827">
        <w:t>etropolitan Melbourne</w:t>
      </w:r>
      <w:r>
        <w:t xml:space="preserve"> received</w:t>
      </w:r>
      <w:r w:rsidR="004F5C08">
        <w:t xml:space="preserve"> 90</w:t>
      </w:r>
      <w:r w:rsidR="00D76CBA" w:rsidRPr="00D76CBA">
        <w:t xml:space="preserve"> </w:t>
      </w:r>
      <w:r w:rsidR="00D76CBA">
        <w:t xml:space="preserve">per cent </w:t>
      </w:r>
      <w:r w:rsidR="00E66F0F">
        <w:t>of BCAP funding</w:t>
      </w:r>
      <w:r w:rsidR="00CA43A8">
        <w:t>, with the remaining</w:t>
      </w:r>
      <w:r w:rsidR="00D54725">
        <w:t xml:space="preserve"> 10</w:t>
      </w:r>
      <w:r w:rsidR="00D76CBA" w:rsidRPr="00D76CBA">
        <w:t xml:space="preserve"> </w:t>
      </w:r>
      <w:r w:rsidR="00D76CBA">
        <w:t>per cent</w:t>
      </w:r>
      <w:r w:rsidR="00CA43A8">
        <w:t xml:space="preserve"> going to regional businesses</w:t>
      </w:r>
      <w:r w:rsidR="0099032A">
        <w:t>.</w:t>
      </w:r>
      <w:r w:rsidR="008368BF">
        <w:t xml:space="preserve"> </w:t>
      </w:r>
      <w:r w:rsidR="008368BF" w:rsidRPr="00A26756">
        <w:t xml:space="preserve">While regional Victoria </w:t>
      </w:r>
      <w:r w:rsidR="00AF3800" w:rsidRPr="00A26756">
        <w:t>m</w:t>
      </w:r>
      <w:r w:rsidR="008368BF" w:rsidRPr="00A26756">
        <w:t xml:space="preserve">akes </w:t>
      </w:r>
      <w:r w:rsidR="00C87919">
        <w:t>up</w:t>
      </w:r>
      <w:r w:rsidR="008368BF" w:rsidRPr="00A26756">
        <w:t xml:space="preserve"> </w:t>
      </w:r>
      <w:r w:rsidR="00755FCE">
        <w:t>15.9</w:t>
      </w:r>
      <w:r w:rsidR="008368BF" w:rsidRPr="00A26756">
        <w:t xml:space="preserve"> </w:t>
      </w:r>
      <w:r w:rsidR="00D76CBA">
        <w:t>per cent</w:t>
      </w:r>
      <w:r w:rsidR="008368BF" w:rsidRPr="00A26756">
        <w:t xml:space="preserve"> of the to</w:t>
      </w:r>
      <w:r w:rsidR="00AF3800" w:rsidRPr="00A26756">
        <w:t>t</w:t>
      </w:r>
      <w:r w:rsidR="008368BF" w:rsidRPr="00A26756">
        <w:t>a</w:t>
      </w:r>
      <w:r w:rsidR="00AF3800" w:rsidRPr="00A26756">
        <w:t xml:space="preserve">l number of businesses in Victoria, </w:t>
      </w:r>
      <w:r w:rsidR="00A52243">
        <w:t xml:space="preserve">it contributes </w:t>
      </w:r>
      <w:r w:rsidR="003A393A">
        <w:t>18.2</w:t>
      </w:r>
      <w:r w:rsidR="00A94B62">
        <w:t xml:space="preserve"> per cent</w:t>
      </w:r>
      <w:r w:rsidR="003A393A">
        <w:t xml:space="preserve"> </w:t>
      </w:r>
      <w:r w:rsidR="000250B8">
        <w:t>of</w:t>
      </w:r>
      <w:r w:rsidR="004E3F6D" w:rsidRPr="00A26756">
        <w:t xml:space="preserve"> </w:t>
      </w:r>
      <w:r w:rsidR="00DB0BCA" w:rsidRPr="00A26756">
        <w:t>Victoria’s GSP</w:t>
      </w:r>
      <w:r w:rsidR="00325B8D" w:rsidRPr="00A26756">
        <w:t>.</w:t>
      </w:r>
      <w:r w:rsidR="004169DE">
        <w:rPr>
          <w:rStyle w:val="EndnoteReference"/>
        </w:rPr>
        <w:endnoteReference w:id="25"/>
      </w:r>
      <w:r w:rsidR="00A26756">
        <w:t xml:space="preserve"> </w:t>
      </w:r>
      <w:r w:rsidR="00585992">
        <w:t xml:space="preserve">Within </w:t>
      </w:r>
      <w:r w:rsidR="00AD01D4">
        <w:t>m</w:t>
      </w:r>
      <w:r w:rsidR="00B21C86">
        <w:t>etropolitan</w:t>
      </w:r>
      <w:r w:rsidR="00585992">
        <w:t xml:space="preserve"> Melbourne, the top five</w:t>
      </w:r>
      <w:r w:rsidR="00043B54">
        <w:t xml:space="preserve"> </w:t>
      </w:r>
      <w:r w:rsidR="009A2DB0">
        <w:t xml:space="preserve">LGAs </w:t>
      </w:r>
      <w:r w:rsidR="00043B54">
        <w:t>(by</w:t>
      </w:r>
      <w:r w:rsidR="00F753FE">
        <w:t xml:space="preserve"> total grant value)</w:t>
      </w:r>
      <w:r w:rsidR="00DA594A" w:rsidRPr="00CB688F">
        <w:t xml:space="preserve"> consisted of </w:t>
      </w:r>
      <w:r w:rsidR="009B045E" w:rsidRPr="00CB688F">
        <w:t xml:space="preserve">four outer-metro </w:t>
      </w:r>
      <w:r w:rsidR="006164F6">
        <w:t>areas</w:t>
      </w:r>
      <w:r w:rsidR="009B045E" w:rsidRPr="00CB688F">
        <w:t xml:space="preserve"> (Wyndham</w:t>
      </w:r>
      <w:r w:rsidR="00563E13" w:rsidRPr="00CB688F">
        <w:t xml:space="preserve"> City Council, Casey City Council, Hume City Council and </w:t>
      </w:r>
      <w:proofErr w:type="spellStart"/>
      <w:r w:rsidR="00563E13" w:rsidRPr="00CB688F">
        <w:t>Brimbank</w:t>
      </w:r>
      <w:proofErr w:type="spellEnd"/>
      <w:r w:rsidR="00563E13" w:rsidRPr="00CB688F">
        <w:t xml:space="preserve"> City Council) and one inner-metro </w:t>
      </w:r>
      <w:r w:rsidR="006164F6">
        <w:t>area</w:t>
      </w:r>
      <w:r w:rsidR="00563E13" w:rsidRPr="00CB688F">
        <w:t xml:space="preserve"> (Melbourne City Council)</w:t>
      </w:r>
      <w:r w:rsidR="002E11C6">
        <w:t xml:space="preserve">. </w:t>
      </w:r>
      <w:r w:rsidR="00E02089">
        <w:t xml:space="preserve">This </w:t>
      </w:r>
      <w:r w:rsidR="00152D4F">
        <w:t>generally aligns</w:t>
      </w:r>
      <w:r w:rsidR="00E02089">
        <w:t xml:space="preserve"> with the areas that felt the most severe effects of the COVID</w:t>
      </w:r>
      <w:r w:rsidR="0011004E">
        <w:t>-19</w:t>
      </w:r>
      <w:r w:rsidR="00E02089">
        <w:t xml:space="preserve"> </w:t>
      </w:r>
      <w:r w:rsidR="008C1110">
        <w:t>lockdowns and</w:t>
      </w:r>
      <w:r w:rsidR="003A261E">
        <w:t xml:space="preserve"> would have the most need for emergency funds</w:t>
      </w:r>
      <w:r w:rsidR="000967AE">
        <w:t>.</w:t>
      </w:r>
      <w:r w:rsidR="00E02089">
        <w:t xml:space="preserve"> </w:t>
      </w:r>
      <w:r w:rsidR="000967AE">
        <w:t>M</w:t>
      </w:r>
      <w:r w:rsidR="00E02089">
        <w:t>etro</w:t>
      </w:r>
      <w:r w:rsidR="001808C4">
        <w:t>politan</w:t>
      </w:r>
      <w:r w:rsidR="00E02089">
        <w:t xml:space="preserve"> Melbourne </w:t>
      </w:r>
      <w:r w:rsidR="000967AE">
        <w:t>experienced</w:t>
      </w:r>
      <w:r w:rsidR="00C94C1C">
        <w:t xml:space="preserve"> </w:t>
      </w:r>
      <w:r w:rsidR="00631DA2">
        <w:t xml:space="preserve">a significant period of time in lockdown and further time with </w:t>
      </w:r>
      <w:r w:rsidR="005137BE">
        <w:t>public health restrictions</w:t>
      </w:r>
      <w:r w:rsidR="00AF48F2">
        <w:t xml:space="preserve"> </w:t>
      </w:r>
      <w:r w:rsidR="00A52012">
        <w:t>in place</w:t>
      </w:r>
      <w:r w:rsidR="00AF48F2">
        <w:t xml:space="preserve"> such as capacity limits and </w:t>
      </w:r>
      <w:r w:rsidR="00837BDB">
        <w:t xml:space="preserve">travel </w:t>
      </w:r>
      <w:r w:rsidR="000D1CDC">
        <w:t>limitations</w:t>
      </w:r>
      <w:r w:rsidR="005137BE">
        <w:t xml:space="preserve">. However, </w:t>
      </w:r>
      <w:r w:rsidR="00AE3FBB">
        <w:t>it should be noted that</w:t>
      </w:r>
      <w:r w:rsidR="005137BE">
        <w:t xml:space="preserve"> </w:t>
      </w:r>
      <w:r w:rsidR="0018292B">
        <w:t>regional Victoria was also severely impacted</w:t>
      </w:r>
      <w:r w:rsidR="00B345A2">
        <w:t xml:space="preserve"> by</w:t>
      </w:r>
      <w:r w:rsidR="004A117F">
        <w:t xml:space="preserve"> rapidly changing restrictions in regional areas (which </w:t>
      </w:r>
      <w:r w:rsidR="00B345A2">
        <w:t xml:space="preserve">often varied </w:t>
      </w:r>
      <w:r w:rsidR="00E12D52">
        <w:t>by location)</w:t>
      </w:r>
      <w:r w:rsidR="004A117F">
        <w:t>,</w:t>
      </w:r>
      <w:r w:rsidR="0018292B">
        <w:t xml:space="preserve"> but also</w:t>
      </w:r>
      <w:r w:rsidR="005137BE">
        <w:t xml:space="preserve"> </w:t>
      </w:r>
      <w:r w:rsidR="006B40D1">
        <w:t xml:space="preserve">through </w:t>
      </w:r>
      <w:r w:rsidR="001E069F">
        <w:t xml:space="preserve">travel bans </w:t>
      </w:r>
      <w:r w:rsidR="00F85A4D">
        <w:t>which</w:t>
      </w:r>
      <w:r w:rsidR="001E069F">
        <w:t xml:space="preserve"> </w:t>
      </w:r>
      <w:r w:rsidR="009A6AC8">
        <w:t>significantly</w:t>
      </w:r>
      <w:r w:rsidR="001E069F">
        <w:t xml:space="preserve"> reduc</w:t>
      </w:r>
      <w:r w:rsidR="00F85A4D">
        <w:t>ed</w:t>
      </w:r>
      <w:r w:rsidR="001E069F">
        <w:t xml:space="preserve"> </w:t>
      </w:r>
      <w:r w:rsidR="003171F0">
        <w:t>(and often entirely negat</w:t>
      </w:r>
      <w:r w:rsidR="00D861FB">
        <w:t>ed</w:t>
      </w:r>
      <w:r w:rsidR="003171F0">
        <w:t>) visitation and tourism activity that many regional businesses are dependent on.</w:t>
      </w:r>
      <w:r w:rsidR="00100040">
        <w:t xml:space="preserve"> </w:t>
      </w:r>
    </w:p>
    <w:p w14:paraId="535E8FF1" w14:textId="77777777" w:rsidR="00FD1C0C" w:rsidRDefault="00FD1C0C" w:rsidP="00021EF3">
      <w:r>
        <w:t>The grant guidelines also articulated the specific purposes for which grant funds were intended to be used. This included:</w:t>
      </w:r>
    </w:p>
    <w:p w14:paraId="6DC4EE0F" w14:textId="7184D5D0" w:rsidR="00FD1C0C" w:rsidRDefault="005E4DB2" w:rsidP="00021EF3">
      <w:pPr>
        <w:pStyle w:val="ListBullet"/>
      </w:pPr>
      <w:r>
        <w:t>meeting</w:t>
      </w:r>
      <w:r w:rsidR="00FD1C0C">
        <w:t xml:space="preserve"> business costs, including utilities, wages or </w:t>
      </w:r>
      <w:proofErr w:type="gramStart"/>
      <w:r w:rsidR="00FD1C0C">
        <w:t>rent</w:t>
      </w:r>
      <w:r w:rsidR="00C74206" w:rsidRPr="00571CBE">
        <w:t>;</w:t>
      </w:r>
      <w:proofErr w:type="gramEnd"/>
    </w:p>
    <w:p w14:paraId="36EDA9AA" w14:textId="66CF1953" w:rsidR="00FD1C0C" w:rsidRDefault="005E4DB2" w:rsidP="00021EF3">
      <w:pPr>
        <w:pStyle w:val="ListBullet"/>
      </w:pPr>
      <w:r>
        <w:t>seeking</w:t>
      </w:r>
      <w:r w:rsidR="00FD1C0C">
        <w:t xml:space="preserve"> financial, legal or other advice to support business continuity </w:t>
      </w:r>
      <w:proofErr w:type="gramStart"/>
      <w:r w:rsidR="00FD1C0C">
        <w:t>planning</w:t>
      </w:r>
      <w:r w:rsidR="00C74206" w:rsidRPr="00571CBE">
        <w:t>;</w:t>
      </w:r>
      <w:proofErr w:type="gramEnd"/>
    </w:p>
    <w:p w14:paraId="5692AE1B" w14:textId="786DCB35" w:rsidR="00FD1C0C" w:rsidRDefault="005E4DB2" w:rsidP="00021EF3">
      <w:pPr>
        <w:pStyle w:val="ListBullet"/>
      </w:pPr>
      <w:r>
        <w:t>developing</w:t>
      </w:r>
      <w:r w:rsidR="00FD1C0C">
        <w:t xml:space="preserve"> the business through marketing and communications activities</w:t>
      </w:r>
      <w:r w:rsidR="00C74206" w:rsidRPr="00571CBE">
        <w:t xml:space="preserve">; and </w:t>
      </w:r>
    </w:p>
    <w:p w14:paraId="542E295C" w14:textId="0C92B5C0" w:rsidR="00FD1C0C" w:rsidRDefault="005E4DB2" w:rsidP="00021EF3">
      <w:pPr>
        <w:pStyle w:val="ListBullet"/>
      </w:pPr>
      <w:r>
        <w:t>any</w:t>
      </w:r>
      <w:r w:rsidR="00FD1C0C">
        <w:t xml:space="preserve"> other supporting activities related to the operation of the business.</w:t>
      </w:r>
    </w:p>
    <w:p w14:paraId="10959C6E" w14:textId="7808D5DD" w:rsidR="00FD1C0C" w:rsidRDefault="00AC1F75" w:rsidP="00021EF3">
      <w:pPr>
        <w:spacing w:before="160"/>
      </w:pPr>
      <w:r>
        <w:t>Information from the</w:t>
      </w:r>
      <w:r w:rsidR="00FD1C0C">
        <w:t xml:space="preserve"> business survey</w:t>
      </w:r>
      <w:r>
        <w:t xml:space="preserve"> indicates that</w:t>
      </w:r>
      <w:r w:rsidR="00FD1C0C">
        <w:t xml:space="preserve"> grants were generally used for these intended purposes, including cost coverage and paying wages (</w:t>
      </w:r>
      <w:r w:rsidR="00FD1C0C" w:rsidRPr="00E463B3">
        <w:t xml:space="preserve">see </w:t>
      </w:r>
      <w:r w:rsidR="00CC41B3">
        <w:fldChar w:fldCharType="begin"/>
      </w:r>
      <w:r w:rsidR="00CC41B3">
        <w:instrText xml:space="preserve"> REF _Ref173916243 \r \h </w:instrText>
      </w:r>
      <w:r w:rsidR="00021EF3">
        <w:instrText xml:space="preserve"> \* MERGEFORMAT </w:instrText>
      </w:r>
      <w:r w:rsidR="00CC41B3">
        <w:fldChar w:fldCharType="separate"/>
      </w:r>
      <w:r w:rsidR="0016271C">
        <w:t>Appendix D</w:t>
      </w:r>
      <w:r w:rsidR="00CC41B3">
        <w:fldChar w:fldCharType="end"/>
      </w:r>
      <w:r w:rsidR="008E45A2">
        <w:t xml:space="preserve"> and </w:t>
      </w:r>
      <w:r w:rsidR="00414172" w:rsidRPr="00E463B3">
        <w:t xml:space="preserve">Appendix </w:t>
      </w:r>
      <w:r w:rsidR="00C75A0E" w:rsidRPr="00E463B3">
        <w:fldChar w:fldCharType="begin"/>
      </w:r>
      <w:r w:rsidR="00C75A0E" w:rsidRPr="00E463B3">
        <w:instrText xml:space="preserve"> REF _Ref173309597 \r \h </w:instrText>
      </w:r>
      <w:r w:rsidR="00E463B3" w:rsidRPr="00E463B3">
        <w:instrText xml:space="preserve"> \* MERGEFORMAT </w:instrText>
      </w:r>
      <w:r w:rsidR="00C75A0E" w:rsidRPr="00E463B3">
        <w:fldChar w:fldCharType="separate"/>
      </w:r>
      <w:r w:rsidR="0016271C">
        <w:t>Chart E.11</w:t>
      </w:r>
      <w:r w:rsidR="00C75A0E" w:rsidRPr="00E463B3">
        <w:fldChar w:fldCharType="end"/>
      </w:r>
      <w:r w:rsidR="00FD1C0C">
        <w:t>). However, beyond the self-reported data collected through the business survey, it is difficult to determine with certainty the exact nature of how grant funds were used.</w:t>
      </w:r>
    </w:p>
    <w:p w14:paraId="51800526" w14:textId="687303F7" w:rsidR="006703A8" w:rsidRPr="006703A8" w:rsidRDefault="006703A8" w:rsidP="00021EF3">
      <w:pPr>
        <w:pStyle w:val="Heading3un-numbered"/>
      </w:pPr>
      <w:bookmarkStart w:id="305" w:name="_Toc173244964"/>
      <w:bookmarkStart w:id="306" w:name="_Toc173245879"/>
      <w:bookmarkStart w:id="307" w:name="_Toc173246308"/>
      <w:bookmarkStart w:id="308" w:name="_Toc173308300"/>
      <w:bookmarkStart w:id="309" w:name="_Toc173344719"/>
      <w:bookmarkStart w:id="310" w:name="_Toc173344946"/>
      <w:bookmarkStart w:id="311" w:name="_Toc173915901"/>
      <w:bookmarkStart w:id="312" w:name="_Toc174118142"/>
      <w:bookmarkStart w:id="313" w:name="_Toc176516261"/>
      <w:r w:rsidRPr="006703A8">
        <w:t>LHVF</w:t>
      </w:r>
      <w:bookmarkEnd w:id="305"/>
      <w:bookmarkEnd w:id="306"/>
      <w:bookmarkEnd w:id="307"/>
      <w:bookmarkEnd w:id="308"/>
      <w:bookmarkEnd w:id="309"/>
      <w:bookmarkEnd w:id="310"/>
      <w:bookmarkEnd w:id="311"/>
      <w:bookmarkEnd w:id="312"/>
      <w:bookmarkEnd w:id="313"/>
    </w:p>
    <w:p w14:paraId="121FF617" w14:textId="139EE3A0" w:rsidR="00A71591" w:rsidRDefault="003A7065" w:rsidP="00021EF3">
      <w:r>
        <w:t xml:space="preserve">LHVF was </w:t>
      </w:r>
      <w:r w:rsidR="00FA73D2">
        <w:t xml:space="preserve">specifically targeted to </w:t>
      </w:r>
      <w:r w:rsidR="00D8226D">
        <w:t>support licen</w:t>
      </w:r>
      <w:r w:rsidR="00AE476C">
        <w:t>s</w:t>
      </w:r>
      <w:r w:rsidR="00D8226D">
        <w:t>ed hospitality</w:t>
      </w:r>
      <w:r w:rsidR="00F73F5A">
        <w:t xml:space="preserve"> businesses</w:t>
      </w:r>
      <w:r w:rsidR="00D8226D">
        <w:t xml:space="preserve"> and venues</w:t>
      </w:r>
      <w:r w:rsidR="004040B7">
        <w:t>. It s</w:t>
      </w:r>
      <w:r w:rsidR="00EF06E1">
        <w:t>ought to</w:t>
      </w:r>
      <w:r w:rsidR="00A31821">
        <w:t xml:space="preserve"> aid those businesses </w:t>
      </w:r>
      <w:r w:rsidR="00EF06E1">
        <w:t>to</w:t>
      </w:r>
      <w:r w:rsidR="00A31821">
        <w:t xml:space="preserve"> covering unavoidable costs</w:t>
      </w:r>
      <w:r w:rsidR="00C53058">
        <w:t>,</w:t>
      </w:r>
      <w:r w:rsidR="009A08B9">
        <w:t xml:space="preserve"> such as staff wages</w:t>
      </w:r>
      <w:r w:rsidR="0049285C">
        <w:t>, rent and utilities</w:t>
      </w:r>
      <w:r w:rsidR="00BF1541">
        <w:t>.</w:t>
      </w:r>
      <w:r w:rsidR="007960C4">
        <w:t xml:space="preserve"> </w:t>
      </w:r>
      <w:r w:rsidR="005A18E8">
        <w:t>LHVF was successful in delivering financial aid to the intended recipients</w:t>
      </w:r>
      <w:r w:rsidR="00BF1541">
        <w:t xml:space="preserve">, </w:t>
      </w:r>
      <w:r w:rsidR="00821FF7">
        <w:t>deliver</w:t>
      </w:r>
      <w:r w:rsidR="00BF1541">
        <w:t>ing</w:t>
      </w:r>
      <w:r w:rsidR="00821FF7">
        <w:t xml:space="preserve"> a total of $1.3 billion over a 31-month period</w:t>
      </w:r>
      <w:r w:rsidR="00055526">
        <w:t xml:space="preserve"> to 9,76</w:t>
      </w:r>
      <w:r w:rsidR="00C66B87">
        <w:t>4</w:t>
      </w:r>
      <w:r w:rsidR="000D04FC">
        <w:t xml:space="preserve"> eligible</w:t>
      </w:r>
      <w:r w:rsidR="00055526">
        <w:t xml:space="preserve"> businesse</w:t>
      </w:r>
      <w:r w:rsidR="0028752E">
        <w:t>s</w:t>
      </w:r>
      <w:r w:rsidR="00EF2EFB">
        <w:t xml:space="preserve"> between September 2020 and April 2023</w:t>
      </w:r>
      <w:r w:rsidR="00AD5B13">
        <w:t>.</w:t>
      </w:r>
      <w:r w:rsidR="00BF1541">
        <w:t xml:space="preserve"> </w:t>
      </w:r>
      <w:r w:rsidR="00EC1D31">
        <w:t xml:space="preserve">LHVF was delivered over </w:t>
      </w:r>
      <w:r w:rsidR="00937D66">
        <w:t>seven rounds (inclusive of top-ups)</w:t>
      </w:r>
      <w:r w:rsidR="0065112B">
        <w:t xml:space="preserve"> to eligible businesses. </w:t>
      </w:r>
    </w:p>
    <w:p w14:paraId="2AA32EF1" w14:textId="3BBD0983" w:rsidR="00E31004" w:rsidRDefault="00A058F4" w:rsidP="00021EF3">
      <w:r>
        <w:t>Approximately 98 per</w:t>
      </w:r>
      <w:r w:rsidR="00C8673C">
        <w:t xml:space="preserve"> </w:t>
      </w:r>
      <w:r>
        <w:t xml:space="preserve">cent </w:t>
      </w:r>
      <w:r w:rsidR="00E31004">
        <w:t>of LHVF grants went to employing businesses</w:t>
      </w:r>
      <w:r w:rsidR="002479ED">
        <w:t>.</w:t>
      </w:r>
      <w:r w:rsidR="00C971F0">
        <w:t xml:space="preserve"> This</w:t>
      </w:r>
      <w:r w:rsidR="00B43766">
        <w:t xml:space="preserve"> aligns with the intent of the program </w:t>
      </w:r>
      <w:r w:rsidR="0093187C">
        <w:t xml:space="preserve">being </w:t>
      </w:r>
      <w:r w:rsidR="00B90423">
        <w:t>to</w:t>
      </w:r>
      <w:r w:rsidR="00B43766">
        <w:t xml:space="preserve"> support employment outcomes</w:t>
      </w:r>
      <w:r w:rsidR="009912FB">
        <w:t xml:space="preserve">. </w:t>
      </w:r>
      <w:r w:rsidR="00E14FD7">
        <w:t>Employing m</w:t>
      </w:r>
      <w:r w:rsidR="00E26EAB">
        <w:t>icro</w:t>
      </w:r>
      <w:r w:rsidR="00305395">
        <w:t xml:space="preserve"> businesses received </w:t>
      </w:r>
      <w:r w:rsidR="000C1BCA">
        <w:t>2</w:t>
      </w:r>
      <w:r w:rsidR="00E14FD7">
        <w:t>3</w:t>
      </w:r>
      <w:r w:rsidR="003C1664">
        <w:t xml:space="preserve"> per cent</w:t>
      </w:r>
      <w:r w:rsidR="001A5198">
        <w:t xml:space="preserve"> </w:t>
      </w:r>
      <w:r w:rsidR="001F39BE">
        <w:t xml:space="preserve">of the grants, </w:t>
      </w:r>
      <w:r w:rsidR="0059226B">
        <w:t xml:space="preserve">other small businesses received </w:t>
      </w:r>
      <w:r w:rsidR="00533183">
        <w:t>4</w:t>
      </w:r>
      <w:r w:rsidR="0059226B">
        <w:t>7</w:t>
      </w:r>
      <w:r w:rsidR="003C1664">
        <w:t xml:space="preserve"> per cent</w:t>
      </w:r>
      <w:r w:rsidR="001C640C">
        <w:t>, medium businesses</w:t>
      </w:r>
      <w:r w:rsidR="008613BB">
        <w:t xml:space="preserve"> received</w:t>
      </w:r>
      <w:r w:rsidR="001C640C">
        <w:t xml:space="preserve"> </w:t>
      </w:r>
      <w:r w:rsidR="00C70D1B">
        <w:t>2</w:t>
      </w:r>
      <w:r w:rsidR="0006784E">
        <w:t>8</w:t>
      </w:r>
      <w:r w:rsidR="003C1664">
        <w:t xml:space="preserve"> per cent</w:t>
      </w:r>
      <w:r w:rsidR="004E3BF9">
        <w:t xml:space="preserve"> </w:t>
      </w:r>
      <w:r w:rsidR="008613BB">
        <w:t>while</w:t>
      </w:r>
      <w:r w:rsidR="004E3BF9">
        <w:t xml:space="preserve"> large businesses</w:t>
      </w:r>
      <w:r w:rsidR="008613BB">
        <w:t xml:space="preserve"> received </w:t>
      </w:r>
      <w:r w:rsidR="0006784E">
        <w:t xml:space="preserve">less than </w:t>
      </w:r>
      <w:r w:rsidR="004E3BF9">
        <w:t>1 percent</w:t>
      </w:r>
      <w:r w:rsidR="00B43766">
        <w:t>.</w:t>
      </w:r>
    </w:p>
    <w:p w14:paraId="2A22CF09" w14:textId="43F0E5D5" w:rsidR="003B3825" w:rsidRDefault="00A111FF" w:rsidP="00021EF3">
      <w:pPr>
        <w:pStyle w:val="CaptionChart"/>
      </w:pPr>
      <w:r>
        <w:lastRenderedPageBreak/>
        <w:t>:</w:t>
      </w:r>
      <w:r w:rsidR="003B3825">
        <w:t xml:space="preserve"> Distribution of LHVF by </w:t>
      </w:r>
      <w:r w:rsidR="00942176">
        <w:t>number of employees in the business</w:t>
      </w:r>
      <w:r w:rsidR="00FC0D00">
        <w:t>.</w:t>
      </w:r>
    </w:p>
    <w:p w14:paraId="7475FCF1" w14:textId="0175287F" w:rsidR="00677BF8" w:rsidRDefault="00137DD9" w:rsidP="00021EF3">
      <w:r>
        <w:rPr>
          <w:noProof/>
        </w:rPr>
        <w:drawing>
          <wp:inline distT="0" distB="0" distL="0" distR="0" wp14:anchorId="0B3009A5" wp14:editId="4C1D284B">
            <wp:extent cx="2914022" cy="2471201"/>
            <wp:effectExtent l="0" t="0" r="635" b="5715"/>
            <wp:docPr id="202965812" name="Picture 202965812" descr="A pie chart showing the distribution of LHVF grants by number of employees. Businesses with no employees received 2% of the grants, businesses with 1 to 4 employees received 23%, businesses with 5 to 19 employees received 47%, businesses with 20 to 99 employees received 26% and businesses with a hundred employees or more received 2% of the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5812" name="Picture 202965812" descr="A pie chart showing the distribution of LHVF grants by number of employees. Businesses with no employees received 2% of the grants, businesses with 1 to 4 employees received 23%, businesses with 5 to 19 employees received 47%, businesses with 20 to 99 employees received 26% and businesses with a hundred employees or more received 2% of the grant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871" r="15412"/>
                    <a:stretch/>
                  </pic:blipFill>
                  <pic:spPr bwMode="auto">
                    <a:xfrm>
                      <a:off x="0" y="0"/>
                      <a:ext cx="2927867" cy="2482942"/>
                    </a:xfrm>
                    <a:prstGeom prst="rect">
                      <a:avLst/>
                    </a:prstGeom>
                    <a:noFill/>
                    <a:ln>
                      <a:noFill/>
                    </a:ln>
                    <a:extLst>
                      <a:ext uri="{53640926-AAD7-44D8-BBD7-CCE9431645EC}">
                        <a14:shadowObscured xmlns:a14="http://schemas.microsoft.com/office/drawing/2010/main"/>
                      </a:ext>
                    </a:extLst>
                  </pic:spPr>
                </pic:pic>
              </a:graphicData>
            </a:graphic>
          </wp:inline>
        </w:drawing>
      </w:r>
    </w:p>
    <w:p w14:paraId="3BD7A1DA" w14:textId="56D38FE3" w:rsidR="00DC1D39" w:rsidRDefault="00DC1D39" w:rsidP="00021EF3">
      <w:pPr>
        <w:pStyle w:val="Source"/>
      </w:pPr>
      <w:r>
        <w:t>Source: Deloitte Access Economics</w:t>
      </w:r>
      <w:r w:rsidR="00CA33F1">
        <w:t>.</w:t>
      </w:r>
    </w:p>
    <w:p w14:paraId="35439374" w14:textId="518F3C47" w:rsidR="00786B46" w:rsidRDefault="00D97423" w:rsidP="00021EF3">
      <w:r>
        <w:t xml:space="preserve">As outlined in this report, the intent of LHVF </w:t>
      </w:r>
      <w:r w:rsidR="00DE37C3">
        <w:t>w</w:t>
      </w:r>
      <w:r>
        <w:t xml:space="preserve">as to </w:t>
      </w:r>
      <w:r w:rsidR="00FD78AB">
        <w:t xml:space="preserve">support </w:t>
      </w:r>
      <w:r w:rsidR="00ED4525">
        <w:t xml:space="preserve">hospitality </w:t>
      </w:r>
      <w:r w:rsidR="004E70D3">
        <w:t>industries</w:t>
      </w:r>
      <w:r w:rsidR="00ED4525">
        <w:t xml:space="preserve"> that </w:t>
      </w:r>
      <w:r w:rsidR="004E70D3">
        <w:t xml:space="preserve">were impacted heavily by COVID-19 public health restrictions (see </w:t>
      </w:r>
      <w:r w:rsidR="004E70D3" w:rsidRPr="00E463B3">
        <w:t>Finding 2</w:t>
      </w:r>
      <w:r w:rsidR="004E70D3">
        <w:t>).</w:t>
      </w:r>
      <w:r w:rsidR="008D7BED" w:rsidRPr="008D7BED">
        <w:t xml:space="preserve"> </w:t>
      </w:r>
      <w:r w:rsidR="008D7BED">
        <w:t>The relative distribution of funding by industry demonstrates the funding was delivered to intended cohorts.</w:t>
      </w:r>
      <w:r w:rsidR="00BD6F2E">
        <w:t xml:space="preserve"> </w:t>
      </w:r>
      <w:r w:rsidR="00837635">
        <w:t xml:space="preserve">Of $1.3 billion in grant funding, </w:t>
      </w:r>
      <w:r w:rsidR="00E33F87">
        <w:t>53</w:t>
      </w:r>
      <w:r w:rsidR="00D76CBA" w:rsidRPr="00D76CBA">
        <w:t xml:space="preserve"> </w:t>
      </w:r>
      <w:r w:rsidR="00D76CBA">
        <w:t>per cent</w:t>
      </w:r>
      <w:r w:rsidR="00256420">
        <w:t xml:space="preserve"> </w:t>
      </w:r>
      <w:r w:rsidR="000B3B6A">
        <w:t>went to</w:t>
      </w:r>
      <w:r w:rsidR="00E33F87">
        <w:t xml:space="preserve"> </w:t>
      </w:r>
      <w:r w:rsidR="0088058C">
        <w:t>C</w:t>
      </w:r>
      <w:r w:rsidR="00E33F87">
        <w:t xml:space="preserve">afés and </w:t>
      </w:r>
      <w:r w:rsidR="0088058C">
        <w:t>R</w:t>
      </w:r>
      <w:r w:rsidR="00E33F87">
        <w:t>estaurants, 18</w:t>
      </w:r>
      <w:r w:rsidR="00E71AAA" w:rsidRPr="00E71AAA">
        <w:t xml:space="preserve"> </w:t>
      </w:r>
      <w:r w:rsidR="00E71AAA">
        <w:t>per cent</w:t>
      </w:r>
      <w:r w:rsidR="00256420">
        <w:t xml:space="preserve"> to</w:t>
      </w:r>
      <w:r w:rsidR="00E33F87">
        <w:t xml:space="preserve"> </w:t>
      </w:r>
      <w:r w:rsidR="0088058C">
        <w:t>P</w:t>
      </w:r>
      <w:r w:rsidR="00E33F87">
        <w:t xml:space="preserve">ubs, </w:t>
      </w:r>
      <w:r w:rsidR="0088058C">
        <w:t>T</w:t>
      </w:r>
      <w:r w:rsidR="00E33F87">
        <w:t xml:space="preserve">averns or </w:t>
      </w:r>
      <w:r w:rsidR="0088058C">
        <w:t>B</w:t>
      </w:r>
      <w:r w:rsidR="00E33F87">
        <w:t>ars</w:t>
      </w:r>
      <w:r w:rsidR="00133BA4">
        <w:t>, 5</w:t>
      </w:r>
      <w:r w:rsidR="00E71AAA" w:rsidRPr="00E71AAA">
        <w:t xml:space="preserve"> </w:t>
      </w:r>
      <w:r w:rsidR="00E71AAA">
        <w:t>per cent</w:t>
      </w:r>
      <w:r w:rsidR="00133BA4">
        <w:t xml:space="preserve"> </w:t>
      </w:r>
      <w:r w:rsidR="00256420">
        <w:t>to</w:t>
      </w:r>
      <w:r w:rsidR="00133BA4">
        <w:t xml:space="preserve"> </w:t>
      </w:r>
      <w:r w:rsidR="00427C5A">
        <w:t>L</w:t>
      </w:r>
      <w:r w:rsidR="00133BA4">
        <w:t>icen</w:t>
      </w:r>
      <w:r w:rsidR="00AE476C">
        <w:t>s</w:t>
      </w:r>
      <w:r w:rsidR="00133BA4">
        <w:t xml:space="preserve">ed </w:t>
      </w:r>
      <w:r w:rsidR="00427C5A">
        <w:t>C</w:t>
      </w:r>
      <w:r w:rsidR="00133BA4">
        <w:t>lubs</w:t>
      </w:r>
      <w:r w:rsidR="00C96293">
        <w:t>, 4</w:t>
      </w:r>
      <w:r w:rsidR="00E71AAA" w:rsidRPr="00E71AAA">
        <w:t xml:space="preserve"> </w:t>
      </w:r>
      <w:r w:rsidR="00E71AAA">
        <w:t>per cent</w:t>
      </w:r>
      <w:r w:rsidR="00E71AAA" w:rsidDel="004D09A3">
        <w:t xml:space="preserve"> </w:t>
      </w:r>
      <w:r w:rsidR="00256420">
        <w:t>to</w:t>
      </w:r>
      <w:r w:rsidR="00C96293">
        <w:t xml:space="preserve"> </w:t>
      </w:r>
      <w:r w:rsidR="00427C5A">
        <w:t>T</w:t>
      </w:r>
      <w:r w:rsidR="00C96293">
        <w:t xml:space="preserve">akeaway </w:t>
      </w:r>
      <w:r w:rsidR="00427C5A">
        <w:t>F</w:t>
      </w:r>
      <w:r w:rsidR="00C96293">
        <w:t xml:space="preserve">ood </w:t>
      </w:r>
      <w:r w:rsidR="00427C5A">
        <w:t>S</w:t>
      </w:r>
      <w:r w:rsidR="00C96293">
        <w:t>ervices and 4</w:t>
      </w:r>
      <w:r w:rsidR="00E71AAA" w:rsidRPr="00E71AAA">
        <w:t xml:space="preserve"> </w:t>
      </w:r>
      <w:r w:rsidR="00E71AAA">
        <w:t>per cent</w:t>
      </w:r>
      <w:r w:rsidR="00C96293">
        <w:t xml:space="preserve"> </w:t>
      </w:r>
      <w:r w:rsidR="00256420">
        <w:t>to</w:t>
      </w:r>
      <w:r w:rsidR="00C96293">
        <w:t xml:space="preserve"> </w:t>
      </w:r>
      <w:r w:rsidR="00427C5A">
        <w:t>A</w:t>
      </w:r>
      <w:r w:rsidR="00C96293">
        <w:t xml:space="preserve">ccommodation </w:t>
      </w:r>
      <w:r w:rsidR="00427C5A">
        <w:t>S</w:t>
      </w:r>
      <w:r w:rsidR="00C96293">
        <w:t xml:space="preserve">ervices. </w:t>
      </w:r>
    </w:p>
    <w:p w14:paraId="0F2D5BA9" w14:textId="21C5F40D" w:rsidR="00BB774F" w:rsidRDefault="00A111FF" w:rsidP="00021EF3">
      <w:pPr>
        <w:pStyle w:val="CaptionChart"/>
      </w:pPr>
      <w:r>
        <w:t>:</w:t>
      </w:r>
      <w:r w:rsidR="00BB774F">
        <w:t xml:space="preserve"> </w:t>
      </w:r>
      <w:r w:rsidR="00B66821">
        <w:t xml:space="preserve">Top 5 ANZSIC class by total </w:t>
      </w:r>
      <w:r w:rsidR="00434C2D">
        <w:t xml:space="preserve">LHVF </w:t>
      </w:r>
      <w:r w:rsidR="00B66821">
        <w:t>grant value</w:t>
      </w:r>
      <w:r w:rsidR="00852620">
        <w:t>.</w:t>
      </w:r>
    </w:p>
    <w:p w14:paraId="737F36D2" w14:textId="0BD7C6D5" w:rsidR="009A010C" w:rsidRDefault="00BB774F" w:rsidP="00021EF3">
      <w:r w:rsidRPr="00BB774F">
        <w:rPr>
          <w:noProof/>
        </w:rPr>
        <w:drawing>
          <wp:inline distT="0" distB="0" distL="0" distR="0" wp14:anchorId="2EB69CF5" wp14:editId="5B18566E">
            <wp:extent cx="5365750" cy="2542540"/>
            <wp:effectExtent l="0" t="0" r="0" b="0"/>
            <wp:docPr id="98" name="Picture 98" descr="A bar chart that shows the top five ANZSIC class by total LHVF grant value received. Number 1 Cafes and Restaurants, who received 53% of the total BCAP grants and approximately $690,000. Second is Pubs, Taverns and Bars with 18% of total LHVF grants, at $220,000, Licensed Clubs with 5%, at approximately $75,000, Takeaway Food Services received 4% at approximately $50,000 and Accommodation also received 4% and approximately $5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bar chart that shows the top five ANZSIC class by total LHVF grant value received. Number 1 Cafes and Restaurants, who received 53% of the total BCAP grants and approximately $690,000. Second is Pubs, Taverns and Bars with 18% of total LHVF grants, at $220,000, Licensed Clubs with 5%, at approximately $75,000, Takeaway Food Services received 4% at approximately $50,000 and Accommodation also received 4% and approximately $50,000.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5750" cy="2542540"/>
                    </a:xfrm>
                    <a:prstGeom prst="rect">
                      <a:avLst/>
                    </a:prstGeom>
                    <a:noFill/>
                    <a:ln>
                      <a:noFill/>
                    </a:ln>
                  </pic:spPr>
                </pic:pic>
              </a:graphicData>
            </a:graphic>
          </wp:inline>
        </w:drawing>
      </w:r>
    </w:p>
    <w:p w14:paraId="2B77C593" w14:textId="460EC614" w:rsidR="00BB774F" w:rsidRDefault="00BB774F" w:rsidP="00021EF3">
      <w:pPr>
        <w:pStyle w:val="Source"/>
      </w:pPr>
      <w:r>
        <w:t>Source: Deloitte Access Economics</w:t>
      </w:r>
      <w:r w:rsidR="00CA33F1">
        <w:t>.</w:t>
      </w:r>
    </w:p>
    <w:p w14:paraId="76061A38" w14:textId="06016993" w:rsidR="00295335" w:rsidRDefault="002F7F9D" w:rsidP="00021EF3">
      <w:r>
        <w:t>With</w:t>
      </w:r>
      <w:r w:rsidR="00FE2DC1" w:rsidRPr="00FE2DC1">
        <w:t xml:space="preserve"> </w:t>
      </w:r>
      <w:proofErr w:type="spellStart"/>
      <w:r w:rsidR="00FE2DC1">
        <w:t>JobKeeper</w:t>
      </w:r>
      <w:proofErr w:type="spellEnd"/>
      <w:r w:rsidR="00FE2DC1">
        <w:t xml:space="preserve"> ending in March 2021, businesses were </w:t>
      </w:r>
      <w:r>
        <w:t xml:space="preserve">then </w:t>
      </w:r>
      <w:r w:rsidR="00FE2DC1">
        <w:t xml:space="preserve">responsible for paying staff wages throughout the lockdowns and restrictions </w:t>
      </w:r>
      <w:r>
        <w:t xml:space="preserve">that occurred during </w:t>
      </w:r>
      <w:r w:rsidR="00FE2DC1">
        <w:t xml:space="preserve">2021. </w:t>
      </w:r>
      <w:r w:rsidR="001F09CF">
        <w:t>Acknowledging</w:t>
      </w:r>
      <w:r w:rsidR="008D50FA">
        <w:t xml:space="preserve"> this</w:t>
      </w:r>
      <w:r w:rsidR="00050675">
        <w:t>,</w:t>
      </w:r>
      <w:r w:rsidR="008D50FA">
        <w:t xml:space="preserve"> and</w:t>
      </w:r>
      <w:r w:rsidR="00D82323">
        <w:t xml:space="preserve"> that </w:t>
      </w:r>
      <w:r w:rsidR="00F056F5">
        <w:t xml:space="preserve">the </w:t>
      </w:r>
      <w:r w:rsidR="00D82323">
        <w:t>majority of hospitality businesses are employing,</w:t>
      </w:r>
      <w:r w:rsidR="00295335">
        <w:t xml:space="preserve"> </w:t>
      </w:r>
      <w:r w:rsidR="00A0658A">
        <w:t xml:space="preserve">LHVF was intended to support </w:t>
      </w:r>
      <w:r w:rsidR="002C68D5">
        <w:t>businesses with paying staff wages</w:t>
      </w:r>
      <w:r w:rsidR="00D82323">
        <w:t xml:space="preserve">. </w:t>
      </w:r>
      <w:r w:rsidR="00CD2A75">
        <w:t xml:space="preserve">The vast majority of LHVF funding </w:t>
      </w:r>
      <w:r w:rsidR="0066753E">
        <w:t xml:space="preserve">(98 per cent) </w:t>
      </w:r>
      <w:r w:rsidR="00CD2A75">
        <w:t>went</w:t>
      </w:r>
      <w:r w:rsidR="001D56AD">
        <w:t xml:space="preserve"> </w:t>
      </w:r>
      <w:r w:rsidR="00CD2A75">
        <w:t>to supporting employing business</w:t>
      </w:r>
      <w:r w:rsidR="00F26E00">
        <w:t>. This aligns with results from</w:t>
      </w:r>
      <w:r w:rsidR="00407511">
        <w:t xml:space="preserve"> </w:t>
      </w:r>
      <w:r w:rsidR="00A352A0">
        <w:t>the business s</w:t>
      </w:r>
      <w:r w:rsidR="006A7DC1">
        <w:t xml:space="preserve">urvey </w:t>
      </w:r>
      <w:r w:rsidR="00A352A0">
        <w:t>indicating</w:t>
      </w:r>
      <w:r w:rsidR="006A7DC1">
        <w:t xml:space="preserve"> that </w:t>
      </w:r>
      <w:r w:rsidR="0018475D">
        <w:t xml:space="preserve">LHVF </w:t>
      </w:r>
      <w:r w:rsidR="003D384E">
        <w:t xml:space="preserve">supported </w:t>
      </w:r>
      <w:r w:rsidR="00A352A0">
        <w:t>business in</w:t>
      </w:r>
      <w:r w:rsidR="003D384E">
        <w:t xml:space="preserve"> paying staff wages</w:t>
      </w:r>
      <w:r w:rsidR="006A12DB">
        <w:t>, in line with its intent (se</w:t>
      </w:r>
      <w:r w:rsidR="006A12DB" w:rsidRPr="00E463B3">
        <w:t xml:space="preserve">e </w:t>
      </w:r>
      <w:r w:rsidR="004D5E54" w:rsidRPr="00E463B3">
        <w:t>Appendix</w:t>
      </w:r>
      <w:r w:rsidR="004D5E54">
        <w:t xml:space="preserve"> </w:t>
      </w:r>
      <w:r w:rsidR="00BB793D" w:rsidRPr="00E463B3">
        <w:fldChar w:fldCharType="begin"/>
      </w:r>
      <w:r w:rsidR="00BB793D" w:rsidRPr="00E463B3">
        <w:instrText xml:space="preserve"> REF _Ref173309597 \r \h  \* MERGEFORMAT </w:instrText>
      </w:r>
      <w:r w:rsidR="00BB793D" w:rsidRPr="00E463B3">
        <w:fldChar w:fldCharType="separate"/>
      </w:r>
      <w:r w:rsidR="0016271C">
        <w:t>Chart E.11</w:t>
      </w:r>
      <w:r w:rsidR="00BB793D" w:rsidRPr="00E463B3">
        <w:fldChar w:fldCharType="end"/>
      </w:r>
      <w:r w:rsidR="006A12DB" w:rsidRPr="00E463B3">
        <w:t>)</w:t>
      </w:r>
      <w:r w:rsidR="00807732">
        <w:t xml:space="preserve"> and reports from business owners from LHVF case studies (see</w:t>
      </w:r>
      <w:r w:rsidR="00F0336C">
        <w:t xml:space="preserve"> </w:t>
      </w:r>
      <w:r w:rsidR="00D67AA4">
        <w:fldChar w:fldCharType="begin"/>
      </w:r>
      <w:r w:rsidR="00D67AA4">
        <w:instrText xml:space="preserve"> REF _Ref174112657 \r \h </w:instrText>
      </w:r>
      <w:r w:rsidR="00021EF3">
        <w:instrText xml:space="preserve"> \* MERGEFORMAT </w:instrText>
      </w:r>
      <w:r w:rsidR="00D67AA4">
        <w:fldChar w:fldCharType="separate"/>
      </w:r>
      <w:r w:rsidR="0016271C">
        <w:t>Appendix D</w:t>
      </w:r>
      <w:r w:rsidR="00D67AA4">
        <w:fldChar w:fldCharType="end"/>
      </w:r>
      <w:r w:rsidR="00807732">
        <w:t>)</w:t>
      </w:r>
      <w:r w:rsidR="006A12DB" w:rsidRPr="00E463B3">
        <w:t>.</w:t>
      </w:r>
    </w:p>
    <w:p w14:paraId="049BD98A" w14:textId="222C48C4" w:rsidR="00887513" w:rsidRDefault="00887513" w:rsidP="00021EF3">
      <w:r>
        <w:t>Similarly to BCAP, the majority of LHVF recipients operated within metro</w:t>
      </w:r>
      <w:r w:rsidR="00CF480E">
        <w:t>politan</w:t>
      </w:r>
      <w:r>
        <w:t xml:space="preserve"> Melbourne</w:t>
      </w:r>
      <w:r w:rsidR="00FC4FB3">
        <w:t>,</w:t>
      </w:r>
      <w:r w:rsidR="005E6C45">
        <w:t xml:space="preserve"> with seven of the top </w:t>
      </w:r>
      <w:r w:rsidR="00641032">
        <w:t xml:space="preserve">10 </w:t>
      </w:r>
      <w:r w:rsidR="00245506">
        <w:t xml:space="preserve">LGAs </w:t>
      </w:r>
      <w:r w:rsidR="00FC4FB3">
        <w:t>in terms</w:t>
      </w:r>
      <w:r w:rsidR="00E572B4">
        <w:t xml:space="preserve"> of </w:t>
      </w:r>
      <w:r w:rsidR="00FC4FB3">
        <w:t xml:space="preserve">grant funding </w:t>
      </w:r>
      <w:r w:rsidR="00120251">
        <w:t>located</w:t>
      </w:r>
      <w:r w:rsidR="00FC4FB3">
        <w:t xml:space="preserve"> within metropolitan Melbourne</w:t>
      </w:r>
      <w:r w:rsidR="00A13DDF">
        <w:t xml:space="preserve">. </w:t>
      </w:r>
      <w:r w:rsidR="003C71C0">
        <w:t>Melbourne City Council receiv</w:t>
      </w:r>
      <w:r w:rsidR="001C127E">
        <w:t>ed</w:t>
      </w:r>
      <w:r w:rsidR="003C71C0">
        <w:t xml:space="preserve"> the </w:t>
      </w:r>
      <w:r w:rsidR="0038649A">
        <w:t xml:space="preserve">highest </w:t>
      </w:r>
      <w:r w:rsidR="0045233B">
        <w:t xml:space="preserve">share of LHVF </w:t>
      </w:r>
      <w:r w:rsidR="00120251">
        <w:t xml:space="preserve">of any LGA </w:t>
      </w:r>
      <w:r w:rsidR="0045233B">
        <w:t>at 1</w:t>
      </w:r>
      <w:r w:rsidR="00B82734">
        <w:t>3</w:t>
      </w:r>
      <w:r w:rsidR="00E71AAA" w:rsidRPr="00E71AAA">
        <w:t xml:space="preserve"> </w:t>
      </w:r>
      <w:r w:rsidR="00E71AAA">
        <w:t>per cent</w:t>
      </w:r>
      <w:r w:rsidR="0045233B">
        <w:t xml:space="preserve">. </w:t>
      </w:r>
      <w:r w:rsidR="00476960">
        <w:t>This was f</w:t>
      </w:r>
      <w:r w:rsidR="003866E4">
        <w:t>ollowed by Yarra City Council (</w:t>
      </w:r>
      <w:r w:rsidR="00B82734">
        <w:t>5</w:t>
      </w:r>
      <w:r w:rsidR="00E71AAA" w:rsidRPr="00E71AAA">
        <w:t xml:space="preserve"> </w:t>
      </w:r>
      <w:r w:rsidR="00E71AAA">
        <w:t>per cent</w:t>
      </w:r>
      <w:r w:rsidR="003866E4">
        <w:t>)</w:t>
      </w:r>
      <w:r w:rsidR="00DC192E">
        <w:t>, Port Phillip City Council (</w:t>
      </w:r>
      <w:r w:rsidR="00EC6149">
        <w:t>5</w:t>
      </w:r>
      <w:r w:rsidR="00E71AAA" w:rsidRPr="00E71AAA">
        <w:t xml:space="preserve"> </w:t>
      </w:r>
      <w:r w:rsidR="00E71AAA">
        <w:t>per cent</w:t>
      </w:r>
      <w:r w:rsidR="00DC192E">
        <w:t>), Stonnington C</w:t>
      </w:r>
      <w:r w:rsidR="0082100F">
        <w:t>ity Council (</w:t>
      </w:r>
      <w:r w:rsidR="00B17DA6">
        <w:t>4</w:t>
      </w:r>
      <w:r w:rsidR="00E71AAA" w:rsidRPr="00E71AAA">
        <w:t xml:space="preserve"> </w:t>
      </w:r>
      <w:r w:rsidR="00E71AAA">
        <w:t>per cent</w:t>
      </w:r>
      <w:r w:rsidR="00B17DA6">
        <w:t>)</w:t>
      </w:r>
      <w:r w:rsidR="00200C9B">
        <w:t xml:space="preserve"> </w:t>
      </w:r>
      <w:r w:rsidR="00B577A5">
        <w:t>and Greater</w:t>
      </w:r>
      <w:r w:rsidR="00200C9B">
        <w:t xml:space="preserve"> Geelong City Council (3 per cent)</w:t>
      </w:r>
      <w:r w:rsidR="00B17DA6">
        <w:t xml:space="preserve">. </w:t>
      </w:r>
      <w:r w:rsidR="001D56AD">
        <w:t>T</w:t>
      </w:r>
      <w:r w:rsidR="001D56AD" w:rsidRPr="001D56AD">
        <w:t xml:space="preserve">he distribution of grant funding by LGA generally matches the distribution of venue capacity, suggesting the allocation of grant funding based on geography was aligned with </w:t>
      </w:r>
      <w:r w:rsidR="00476960">
        <w:t>the</w:t>
      </w:r>
      <w:r w:rsidR="001D56AD" w:rsidRPr="001D56AD">
        <w:t xml:space="preserve"> need</w:t>
      </w:r>
      <w:r w:rsidR="006C1522">
        <w:t xml:space="preserve">. </w:t>
      </w:r>
      <w:r w:rsidR="003E091B">
        <w:t xml:space="preserve">As was the case with BCAP, LHVF business survey </w:t>
      </w:r>
      <w:r w:rsidR="00727DD6">
        <w:t xml:space="preserve">respondents </w:t>
      </w:r>
      <w:r w:rsidR="003E091B">
        <w:t xml:space="preserve">indicated grants were used for their intended purposes including paying wages </w:t>
      </w:r>
      <w:r w:rsidR="002A2581">
        <w:t>(as discussed above)</w:t>
      </w:r>
      <w:r w:rsidR="003E091B">
        <w:t xml:space="preserve"> and covering other costs.</w:t>
      </w:r>
    </w:p>
    <w:p w14:paraId="28DD3A53" w14:textId="77777777" w:rsidR="00F0579E" w:rsidRDefault="00F0579E" w:rsidP="00021EF3"/>
    <w:p w14:paraId="3A390BFA" w14:textId="5DE5EA8E" w:rsidR="00CD682E" w:rsidRPr="00893EB3" w:rsidRDefault="00CD682E" w:rsidP="00021EF3">
      <w:pPr>
        <w:pStyle w:val="Heading3SEQs"/>
        <w:rPr>
          <w:b w:val="0"/>
        </w:rPr>
      </w:pPr>
      <w:bookmarkStart w:id="314" w:name="_Ref173938943"/>
      <w:bookmarkStart w:id="315" w:name="_Toc174118143"/>
      <w:bookmarkStart w:id="316" w:name="_Toc176516262"/>
      <w:r w:rsidRPr="00A04FF8">
        <w:t xml:space="preserve">SEQ </w:t>
      </w:r>
      <w:r>
        <w:rPr>
          <w:b w:val="0"/>
        </w:rPr>
        <w:t>3</w:t>
      </w:r>
      <w:r w:rsidRPr="00A04FF8">
        <w:rPr>
          <w:b w:val="0"/>
        </w:rPr>
        <w:t>:</w:t>
      </w:r>
      <w:r w:rsidRPr="00A04FF8">
        <w:t xml:space="preserve"> </w:t>
      </w:r>
      <w:r w:rsidRPr="00893EB3">
        <w:rPr>
          <w:b w:val="0"/>
        </w:rPr>
        <w:t>To what extent were the eligibility criteria appropriate for reaching intended cohorts?</w:t>
      </w:r>
      <w:bookmarkEnd w:id="314"/>
      <w:bookmarkEnd w:id="315"/>
      <w:bookmarkEnd w:id="316"/>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CD682E" w14:paraId="7DEDCFC9"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398D5475" w14:textId="221F132A" w:rsidR="00CD682E" w:rsidRPr="00A04FF8" w:rsidRDefault="00CD682E" w:rsidP="00021EF3">
            <w:pPr>
              <w:spacing w:after="0"/>
              <w:rPr>
                <w:b/>
                <w:bCs/>
              </w:rPr>
            </w:pPr>
            <w:r w:rsidRPr="00A04FF8">
              <w:rPr>
                <w:b/>
                <w:bCs/>
                <w:color w:val="62B5E5" w:themeColor="accent3"/>
              </w:rPr>
              <w:t xml:space="preserve">Finding </w:t>
            </w:r>
            <w:r>
              <w:rPr>
                <w:b/>
                <w:bCs/>
                <w:color w:val="62B5E5" w:themeColor="accent3"/>
              </w:rPr>
              <w:t>7</w:t>
            </w:r>
            <w:r w:rsidRPr="00A04FF8">
              <w:rPr>
                <w:b/>
                <w:bCs/>
                <w:color w:val="62B5E5" w:themeColor="accent3"/>
              </w:rPr>
              <w:t>: </w:t>
            </w:r>
            <w:r w:rsidRPr="00B1482D">
              <w:rPr>
                <w:b/>
                <w:bCs/>
              </w:rPr>
              <w:t>Despite facing challenges in establish</w:t>
            </w:r>
            <w:r w:rsidR="00544464">
              <w:rPr>
                <w:b/>
                <w:bCs/>
              </w:rPr>
              <w:t>ing</w:t>
            </w:r>
            <w:r w:rsidRPr="00B1482D">
              <w:rPr>
                <w:b/>
                <w:bCs/>
              </w:rPr>
              <w:t xml:space="preserve"> business eligibility the Department sought to </w:t>
            </w:r>
            <w:r w:rsidR="00C50A44">
              <w:rPr>
                <w:b/>
                <w:bCs/>
              </w:rPr>
              <w:t>refine</w:t>
            </w:r>
            <w:r w:rsidR="00C50A44" w:rsidRPr="00B1482D">
              <w:rPr>
                <w:b/>
                <w:bCs/>
              </w:rPr>
              <w:t xml:space="preserve"> </w:t>
            </w:r>
            <w:r w:rsidRPr="00B1482D">
              <w:rPr>
                <w:b/>
                <w:bCs/>
              </w:rPr>
              <w:t xml:space="preserve">program criteria </w:t>
            </w:r>
            <w:r w:rsidR="00436C3D">
              <w:rPr>
                <w:b/>
                <w:bCs/>
              </w:rPr>
              <w:t xml:space="preserve">using available data </w:t>
            </w:r>
            <w:r w:rsidRPr="00B1482D">
              <w:rPr>
                <w:b/>
                <w:bCs/>
              </w:rPr>
              <w:t>over grant round iterations</w:t>
            </w:r>
            <w:r w:rsidR="00DE6F72">
              <w:rPr>
                <w:b/>
                <w:bCs/>
              </w:rPr>
              <w:t xml:space="preserve"> to align with businesses most impacted by COVID-19 restrictions</w:t>
            </w:r>
            <w:r w:rsidRPr="00B1482D">
              <w:rPr>
                <w:b/>
                <w:bCs/>
              </w:rPr>
              <w:t>.</w:t>
            </w:r>
            <w:r w:rsidR="00F30945">
              <w:rPr>
                <w:b/>
                <w:bCs/>
              </w:rPr>
              <w:t xml:space="preserve"> </w:t>
            </w:r>
          </w:p>
        </w:tc>
      </w:tr>
    </w:tbl>
    <w:p w14:paraId="344004E8" w14:textId="53FF5B38" w:rsidR="00A3465D" w:rsidRDefault="00CD682E" w:rsidP="00021EF3">
      <w:pPr>
        <w:spacing w:before="160"/>
      </w:pPr>
      <w:r w:rsidRPr="00FB4253">
        <w:t>The design of the BCAP grant framework</w:t>
      </w:r>
      <w:r w:rsidR="00004565">
        <w:t xml:space="preserve"> enabled </w:t>
      </w:r>
      <w:r w:rsidR="009F4E55">
        <w:t>the</w:t>
      </w:r>
      <w:r w:rsidR="00004565">
        <w:t xml:space="preserve"> </w:t>
      </w:r>
      <w:r w:rsidRPr="00FB4253">
        <w:t>eligibility of particular industries and ANZSICs at different points in time and support</w:t>
      </w:r>
      <w:r w:rsidR="00004565">
        <w:t>ed</w:t>
      </w:r>
      <w:r w:rsidRPr="00FB4253">
        <w:t xml:space="preserve"> the use of the grant for a variety of unavoidable costs</w:t>
      </w:r>
      <w:r w:rsidR="00253A35">
        <w:t>. This</w:t>
      </w:r>
      <w:r w:rsidRPr="00FB4253">
        <w:t xml:space="preserve"> enabled the BCAP program to be reactive to changes in lockdown restrictions and industries affected. </w:t>
      </w:r>
      <w:r>
        <w:t xml:space="preserve">Its simplicity </w:t>
      </w:r>
      <w:r w:rsidRPr="0029138D">
        <w:t xml:space="preserve">streamlined the application process for businesses with a low level of business literacy and administrative </w:t>
      </w:r>
      <w:r w:rsidR="005242C2">
        <w:t>capacity</w:t>
      </w:r>
      <w:r w:rsidRPr="0029138D">
        <w:t xml:space="preserve">. Stakeholders noted this was necessary given </w:t>
      </w:r>
      <w:r w:rsidRPr="00FB4253">
        <w:t>th</w:t>
      </w:r>
      <w:r>
        <w:t>at</w:t>
      </w:r>
      <w:r w:rsidRPr="0029138D">
        <w:t xml:space="preserve"> small </w:t>
      </w:r>
      <w:r w:rsidRPr="00FB4253">
        <w:t>business</w:t>
      </w:r>
      <w:r>
        <w:t>es</w:t>
      </w:r>
      <w:r w:rsidRPr="00FB4253">
        <w:t xml:space="preserve"> </w:t>
      </w:r>
      <w:r>
        <w:t xml:space="preserve">were the </w:t>
      </w:r>
      <w:r w:rsidRPr="0029138D">
        <w:t>target audience</w:t>
      </w:r>
      <w:r w:rsidRPr="00FB4253">
        <w:t>.</w:t>
      </w:r>
      <w:r>
        <w:t xml:space="preserve"> </w:t>
      </w:r>
    </w:p>
    <w:p w14:paraId="7B7A684C" w14:textId="71BCEE59" w:rsidR="0025581E" w:rsidRDefault="00CD682E" w:rsidP="00021EF3">
      <w:pPr>
        <w:spacing w:before="160"/>
      </w:pPr>
      <w:r w:rsidRPr="00FB4253">
        <w:t>However, the breadth of eligibility criteria for BCAP resulted in imprecise targeting of businesses. This is because businesses were not required to demonstrate with evidence that their cash</w:t>
      </w:r>
      <w:r w:rsidR="002452A9">
        <w:t xml:space="preserve"> </w:t>
      </w:r>
      <w:r w:rsidRPr="00FB4253">
        <w:t xml:space="preserve">flow had been significantly reduced, or that they had ongoing costs to be covered during periods of closure. </w:t>
      </w:r>
      <w:r w:rsidRPr="000E55EC">
        <w:t xml:space="preserve">Stakeholders acknowledged that while the criteria allowed the majority of impacted businesses to be eligible, some businesses </w:t>
      </w:r>
      <w:r w:rsidR="002142D5">
        <w:t>that</w:t>
      </w:r>
      <w:r w:rsidR="002142D5" w:rsidRPr="000E55EC">
        <w:t xml:space="preserve"> </w:t>
      </w:r>
      <w:r>
        <w:t>either</w:t>
      </w:r>
      <w:r w:rsidRPr="000E55EC">
        <w:t xml:space="preserve"> did not experience reduced cash</w:t>
      </w:r>
      <w:r w:rsidR="000A0B9E">
        <w:t xml:space="preserve"> </w:t>
      </w:r>
      <w:r w:rsidRPr="000E55EC">
        <w:t xml:space="preserve">flows or had uncertain futures regardless of the pandemic were also eligible </w:t>
      </w:r>
      <w:r>
        <w:t>to</w:t>
      </w:r>
      <w:r w:rsidRPr="000E55EC">
        <w:t xml:space="preserve"> receive the grants. </w:t>
      </w:r>
    </w:p>
    <w:p w14:paraId="673EDE20" w14:textId="16C0861C" w:rsidR="00FD4918" w:rsidRDefault="007C0727" w:rsidP="00021EF3">
      <w:pPr>
        <w:spacing w:before="160"/>
      </w:pPr>
      <w:r>
        <w:t>A</w:t>
      </w:r>
      <w:r w:rsidR="00CD682E" w:rsidRPr="00FB4253">
        <w:t xml:space="preserve"> significant amount of funding (53 per cent) for BCAP was distributed to sole traders</w:t>
      </w:r>
      <w:r w:rsidR="00036810">
        <w:t>. A</w:t>
      </w:r>
      <w:r w:rsidR="00136AFF">
        <w:t xml:space="preserve"> large proportion of these were</w:t>
      </w:r>
      <w:r w:rsidR="00D51E20">
        <w:t xml:space="preserve"> more</w:t>
      </w:r>
      <w:r w:rsidR="00136AFF">
        <w:t xml:space="preserve"> specifically rideshare and tax</w:t>
      </w:r>
      <w:r w:rsidR="00037E69">
        <w:t>i</w:t>
      </w:r>
      <w:r w:rsidR="00136AFF">
        <w:t xml:space="preserve"> drivers who </w:t>
      </w:r>
      <w:r w:rsidR="0024205B">
        <w:t>generally do not incur fixed costs</w:t>
      </w:r>
      <w:r w:rsidR="00407709">
        <w:t>,</w:t>
      </w:r>
      <w:r w:rsidR="0024205B">
        <w:t xml:space="preserve"> such as rent and utilities, and do not pay wages.</w:t>
      </w:r>
      <w:r w:rsidR="003575D8">
        <w:t xml:space="preserve"> Given the general differences in cost profile </w:t>
      </w:r>
      <w:r w:rsidR="005A41B1">
        <w:t>when compared with</w:t>
      </w:r>
      <w:r w:rsidR="003575D8">
        <w:t xml:space="preserve"> </w:t>
      </w:r>
      <w:r w:rsidR="003555DA">
        <w:t>small and medium businesses</w:t>
      </w:r>
      <w:r w:rsidR="00BB0F48">
        <w:t xml:space="preserve">, </w:t>
      </w:r>
      <w:r w:rsidR="005A41B1">
        <w:t>the inclusion of sole traders</w:t>
      </w:r>
      <w:r w:rsidR="00BB0F48">
        <w:t xml:space="preserve"> did not support the initial intent of the program to cover </w:t>
      </w:r>
      <w:r w:rsidR="00F2497D">
        <w:t>negative cash</w:t>
      </w:r>
      <w:r w:rsidR="00407709">
        <w:t xml:space="preserve"> </w:t>
      </w:r>
      <w:r w:rsidR="00F2497D">
        <w:t>flows for rent and wages</w:t>
      </w:r>
      <w:r w:rsidR="00BB0F48">
        <w:t xml:space="preserve"> and place businesses in a ‘ready’ state to reopen once restrictions eased</w:t>
      </w:r>
      <w:r w:rsidR="00036810">
        <w:t>. This was</w:t>
      </w:r>
      <w:r w:rsidR="00C70C82">
        <w:t xml:space="preserve"> particularly </w:t>
      </w:r>
      <w:r w:rsidR="00036810">
        <w:t xml:space="preserve">the case </w:t>
      </w:r>
      <w:r w:rsidR="00C70C82">
        <w:t>in earlier rounds (</w:t>
      </w:r>
      <w:r w:rsidR="00407709">
        <w:t>one to three</w:t>
      </w:r>
      <w:r w:rsidR="00C70C82">
        <w:t xml:space="preserve">) of BCAP where </w:t>
      </w:r>
      <w:r w:rsidR="00F2497D">
        <w:t>sole traders</w:t>
      </w:r>
      <w:r w:rsidR="00C70C82">
        <w:t xml:space="preserve"> received the </w:t>
      </w:r>
      <w:r w:rsidR="005A41B1">
        <w:t>same grant amount as employing businesses</w:t>
      </w:r>
      <w:r w:rsidR="00BB0F48">
        <w:t>.</w:t>
      </w:r>
      <w:r w:rsidR="00D023A2">
        <w:t xml:space="preserve"> </w:t>
      </w:r>
      <w:r w:rsidR="005A5F76">
        <w:t xml:space="preserve">The </w:t>
      </w:r>
      <w:r w:rsidR="008A1C1E">
        <w:t>provision of a high proportion of grant funding to</w:t>
      </w:r>
      <w:r w:rsidR="005A5F76">
        <w:t xml:space="preserve"> </w:t>
      </w:r>
      <w:r w:rsidR="00F2497D">
        <w:t>sole traders</w:t>
      </w:r>
      <w:r w:rsidR="005A5F76">
        <w:t xml:space="preserve"> </w:t>
      </w:r>
      <w:r w:rsidR="008A18A9">
        <w:t>lessened the</w:t>
      </w:r>
      <w:r w:rsidR="00312CF2">
        <w:t xml:space="preserve"> </w:t>
      </w:r>
      <w:r w:rsidR="005A5F76">
        <w:t>value for money achieved</w:t>
      </w:r>
      <w:r w:rsidR="008A18A9">
        <w:t xml:space="preserve"> compared to </w:t>
      </w:r>
      <w:r w:rsidR="00140220">
        <w:t>a</w:t>
      </w:r>
      <w:r w:rsidR="00F056A0">
        <w:t xml:space="preserve"> situation where </w:t>
      </w:r>
      <w:r w:rsidR="00E916F6">
        <w:t xml:space="preserve">most of the funding was directed at </w:t>
      </w:r>
      <w:r w:rsidR="00A418B6">
        <w:t>employing businesses</w:t>
      </w:r>
      <w:r w:rsidR="005A5F76">
        <w:t>.</w:t>
      </w:r>
    </w:p>
    <w:p w14:paraId="61E16CD7" w14:textId="04FA5BB6" w:rsidR="00E77826" w:rsidRDefault="00E77826" w:rsidP="00021EF3">
      <w:pPr>
        <w:spacing w:before="160"/>
      </w:pPr>
      <w:r w:rsidRPr="0020607A">
        <w:t>Further,</w:t>
      </w:r>
      <w:r w:rsidR="00435B1B" w:rsidRPr="0020607A">
        <w:t xml:space="preserve"> Victoria was the only state to observe an increase in the </w:t>
      </w:r>
      <w:r w:rsidR="00756A1F" w:rsidRPr="00893EB3">
        <w:t>O</w:t>
      </w:r>
      <w:r w:rsidR="00435B1B" w:rsidRPr="0020607A">
        <w:t xml:space="preserve">ther </w:t>
      </w:r>
      <w:r w:rsidR="00756A1F" w:rsidRPr="00893EB3">
        <w:t>T</w:t>
      </w:r>
      <w:r w:rsidR="00435B1B" w:rsidRPr="0020607A">
        <w:t>ransport</w:t>
      </w:r>
      <w:r w:rsidR="00756A1F" w:rsidRPr="0020607A">
        <w:t xml:space="preserve"> Support Services </w:t>
      </w:r>
      <w:proofErr w:type="spellStart"/>
      <w:r w:rsidR="00756A1F" w:rsidRPr="0020607A">
        <w:t>n.e.c</w:t>
      </w:r>
      <w:proofErr w:type="spellEnd"/>
      <w:r w:rsidR="00756A1F" w:rsidRPr="0020607A">
        <w:t xml:space="preserve"> (ANZSIC code 5299) </w:t>
      </w:r>
      <w:r w:rsidR="00435B1B" w:rsidRPr="0020607A">
        <w:t xml:space="preserve">industry in 2021-22, </w:t>
      </w:r>
      <w:r w:rsidR="00756A1F" w:rsidRPr="0020607A">
        <w:t xml:space="preserve">with </w:t>
      </w:r>
      <w:r w:rsidR="00FA0FB7" w:rsidRPr="0020607A">
        <w:t>the ABS reporting</w:t>
      </w:r>
      <w:r w:rsidR="00EC1B13" w:rsidRPr="0020607A">
        <w:t xml:space="preserve"> that</w:t>
      </w:r>
      <w:r w:rsidR="00EC1B13" w:rsidRPr="00D2740A">
        <w:t xml:space="preserve"> </w:t>
      </w:r>
      <w:r w:rsidR="00EE0D54" w:rsidRPr="00893EB3">
        <w:t>between</w:t>
      </w:r>
      <w:r w:rsidR="00EC1B13" w:rsidRPr="00D2740A">
        <w:t xml:space="preserve"> June 2021 </w:t>
      </w:r>
      <w:r w:rsidR="00EE0D54" w:rsidRPr="00CD3009">
        <w:t>and June 2022</w:t>
      </w:r>
      <w:r w:rsidR="00407709">
        <w:t>,</w:t>
      </w:r>
      <w:r w:rsidR="00EE0D54" w:rsidRPr="00CD3009">
        <w:t xml:space="preserve"> there </w:t>
      </w:r>
      <w:r w:rsidR="00EE0D54" w:rsidRPr="00893EB3">
        <w:t>was a net</w:t>
      </w:r>
      <w:r w:rsidR="00EE0D54" w:rsidRPr="00CD3009">
        <w:t xml:space="preserve"> increase </w:t>
      </w:r>
      <w:r w:rsidR="00105984" w:rsidRPr="00105984">
        <w:t>o</w:t>
      </w:r>
      <w:r w:rsidR="00EE0D54" w:rsidRPr="00893EB3">
        <w:t>f approximately 6,</w:t>
      </w:r>
      <w:r w:rsidR="00EC1B13" w:rsidRPr="00D2740A">
        <w:t>000</w:t>
      </w:r>
      <w:r w:rsidR="00725E23" w:rsidRPr="00D2740A">
        <w:t xml:space="preserve"> </w:t>
      </w:r>
      <w:r w:rsidR="00EE0D54" w:rsidRPr="00CD3009">
        <w:t xml:space="preserve">businesses </w:t>
      </w:r>
      <w:r w:rsidR="00725E23" w:rsidRPr="0020607A">
        <w:t xml:space="preserve">registered under </w:t>
      </w:r>
      <w:r w:rsidR="0081035B" w:rsidRPr="00893EB3">
        <w:t xml:space="preserve">Other Transport Support Services </w:t>
      </w:r>
      <w:proofErr w:type="spellStart"/>
      <w:r w:rsidR="0081035B" w:rsidRPr="00893EB3">
        <w:t>n.e.c</w:t>
      </w:r>
      <w:r w:rsidR="00BB7ADA">
        <w:t>.</w:t>
      </w:r>
      <w:proofErr w:type="spellEnd"/>
      <w:r w:rsidR="005D3E46" w:rsidRPr="00105984">
        <w:t xml:space="preserve"> In comparison, NSW had</w:t>
      </w:r>
      <w:r w:rsidR="005D3E46" w:rsidRPr="00893EB3">
        <w:t xml:space="preserve"> </w:t>
      </w:r>
      <w:r w:rsidR="0020607A" w:rsidRPr="00893EB3">
        <w:t>a net decrease of approximately 2</w:t>
      </w:r>
      <w:r w:rsidR="00096E9C" w:rsidRPr="00893EB3">
        <w:t xml:space="preserve">,000 </w:t>
      </w:r>
      <w:r w:rsidR="0020607A" w:rsidRPr="00893EB3">
        <w:t>during the s</w:t>
      </w:r>
      <w:r w:rsidR="00650E00">
        <w:t>ame period.</w:t>
      </w:r>
      <w:r w:rsidR="007C08EA">
        <w:t xml:space="preserve"> </w:t>
      </w:r>
    </w:p>
    <w:p w14:paraId="6671605A" w14:textId="7F3BCEF1" w:rsidR="0024205B" w:rsidRDefault="00190326" w:rsidP="00021EF3">
      <w:pPr>
        <w:spacing w:before="160"/>
      </w:pPr>
      <w:r>
        <w:t xml:space="preserve">However, the </w:t>
      </w:r>
      <w:r w:rsidR="00581104">
        <w:t>varied</w:t>
      </w:r>
      <w:r>
        <w:t xml:space="preserve"> </w:t>
      </w:r>
      <w:r w:rsidR="00581104">
        <w:t xml:space="preserve">cost profiles and </w:t>
      </w:r>
      <w:r>
        <w:t xml:space="preserve">need </w:t>
      </w:r>
      <w:r w:rsidR="0066766F">
        <w:t xml:space="preserve">to </w:t>
      </w:r>
      <w:r w:rsidR="00A2389E">
        <w:t xml:space="preserve">specifically </w:t>
      </w:r>
      <w:r w:rsidR="0066766F">
        <w:t xml:space="preserve">support sole traders </w:t>
      </w:r>
      <w:r>
        <w:t>was recognised by some stakeholders</w:t>
      </w:r>
      <w:r w:rsidR="00A2389E">
        <w:t>. T</w:t>
      </w:r>
      <w:r w:rsidR="00BD414B">
        <w:t>he design of BCAP 5</w:t>
      </w:r>
      <w:r w:rsidR="0066766F">
        <w:t xml:space="preserve"> </w:t>
      </w:r>
      <w:r w:rsidR="00A2389E">
        <w:t xml:space="preserve">reflected this </w:t>
      </w:r>
      <w:r w:rsidR="0066766F">
        <w:t>where non-employing businesses were separated as a fourth tier of grant amounts.</w:t>
      </w:r>
      <w:r w:rsidR="00E33397">
        <w:t xml:space="preserve"> </w:t>
      </w:r>
      <w:r w:rsidR="00C36B36">
        <w:t xml:space="preserve">Providing a specific </w:t>
      </w:r>
      <w:r w:rsidR="004219E9">
        <w:t xml:space="preserve">(and lower) </w:t>
      </w:r>
      <w:r w:rsidR="00C36B36">
        <w:t xml:space="preserve">amount </w:t>
      </w:r>
      <w:r w:rsidR="00F2497D">
        <w:t>to</w:t>
      </w:r>
      <w:r w:rsidR="00C36B36">
        <w:t xml:space="preserve"> sole traders </w:t>
      </w:r>
      <w:r w:rsidR="00063625">
        <w:t xml:space="preserve">would </w:t>
      </w:r>
      <w:r w:rsidR="00E377C1">
        <w:t xml:space="preserve">have </w:t>
      </w:r>
      <w:r w:rsidR="00063625">
        <w:t xml:space="preserve">better </w:t>
      </w:r>
      <w:r w:rsidR="00E377C1">
        <w:t>captured</w:t>
      </w:r>
      <w:r w:rsidR="00C36B36">
        <w:t xml:space="preserve"> </w:t>
      </w:r>
      <w:r w:rsidR="00490DEC">
        <w:t>the</w:t>
      </w:r>
      <w:r w:rsidR="00F2497D">
        <w:t>ir individual</w:t>
      </w:r>
      <w:r w:rsidR="00490DEC">
        <w:t xml:space="preserve"> needs</w:t>
      </w:r>
      <w:r w:rsidR="0022707E">
        <w:t>,</w:t>
      </w:r>
      <w:r w:rsidR="00490DEC">
        <w:t xml:space="preserve"> as opposed to being combined with employing businesses. </w:t>
      </w:r>
      <w:r w:rsidR="00E33397">
        <w:t xml:space="preserve">Generally, other jurisdictions incorporated sole </w:t>
      </w:r>
      <w:r w:rsidR="00D9605E">
        <w:t>traders</w:t>
      </w:r>
      <w:r w:rsidR="005A3CCA">
        <w:t xml:space="preserve"> into their COVID-19 business support programs</w:t>
      </w:r>
      <w:r w:rsidR="00BD34DA">
        <w:t xml:space="preserve">, separating out a </w:t>
      </w:r>
      <w:r w:rsidR="00F2497D">
        <w:t>specific</w:t>
      </w:r>
      <w:r w:rsidR="00BD34DA">
        <w:t xml:space="preserve"> grant amount for </w:t>
      </w:r>
      <w:r w:rsidR="00F2497D">
        <w:t>non-employing businesses</w:t>
      </w:r>
      <w:r w:rsidR="00BD34DA">
        <w:t xml:space="preserve"> in a similar way to BCAP round </w:t>
      </w:r>
      <w:r w:rsidR="00407709">
        <w:t>five</w:t>
      </w:r>
      <w:r w:rsidR="00BD34DA">
        <w:t>.</w:t>
      </w:r>
      <w:r w:rsidR="00A2389E">
        <w:t xml:space="preserve"> For example, </w:t>
      </w:r>
      <w:r w:rsidR="00D0381E">
        <w:t>the ACT COVID-19 Business Support Grant</w:t>
      </w:r>
      <w:r w:rsidR="009B3B0F">
        <w:t xml:space="preserve">, </w:t>
      </w:r>
      <w:r w:rsidR="00E00E62">
        <w:t xml:space="preserve">QLD 2021 Business Support Grant, </w:t>
      </w:r>
      <w:r w:rsidR="000B3800">
        <w:t>South Australia (</w:t>
      </w:r>
      <w:r w:rsidR="00E00E62">
        <w:t>SA</w:t>
      </w:r>
      <w:r w:rsidR="000B3800">
        <w:t>)</w:t>
      </w:r>
      <w:r w:rsidR="00E00E62">
        <w:t xml:space="preserve"> COVID-19 Business Support Grant and COVID-19 Business Hardship Grant, </w:t>
      </w:r>
      <w:r w:rsidR="000B3800">
        <w:t>Western Australia (</w:t>
      </w:r>
      <w:r w:rsidR="00E00E62">
        <w:t>WA</w:t>
      </w:r>
      <w:r w:rsidR="000B3800">
        <w:t>)</w:t>
      </w:r>
      <w:r w:rsidR="00E00E62">
        <w:t xml:space="preserve"> Small Business Hardship Grant and NSW COVID-19 Micro-Business Grant all supported sole traders</w:t>
      </w:r>
      <w:r w:rsidR="00F2497D">
        <w:t xml:space="preserve"> in this way</w:t>
      </w:r>
      <w:r w:rsidR="00E00E62">
        <w:t>. The amount was generally less than that provided to</w:t>
      </w:r>
      <w:r w:rsidR="003B03CC">
        <w:t xml:space="preserve"> employing businesses</w:t>
      </w:r>
      <w:r w:rsidR="00B306F4">
        <w:t xml:space="preserve"> at approximately $1,000 on a one-off or per week basis across most jurisdictions, depending on </w:t>
      </w:r>
      <w:r w:rsidR="00F2497D">
        <w:t>whether</w:t>
      </w:r>
      <w:r w:rsidR="00B306F4">
        <w:t xml:space="preserve"> the program</w:t>
      </w:r>
      <w:r w:rsidR="00F2497D">
        <w:t xml:space="preserve"> was designed to be one-off or over a longer period. This is described in</w:t>
      </w:r>
      <w:r w:rsidR="003B03CC">
        <w:t xml:space="preserve"> </w:t>
      </w:r>
      <w:r w:rsidR="00F2497D">
        <w:t>more detail</w:t>
      </w:r>
      <w:r w:rsidR="003B03CC">
        <w:t xml:space="preserve"> in Appendix </w:t>
      </w:r>
      <w:r w:rsidR="00FD4918">
        <w:fldChar w:fldCharType="begin"/>
      </w:r>
      <w:r w:rsidR="00FD4918">
        <w:instrText xml:space="preserve"> REF _Ref170829337 \r \h </w:instrText>
      </w:r>
      <w:r w:rsidR="00021EF3">
        <w:instrText xml:space="preserve"> \* MERGEFORMAT </w:instrText>
      </w:r>
      <w:r w:rsidR="00FD4918">
        <w:fldChar w:fldCharType="separate"/>
      </w:r>
      <w:r w:rsidR="0016271C">
        <w:t>Table C.3</w:t>
      </w:r>
      <w:r w:rsidR="00FD4918">
        <w:fldChar w:fldCharType="end"/>
      </w:r>
      <w:r w:rsidR="00FD4918">
        <w:t>.</w:t>
      </w:r>
    </w:p>
    <w:p w14:paraId="71BFFF64" w14:textId="069F034E" w:rsidR="00A957C2" w:rsidRPr="0029138D" w:rsidRDefault="00A957C2" w:rsidP="00021EF3">
      <w:pPr>
        <w:spacing w:before="160"/>
      </w:pPr>
      <w:r>
        <w:t>For the LHVF grants, eligibility was largely determined based on liquor licen</w:t>
      </w:r>
      <w:r w:rsidR="00015362">
        <w:t>c</w:t>
      </w:r>
      <w:r>
        <w:t>e data from Liquor Control Victoria, which generally enabled the grants to be targeted toward</w:t>
      </w:r>
      <w:r w:rsidR="00CD44C8">
        <w:t>s</w:t>
      </w:r>
      <w:r>
        <w:t xml:space="preserve"> businesses and venues providing hospitality services at a physical location.</w:t>
      </w:r>
    </w:p>
    <w:p w14:paraId="6DB59F4E" w14:textId="72090972" w:rsidR="006C4C06" w:rsidRPr="00FB4253" w:rsidRDefault="00A957C2" w:rsidP="00021EF3">
      <w:pPr>
        <w:spacing w:before="160"/>
      </w:pPr>
      <w:r w:rsidRPr="00FB4253">
        <w:t xml:space="preserve">The eligibility framework of the grants also sought to reduce </w:t>
      </w:r>
      <w:r>
        <w:t xml:space="preserve">the </w:t>
      </w:r>
      <w:r w:rsidRPr="00FB4253">
        <w:t>burden on businesses and the Department. Automatic top</w:t>
      </w:r>
      <w:r w:rsidR="003F3A24">
        <w:t>-</w:t>
      </w:r>
      <w:r w:rsidRPr="00FB4253">
        <w:t xml:space="preserve">up rounds reduced the burden on businesses </w:t>
      </w:r>
      <w:r>
        <w:t>re</w:t>
      </w:r>
      <w:r w:rsidRPr="00FB4253">
        <w:t>applying to receive the grants in an environment</w:t>
      </w:r>
      <w:r>
        <w:t xml:space="preserve"> where restrictions were changing quite regularly</w:t>
      </w:r>
      <w:r w:rsidRPr="00FB4253">
        <w:t>. Eligibility criteria and validation requirements enabled the Department to scale the programs without needing to individually assess business reports on how they were impacted by COVID-19</w:t>
      </w:r>
      <w:r w:rsidR="00C16E20">
        <w:t xml:space="preserve"> pandemic</w:t>
      </w:r>
      <w:r w:rsidRPr="00FB4253">
        <w:t xml:space="preserve"> restrictions. Stakeholders </w:t>
      </w:r>
      <w:r>
        <w:t>noted the efficiency of</w:t>
      </w:r>
      <w:r w:rsidRPr="00FB4253">
        <w:t xml:space="preserve"> this design</w:t>
      </w:r>
      <w:r>
        <w:t xml:space="preserve"> element.</w:t>
      </w:r>
    </w:p>
    <w:p w14:paraId="0163F45E" w14:textId="1ED0C890" w:rsidR="00CD682E" w:rsidRDefault="00A957C2" w:rsidP="00021EF3">
      <w:pPr>
        <w:spacing w:before="160"/>
      </w:pPr>
      <w:r>
        <w:t>However, i</w:t>
      </w:r>
      <w:r w:rsidR="00CD682E">
        <w:t>n seeking to determine and apply robust eligibility criteria to businesses</w:t>
      </w:r>
      <w:r w:rsidR="007B1714">
        <w:t xml:space="preserve"> for both </w:t>
      </w:r>
      <w:r w:rsidR="00D14830">
        <w:t>the BCAP and LHVF grants</w:t>
      </w:r>
      <w:r w:rsidR="00CD682E">
        <w:t>, the Department faced a number of unavoidable challenges with respect to data sharing, data recency and business structure complexities</w:t>
      </w:r>
      <w:r w:rsidR="00E04357">
        <w:t xml:space="preserve">. </w:t>
      </w:r>
      <w:r w:rsidR="008F1872">
        <w:t xml:space="preserve">These challenges impacted the extent to which the Department could </w:t>
      </w:r>
      <w:r w:rsidR="008F1872" w:rsidRPr="00BB5407">
        <w:t xml:space="preserve">tailor grant amounts to individual business needs. </w:t>
      </w:r>
      <w:r w:rsidR="00E04357" w:rsidRPr="00BB5407">
        <w:t>T</w:t>
      </w:r>
      <w:r w:rsidR="000476C0" w:rsidRPr="00BB5407">
        <w:t>hese are explored below</w:t>
      </w:r>
      <w:r w:rsidR="003936C3" w:rsidRPr="00BB5407">
        <w:t>.</w:t>
      </w:r>
      <w:r w:rsidR="00C62326" w:rsidRPr="00BB5407">
        <w:t xml:space="preserve"> While a wage subsidy program may have ameliorated some of these challenges relat</w:t>
      </w:r>
      <w:r w:rsidR="00BA59C6" w:rsidRPr="00BB5407">
        <w:t>ing</w:t>
      </w:r>
      <w:r w:rsidR="00C62326" w:rsidRPr="00BB5407">
        <w:t xml:space="preserve"> to targeting</w:t>
      </w:r>
      <w:r w:rsidR="00A1703A" w:rsidRPr="00BB5407">
        <w:t xml:space="preserve">, its eligibility requirements and the need for </w:t>
      </w:r>
      <w:r w:rsidR="00BA59C6" w:rsidRPr="00BB5407">
        <w:t>data would</w:t>
      </w:r>
      <w:r w:rsidR="00BA59C6">
        <w:t xml:space="preserve"> have still been encountered.</w:t>
      </w:r>
    </w:p>
    <w:p w14:paraId="72A279D6" w14:textId="77777777" w:rsidR="00CD682E" w:rsidRDefault="00CD682E" w:rsidP="00021EF3">
      <w:pPr>
        <w:pStyle w:val="Heading3un-numbered"/>
      </w:pPr>
      <w:bookmarkStart w:id="317" w:name="_Toc173244959"/>
      <w:bookmarkStart w:id="318" w:name="_Toc173245874"/>
      <w:bookmarkStart w:id="319" w:name="_Toc173246303"/>
      <w:bookmarkStart w:id="320" w:name="_Toc173308301"/>
      <w:bookmarkStart w:id="321" w:name="_Toc173344720"/>
      <w:bookmarkStart w:id="322" w:name="_Toc173344947"/>
      <w:bookmarkStart w:id="323" w:name="_Toc173915902"/>
      <w:bookmarkStart w:id="324" w:name="_Toc174118144"/>
      <w:bookmarkStart w:id="325" w:name="_Toc176516263"/>
      <w:r>
        <w:t>Data sharing</w:t>
      </w:r>
      <w:bookmarkEnd w:id="317"/>
      <w:bookmarkEnd w:id="318"/>
      <w:bookmarkEnd w:id="319"/>
      <w:bookmarkEnd w:id="320"/>
      <w:bookmarkEnd w:id="321"/>
      <w:bookmarkEnd w:id="322"/>
      <w:bookmarkEnd w:id="323"/>
      <w:bookmarkEnd w:id="324"/>
      <w:bookmarkEnd w:id="325"/>
    </w:p>
    <w:p w14:paraId="5E28EFB7" w14:textId="1D489811" w:rsidR="00CD682E" w:rsidRDefault="00064516" w:rsidP="00021EF3">
      <w:r>
        <w:t>Despite requesting this from the ATO, t</w:t>
      </w:r>
      <w:r w:rsidR="00CD682E" w:rsidRPr="000E55EC">
        <w:t xml:space="preserve">he Department was unable to access </w:t>
      </w:r>
      <w:r w:rsidR="00B82ECF">
        <w:t>ATO</w:t>
      </w:r>
      <w:r w:rsidR="00CD682E" w:rsidRPr="000E55EC">
        <w:t xml:space="preserve"> </w:t>
      </w:r>
      <w:r w:rsidR="00CD682E">
        <w:t>single touch payroll</w:t>
      </w:r>
      <w:r w:rsidR="00CD682E" w:rsidRPr="000E55EC">
        <w:t xml:space="preserve"> data </w:t>
      </w:r>
      <w:r w:rsidR="00CD682E">
        <w:t>and income statement</w:t>
      </w:r>
      <w:r w:rsidR="00323C05">
        <w:t>s</w:t>
      </w:r>
      <w:r w:rsidR="00CD682E" w:rsidRPr="000E55EC">
        <w:t xml:space="preserve"> to discern an eligibility measure of actual or potential income or activity of the business. This </w:t>
      </w:r>
      <w:r w:rsidR="00CD682E" w:rsidRPr="000E55EC">
        <w:lastRenderedPageBreak/>
        <w:t xml:space="preserve">limited the extent to which actual business costs could be calculated and </w:t>
      </w:r>
      <w:r w:rsidR="00CD682E">
        <w:t xml:space="preserve">matched to the grant amount. Grants were </w:t>
      </w:r>
      <w:r w:rsidR="00CD682E" w:rsidRPr="000E55EC">
        <w:t>restricted to a flat amount per business</w:t>
      </w:r>
      <w:r w:rsidR="00CD682E">
        <w:t>, and a</w:t>
      </w:r>
      <w:r w:rsidR="00CD682E" w:rsidRPr="000E55EC">
        <w:t xml:space="preserve">s a result, </w:t>
      </w:r>
      <w:r w:rsidR="00801445">
        <w:t>based on the prescribed grant amounts</w:t>
      </w:r>
      <w:r w:rsidR="003C6924">
        <w:t>,</w:t>
      </w:r>
      <w:r w:rsidR="004E2773">
        <w:t xml:space="preserve"> </w:t>
      </w:r>
      <w:r w:rsidR="00CD682E" w:rsidRPr="000E55EC">
        <w:t xml:space="preserve">businesses and those almost three times the size (with a payroll between $3 million and $10 million) </w:t>
      </w:r>
      <w:r w:rsidR="004E2773">
        <w:t>would have received</w:t>
      </w:r>
      <w:r w:rsidR="004E2773" w:rsidRPr="000E55EC">
        <w:t xml:space="preserve"> </w:t>
      </w:r>
      <w:r w:rsidR="00CD682E" w:rsidRPr="000E55EC">
        <w:t xml:space="preserve">the same grant amount. </w:t>
      </w:r>
      <w:r w:rsidR="00616A0F">
        <w:t>T</w:t>
      </w:r>
      <w:r w:rsidR="00CD682E">
        <w:t xml:space="preserve">his </w:t>
      </w:r>
      <w:r w:rsidR="008A7B51">
        <w:t xml:space="preserve">made </w:t>
      </w:r>
      <w:r w:rsidR="00CD682E">
        <w:t xml:space="preserve">the eligibility criteria of BCAP </w:t>
      </w:r>
      <w:r w:rsidR="008A7B51">
        <w:t xml:space="preserve">less precise </w:t>
      </w:r>
      <w:r w:rsidR="00CD682E">
        <w:t xml:space="preserve">and </w:t>
      </w:r>
      <w:r w:rsidR="00FE38CD">
        <w:t>limited the extent to which the Department could tailor grant amounts to individual business needs, undermining</w:t>
      </w:r>
      <w:r w:rsidR="00CD682E" w:rsidDel="00FE38CD">
        <w:t xml:space="preserve"> </w:t>
      </w:r>
      <w:r w:rsidR="00FE38CD">
        <w:t>the program’s</w:t>
      </w:r>
      <w:r w:rsidR="00CD682E">
        <w:t xml:space="preserve"> effectiveness in supporting businesses most affected by the pandemic.</w:t>
      </w:r>
    </w:p>
    <w:p w14:paraId="6381374A" w14:textId="64BA5325" w:rsidR="00CD682E" w:rsidRPr="000E55EC" w:rsidRDefault="00CD682E" w:rsidP="00021EF3">
      <w:r>
        <w:t>Further, it took time for the Department to gain access to WorkSafe insurance registration and payroll data. While data sharing arrangements were established by later stages of the program, these were delayed when compared to when applications for the grants opened. This slowed access impacted the Department’s ability to validate eligibility in the early rounds of the programs.</w:t>
      </w:r>
      <w:r w:rsidR="00B65A69">
        <w:t xml:space="preserve"> Gaining access to WorkSafe payroll data from </w:t>
      </w:r>
      <w:r w:rsidR="00A1703A">
        <w:t>BCAP r</w:t>
      </w:r>
      <w:r w:rsidR="00B65A69">
        <w:t xml:space="preserve">ound </w:t>
      </w:r>
      <w:r w:rsidR="0039701A">
        <w:t>four</w:t>
      </w:r>
      <w:r w:rsidR="00B65A69">
        <w:t xml:space="preserve"> onwards </w:t>
      </w:r>
      <w:r w:rsidR="000B60AF">
        <w:t xml:space="preserve">was important as it </w:t>
      </w:r>
      <w:r w:rsidR="00B65A69">
        <w:t>enabled the Department to</w:t>
      </w:r>
      <w:r w:rsidR="00CD54D5">
        <w:t xml:space="preserve"> shift from a flat payment model to a tiered payment model, where grant amounts were based on payroll and </w:t>
      </w:r>
      <w:r w:rsidR="003E7826">
        <w:t xml:space="preserve">subsequently </w:t>
      </w:r>
      <w:r w:rsidR="00CD54D5">
        <w:t xml:space="preserve">employing status. </w:t>
      </w:r>
      <w:r w:rsidR="00C2751B">
        <w:t>It would be expected that</w:t>
      </w:r>
      <w:r w:rsidR="00CD54D5">
        <w:t xml:space="preserve"> </w:t>
      </w:r>
      <w:r w:rsidR="003E7826">
        <w:t xml:space="preserve">shifting to a tiered payment model </w:t>
      </w:r>
      <w:r w:rsidR="00C2751B">
        <w:t xml:space="preserve">increased the targeting of funding and hence value for money in the sense that </w:t>
      </w:r>
      <w:r w:rsidR="00CD54D5">
        <w:t xml:space="preserve">payment amounts were more likely to be proportionate to a </w:t>
      </w:r>
      <w:r w:rsidR="007477E3">
        <w:t>business’</w:t>
      </w:r>
      <w:r w:rsidR="00CD54D5">
        <w:t xml:space="preserve"> need</w:t>
      </w:r>
      <w:r w:rsidR="003E7826">
        <w:t>s</w:t>
      </w:r>
      <w:r w:rsidR="00CD54D5">
        <w:t xml:space="preserve"> and costs.</w:t>
      </w:r>
      <w:r w:rsidR="007F582C">
        <w:t xml:space="preserve"> Further, there was no evidence that this substantively increased administrative burden. </w:t>
      </w:r>
      <w:r w:rsidR="00F53CA0">
        <w:t xml:space="preserve">These data sharing arrangements with WorkSafe are now ongoing, meaning future programs would not require an equivalent upfront time investment </w:t>
      </w:r>
      <w:r w:rsidR="007A61BB">
        <w:t>to link individual grant amounts to payroll.</w:t>
      </w:r>
    </w:p>
    <w:p w14:paraId="6F32FCBA" w14:textId="77777777" w:rsidR="00CD682E" w:rsidRDefault="00CD682E" w:rsidP="00021EF3">
      <w:pPr>
        <w:pStyle w:val="Heading3un-numbered"/>
      </w:pPr>
      <w:bookmarkStart w:id="326" w:name="_Toc173244960"/>
      <w:bookmarkStart w:id="327" w:name="_Toc173245875"/>
      <w:bookmarkStart w:id="328" w:name="_Toc173246304"/>
      <w:bookmarkStart w:id="329" w:name="_Toc173308302"/>
      <w:bookmarkStart w:id="330" w:name="_Toc173344721"/>
      <w:bookmarkStart w:id="331" w:name="_Toc173344948"/>
      <w:bookmarkStart w:id="332" w:name="_Toc173915903"/>
      <w:bookmarkStart w:id="333" w:name="_Toc174118145"/>
      <w:bookmarkStart w:id="334" w:name="_Toc176516264"/>
      <w:r>
        <w:t>Data recency</w:t>
      </w:r>
      <w:bookmarkEnd w:id="326"/>
      <w:bookmarkEnd w:id="327"/>
      <w:bookmarkEnd w:id="328"/>
      <w:bookmarkEnd w:id="329"/>
      <w:bookmarkEnd w:id="330"/>
      <w:bookmarkEnd w:id="331"/>
      <w:bookmarkEnd w:id="332"/>
      <w:bookmarkEnd w:id="333"/>
      <w:bookmarkEnd w:id="334"/>
    </w:p>
    <w:p w14:paraId="12166C86" w14:textId="1D28E5F8" w:rsidR="00CD682E" w:rsidRPr="000E55EC" w:rsidRDefault="00CD682E" w:rsidP="00021EF3">
      <w:r w:rsidRPr="000E55EC">
        <w:t>The</w:t>
      </w:r>
      <w:r w:rsidR="004710FC">
        <w:t xml:space="preserve"> </w:t>
      </w:r>
      <w:r>
        <w:t>ABR</w:t>
      </w:r>
      <w:r w:rsidRPr="000E55EC">
        <w:t xml:space="preserve"> data mechanism used to validate the ABN and eligible ANZSIC code</w:t>
      </w:r>
      <w:r w:rsidR="00552DCA">
        <w:t>s</w:t>
      </w:r>
      <w:r w:rsidRPr="000E55EC">
        <w:t xml:space="preserve"> for the BCAP grant was </w:t>
      </w:r>
      <w:r>
        <w:t xml:space="preserve">also </w:t>
      </w:r>
      <w:r w:rsidRPr="000E55EC">
        <w:t>challenging</w:t>
      </w:r>
      <w:r>
        <w:t xml:space="preserve">. Despite legal requirements </w:t>
      </w:r>
      <w:r w:rsidR="00B65C6E">
        <w:t>for businesses</w:t>
      </w:r>
      <w:r>
        <w:t xml:space="preserve"> to update data within 28 days of a change, a number of eligible</w:t>
      </w:r>
      <w:r w:rsidRPr="000E55EC">
        <w:t xml:space="preserve"> businesses had not updated their primary ANZSIC code to reflect majority of </w:t>
      </w:r>
      <w:r>
        <w:t>their</w:t>
      </w:r>
      <w:r w:rsidRPr="000E55EC">
        <w:t xml:space="preserve"> operations since initially registering years prior. </w:t>
      </w:r>
      <w:r w:rsidR="00B10956">
        <w:t>Some</w:t>
      </w:r>
      <w:r w:rsidRPr="000E55EC">
        <w:t xml:space="preserve"> businesses w</w:t>
      </w:r>
      <w:r>
        <w:t>ould have been eligible according to their tax return class of industry but were rejected because</w:t>
      </w:r>
      <w:r w:rsidRPr="000E55EC">
        <w:t xml:space="preserve"> the eligibility</w:t>
      </w:r>
      <w:r>
        <w:t xml:space="preserve"> validation processes classed them as not eligible.</w:t>
      </w:r>
      <w:r w:rsidRPr="000E55EC">
        <w:t xml:space="preserve"> </w:t>
      </w:r>
      <w:r>
        <w:t xml:space="preserve">Similarly, businesses with out-of-date ABR data who should not have been eligible may have </w:t>
      </w:r>
      <w:r w:rsidR="00552DCA">
        <w:t>also</w:t>
      </w:r>
      <w:r>
        <w:t xml:space="preserve"> received grant payments</w:t>
      </w:r>
      <w:r w:rsidRPr="000E55EC">
        <w:t>.</w:t>
      </w:r>
    </w:p>
    <w:p w14:paraId="014E1B63" w14:textId="7F0850BF" w:rsidR="00CD682E" w:rsidRPr="000E55EC" w:rsidRDefault="00CD682E" w:rsidP="00021EF3">
      <w:pPr>
        <w:spacing w:before="160"/>
      </w:pPr>
      <w:r w:rsidRPr="000E55EC">
        <w:t>Although more robust than BCAP grants in targeting a specific sector</w:t>
      </w:r>
      <w:r>
        <w:t xml:space="preserve"> through a common industry registration</w:t>
      </w:r>
      <w:r w:rsidRPr="000E55EC">
        <w:t>, a similar eligibility validation challenge was experienced for the LHVF grant with respect to liquor licencing and food certifications</w:t>
      </w:r>
      <w:r>
        <w:t>.</w:t>
      </w:r>
      <w:r w:rsidRPr="000E55EC">
        <w:t xml:space="preserve"> </w:t>
      </w:r>
      <w:r w:rsidR="00FB0200">
        <w:t>Some l</w:t>
      </w:r>
      <w:r>
        <w:t>icen</w:t>
      </w:r>
      <w:r w:rsidR="00AE476C">
        <w:t>s</w:t>
      </w:r>
      <w:r>
        <w:t xml:space="preserve">ed hospitality </w:t>
      </w:r>
      <w:r w:rsidRPr="000E55EC">
        <w:t>businesses had not updated or renewed the necessary information</w:t>
      </w:r>
      <w:r>
        <w:t>, or in some cases, allowed their licen</w:t>
      </w:r>
      <w:r w:rsidR="00015362">
        <w:t>c</w:t>
      </w:r>
      <w:r>
        <w:t>e to lapse during the pandemic</w:t>
      </w:r>
      <w:r w:rsidRPr="000E55EC">
        <w:t xml:space="preserve">. This placed burden on the Department to </w:t>
      </w:r>
      <w:r>
        <w:t xml:space="preserve">manually </w:t>
      </w:r>
      <w:r w:rsidRPr="000E55EC">
        <w:t>fill data gaps with local councils where it could not be validated automatically</w:t>
      </w:r>
      <w:r>
        <w:t>. As a result,</w:t>
      </w:r>
      <w:r w:rsidRPr="000E55EC" w:rsidDel="00567390">
        <w:t xml:space="preserve"> </w:t>
      </w:r>
      <w:r w:rsidRPr="000E55EC">
        <w:t xml:space="preserve">some businesses </w:t>
      </w:r>
      <w:r>
        <w:t xml:space="preserve">did </w:t>
      </w:r>
      <w:r w:rsidRPr="000E55EC">
        <w:t>not receiv</w:t>
      </w:r>
      <w:r>
        <w:t>e</w:t>
      </w:r>
      <w:r w:rsidRPr="000E55EC">
        <w:t xml:space="preserve"> the grants despite being part of the intended target </w:t>
      </w:r>
      <w:r w:rsidR="00A31617" w:rsidRPr="000E55EC">
        <w:t>group</w:t>
      </w:r>
      <w:r w:rsidR="00A31617">
        <w:t xml:space="preserve"> or</w:t>
      </w:r>
      <w:r>
        <w:t xml:space="preserve"> did not receive the correct grant amount despite surpassing certain tiered thresholds (e.g.</w:t>
      </w:r>
      <w:r w:rsidR="00555726">
        <w:t xml:space="preserve">, </w:t>
      </w:r>
      <w:r>
        <w:t>patron capacity)</w:t>
      </w:r>
      <w:r w:rsidRPr="000E55EC">
        <w:t>.</w:t>
      </w:r>
    </w:p>
    <w:p w14:paraId="2C7D5C1D" w14:textId="77777777" w:rsidR="00CD682E" w:rsidRDefault="00CD682E" w:rsidP="00021EF3">
      <w:pPr>
        <w:pStyle w:val="Heading3un-numbered"/>
      </w:pPr>
      <w:bookmarkStart w:id="335" w:name="_Toc173244961"/>
      <w:bookmarkStart w:id="336" w:name="_Toc173245876"/>
      <w:bookmarkStart w:id="337" w:name="_Toc173246305"/>
      <w:bookmarkStart w:id="338" w:name="_Toc173308303"/>
      <w:bookmarkStart w:id="339" w:name="_Toc173344722"/>
      <w:bookmarkStart w:id="340" w:name="_Toc173344949"/>
      <w:bookmarkStart w:id="341" w:name="_Toc173915904"/>
      <w:bookmarkStart w:id="342" w:name="_Toc174118146"/>
      <w:bookmarkStart w:id="343" w:name="_Toc176516265"/>
      <w:r w:rsidRPr="00273D36">
        <w:t>Business structure complexities</w:t>
      </w:r>
      <w:bookmarkEnd w:id="335"/>
      <w:bookmarkEnd w:id="336"/>
      <w:bookmarkEnd w:id="337"/>
      <w:bookmarkEnd w:id="338"/>
      <w:bookmarkEnd w:id="339"/>
      <w:bookmarkEnd w:id="340"/>
      <w:bookmarkEnd w:id="341"/>
      <w:bookmarkEnd w:id="342"/>
      <w:bookmarkEnd w:id="343"/>
    </w:p>
    <w:p w14:paraId="5E406500" w14:textId="779A2F2D" w:rsidR="00CD682E" w:rsidRDefault="00CD682E" w:rsidP="00021EF3">
      <w:r w:rsidRPr="0029138D">
        <w:t xml:space="preserve">The Department </w:t>
      </w:r>
      <w:r>
        <w:t xml:space="preserve">also </w:t>
      </w:r>
      <w:r w:rsidRPr="0029138D">
        <w:t xml:space="preserve">experienced challenges in discerning business eligibility where businesses were an amalgamation </w:t>
      </w:r>
      <w:r>
        <w:t>or combination</w:t>
      </w:r>
      <w:r w:rsidRPr="0029138D">
        <w:t xml:space="preserve"> of multiple business sites</w:t>
      </w:r>
      <w:r>
        <w:t>. Internal stakeholders observed that it was challenging to determine how much businesses should have received in grants under the eligibility criteria and whether it was per business entity, or business site. Further complexities in the BCAP eligibility criteria were also experienced where different parts of a business held different ABNs.</w:t>
      </w:r>
    </w:p>
    <w:p w14:paraId="16C90AAB" w14:textId="77777777" w:rsidR="00666D88" w:rsidRPr="00893EB3" w:rsidRDefault="00666D88" w:rsidP="00021EF3">
      <w:pPr>
        <w:pStyle w:val="Heading3SEQs"/>
        <w:rPr>
          <w:b w:val="0"/>
        </w:rPr>
      </w:pPr>
      <w:bookmarkStart w:id="344" w:name="_Ref173938968"/>
      <w:bookmarkStart w:id="345" w:name="_Toc174118147"/>
      <w:bookmarkStart w:id="346" w:name="_Toc176516266"/>
      <w:r w:rsidRPr="00F00EDA">
        <w:t>SEQ</w:t>
      </w:r>
      <w:r>
        <w:rPr>
          <w:b w:val="0"/>
        </w:rPr>
        <w:t xml:space="preserve"> 12</w:t>
      </w:r>
      <w:r w:rsidRPr="009A3D80">
        <w:rPr>
          <w:b w:val="0"/>
        </w:rPr>
        <w:t>:</w:t>
      </w:r>
      <w:r w:rsidRPr="00E72CC8">
        <w:t xml:space="preserve"> </w:t>
      </w:r>
      <w:r w:rsidRPr="00893EB3">
        <w:rPr>
          <w:b w:val="0"/>
        </w:rPr>
        <w:t>Did the Department demonstrate efficiency in the delivery of the grants?</w:t>
      </w:r>
      <w:bookmarkEnd w:id="344"/>
      <w:bookmarkEnd w:id="345"/>
      <w:bookmarkEnd w:id="346"/>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666D88" w14:paraId="7131E282" w14:textId="77777777" w:rsidTr="00B9260A">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39AB06D5" w14:textId="4A32FAEF" w:rsidR="00666D88" w:rsidRPr="00A04FF8" w:rsidRDefault="00666D88" w:rsidP="00021EF3">
            <w:pPr>
              <w:spacing w:after="0"/>
              <w:rPr>
                <w:b/>
                <w:bCs/>
              </w:rPr>
            </w:pPr>
            <w:r w:rsidRPr="00A04FF8">
              <w:rPr>
                <w:b/>
                <w:bCs/>
                <w:color w:val="62B5E5" w:themeColor="accent3"/>
              </w:rPr>
              <w:t xml:space="preserve">Finding </w:t>
            </w:r>
            <w:r w:rsidR="00D36A59">
              <w:rPr>
                <w:b/>
                <w:bCs/>
                <w:color w:val="62B5E5" w:themeColor="accent3"/>
              </w:rPr>
              <w:t>8</w:t>
            </w:r>
            <w:r w:rsidRPr="00A04FF8">
              <w:rPr>
                <w:b/>
                <w:bCs/>
                <w:color w:val="62B5E5" w:themeColor="accent3"/>
              </w:rPr>
              <w:t>: </w:t>
            </w:r>
            <w:r w:rsidRPr="00493E4C">
              <w:rPr>
                <w:b/>
                <w:bCs/>
              </w:rPr>
              <w:t>The</w:t>
            </w:r>
            <w:r>
              <w:rPr>
                <w:b/>
                <w:bCs/>
              </w:rPr>
              <w:t xml:space="preserve"> </w:t>
            </w:r>
            <w:r w:rsidRPr="00493E4C">
              <w:rPr>
                <w:b/>
                <w:bCs/>
              </w:rPr>
              <w:t>Department demonstrated significant operational efficiency by distributing an unprecedented number of grants within a compressed timeframe</w:t>
            </w:r>
            <w:r w:rsidRPr="00606B47">
              <w:rPr>
                <w:b/>
                <w:bCs/>
              </w:rPr>
              <w:t>.</w:t>
            </w:r>
          </w:p>
        </w:tc>
      </w:tr>
    </w:tbl>
    <w:p w14:paraId="21CB79DC" w14:textId="77777777" w:rsidR="00666D88" w:rsidRDefault="00666D88" w:rsidP="00021EF3">
      <w:pPr>
        <w:spacing w:before="160"/>
      </w:pPr>
      <w:r>
        <w:t xml:space="preserve">The Department demonstrated efficiency through the delivery of grants programs of unprecedented scale that required significant coordination across government and the rapid standing up of complex processes and systems within a compressed timeframe </w:t>
      </w:r>
      <w:r w:rsidRPr="0064211C">
        <w:t>(see Finding 3)</w:t>
      </w:r>
      <w:r>
        <w:t>.</w:t>
      </w:r>
    </w:p>
    <w:p w14:paraId="160E9E4D" w14:textId="20D17566" w:rsidR="00666D88" w:rsidRDefault="00666D88" w:rsidP="00021EF3">
      <w:r>
        <w:t xml:space="preserve">The Department </w:t>
      </w:r>
      <w:r w:rsidR="001D583E">
        <w:t>at times processed tens o</w:t>
      </w:r>
      <w:r w:rsidR="00CC2ED4">
        <w:t>f thousands of</w:t>
      </w:r>
      <w:r w:rsidR="001D583E">
        <w:t xml:space="preserve"> </w:t>
      </w:r>
      <w:r w:rsidR="00701361">
        <w:t>grants</w:t>
      </w:r>
      <w:r w:rsidR="00A96FFA">
        <w:t xml:space="preserve"> for individual rounds</w:t>
      </w:r>
      <w:r w:rsidR="001D583E">
        <w:t xml:space="preserve"> within a</w:t>
      </w:r>
      <w:r w:rsidR="00CC2ED4">
        <w:t xml:space="preserve"> matter of weeks,</w:t>
      </w:r>
      <w:r w:rsidR="00A96FFA">
        <w:t xml:space="preserve"> </w:t>
      </w:r>
      <w:r w:rsidR="00CC2ED4">
        <w:t>in aggregate</w:t>
      </w:r>
      <w:r w:rsidR="00701361">
        <w:t xml:space="preserve"> </w:t>
      </w:r>
      <w:r>
        <w:t>deliver</w:t>
      </w:r>
      <w:r w:rsidR="00CC2ED4">
        <w:t>ing</w:t>
      </w:r>
      <w:r>
        <w:t>:</w:t>
      </w:r>
    </w:p>
    <w:p w14:paraId="49DBBE59" w14:textId="2E9D30B7" w:rsidR="00666D88" w:rsidRPr="00941254" w:rsidRDefault="00666D88" w:rsidP="00021EF3">
      <w:pPr>
        <w:pStyle w:val="ListBullet"/>
      </w:pPr>
      <w:r>
        <w:t>a</w:t>
      </w:r>
      <w:r w:rsidRPr="00941254">
        <w:t xml:space="preserve"> total of $4.9 billion to </w:t>
      </w:r>
      <w:r w:rsidRPr="00686630">
        <w:t>141</w:t>
      </w:r>
      <w:r>
        <w:t xml:space="preserve">,709 </w:t>
      </w:r>
      <w:r w:rsidRPr="00941254">
        <w:t xml:space="preserve">businesses over a </w:t>
      </w:r>
      <w:r w:rsidRPr="00686630">
        <w:t>28</w:t>
      </w:r>
      <w:r w:rsidRPr="00941254">
        <w:t>-month period through BCAP</w:t>
      </w:r>
      <w:r w:rsidR="009B5264">
        <w:t>, with up to 52,011 payments being made in one month (June 2021), and 15,844 payments on a single day (27 August 2021)</w:t>
      </w:r>
      <w:r w:rsidR="0080537C">
        <w:t>.</w:t>
      </w:r>
    </w:p>
    <w:p w14:paraId="0E223606" w14:textId="5AF9BCA4" w:rsidR="00666D88" w:rsidRDefault="00666D88" w:rsidP="00021EF3">
      <w:pPr>
        <w:pStyle w:val="ListBullet"/>
      </w:pPr>
      <w:r w:rsidRPr="00686630">
        <w:t>a</w:t>
      </w:r>
      <w:r w:rsidRPr="00941254">
        <w:t xml:space="preserve"> total of $1.3 billion to 9,</w:t>
      </w:r>
      <w:r w:rsidRPr="00686630">
        <w:t>764</w:t>
      </w:r>
      <w:r w:rsidRPr="00941254">
        <w:t xml:space="preserve"> businesses over a 31-month period through LHVF</w:t>
      </w:r>
      <w:r w:rsidR="005A7226">
        <w:t>, with up to 7,781 payments being made in one month (July 2021), and 3,533 payments on a single day (6 July 2021)</w:t>
      </w:r>
      <w:r w:rsidRPr="00941254">
        <w:t>.</w:t>
      </w:r>
    </w:p>
    <w:p w14:paraId="517F47EA" w14:textId="04B28F7B" w:rsidR="00666D88" w:rsidRDefault="00666D88" w:rsidP="00021EF3">
      <w:r>
        <w:t>Existing departmental processes and systems were designed to deliver grants programs of much lesser scale (generally less than 100 grants at a time), meaning the Department had to find ways to streamline and automate processes to realise efficiencies required to deliver programs of this scale. In particular, the Department was able to automate key grant processes</w:t>
      </w:r>
      <w:r w:rsidR="002E2A0C">
        <w:t xml:space="preserve"> such as automatic top-up payments</w:t>
      </w:r>
      <w:r>
        <w:t xml:space="preserve"> </w:t>
      </w:r>
      <w:r w:rsidR="002A1CEF">
        <w:t xml:space="preserve">and notifications </w:t>
      </w:r>
      <w:r>
        <w:t>(see Finding 3).</w:t>
      </w:r>
    </w:p>
    <w:p w14:paraId="1AF6BDA4" w14:textId="2F0785DE" w:rsidR="00666D88" w:rsidRDefault="00666D88" w:rsidP="00021EF3">
      <w:r>
        <w:t xml:space="preserve">This was supported by feedback provided by both internal and external stakeholders who consistently commended the operational efficiency of the Department in its capacity to distribute the grants quickly. </w:t>
      </w:r>
      <w:r>
        <w:lastRenderedPageBreak/>
        <w:t>Specifically, internal stakeholders</w:t>
      </w:r>
      <w:r w:rsidR="00B77225">
        <w:t xml:space="preserve"> experienced in </w:t>
      </w:r>
      <w:r w:rsidR="00212D0C">
        <w:t xml:space="preserve">the delivery of </w:t>
      </w:r>
      <w:r w:rsidR="006D0604">
        <w:t xml:space="preserve">previous </w:t>
      </w:r>
      <w:r w:rsidR="00212D0C">
        <w:t>grant programs</w:t>
      </w:r>
      <w:r>
        <w:t xml:space="preserve"> remarked that the Department delivered the programs with </w:t>
      </w:r>
      <w:r w:rsidR="00BC4740">
        <w:t>an elevated level of efficiency</w:t>
      </w:r>
      <w:r>
        <w:t>. External stakeholders also indicated that they felt the efficiency of delivery improved as the rounds progressed, indicative of the Department working to refine its processes.</w:t>
      </w:r>
    </w:p>
    <w:p w14:paraId="6B3206B7" w14:textId="37AD0474" w:rsidR="00810FBF" w:rsidRDefault="007B4916" w:rsidP="00021EF3">
      <w:r>
        <w:t>While t</w:t>
      </w:r>
      <w:r w:rsidR="00810FBF">
        <w:t>he Department provided budget and expenditure dat</w:t>
      </w:r>
      <w:r w:rsidR="000348BF">
        <w:t xml:space="preserve">a for </w:t>
      </w:r>
      <w:r w:rsidR="0069603D">
        <w:t>the suite of COVID-19 response programs and initiatives it delivered</w:t>
      </w:r>
      <w:r w:rsidR="00B03E14">
        <w:t>,</w:t>
      </w:r>
      <w:r w:rsidR="0069603D">
        <w:t xml:space="preserve"> this did not include a specific administrative cost breakdown </w:t>
      </w:r>
      <w:r w:rsidR="004C2292">
        <w:t>for BCAP and LHVF</w:t>
      </w:r>
      <w:r w:rsidR="00D71322">
        <w:t>, meaning it is not possible to precisely estimate the total administrative cost associated with the</w:t>
      </w:r>
      <w:r w:rsidR="00BF0924">
        <w:t xml:space="preserve"> programs. However, it is possible to consider </w:t>
      </w:r>
      <w:r w:rsidR="009A5CEA">
        <w:t xml:space="preserve">the scale of BCAP and LHVF as a proportion of all </w:t>
      </w:r>
      <w:r w:rsidR="00EB1506">
        <w:t xml:space="preserve">of the Department’s </w:t>
      </w:r>
      <w:r w:rsidR="009A5CEA">
        <w:t xml:space="preserve">COVID-19 response programs </w:t>
      </w:r>
      <w:r w:rsidR="007073B0">
        <w:t>relative to the</w:t>
      </w:r>
      <w:r w:rsidR="00586CB0">
        <w:t>ir</w:t>
      </w:r>
      <w:r w:rsidR="007073B0">
        <w:t xml:space="preserve"> total administrative costs</w:t>
      </w:r>
      <w:r w:rsidR="00586CB0">
        <w:t xml:space="preserve">. </w:t>
      </w:r>
    </w:p>
    <w:p w14:paraId="21E42A33" w14:textId="5F8A5B3C" w:rsidR="00097012" w:rsidRDefault="008040AC" w:rsidP="00021EF3">
      <w:r>
        <w:t xml:space="preserve">The total </w:t>
      </w:r>
      <w:r w:rsidR="004A17DD">
        <w:t>employment</w:t>
      </w:r>
      <w:r w:rsidR="005D615D">
        <w:t xml:space="preserve"> </w:t>
      </w:r>
      <w:r>
        <w:t>cost</w:t>
      </w:r>
      <w:r w:rsidR="005D615D">
        <w:t xml:space="preserve"> (i.e., wages)</w:t>
      </w:r>
      <w:r>
        <w:t xml:space="preserve"> associated with </w:t>
      </w:r>
      <w:r w:rsidR="005E4F38">
        <w:t>the Department</w:t>
      </w:r>
      <w:r w:rsidR="007D331C">
        <w:t>’</w:t>
      </w:r>
      <w:r w:rsidR="005E4F38">
        <w:t>s COVID-19 response programs over 202</w:t>
      </w:r>
      <w:r w:rsidR="00C912A5">
        <w:t>0</w:t>
      </w:r>
      <w:r w:rsidR="005E4F38">
        <w:t>-2</w:t>
      </w:r>
      <w:r w:rsidR="00C912A5">
        <w:t>1 and 2021-22</w:t>
      </w:r>
      <w:r w:rsidR="00345267">
        <w:t xml:space="preserve"> was</w:t>
      </w:r>
      <w:r w:rsidR="00A62F52">
        <w:t xml:space="preserve"> </w:t>
      </w:r>
      <w:r w:rsidR="00C2086B">
        <w:t>approximately $66.3 million. Given BCAP and LHVF made up</w:t>
      </w:r>
      <w:r w:rsidR="00AE22BA">
        <w:t xml:space="preserve"> 64% of </w:t>
      </w:r>
      <w:r w:rsidR="005876B5">
        <w:t xml:space="preserve">total grant </w:t>
      </w:r>
      <w:r w:rsidR="00AE22BA">
        <w:t>funding over this period</w:t>
      </w:r>
      <w:r w:rsidR="0055206B">
        <w:t>,</w:t>
      </w:r>
      <w:r w:rsidR="00AE22BA">
        <w:t xml:space="preserve"> </w:t>
      </w:r>
      <w:r w:rsidR="00407137">
        <w:t xml:space="preserve">the proportionate labour cost associated with this would be </w:t>
      </w:r>
      <w:r w:rsidR="004B685C">
        <w:t xml:space="preserve">$42.4 million. While this is likely an imprecise estimate, it shows that the </w:t>
      </w:r>
      <w:r w:rsidR="003F5B98">
        <w:t>labour costs associated with the delivery of the program</w:t>
      </w:r>
      <w:r w:rsidR="007B2BB4">
        <w:t xml:space="preserve"> are </w:t>
      </w:r>
      <w:r w:rsidR="00A16269">
        <w:t xml:space="preserve">a </w:t>
      </w:r>
      <w:r w:rsidR="00667C49">
        <w:t xml:space="preserve">relatively </w:t>
      </w:r>
      <w:r w:rsidR="00A16269">
        <w:t>small portion of overall program costs of over $6 billion.</w:t>
      </w:r>
      <w:r w:rsidR="00E56CD6">
        <w:t xml:space="preserve"> </w:t>
      </w:r>
    </w:p>
    <w:p w14:paraId="16764D82" w14:textId="408B8812" w:rsidR="00666D88" w:rsidRDefault="00666D88" w:rsidP="00021EF3">
      <w:r>
        <w:t>It was also reported that the Department’s program centre employed approximately, 210 VPS staff at its peak, with this workforce processing an extremely high volume of grants over a compressed timeframe.</w:t>
      </w:r>
    </w:p>
    <w:p w14:paraId="5C4C8DE1" w14:textId="5EF6EDAA" w:rsidR="00666D88" w:rsidRDefault="00666D88" w:rsidP="00021EF3">
      <w:r>
        <w:t xml:space="preserve">However, challenges related to data as well as information sharing (see </w:t>
      </w:r>
      <w:r w:rsidRPr="00494F99">
        <w:t>Finding 7</w:t>
      </w:r>
      <w:r>
        <w:t>) impacted on efficiencies in certain instances. In particular, challenges related to ABR data</w:t>
      </w:r>
      <w:r w:rsidR="00C04E15">
        <w:t>,</w:t>
      </w:r>
      <w:r>
        <w:t xml:space="preserve"> and the liquor licencing registry caused issues in proving the eligibility for certain businesses, necessitating complaint and review processes (see Finding 7). Additionally, challenges in information sharing impacted efficiencies by necessitating processes to resolve issues as well as through impacting the overall efficacy of the eligibility criteria.</w:t>
      </w:r>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666D88" w14:paraId="17E0923C" w14:textId="77777777" w:rsidTr="00B9260A">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7FEBE5EC" w14:textId="1DDE6789" w:rsidR="00666D88" w:rsidRPr="00A04FF8" w:rsidRDefault="00666D88" w:rsidP="00021EF3">
            <w:pPr>
              <w:spacing w:after="0"/>
              <w:rPr>
                <w:b/>
                <w:bCs/>
              </w:rPr>
            </w:pPr>
            <w:r w:rsidRPr="00A04FF8">
              <w:rPr>
                <w:b/>
                <w:bCs/>
                <w:color w:val="62B5E5" w:themeColor="accent3"/>
              </w:rPr>
              <w:t xml:space="preserve">Finding </w:t>
            </w:r>
            <w:r w:rsidR="00D36A59">
              <w:rPr>
                <w:b/>
                <w:bCs/>
                <w:color w:val="62B5E5" w:themeColor="accent3"/>
              </w:rPr>
              <w:t>9</w:t>
            </w:r>
            <w:r w:rsidRPr="00A04FF8">
              <w:rPr>
                <w:b/>
                <w:bCs/>
                <w:color w:val="62B5E5" w:themeColor="accent3"/>
              </w:rPr>
              <w:t>: </w:t>
            </w:r>
            <w:r w:rsidRPr="002F3195">
              <w:rPr>
                <w:b/>
                <w:bCs/>
              </w:rPr>
              <w:t xml:space="preserve">Targeted business grants </w:t>
            </w:r>
            <w:r w:rsidRPr="008552EC">
              <w:rPr>
                <w:b/>
                <w:bCs/>
              </w:rPr>
              <w:t xml:space="preserve">to support otherwise productive businesses through </w:t>
            </w:r>
            <w:r>
              <w:rPr>
                <w:b/>
                <w:bCs/>
              </w:rPr>
              <w:t>fluctuating</w:t>
            </w:r>
            <w:r w:rsidRPr="008552EC">
              <w:rPr>
                <w:b/>
                <w:bCs/>
              </w:rPr>
              <w:t xml:space="preserve"> period</w:t>
            </w:r>
            <w:r>
              <w:rPr>
                <w:b/>
                <w:bCs/>
              </w:rPr>
              <w:t>s</w:t>
            </w:r>
            <w:r w:rsidRPr="008552EC">
              <w:rPr>
                <w:b/>
                <w:bCs/>
              </w:rPr>
              <w:t xml:space="preserve"> o</w:t>
            </w:r>
            <w:r>
              <w:rPr>
                <w:b/>
                <w:bCs/>
              </w:rPr>
              <w:t>f</w:t>
            </w:r>
            <w:r w:rsidRPr="008552EC">
              <w:rPr>
                <w:b/>
                <w:bCs/>
              </w:rPr>
              <w:t xml:space="preserve"> </w:t>
            </w:r>
            <w:r>
              <w:rPr>
                <w:b/>
                <w:bCs/>
              </w:rPr>
              <w:t>restricted trade</w:t>
            </w:r>
            <w:r w:rsidRPr="008552EC">
              <w:rPr>
                <w:b/>
                <w:bCs/>
              </w:rPr>
              <w:t xml:space="preserve"> can achieve efficiencies. However, in practice</w:t>
            </w:r>
            <w:r w:rsidR="007400E9">
              <w:rPr>
                <w:b/>
                <w:bCs/>
              </w:rPr>
              <w:t>,</w:t>
            </w:r>
            <w:r w:rsidRPr="008552EC">
              <w:rPr>
                <w:b/>
                <w:bCs/>
              </w:rPr>
              <w:t xml:space="preserve"> this </w:t>
            </w:r>
            <w:r>
              <w:rPr>
                <w:b/>
                <w:bCs/>
              </w:rPr>
              <w:t>depends</w:t>
            </w:r>
            <w:r w:rsidRPr="008552EC">
              <w:rPr>
                <w:b/>
                <w:bCs/>
              </w:rPr>
              <w:t xml:space="preserve"> on the ability to effectively target grants.</w:t>
            </w:r>
          </w:p>
        </w:tc>
      </w:tr>
    </w:tbl>
    <w:p w14:paraId="27D90A5F" w14:textId="7F828A38" w:rsidR="00666D88" w:rsidRDefault="00666D88" w:rsidP="00021EF3">
      <w:pPr>
        <w:spacing w:before="160"/>
      </w:pPr>
      <w:r>
        <w:t>Pandemic</w:t>
      </w:r>
      <w:r w:rsidR="003E2A1A">
        <w:t>-</w:t>
      </w:r>
      <w:r>
        <w:t>related restrictions introduced an economic shock which severely impacted business</w:t>
      </w:r>
      <w:r w:rsidR="003E2A1A">
        <w:t>es</w:t>
      </w:r>
      <w:r>
        <w:t xml:space="preserve"> throughout Victoria, </w:t>
      </w:r>
      <w:r w:rsidR="008C7604">
        <w:t xml:space="preserve">constraining </w:t>
      </w:r>
      <w:r>
        <w:t>the ability for many businesses to operate entirely. As discussed throughout this report, this significantly impacted on business revenues, rendering many businesses unable to meet unavoidable costs and risking total business failure.</w:t>
      </w:r>
    </w:p>
    <w:p w14:paraId="4C6FB919" w14:textId="0F08FE19" w:rsidR="00666D88" w:rsidRDefault="00666D88" w:rsidP="00021EF3">
      <w:r>
        <w:t xml:space="preserve">Importantly, this was the case for many businesses </w:t>
      </w:r>
      <w:r w:rsidR="008C7604">
        <w:t xml:space="preserve">that </w:t>
      </w:r>
      <w:r>
        <w:t xml:space="preserve">would otherwise be productive or profitable. In other words, many businesses </w:t>
      </w:r>
      <w:r w:rsidR="008C7604">
        <w:t xml:space="preserve">that </w:t>
      </w:r>
      <w:r>
        <w:t xml:space="preserve">would otherwise productively contribute to the economy were at risk of defaulting on payments and/or total failure. Widespread business failure of otherwise productive businesses would have generated significant economic inefficiencies through the following: </w:t>
      </w:r>
    </w:p>
    <w:p w14:paraId="751CE512" w14:textId="255A0E3A" w:rsidR="00666D88" w:rsidRDefault="00666D88" w:rsidP="00021EF3">
      <w:pPr>
        <w:pStyle w:val="ListBullet"/>
      </w:pPr>
      <w:r>
        <w:t>the financial costs associated with businesses failures and insolvencies including unpaid debts and legal and administrative costs</w:t>
      </w:r>
      <w:r w:rsidR="00234709">
        <w:t>.</w:t>
      </w:r>
    </w:p>
    <w:p w14:paraId="708CE071" w14:textId="5371DAC4" w:rsidR="00666D88" w:rsidRDefault="00666D88" w:rsidP="00021EF3">
      <w:pPr>
        <w:pStyle w:val="ListBullet"/>
      </w:pPr>
      <w:r w:rsidRPr="002B1113">
        <w:t>flow</w:t>
      </w:r>
      <w:r w:rsidR="00234709">
        <w:t>-</w:t>
      </w:r>
      <w:r>
        <w:t>on efficiencies from business being able to meet payments, including avoiding supply chain disruptions</w:t>
      </w:r>
      <w:r w:rsidR="00234709">
        <w:t>.</w:t>
      </w:r>
    </w:p>
    <w:p w14:paraId="678B4775" w14:textId="0B7A004C" w:rsidR="00666D88" w:rsidRDefault="00666D88" w:rsidP="00021EF3">
      <w:pPr>
        <w:pStyle w:val="ListBullet"/>
      </w:pPr>
      <w:r w:rsidRPr="002B1113">
        <w:t>the</w:t>
      </w:r>
      <w:r>
        <w:t xml:space="preserve"> opportunity cost of productive time associated with closing/establishing a new business (e.g., commercial rental vacancy).</w:t>
      </w:r>
    </w:p>
    <w:p w14:paraId="65414FCF" w14:textId="77777777" w:rsidR="00666D88" w:rsidRDefault="00666D88" w:rsidP="00021EF3">
      <w:r w:rsidRPr="007049E8">
        <w:t xml:space="preserve">Targeted government support for </w:t>
      </w:r>
      <w:r>
        <w:t>otherwise productive</w:t>
      </w:r>
      <w:r w:rsidRPr="00BD1ACA">
        <w:t xml:space="preserve"> businesses</w:t>
      </w:r>
      <w:r>
        <w:t xml:space="preserve"> under these circumstances</w:t>
      </w:r>
      <w:r w:rsidRPr="007049E8">
        <w:t xml:space="preserve"> is therefore justified and can support efficiency in supporting them to survive the shock before resuming trade.</w:t>
      </w:r>
    </w:p>
    <w:p w14:paraId="159F9F27" w14:textId="337F2986" w:rsidR="00666D88" w:rsidRDefault="00666D88" w:rsidP="00021EF3">
      <w:r>
        <w:t xml:space="preserve">In particular, directly providing businesses with funding required to support them to meet unavoidable payments during a period of reduced revenue </w:t>
      </w:r>
      <w:r w:rsidR="00E96A51">
        <w:t>can support in avoiding</w:t>
      </w:r>
      <w:r>
        <w:t xml:space="preserve"> default and business failure. </w:t>
      </w:r>
      <w:r w:rsidRPr="003C290E">
        <w:t xml:space="preserve"> </w:t>
      </w:r>
      <w:r w:rsidRPr="007B5EB0">
        <w:t xml:space="preserve">Enabling such businesses to meet payments </w:t>
      </w:r>
      <w:r>
        <w:t xml:space="preserve">also </w:t>
      </w:r>
      <w:r w:rsidRPr="007B5EB0">
        <w:t>has flow</w:t>
      </w:r>
      <w:r w:rsidR="00234709">
        <w:t>-</w:t>
      </w:r>
      <w:r w:rsidRPr="007B5EB0">
        <w:t>on benefits in supporting supply chains, and in the post-crisis recovery.</w:t>
      </w:r>
    </w:p>
    <w:p w14:paraId="2EAF0CC9" w14:textId="3C76D5CE" w:rsidR="00334720" w:rsidRDefault="00666D88" w:rsidP="00021EF3">
      <w:pPr>
        <w:rPr>
          <w:rFonts w:eastAsiaTheme="majorEastAsia" w:cstheme="majorBidi"/>
          <w:b/>
          <w:bCs/>
          <w:color w:val="62B5E5" w:themeColor="accent3"/>
          <w:sz w:val="22"/>
          <w:szCs w:val="26"/>
        </w:rPr>
      </w:pPr>
      <w:r>
        <w:t>However, in practice, the overall efficiency of the</w:t>
      </w:r>
      <w:r w:rsidR="003122C2">
        <w:t xml:space="preserve"> intervention</w:t>
      </w:r>
      <w:r>
        <w:t xml:space="preserve"> is dependent on the ability to effectively target both businesses and the subsequent use of grant funding, as it relies on the funds being used to prevent the failure of otherwise productive businesses as opposed to businesses </w:t>
      </w:r>
      <w:r w:rsidR="00E148E9">
        <w:t xml:space="preserve">that </w:t>
      </w:r>
      <w:r>
        <w:t xml:space="preserve">would likely failure regardless or not use the funds for their intended purposes (e.g., to cover fixed business costs). In some instances, the eligibility criteria impacted on the extent to which the grant funding was able to be targeted in this way (see </w:t>
      </w:r>
      <w:r w:rsidRPr="00494F99">
        <w:t>Finding 7</w:t>
      </w:r>
      <w:r>
        <w:t>) which likely impacted on the overall efficiency of the program.</w:t>
      </w:r>
      <w:r w:rsidR="00334720">
        <w:br w:type="page"/>
      </w:r>
    </w:p>
    <w:p w14:paraId="2579EEE2" w14:textId="562FC096" w:rsidR="00CE1BF6" w:rsidRPr="00CE1BF6" w:rsidRDefault="00B60B2B" w:rsidP="00021EF3">
      <w:pPr>
        <w:pStyle w:val="Heading2"/>
      </w:pPr>
      <w:bookmarkStart w:id="347" w:name="_Toc173244965"/>
      <w:bookmarkStart w:id="348" w:name="_Ref174019679"/>
      <w:bookmarkStart w:id="349" w:name="_Ref174023533"/>
      <w:bookmarkStart w:id="350" w:name="_Toc176516267"/>
      <w:r>
        <w:lastRenderedPageBreak/>
        <w:t>Effectiveness</w:t>
      </w:r>
      <w:bookmarkEnd w:id="347"/>
      <w:bookmarkEnd w:id="348"/>
      <w:bookmarkEnd w:id="349"/>
      <w:bookmarkEnd w:id="350"/>
    </w:p>
    <w:p w14:paraId="1BAFBB0C" w14:textId="02E3B126" w:rsidR="00CE1BF6" w:rsidRDefault="00FE2BE0" w:rsidP="00021EF3">
      <w:pPr>
        <w:rPr>
          <w:b/>
          <w:bCs/>
        </w:rPr>
      </w:pPr>
      <w:r w:rsidRPr="004D349A">
        <w:rPr>
          <w:b/>
          <w:bCs/>
          <w:color w:val="62B5E5" w:themeColor="accent3"/>
        </w:rPr>
        <w:t>KEQ</w:t>
      </w:r>
      <w:r w:rsidR="00461935">
        <w:rPr>
          <w:b/>
          <w:bCs/>
          <w:color w:val="62B5E5" w:themeColor="accent3"/>
        </w:rPr>
        <w:t xml:space="preserve"> 3</w:t>
      </w:r>
      <w:r w:rsidRPr="004D349A">
        <w:rPr>
          <w:b/>
          <w:bCs/>
          <w:color w:val="62B5E5" w:themeColor="accent3"/>
        </w:rPr>
        <w:t>:</w:t>
      </w:r>
      <w:r w:rsidRPr="004D349A">
        <w:rPr>
          <w:color w:val="62B5E5" w:themeColor="accent3"/>
        </w:rPr>
        <w:t xml:space="preserve"> </w:t>
      </w:r>
      <w:r w:rsidRPr="004D349A">
        <w:rPr>
          <w:b/>
          <w:bCs/>
        </w:rPr>
        <w:t xml:space="preserve">To what extent were the BCAP and LVHF </w:t>
      </w:r>
      <w:r w:rsidR="0047425B">
        <w:rPr>
          <w:b/>
          <w:bCs/>
        </w:rPr>
        <w:t xml:space="preserve">grants </w:t>
      </w:r>
      <w:r w:rsidRPr="004D349A">
        <w:rPr>
          <w:b/>
          <w:bCs/>
        </w:rPr>
        <w:t>effective in achieving intended outcomes including supporting Victorian business operators cope with the impacts of COVID-19 restrictions?</w:t>
      </w:r>
    </w:p>
    <w:p w14:paraId="4361E9E6" w14:textId="3506DF5D" w:rsidR="00BD0E60" w:rsidRPr="00893EB3" w:rsidRDefault="00BB4560" w:rsidP="00021EF3">
      <w:pPr>
        <w:pStyle w:val="Heading3SEQs"/>
        <w:rPr>
          <w:b w:val="0"/>
        </w:rPr>
      </w:pPr>
      <w:bookmarkStart w:id="351" w:name="_Ref173939071"/>
      <w:bookmarkStart w:id="352" w:name="_Toc174118149"/>
      <w:bookmarkStart w:id="353" w:name="_Toc176516268"/>
      <w:r w:rsidRPr="00B43675">
        <w:t>SEQ</w:t>
      </w:r>
      <w:r w:rsidR="002004E1" w:rsidRPr="00B43675">
        <w:t xml:space="preserve"> 8</w:t>
      </w:r>
      <w:r w:rsidRPr="00B43675">
        <w:t>:</w:t>
      </w:r>
      <w:r w:rsidRPr="00F00EDA">
        <w:t xml:space="preserve"> </w:t>
      </w:r>
      <w:r w:rsidRPr="00893EB3">
        <w:rPr>
          <w:b w:val="0"/>
        </w:rPr>
        <w:t>What impact did the grants have on business operators and on business resilience?</w:t>
      </w:r>
      <w:r w:rsidR="00B43675" w:rsidRPr="00893EB3">
        <w:rPr>
          <w:b w:val="0"/>
        </w:rPr>
        <w:br/>
      </w:r>
      <w:r w:rsidR="00BD0E60" w:rsidRPr="00B43675">
        <w:t xml:space="preserve">SEQ 9: </w:t>
      </w:r>
      <w:r w:rsidR="00BD0E60" w:rsidRPr="00893EB3">
        <w:rPr>
          <w:b w:val="0"/>
        </w:rPr>
        <w:t>Which of the grants and related outcomes contributed the greatest and least value to recipients and the Victorian community?</w:t>
      </w:r>
      <w:bookmarkEnd w:id="351"/>
      <w:bookmarkEnd w:id="352"/>
      <w:bookmarkEnd w:id="353"/>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987670" w14:paraId="06DEC873"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5C280899" w14:textId="10D904D1" w:rsidR="00987670" w:rsidRPr="00A04FF8" w:rsidRDefault="00987670" w:rsidP="00021EF3">
            <w:pPr>
              <w:spacing w:after="0"/>
              <w:rPr>
                <w:b/>
                <w:bCs/>
              </w:rPr>
            </w:pPr>
            <w:r w:rsidRPr="00A04FF8">
              <w:rPr>
                <w:b/>
                <w:bCs/>
                <w:color w:val="62B5E5" w:themeColor="accent3"/>
              </w:rPr>
              <w:t xml:space="preserve">Finding </w:t>
            </w:r>
            <w:r w:rsidR="006342DF">
              <w:rPr>
                <w:b/>
                <w:bCs/>
                <w:color w:val="62B5E5" w:themeColor="accent3"/>
              </w:rPr>
              <w:t>10</w:t>
            </w:r>
            <w:r w:rsidRPr="00A04FF8">
              <w:rPr>
                <w:b/>
                <w:bCs/>
                <w:color w:val="62B5E5" w:themeColor="accent3"/>
              </w:rPr>
              <w:t>: </w:t>
            </w:r>
            <w:r w:rsidR="00BB2F8A" w:rsidRPr="00BB2F8A">
              <w:rPr>
                <w:b/>
                <w:bCs/>
              </w:rPr>
              <w:t>Based on the available secondary data, the grants appeared to have a positive correlation with business survival.</w:t>
            </w:r>
          </w:p>
        </w:tc>
      </w:tr>
    </w:tbl>
    <w:p w14:paraId="0B9049A3" w14:textId="75C0DAA7" w:rsidR="00987670" w:rsidRDefault="00B461AB" w:rsidP="00021EF3">
      <w:pPr>
        <w:spacing w:before="160"/>
      </w:pPr>
      <w:r w:rsidRPr="00B461AB">
        <w:t xml:space="preserve">Data </w:t>
      </w:r>
      <w:r>
        <w:t>analysed as part of this evaluation generally indic</w:t>
      </w:r>
      <w:r w:rsidR="001A5974">
        <w:t>a</w:t>
      </w:r>
      <w:r>
        <w:t xml:space="preserve">ted that the program had a positive impact on key outcomes such as </w:t>
      </w:r>
      <w:r w:rsidR="00647C99">
        <w:t xml:space="preserve">business survival and </w:t>
      </w:r>
      <w:r w:rsidR="0040731B">
        <w:t>to a lesser extent</w:t>
      </w:r>
      <w:r w:rsidR="00647C99">
        <w:t xml:space="preserve"> employment</w:t>
      </w:r>
      <w:r w:rsidR="00990A17">
        <w:t xml:space="preserve">. </w:t>
      </w:r>
      <w:r w:rsidR="004F5318" w:rsidRPr="004F5318">
        <w:t>This was evident through both self-reported data and descriptive analysis of secondary data sources where outcomes were compared across jurisdictions.</w:t>
      </w:r>
    </w:p>
    <w:p w14:paraId="07774AA4" w14:textId="347EE9A4" w:rsidR="00297D52" w:rsidRDefault="00EB242F" w:rsidP="00021EF3">
      <w:r>
        <w:t xml:space="preserve">As outlined in </w:t>
      </w:r>
      <w:r w:rsidR="00C402A3">
        <w:fldChar w:fldCharType="begin"/>
      </w:r>
      <w:r w:rsidR="00C402A3">
        <w:instrText xml:space="preserve"> REF _Ref173254690 \r \h </w:instrText>
      </w:r>
      <w:r w:rsidR="00021EF3">
        <w:instrText xml:space="preserve"> \* MERGEFORMAT </w:instrText>
      </w:r>
      <w:r w:rsidR="00C402A3">
        <w:fldChar w:fldCharType="separate"/>
      </w:r>
      <w:r w:rsidR="0016271C">
        <w:t>Appendix A</w:t>
      </w:r>
      <w:r w:rsidR="00C402A3">
        <w:fldChar w:fldCharType="end"/>
      </w:r>
      <w:r w:rsidR="003C04A2">
        <w:t>, this evaluation</w:t>
      </w:r>
      <w:r w:rsidR="009E6115">
        <w:t xml:space="preserve"> examined the impacts of the grants programs </w:t>
      </w:r>
      <w:r w:rsidR="00C232D2">
        <w:t xml:space="preserve">by leveraging </w:t>
      </w:r>
      <w:r w:rsidR="004E6EA4">
        <w:t>secondary data sources relating to</w:t>
      </w:r>
      <w:r w:rsidR="0080036E">
        <w:t xml:space="preserve"> business survival and employment outcomes.</w:t>
      </w:r>
      <w:r w:rsidR="00D5405E">
        <w:t xml:space="preserve"> </w:t>
      </w:r>
    </w:p>
    <w:p w14:paraId="080AAF98" w14:textId="68190C16" w:rsidR="002244EB" w:rsidRDefault="002244EB" w:rsidP="00021EF3">
      <w:pPr>
        <w:pStyle w:val="Heading3un-numbered"/>
      </w:pPr>
      <w:bookmarkStart w:id="354" w:name="_Toc173344724"/>
      <w:bookmarkStart w:id="355" w:name="_Toc173344951"/>
      <w:bookmarkStart w:id="356" w:name="_Toc173915906"/>
      <w:bookmarkStart w:id="357" w:name="_Toc174118150"/>
      <w:bookmarkStart w:id="358" w:name="_Toc176516269"/>
      <w:r>
        <w:t>Business survival</w:t>
      </w:r>
      <w:bookmarkEnd w:id="354"/>
      <w:bookmarkEnd w:id="355"/>
      <w:bookmarkEnd w:id="356"/>
      <w:bookmarkEnd w:id="357"/>
      <w:bookmarkEnd w:id="358"/>
    </w:p>
    <w:p w14:paraId="7DC89A95" w14:textId="683E70A0" w:rsidR="00353895" w:rsidRDefault="00F15006" w:rsidP="00021EF3">
      <w:r>
        <w:t xml:space="preserve">In </w:t>
      </w:r>
      <w:r w:rsidR="00582DED">
        <w:t>assessing the impacts of the grants on</w:t>
      </w:r>
      <w:r>
        <w:t xml:space="preserve"> </w:t>
      </w:r>
      <w:r w:rsidRPr="0065433B">
        <w:rPr>
          <w:b/>
          <w:bCs/>
        </w:rPr>
        <w:t>business survival</w:t>
      </w:r>
      <w:r w:rsidR="00CA76EC">
        <w:t xml:space="preserve">, </w:t>
      </w:r>
      <w:r w:rsidR="00582DED">
        <w:t xml:space="preserve">regression analysis was undertaken based on both ABR data and ASIC insolvency data. </w:t>
      </w:r>
      <w:r w:rsidR="008A4F44">
        <w:t>This analysis</w:t>
      </w:r>
      <w:r w:rsidR="00CD743F">
        <w:t xml:space="preserve">, supported by the business survey, indicated the grants appeared to have a positive </w:t>
      </w:r>
      <w:r w:rsidR="00C30525">
        <w:t>relationship</w:t>
      </w:r>
      <w:r w:rsidR="00CD743F">
        <w:t xml:space="preserve"> with business survival. </w:t>
      </w:r>
    </w:p>
    <w:p w14:paraId="30D90A89" w14:textId="71BBF22A" w:rsidR="00D01C2B" w:rsidRDefault="003F5A33" w:rsidP="00021EF3">
      <w:r>
        <w:t xml:space="preserve">Regression analysis based on </w:t>
      </w:r>
      <w:r w:rsidR="00275289">
        <w:t xml:space="preserve">ABR data </w:t>
      </w:r>
      <w:r w:rsidR="00275289" w:rsidRPr="00246063">
        <w:t>which</w:t>
      </w:r>
      <w:r w:rsidR="00E7341C">
        <w:t xml:space="preserve"> compared business exit rates between treated and non-treated businesses</w:t>
      </w:r>
      <w:r w:rsidR="00275289" w:rsidRPr="00246063">
        <w:t xml:space="preserve"> showed that</w:t>
      </w:r>
      <w:r w:rsidR="007C2D91">
        <w:t>,</w:t>
      </w:r>
      <w:r w:rsidR="00275289">
        <w:t xml:space="preserve"> </w:t>
      </w:r>
      <w:r w:rsidR="00FC09AF">
        <w:t xml:space="preserve">for </w:t>
      </w:r>
      <w:r w:rsidR="003752DA">
        <w:t>businesses with an Australian Company Number (ACN)</w:t>
      </w:r>
      <w:r w:rsidR="00275289" w:rsidRPr="009F62CA">
        <w:rPr>
          <w:b/>
        </w:rPr>
        <w:t xml:space="preserve"> receipt of a grant was associated with an average reduction of </w:t>
      </w:r>
      <w:r w:rsidR="00EB49CD">
        <w:rPr>
          <w:b/>
        </w:rPr>
        <w:t>8.</w:t>
      </w:r>
      <w:r w:rsidR="009F7DFC">
        <w:rPr>
          <w:b/>
        </w:rPr>
        <w:t>6</w:t>
      </w:r>
      <w:r w:rsidR="00275289" w:rsidRPr="009F62CA">
        <w:rPr>
          <w:b/>
        </w:rPr>
        <w:t xml:space="preserve"> percentage </w:t>
      </w:r>
      <w:r w:rsidR="00275289" w:rsidRPr="009F62CA">
        <w:rPr>
          <w:b/>
          <w:bCs/>
        </w:rPr>
        <w:t>point</w:t>
      </w:r>
      <w:r w:rsidR="00121C3D">
        <w:rPr>
          <w:b/>
          <w:bCs/>
        </w:rPr>
        <w:t xml:space="preserve">s </w:t>
      </w:r>
      <w:r w:rsidR="00275289" w:rsidRPr="009F62CA">
        <w:rPr>
          <w:b/>
        </w:rPr>
        <w:t xml:space="preserve">and </w:t>
      </w:r>
      <w:r w:rsidR="00075F1D">
        <w:rPr>
          <w:b/>
        </w:rPr>
        <w:t>6.4</w:t>
      </w:r>
      <w:r w:rsidR="00275289" w:rsidRPr="009F62CA">
        <w:rPr>
          <w:b/>
        </w:rPr>
        <w:t xml:space="preserve"> percentage </w:t>
      </w:r>
      <w:r w:rsidR="00275289" w:rsidRPr="009F62CA">
        <w:rPr>
          <w:b/>
          <w:bCs/>
        </w:rPr>
        <w:t>point</w:t>
      </w:r>
      <w:r w:rsidR="00121C3D">
        <w:rPr>
          <w:b/>
          <w:bCs/>
        </w:rPr>
        <w:t>s</w:t>
      </w:r>
      <w:r w:rsidR="00275289" w:rsidRPr="009F62CA">
        <w:rPr>
          <w:b/>
        </w:rPr>
        <w:t xml:space="preserve"> in the likelihood of </w:t>
      </w:r>
      <w:r w:rsidR="00C13C96">
        <w:rPr>
          <w:b/>
          <w:bCs/>
        </w:rPr>
        <w:t>business exit</w:t>
      </w:r>
      <w:r w:rsidR="00275289" w:rsidRPr="009F62CA">
        <w:rPr>
          <w:b/>
        </w:rPr>
        <w:t xml:space="preserve"> </w:t>
      </w:r>
      <w:r w:rsidR="00275289" w:rsidRPr="00144137">
        <w:t>from 2021 to 2023 for BCAP and LHVF</w:t>
      </w:r>
      <w:r w:rsidR="00A70BE9">
        <w:t>,</w:t>
      </w:r>
      <w:r w:rsidR="00275289" w:rsidRPr="00144137">
        <w:t xml:space="preserve"> respectively</w:t>
      </w:r>
      <w:r w:rsidR="00275289" w:rsidRPr="00246063">
        <w:t xml:space="preserve">. </w:t>
      </w:r>
      <w:r w:rsidR="00A93B1F">
        <w:t xml:space="preserve">This </w:t>
      </w:r>
      <w:r w:rsidR="00D01C2B">
        <w:t>indicates</w:t>
      </w:r>
      <w:r w:rsidR="00A93B1F">
        <w:t xml:space="preserve"> that </w:t>
      </w:r>
      <w:r w:rsidR="00494F0E" w:rsidRPr="00D22620" w:rsidDel="00566EE5">
        <w:rPr>
          <w:b/>
        </w:rPr>
        <w:t xml:space="preserve">businesses with </w:t>
      </w:r>
      <w:r w:rsidR="005A39FB" w:rsidRPr="00D22620">
        <w:rPr>
          <w:b/>
        </w:rPr>
        <w:t>ACNs</w:t>
      </w:r>
      <w:r w:rsidR="0006085B" w:rsidRPr="00D22620">
        <w:rPr>
          <w:b/>
        </w:rPr>
        <w:t xml:space="preserve"> which received </w:t>
      </w:r>
      <w:r w:rsidR="005A39FB" w:rsidRPr="00D22620">
        <w:rPr>
          <w:b/>
        </w:rPr>
        <w:t xml:space="preserve">BCAP and LHVF grants were significantly less likely to exit than businesses </w:t>
      </w:r>
      <w:r w:rsidR="00E148E9">
        <w:rPr>
          <w:b/>
        </w:rPr>
        <w:t>that</w:t>
      </w:r>
      <w:r w:rsidR="00E148E9" w:rsidRPr="00D22620">
        <w:rPr>
          <w:b/>
        </w:rPr>
        <w:t xml:space="preserve"> </w:t>
      </w:r>
      <w:r w:rsidR="005A39FB" w:rsidRPr="00D22620">
        <w:rPr>
          <w:b/>
        </w:rPr>
        <w:t>did not</w:t>
      </w:r>
      <w:r w:rsidR="004D6A8B">
        <w:t xml:space="preserve">. </w:t>
      </w:r>
      <w:r w:rsidR="00D01C2B" w:rsidRPr="0029043C">
        <w:t xml:space="preserve">This analysis </w:t>
      </w:r>
      <w:r w:rsidR="00365C91" w:rsidRPr="00893EB3">
        <w:t xml:space="preserve">relates to any form of business exits and </w:t>
      </w:r>
      <w:r w:rsidR="00316B55" w:rsidRPr="00893EB3">
        <w:t>assumes ABN cancellation is equivalent to business exit</w:t>
      </w:r>
      <w:r w:rsidR="0029043C" w:rsidRPr="00893EB3">
        <w:t>, as outlined in</w:t>
      </w:r>
      <w:r w:rsidR="00D01C2B" w:rsidRPr="0029043C">
        <w:t xml:space="preserve"> </w:t>
      </w:r>
      <w:r w:rsidR="00D01C2B" w:rsidRPr="0029043C">
        <w:fldChar w:fldCharType="begin"/>
      </w:r>
      <w:r w:rsidR="00D01C2B" w:rsidRPr="00E463B3">
        <w:instrText xml:space="preserve"> REF _Ref173252884 \r \h  \* MERGEFORMAT </w:instrText>
      </w:r>
      <w:r w:rsidR="00D01C2B" w:rsidRPr="0029043C">
        <w:fldChar w:fldCharType="separate"/>
      </w:r>
      <w:r w:rsidR="0016271C">
        <w:t>Appendix A</w:t>
      </w:r>
      <w:r w:rsidR="00D01C2B" w:rsidRPr="0029043C">
        <w:fldChar w:fldCharType="end"/>
      </w:r>
      <w:r w:rsidR="00365C91" w:rsidRPr="00893EB3">
        <w:t xml:space="preserve">. </w:t>
      </w:r>
    </w:p>
    <w:p w14:paraId="1176027D" w14:textId="03D5F640" w:rsidR="00D01C2B" w:rsidRPr="00F62F61" w:rsidRDefault="00D01C2B" w:rsidP="00021EF3">
      <w:r>
        <w:t>However, considering insolvencies</w:t>
      </w:r>
      <w:r w:rsidR="00980B5F" w:rsidRPr="00980B5F">
        <w:t xml:space="preserve"> </w:t>
      </w:r>
      <w:r w:rsidR="00980B5F">
        <w:t>exclusively</w:t>
      </w:r>
      <w:r>
        <w:t>, regression analysis based on ASIC data which compared treated and non-treated businesses w</w:t>
      </w:r>
      <w:r w:rsidRPr="00C11B87">
        <w:t>ithin Victoria</w:t>
      </w:r>
      <w:r>
        <w:t xml:space="preserve"> found that</w:t>
      </w:r>
      <w:r w:rsidRPr="00C11B87">
        <w:t xml:space="preserve"> </w:t>
      </w:r>
      <w:r>
        <w:t>companies</w:t>
      </w:r>
      <w:r w:rsidRPr="00C11B87">
        <w:t xml:space="preserve"> which received a grant entered insolvency at a higher rate than businesses that did not, even after controlling for </w:t>
      </w:r>
      <w:r w:rsidR="004D6A8B">
        <w:t>industry</w:t>
      </w:r>
      <w:r>
        <w:t xml:space="preserve"> (see </w:t>
      </w:r>
      <w:r>
        <w:fldChar w:fldCharType="begin"/>
      </w:r>
      <w:r>
        <w:instrText xml:space="preserve"> REF _Ref173307564 \r \h </w:instrText>
      </w:r>
      <w:r w:rsidR="00021EF3">
        <w:instrText xml:space="preserve"> \* MERGEFORMAT </w:instrText>
      </w:r>
      <w:r>
        <w:fldChar w:fldCharType="separate"/>
      </w:r>
      <w:r w:rsidR="0016271C">
        <w:t>Appendix A</w:t>
      </w:r>
      <w:r>
        <w:fldChar w:fldCharType="end"/>
      </w:r>
      <w:r>
        <w:t xml:space="preserve">). However, it is expected this result is due to the inability </w:t>
      </w:r>
      <w:r w:rsidR="00E01FBD">
        <w:t xml:space="preserve">for the model </w:t>
      </w:r>
      <w:r>
        <w:t xml:space="preserve">to control </w:t>
      </w:r>
      <w:r w:rsidR="000A558B">
        <w:t>variables</w:t>
      </w:r>
      <w:r>
        <w:t xml:space="preserve"> which make a business more or less likely to go insolvent</w:t>
      </w:r>
      <w:r w:rsidR="002C164C">
        <w:t xml:space="preserve"> (omitted variable bias).</w:t>
      </w:r>
    </w:p>
    <w:p w14:paraId="25D03F70" w14:textId="792E7557" w:rsidR="00DB74AE" w:rsidRPr="00F62F61" w:rsidRDefault="00CC068C" w:rsidP="00021EF3">
      <w:r>
        <w:t>The</w:t>
      </w:r>
      <w:r w:rsidR="00DB74AE">
        <w:t xml:space="preserve"> regression analysis </w:t>
      </w:r>
      <w:r>
        <w:t>that</w:t>
      </w:r>
      <w:r w:rsidR="00DB74AE">
        <w:t xml:space="preserve"> informs these findings </w:t>
      </w:r>
      <w:r w:rsidR="008D5D98">
        <w:t>include</w:t>
      </w:r>
      <w:r w:rsidR="00734CE1">
        <w:t>s</w:t>
      </w:r>
      <w:r w:rsidR="008D5D98">
        <w:t xml:space="preserve"> fixed effects for both industry and location, meaning any</w:t>
      </w:r>
      <w:r w:rsidR="00AC4834">
        <w:t xml:space="preserve"> industry</w:t>
      </w:r>
      <w:r w:rsidR="00734CE1">
        <w:t>-</w:t>
      </w:r>
      <w:r w:rsidR="00AC4834">
        <w:t xml:space="preserve"> or location</w:t>
      </w:r>
      <w:r w:rsidR="00734CE1">
        <w:t>-</w:t>
      </w:r>
      <w:r w:rsidR="00AC4834">
        <w:t>specific effects on business survival have been controlled for.</w:t>
      </w:r>
    </w:p>
    <w:p w14:paraId="774A2B48" w14:textId="3CF9C86D" w:rsidR="00D01C2B" w:rsidRDefault="00B37914" w:rsidP="00021EF3">
      <w:r>
        <w:t xml:space="preserve">The positive correlation with grant receipt and business survival is also </w:t>
      </w:r>
      <w:r w:rsidR="00754DFE">
        <w:t>apparent w</w:t>
      </w:r>
      <w:r w:rsidR="00617AA9">
        <w:t>hen considering more descriptive analysis</w:t>
      </w:r>
      <w:r w:rsidR="00754DFE">
        <w:t>.</w:t>
      </w:r>
      <w:r w:rsidR="00617AA9">
        <w:t xml:space="preserve"> </w:t>
      </w:r>
      <w:r w:rsidR="00754DFE">
        <w:t>In particular</w:t>
      </w:r>
      <w:r w:rsidR="00617AA9">
        <w:t xml:space="preserve">, </w:t>
      </w:r>
      <w:r w:rsidR="00D01C2B">
        <w:t>ASIC data also showed that insolvency rates were lower in key treated industries in Victoria relative to NSW over the relevant period</w:t>
      </w:r>
      <w:r w:rsidR="007C3761">
        <w:t xml:space="preserve">. This is shown in </w:t>
      </w:r>
      <w:r w:rsidR="00E84125" w:rsidRPr="003933EA">
        <w:fldChar w:fldCharType="begin"/>
      </w:r>
      <w:r w:rsidR="00E84125" w:rsidRPr="003933EA">
        <w:instrText xml:space="preserve"> REF _Ref173341451 \r \h  \* MERGEFORMAT </w:instrText>
      </w:r>
      <w:r w:rsidR="00E84125" w:rsidRPr="003933EA">
        <w:fldChar w:fldCharType="separate"/>
      </w:r>
      <w:r w:rsidR="0016271C">
        <w:t>Table 2.3</w:t>
      </w:r>
      <w:r w:rsidR="00E84125" w:rsidRPr="003933EA">
        <w:fldChar w:fldCharType="end"/>
      </w:r>
      <w:r w:rsidR="00E84125">
        <w:t>.</w:t>
      </w:r>
    </w:p>
    <w:p w14:paraId="09EEF0F3" w14:textId="76B178ED" w:rsidR="007C3761" w:rsidRDefault="007C3761" w:rsidP="00021EF3">
      <w:pPr>
        <w:pStyle w:val="CaptionTable"/>
      </w:pPr>
      <w:bookmarkStart w:id="359" w:name="_Ref173341451"/>
      <w:r>
        <w:t xml:space="preserve">: </w:t>
      </w:r>
      <w:r w:rsidR="00606617">
        <w:t>Insolvency rates</w:t>
      </w:r>
      <w:r w:rsidR="00E84125">
        <w:t xml:space="preserve"> in Victoria and NSW between 2021 and end of 2023</w:t>
      </w:r>
      <w:bookmarkEnd w:id="359"/>
      <w:r w:rsidR="00792D18">
        <w:t>.</w:t>
      </w:r>
    </w:p>
    <w:tbl>
      <w:tblPr>
        <w:tblStyle w:val="Deloittetable"/>
        <w:tblW w:w="0" w:type="auto"/>
        <w:tblLook w:val="04A0" w:firstRow="1" w:lastRow="0" w:firstColumn="1" w:lastColumn="0" w:noHBand="0" w:noVBand="1"/>
      </w:tblPr>
      <w:tblGrid>
        <w:gridCol w:w="4962"/>
        <w:gridCol w:w="1737"/>
        <w:gridCol w:w="2327"/>
      </w:tblGrid>
      <w:tr w:rsidR="00C054B8" w14:paraId="40F58431" w14:textId="77777777" w:rsidTr="00051913">
        <w:trPr>
          <w:cnfStyle w:val="100000000000" w:firstRow="1" w:lastRow="0" w:firstColumn="0" w:lastColumn="0" w:oddVBand="0" w:evenVBand="0" w:oddHBand="0" w:evenHBand="0" w:firstRowFirstColumn="0" w:firstRowLastColumn="0" w:lastRowFirstColumn="0" w:lastRowLastColumn="0"/>
          <w:tblHeader/>
        </w:trPr>
        <w:tc>
          <w:tcPr>
            <w:tcW w:w="4962" w:type="dxa"/>
          </w:tcPr>
          <w:p w14:paraId="134414B5" w14:textId="1F30A21D" w:rsidR="00C054B8" w:rsidRPr="00144137" w:rsidRDefault="00E84125" w:rsidP="00021EF3">
            <w:pPr>
              <w:spacing w:beforeLines="20" w:before="48" w:afterLines="20" w:after="48"/>
              <w:rPr>
                <w:b/>
              </w:rPr>
            </w:pPr>
            <w:r w:rsidRPr="00144137">
              <w:rPr>
                <w:b/>
              </w:rPr>
              <w:t>Measure</w:t>
            </w:r>
          </w:p>
        </w:tc>
        <w:tc>
          <w:tcPr>
            <w:tcW w:w="1737" w:type="dxa"/>
            <w:vAlign w:val="center"/>
          </w:tcPr>
          <w:p w14:paraId="35DB29BD" w14:textId="04E5F93E" w:rsidR="00C054B8" w:rsidRPr="00204645" w:rsidRDefault="008E7C58" w:rsidP="00021EF3">
            <w:pPr>
              <w:spacing w:beforeLines="20" w:before="48" w:afterLines="20" w:after="48"/>
              <w:rPr>
                <w:b/>
              </w:rPr>
            </w:pPr>
            <w:r w:rsidRPr="00204645">
              <w:rPr>
                <w:b/>
              </w:rPr>
              <w:t>Victoria</w:t>
            </w:r>
          </w:p>
        </w:tc>
        <w:tc>
          <w:tcPr>
            <w:tcW w:w="2327" w:type="dxa"/>
            <w:vAlign w:val="center"/>
          </w:tcPr>
          <w:p w14:paraId="33DD042A" w14:textId="7955C866" w:rsidR="00C054B8" w:rsidRPr="00204645" w:rsidRDefault="004904F3" w:rsidP="00021EF3">
            <w:pPr>
              <w:spacing w:beforeLines="20" w:before="48" w:afterLines="20" w:after="48"/>
              <w:rPr>
                <w:b/>
              </w:rPr>
            </w:pPr>
            <w:r>
              <w:rPr>
                <w:b/>
              </w:rPr>
              <w:t>NSW</w:t>
            </w:r>
          </w:p>
        </w:tc>
      </w:tr>
      <w:tr w:rsidR="005C1AA6" w14:paraId="569C2244" w14:textId="77777777" w:rsidTr="00051913">
        <w:tc>
          <w:tcPr>
            <w:tcW w:w="4962" w:type="dxa"/>
            <w:shd w:val="clear" w:color="auto" w:fill="DFF0F9" w:themeFill="accent3" w:themeFillTint="33"/>
          </w:tcPr>
          <w:p w14:paraId="0ACE5C95" w14:textId="7368A27C" w:rsidR="005C1AA6" w:rsidRPr="00144137" w:rsidRDefault="005B3686" w:rsidP="00021EF3">
            <w:pPr>
              <w:spacing w:beforeLines="20" w:before="48" w:afterLines="20" w:after="48"/>
              <w:rPr>
                <w:b/>
              </w:rPr>
            </w:pPr>
            <w:r w:rsidRPr="00144137">
              <w:rPr>
                <w:b/>
              </w:rPr>
              <w:t>Insolvency</w:t>
            </w:r>
            <w:r w:rsidR="005C1AA6" w:rsidRPr="00144137">
              <w:rPr>
                <w:b/>
              </w:rPr>
              <w:t xml:space="preserve"> </w:t>
            </w:r>
            <w:r w:rsidRPr="00144137">
              <w:rPr>
                <w:b/>
              </w:rPr>
              <w:t>among all companies</w:t>
            </w:r>
          </w:p>
        </w:tc>
        <w:tc>
          <w:tcPr>
            <w:tcW w:w="1737" w:type="dxa"/>
            <w:shd w:val="clear" w:color="auto" w:fill="DFF0F9" w:themeFill="accent3" w:themeFillTint="33"/>
            <w:vAlign w:val="center"/>
          </w:tcPr>
          <w:p w14:paraId="29C282E4" w14:textId="77777777" w:rsidR="005C1AA6" w:rsidRPr="00AF335B" w:rsidRDefault="005C1AA6" w:rsidP="00021EF3">
            <w:pPr>
              <w:spacing w:beforeLines="20" w:before="48" w:afterLines="20" w:after="48"/>
            </w:pPr>
          </w:p>
        </w:tc>
        <w:tc>
          <w:tcPr>
            <w:tcW w:w="2327" w:type="dxa"/>
            <w:shd w:val="clear" w:color="auto" w:fill="DFF0F9" w:themeFill="accent3" w:themeFillTint="33"/>
            <w:vAlign w:val="center"/>
          </w:tcPr>
          <w:p w14:paraId="2624389A" w14:textId="77777777" w:rsidR="005C1AA6" w:rsidRPr="00AF335B" w:rsidRDefault="005C1AA6" w:rsidP="00021EF3">
            <w:pPr>
              <w:spacing w:beforeLines="20" w:before="48" w:afterLines="20" w:after="48"/>
            </w:pPr>
          </w:p>
        </w:tc>
      </w:tr>
      <w:tr w:rsidR="00C054B8" w14:paraId="47C4A328" w14:textId="77777777" w:rsidTr="004A0831">
        <w:tc>
          <w:tcPr>
            <w:tcW w:w="4962" w:type="dxa"/>
          </w:tcPr>
          <w:p w14:paraId="25DD29D6" w14:textId="5DB2E432" w:rsidR="00C054B8" w:rsidRDefault="008E7C58" w:rsidP="00021EF3">
            <w:pPr>
              <w:spacing w:beforeLines="20" w:before="48" w:afterLines="20" w:after="48"/>
            </w:pPr>
            <w:r>
              <w:t>Total number of companies</w:t>
            </w:r>
          </w:p>
        </w:tc>
        <w:tc>
          <w:tcPr>
            <w:tcW w:w="1737" w:type="dxa"/>
            <w:vAlign w:val="center"/>
          </w:tcPr>
          <w:p w14:paraId="309ACF02" w14:textId="4B51D6C8" w:rsidR="00C054B8" w:rsidRDefault="00A313A6" w:rsidP="00021EF3">
            <w:pPr>
              <w:spacing w:beforeLines="20" w:before="48" w:afterLines="20" w:after="48"/>
            </w:pPr>
            <w:r w:rsidRPr="00AF335B">
              <w:t>686,463</w:t>
            </w:r>
          </w:p>
        </w:tc>
        <w:tc>
          <w:tcPr>
            <w:tcW w:w="2327" w:type="dxa"/>
            <w:vAlign w:val="center"/>
          </w:tcPr>
          <w:p w14:paraId="3E045884" w14:textId="24E96602" w:rsidR="00C054B8" w:rsidRDefault="00172280" w:rsidP="00021EF3">
            <w:pPr>
              <w:spacing w:beforeLines="20" w:before="48" w:afterLines="20" w:after="48"/>
            </w:pPr>
            <w:r w:rsidRPr="00AF335B">
              <w:t>1,018,131</w:t>
            </w:r>
          </w:p>
        </w:tc>
      </w:tr>
      <w:tr w:rsidR="00C054B8" w14:paraId="351FB38E" w14:textId="77777777" w:rsidTr="004A0831">
        <w:tc>
          <w:tcPr>
            <w:tcW w:w="4962" w:type="dxa"/>
          </w:tcPr>
          <w:p w14:paraId="5DB42240" w14:textId="77568814" w:rsidR="00C054B8" w:rsidRDefault="00A46AF7" w:rsidP="00021EF3">
            <w:pPr>
              <w:spacing w:beforeLines="20" w:before="48" w:afterLines="20" w:after="48"/>
            </w:pPr>
            <w:r>
              <w:t>Number of insolvent companies</w:t>
            </w:r>
          </w:p>
        </w:tc>
        <w:tc>
          <w:tcPr>
            <w:tcW w:w="1737" w:type="dxa"/>
            <w:vAlign w:val="center"/>
          </w:tcPr>
          <w:p w14:paraId="6292E097" w14:textId="1790BB82" w:rsidR="00C054B8" w:rsidRDefault="00A313A6" w:rsidP="00021EF3">
            <w:pPr>
              <w:spacing w:beforeLines="20" w:before="48" w:afterLines="20" w:after="48"/>
            </w:pPr>
            <w:r w:rsidRPr="00AF335B">
              <w:t>4,835</w:t>
            </w:r>
          </w:p>
        </w:tc>
        <w:tc>
          <w:tcPr>
            <w:tcW w:w="2327" w:type="dxa"/>
            <w:vAlign w:val="center"/>
          </w:tcPr>
          <w:p w14:paraId="37BEFDE9" w14:textId="39252CC3" w:rsidR="00C054B8" w:rsidRDefault="00172280" w:rsidP="00021EF3">
            <w:pPr>
              <w:spacing w:beforeLines="20" w:before="48" w:afterLines="20" w:after="48"/>
            </w:pPr>
            <w:r w:rsidRPr="00AF335B">
              <w:t>11,240</w:t>
            </w:r>
          </w:p>
        </w:tc>
      </w:tr>
      <w:tr w:rsidR="00C054B8" w14:paraId="6461F9D2" w14:textId="77777777" w:rsidTr="004A0831">
        <w:tc>
          <w:tcPr>
            <w:tcW w:w="4962" w:type="dxa"/>
          </w:tcPr>
          <w:p w14:paraId="1C38153F" w14:textId="2655BD7A" w:rsidR="00C054B8" w:rsidRDefault="00A46AF7" w:rsidP="00021EF3">
            <w:pPr>
              <w:spacing w:beforeLines="20" w:before="48" w:afterLines="20" w:after="48"/>
            </w:pPr>
            <w:r>
              <w:t>Insolvency rate across all companies</w:t>
            </w:r>
          </w:p>
        </w:tc>
        <w:tc>
          <w:tcPr>
            <w:tcW w:w="1737" w:type="dxa"/>
            <w:vAlign w:val="center"/>
          </w:tcPr>
          <w:p w14:paraId="2E93D061" w14:textId="08FAEBAB" w:rsidR="00C054B8" w:rsidRDefault="00B45461" w:rsidP="00021EF3">
            <w:pPr>
              <w:spacing w:beforeLines="20" w:before="48" w:afterLines="20" w:after="48"/>
            </w:pPr>
            <w:r>
              <w:t>0.7 per cent</w:t>
            </w:r>
          </w:p>
        </w:tc>
        <w:tc>
          <w:tcPr>
            <w:tcW w:w="2327" w:type="dxa"/>
            <w:vAlign w:val="center"/>
          </w:tcPr>
          <w:p w14:paraId="77ADDF71" w14:textId="7A53FE69" w:rsidR="00C054B8" w:rsidRDefault="00172280" w:rsidP="00021EF3">
            <w:pPr>
              <w:spacing w:beforeLines="20" w:before="48" w:afterLines="20" w:after="48"/>
            </w:pPr>
            <w:r>
              <w:t>1.1 per cent</w:t>
            </w:r>
          </w:p>
        </w:tc>
      </w:tr>
      <w:tr w:rsidR="005C1AA6" w14:paraId="46ACDF3F" w14:textId="77777777" w:rsidTr="00051913">
        <w:tc>
          <w:tcPr>
            <w:tcW w:w="4962" w:type="dxa"/>
            <w:shd w:val="clear" w:color="auto" w:fill="DFF0F9" w:themeFill="accent3" w:themeFillTint="33"/>
          </w:tcPr>
          <w:p w14:paraId="59508F76" w14:textId="2AEB221E" w:rsidR="005C1AA6" w:rsidRPr="00144137" w:rsidRDefault="007C3761" w:rsidP="00021EF3">
            <w:pPr>
              <w:spacing w:beforeLines="20" w:before="48" w:afterLines="20" w:after="48"/>
              <w:rPr>
                <w:b/>
              </w:rPr>
            </w:pPr>
            <w:r w:rsidRPr="00144137">
              <w:rPr>
                <w:b/>
              </w:rPr>
              <w:t>Insolvency among BCAP-eligible industry</w:t>
            </w:r>
          </w:p>
        </w:tc>
        <w:tc>
          <w:tcPr>
            <w:tcW w:w="1737" w:type="dxa"/>
            <w:shd w:val="clear" w:color="auto" w:fill="DFF0F9" w:themeFill="accent3" w:themeFillTint="33"/>
            <w:vAlign w:val="center"/>
          </w:tcPr>
          <w:p w14:paraId="029C8680" w14:textId="77777777" w:rsidR="005C1AA6" w:rsidRPr="00571CBE" w:rsidRDefault="005C1AA6" w:rsidP="00021EF3">
            <w:pPr>
              <w:spacing w:beforeLines="20" w:before="48" w:afterLines="20" w:after="48"/>
            </w:pPr>
          </w:p>
        </w:tc>
        <w:tc>
          <w:tcPr>
            <w:tcW w:w="2327" w:type="dxa"/>
            <w:shd w:val="clear" w:color="auto" w:fill="DFF0F9" w:themeFill="accent3" w:themeFillTint="33"/>
            <w:vAlign w:val="center"/>
          </w:tcPr>
          <w:p w14:paraId="49E08DCD" w14:textId="77777777" w:rsidR="005C1AA6" w:rsidRPr="009F6343" w:rsidRDefault="005C1AA6" w:rsidP="00021EF3">
            <w:pPr>
              <w:spacing w:beforeLines="20" w:before="48" w:afterLines="20" w:after="48"/>
            </w:pPr>
          </w:p>
        </w:tc>
      </w:tr>
      <w:tr w:rsidR="00A46AF7" w14:paraId="25A1FF15" w14:textId="77777777" w:rsidTr="004A0831">
        <w:tc>
          <w:tcPr>
            <w:tcW w:w="4962" w:type="dxa"/>
          </w:tcPr>
          <w:p w14:paraId="609C3321" w14:textId="68872905" w:rsidR="00A46AF7" w:rsidRDefault="00431A57" w:rsidP="00021EF3">
            <w:pPr>
              <w:spacing w:beforeLines="20" w:before="48" w:afterLines="20" w:after="48"/>
            </w:pPr>
            <w:r>
              <w:t>Total n</w:t>
            </w:r>
            <w:r w:rsidR="00A46AF7">
              <w:t>umber of companies</w:t>
            </w:r>
          </w:p>
        </w:tc>
        <w:tc>
          <w:tcPr>
            <w:tcW w:w="1737" w:type="dxa"/>
            <w:vAlign w:val="center"/>
          </w:tcPr>
          <w:p w14:paraId="636264F6" w14:textId="036C54A2" w:rsidR="00A46AF7" w:rsidRDefault="004906EF" w:rsidP="00021EF3">
            <w:pPr>
              <w:spacing w:beforeLines="20" w:before="48" w:afterLines="20" w:after="48"/>
            </w:pPr>
            <w:r w:rsidRPr="00571CBE">
              <w:t>123,304</w:t>
            </w:r>
          </w:p>
        </w:tc>
        <w:tc>
          <w:tcPr>
            <w:tcW w:w="2327" w:type="dxa"/>
            <w:vAlign w:val="center"/>
          </w:tcPr>
          <w:p w14:paraId="50C80CDB" w14:textId="4DA4441F" w:rsidR="00A46AF7" w:rsidRDefault="00B45461" w:rsidP="00021EF3">
            <w:pPr>
              <w:spacing w:beforeLines="20" w:before="48" w:afterLines="20" w:after="48"/>
            </w:pPr>
            <w:r w:rsidRPr="009F6343">
              <w:t>161,545</w:t>
            </w:r>
          </w:p>
        </w:tc>
      </w:tr>
      <w:tr w:rsidR="00A46AF7" w14:paraId="5A990103" w14:textId="77777777" w:rsidTr="004A0831">
        <w:tc>
          <w:tcPr>
            <w:tcW w:w="4962" w:type="dxa"/>
          </w:tcPr>
          <w:p w14:paraId="52C39415" w14:textId="02D61E41" w:rsidR="00A46AF7" w:rsidRDefault="00A46AF7" w:rsidP="00021EF3">
            <w:pPr>
              <w:spacing w:beforeLines="20" w:before="48" w:afterLines="20" w:after="48"/>
            </w:pPr>
            <w:r>
              <w:t>Number of insolvent companies</w:t>
            </w:r>
          </w:p>
        </w:tc>
        <w:tc>
          <w:tcPr>
            <w:tcW w:w="1737" w:type="dxa"/>
            <w:vAlign w:val="center"/>
          </w:tcPr>
          <w:p w14:paraId="3414C019" w14:textId="6DF78119" w:rsidR="00A46AF7" w:rsidRDefault="004906EF" w:rsidP="00021EF3">
            <w:pPr>
              <w:spacing w:beforeLines="20" w:before="48" w:afterLines="20" w:after="48"/>
            </w:pPr>
            <w:r w:rsidRPr="00571CBE">
              <w:t>1,384</w:t>
            </w:r>
          </w:p>
        </w:tc>
        <w:tc>
          <w:tcPr>
            <w:tcW w:w="2327" w:type="dxa"/>
            <w:vAlign w:val="center"/>
          </w:tcPr>
          <w:p w14:paraId="1B1A4A16" w14:textId="22595C65" w:rsidR="00A46AF7" w:rsidRDefault="00B45461" w:rsidP="00021EF3">
            <w:pPr>
              <w:spacing w:beforeLines="20" w:before="48" w:afterLines="20" w:after="48"/>
            </w:pPr>
            <w:r w:rsidRPr="009F6343">
              <w:t>2,268</w:t>
            </w:r>
          </w:p>
        </w:tc>
      </w:tr>
      <w:tr w:rsidR="00A46AF7" w14:paraId="2B5DD804" w14:textId="77777777" w:rsidTr="004A0831">
        <w:tc>
          <w:tcPr>
            <w:tcW w:w="4962" w:type="dxa"/>
          </w:tcPr>
          <w:p w14:paraId="3AC8B3D2" w14:textId="4D775458" w:rsidR="00A46AF7" w:rsidRDefault="00A46AF7" w:rsidP="00021EF3">
            <w:pPr>
              <w:spacing w:beforeLines="20" w:before="48" w:afterLines="20" w:after="48"/>
            </w:pPr>
            <w:r>
              <w:t>Insolvency rate across companies</w:t>
            </w:r>
            <w:r w:rsidR="00527C50">
              <w:t xml:space="preserve"> in BCAP </w:t>
            </w:r>
            <w:r w:rsidR="00314201">
              <w:t xml:space="preserve">eligible </w:t>
            </w:r>
            <w:r w:rsidR="001D54C7">
              <w:t>businesse</w:t>
            </w:r>
            <w:r w:rsidR="001D54C7" w:rsidRPr="00051913">
              <w:rPr>
                <w:bCs/>
              </w:rPr>
              <w:t>s</w:t>
            </w:r>
          </w:p>
        </w:tc>
        <w:tc>
          <w:tcPr>
            <w:tcW w:w="1737" w:type="dxa"/>
            <w:vAlign w:val="center"/>
          </w:tcPr>
          <w:p w14:paraId="40A75010" w14:textId="0268F226" w:rsidR="00A46AF7" w:rsidRDefault="004906EF" w:rsidP="00021EF3">
            <w:pPr>
              <w:spacing w:beforeLines="20" w:before="48" w:afterLines="20" w:after="48"/>
            </w:pPr>
            <w:r>
              <w:t>1.1</w:t>
            </w:r>
            <w:r w:rsidR="00912904">
              <w:t xml:space="preserve"> per cent</w:t>
            </w:r>
          </w:p>
        </w:tc>
        <w:tc>
          <w:tcPr>
            <w:tcW w:w="2327" w:type="dxa"/>
            <w:vAlign w:val="center"/>
          </w:tcPr>
          <w:p w14:paraId="6DB7484E" w14:textId="4452CE9C" w:rsidR="00A46AF7" w:rsidRDefault="00B45461" w:rsidP="00021EF3">
            <w:pPr>
              <w:spacing w:beforeLines="20" w:before="48" w:afterLines="20" w:after="48"/>
            </w:pPr>
            <w:r>
              <w:t>1.4 per cent</w:t>
            </w:r>
          </w:p>
        </w:tc>
      </w:tr>
      <w:tr w:rsidR="007C3761" w14:paraId="4D4AED68" w14:textId="77777777" w:rsidTr="00051913">
        <w:tc>
          <w:tcPr>
            <w:tcW w:w="4962" w:type="dxa"/>
            <w:shd w:val="clear" w:color="auto" w:fill="DFF0F9" w:themeFill="accent3" w:themeFillTint="33"/>
          </w:tcPr>
          <w:p w14:paraId="1680190F" w14:textId="6C8F53F2" w:rsidR="007C3761" w:rsidRPr="00144137" w:rsidRDefault="007C3761" w:rsidP="00021EF3">
            <w:pPr>
              <w:spacing w:beforeLines="20" w:before="48" w:afterLines="20" w:after="48"/>
              <w:rPr>
                <w:b/>
              </w:rPr>
            </w:pPr>
            <w:r w:rsidRPr="007C3761">
              <w:rPr>
                <w:b/>
                <w:bCs/>
              </w:rPr>
              <w:t>Insolvency</w:t>
            </w:r>
            <w:r w:rsidRPr="00144137">
              <w:rPr>
                <w:b/>
              </w:rPr>
              <w:t xml:space="preserve"> among </w:t>
            </w:r>
            <w:r w:rsidR="00D139DA">
              <w:rPr>
                <w:b/>
                <w:bCs/>
              </w:rPr>
              <w:t xml:space="preserve">BCAP </w:t>
            </w:r>
            <w:r w:rsidRPr="00144137">
              <w:rPr>
                <w:b/>
              </w:rPr>
              <w:t>grant recipient companies</w:t>
            </w:r>
          </w:p>
        </w:tc>
        <w:tc>
          <w:tcPr>
            <w:tcW w:w="1737" w:type="dxa"/>
            <w:shd w:val="clear" w:color="auto" w:fill="DFF0F9" w:themeFill="accent3" w:themeFillTint="33"/>
            <w:vAlign w:val="center"/>
          </w:tcPr>
          <w:p w14:paraId="4B4E2466" w14:textId="77777777" w:rsidR="007C3761" w:rsidRPr="00AF335B" w:rsidRDefault="007C3761" w:rsidP="00021EF3">
            <w:pPr>
              <w:spacing w:beforeLines="20" w:before="48" w:afterLines="20" w:after="48"/>
            </w:pPr>
          </w:p>
        </w:tc>
        <w:tc>
          <w:tcPr>
            <w:tcW w:w="2327" w:type="dxa"/>
            <w:shd w:val="clear" w:color="auto" w:fill="DFF0F9" w:themeFill="accent3" w:themeFillTint="33"/>
            <w:vAlign w:val="center"/>
          </w:tcPr>
          <w:p w14:paraId="0FD72FA1" w14:textId="77777777" w:rsidR="007C3761" w:rsidRDefault="007C3761" w:rsidP="00021EF3">
            <w:pPr>
              <w:spacing w:beforeLines="20" w:before="48" w:afterLines="20" w:after="48"/>
            </w:pPr>
          </w:p>
        </w:tc>
      </w:tr>
      <w:tr w:rsidR="00A46AF7" w14:paraId="4C887137" w14:textId="77777777" w:rsidTr="004A0831">
        <w:tc>
          <w:tcPr>
            <w:tcW w:w="4962" w:type="dxa"/>
          </w:tcPr>
          <w:p w14:paraId="608F1440" w14:textId="1EE64847" w:rsidR="00A46AF7" w:rsidRDefault="00A46AF7" w:rsidP="00021EF3">
            <w:pPr>
              <w:spacing w:beforeLines="20" w:before="48" w:afterLines="20" w:after="48"/>
            </w:pPr>
            <w:r>
              <w:lastRenderedPageBreak/>
              <w:t xml:space="preserve">Total number </w:t>
            </w:r>
            <w:r w:rsidR="00527C50">
              <w:t xml:space="preserve">grant </w:t>
            </w:r>
            <w:r w:rsidR="001D54C7">
              <w:t>recipien</w:t>
            </w:r>
            <w:r w:rsidR="001D54C7">
              <w:rPr>
                <w:b/>
              </w:rPr>
              <w:t>t</w:t>
            </w:r>
            <w:r>
              <w:t xml:space="preserve"> companies</w:t>
            </w:r>
            <w:r w:rsidR="002A281C">
              <w:rPr>
                <w:rStyle w:val="FootnoteReference"/>
              </w:rPr>
              <w:footnoteReference w:id="4"/>
            </w:r>
          </w:p>
        </w:tc>
        <w:tc>
          <w:tcPr>
            <w:tcW w:w="1737" w:type="dxa"/>
            <w:vAlign w:val="center"/>
          </w:tcPr>
          <w:p w14:paraId="6C08C413" w14:textId="75B2EACD" w:rsidR="00A46AF7" w:rsidRDefault="002A281C" w:rsidP="00021EF3">
            <w:pPr>
              <w:spacing w:beforeLines="20" w:before="48" w:afterLines="20" w:after="48"/>
            </w:pPr>
            <w:r w:rsidRPr="00AF335B">
              <w:t>94,368</w:t>
            </w:r>
          </w:p>
        </w:tc>
        <w:tc>
          <w:tcPr>
            <w:tcW w:w="2327" w:type="dxa"/>
            <w:vAlign w:val="center"/>
          </w:tcPr>
          <w:p w14:paraId="2756EB2A" w14:textId="714D671A" w:rsidR="00A46AF7" w:rsidRDefault="00B45461" w:rsidP="00021EF3">
            <w:pPr>
              <w:spacing w:beforeLines="20" w:before="48" w:afterLines="20" w:after="48"/>
            </w:pPr>
            <w:r>
              <w:t>N</w:t>
            </w:r>
            <w:r w:rsidR="00D139DA">
              <w:t>/</w:t>
            </w:r>
            <w:r>
              <w:t>A</w:t>
            </w:r>
          </w:p>
        </w:tc>
      </w:tr>
      <w:tr w:rsidR="00A46AF7" w14:paraId="6A3A351E" w14:textId="77777777" w:rsidTr="004A0831">
        <w:tc>
          <w:tcPr>
            <w:tcW w:w="4962" w:type="dxa"/>
          </w:tcPr>
          <w:p w14:paraId="296C2558" w14:textId="1168A88C" w:rsidR="00A46AF7" w:rsidRDefault="00A46AF7" w:rsidP="00021EF3">
            <w:pPr>
              <w:spacing w:beforeLines="20" w:before="48" w:afterLines="20" w:after="48"/>
            </w:pPr>
            <w:r>
              <w:t>Number of insolvent companies</w:t>
            </w:r>
          </w:p>
        </w:tc>
        <w:tc>
          <w:tcPr>
            <w:tcW w:w="1737" w:type="dxa"/>
            <w:vAlign w:val="center"/>
          </w:tcPr>
          <w:p w14:paraId="34E17D0E" w14:textId="4CFB3D85" w:rsidR="00A46AF7" w:rsidRDefault="00DA0E9C" w:rsidP="00021EF3">
            <w:pPr>
              <w:spacing w:beforeLines="20" w:before="48" w:afterLines="20" w:after="48"/>
            </w:pPr>
            <w:r>
              <w:t>1,058</w:t>
            </w:r>
          </w:p>
        </w:tc>
        <w:tc>
          <w:tcPr>
            <w:tcW w:w="2327" w:type="dxa"/>
            <w:vAlign w:val="center"/>
          </w:tcPr>
          <w:p w14:paraId="498764FE" w14:textId="2447418A" w:rsidR="00A46AF7" w:rsidRDefault="00B45461" w:rsidP="00021EF3">
            <w:pPr>
              <w:spacing w:beforeLines="20" w:before="48" w:afterLines="20" w:after="48"/>
            </w:pPr>
            <w:r>
              <w:t>N</w:t>
            </w:r>
            <w:r w:rsidR="00D139DA">
              <w:t>/</w:t>
            </w:r>
            <w:r>
              <w:t>A</w:t>
            </w:r>
          </w:p>
        </w:tc>
      </w:tr>
      <w:tr w:rsidR="00A46AF7" w14:paraId="3799BB18" w14:textId="77777777" w:rsidTr="004A0831">
        <w:tc>
          <w:tcPr>
            <w:tcW w:w="4962" w:type="dxa"/>
          </w:tcPr>
          <w:p w14:paraId="5614BFBA" w14:textId="0BAB8DAF" w:rsidR="00A46AF7" w:rsidRDefault="00A46AF7" w:rsidP="00021EF3">
            <w:pPr>
              <w:spacing w:beforeLines="20" w:before="48" w:afterLines="20" w:after="48"/>
            </w:pPr>
            <w:r>
              <w:t xml:space="preserve">Insolvency rate </w:t>
            </w:r>
            <w:r w:rsidR="001D54C7">
              <w:t>grant recipien</w:t>
            </w:r>
            <w:r w:rsidR="001D54C7">
              <w:rPr>
                <w:b/>
              </w:rPr>
              <w:t>t</w:t>
            </w:r>
            <w:r>
              <w:t xml:space="preserve"> companies</w:t>
            </w:r>
          </w:p>
        </w:tc>
        <w:tc>
          <w:tcPr>
            <w:tcW w:w="1737" w:type="dxa"/>
            <w:vAlign w:val="center"/>
          </w:tcPr>
          <w:p w14:paraId="750C17C3" w14:textId="3A10AFE9" w:rsidR="00A46AF7" w:rsidRDefault="004906EF" w:rsidP="00021EF3">
            <w:pPr>
              <w:spacing w:beforeLines="20" w:before="48" w:afterLines="20" w:after="48"/>
            </w:pPr>
            <w:r>
              <w:t>1.1</w:t>
            </w:r>
            <w:r w:rsidR="00912904">
              <w:t xml:space="preserve"> per cent</w:t>
            </w:r>
          </w:p>
        </w:tc>
        <w:tc>
          <w:tcPr>
            <w:tcW w:w="2327" w:type="dxa"/>
            <w:vAlign w:val="center"/>
          </w:tcPr>
          <w:p w14:paraId="6BF881D5" w14:textId="2BD57764" w:rsidR="00A46AF7" w:rsidRDefault="00B45461" w:rsidP="00021EF3">
            <w:pPr>
              <w:spacing w:beforeLines="20" w:before="48" w:afterLines="20" w:after="48"/>
            </w:pPr>
            <w:r>
              <w:t>N</w:t>
            </w:r>
            <w:r w:rsidR="00D139DA">
              <w:t>/</w:t>
            </w:r>
            <w:r>
              <w:t>A</w:t>
            </w:r>
          </w:p>
        </w:tc>
      </w:tr>
    </w:tbl>
    <w:p w14:paraId="5A274F20" w14:textId="36661B2E" w:rsidR="00606617" w:rsidRDefault="00606617" w:rsidP="00021EF3">
      <w:pPr>
        <w:pStyle w:val="Source"/>
      </w:pPr>
      <w:r>
        <w:t>Source:</w:t>
      </w:r>
      <w:r w:rsidR="00AB7C6E">
        <w:t xml:space="preserve"> </w:t>
      </w:r>
      <w:r w:rsidR="00452DB7">
        <w:t>ASIC insolvency statistics and data extracted from the Department</w:t>
      </w:r>
      <w:r w:rsidR="0029043C">
        <w:t>’</w:t>
      </w:r>
      <w:r w:rsidR="00452DB7">
        <w:t>s grants database</w:t>
      </w:r>
      <w:r w:rsidR="00AB7C6E">
        <w:t>.</w:t>
      </w:r>
    </w:p>
    <w:p w14:paraId="16A4E431" w14:textId="217EA455" w:rsidR="00D01C2B" w:rsidRPr="00AF335B" w:rsidRDefault="00D01C2B" w:rsidP="00021EF3">
      <w:r w:rsidRPr="00F62F61">
        <w:t xml:space="preserve">While </w:t>
      </w:r>
      <w:r>
        <w:t>comparisons against NSW cannot be considered a truly causal estimate as they do not account for factors such as equivalent interventions in NSW and varying COVID-19 impacts, it is expected these confounders would bias the estimate downward (meaning they push the estimate of the impact on survivability downward) as they would be expected to decrease insolvency rates in NSW relative to Victoria.</w:t>
      </w:r>
      <w:r w:rsidR="000436EB">
        <w:t xml:space="preserve"> </w:t>
      </w:r>
    </w:p>
    <w:p w14:paraId="2D286A71" w14:textId="3C4F6AE2" w:rsidR="00DA111F" w:rsidRPr="00AF335B" w:rsidRDefault="00DA111F" w:rsidP="00021EF3">
      <w:r>
        <w:t xml:space="preserve">NSW, like Victoria, had significant grant programs to support small businesses through the pandemic. </w:t>
      </w:r>
      <w:r w:rsidR="00AC060A">
        <w:t>These grants were found to have had a small, but statistically significant</w:t>
      </w:r>
      <w:r w:rsidR="006B05DF">
        <w:t xml:space="preserve">, positive impact on business survival. </w:t>
      </w:r>
      <w:r>
        <w:t xml:space="preserve"> </w:t>
      </w:r>
    </w:p>
    <w:p w14:paraId="61E99D9C" w14:textId="41EB7AFF" w:rsidR="009E32E1" w:rsidRDefault="00BD67F4" w:rsidP="00021EF3">
      <w:r>
        <w:t>A positive impact on business survivability was also evident through the business survey, with r</w:t>
      </w:r>
      <w:r w:rsidR="009E32E1" w:rsidRPr="00454F3A">
        <w:t>espondents generally indicat</w:t>
      </w:r>
      <w:r>
        <w:t>ing</w:t>
      </w:r>
      <w:r w:rsidR="009E32E1" w:rsidRPr="00454F3A">
        <w:t xml:space="preserve"> the programs had a </w:t>
      </w:r>
      <w:r w:rsidR="0075754F">
        <w:t>positive</w:t>
      </w:r>
      <w:r w:rsidR="0075754F" w:rsidRPr="00454F3A">
        <w:t xml:space="preserve"> </w:t>
      </w:r>
      <w:r w:rsidR="009E32E1" w:rsidRPr="00454F3A">
        <w:t xml:space="preserve">impact on </w:t>
      </w:r>
      <w:r w:rsidR="009E32E1" w:rsidRPr="004D143B">
        <w:rPr>
          <w:b/>
          <w:bCs/>
        </w:rPr>
        <w:t>business resilience and</w:t>
      </w:r>
      <w:r w:rsidR="00CD6EA4">
        <w:rPr>
          <w:b/>
          <w:bCs/>
        </w:rPr>
        <w:t>,</w:t>
      </w:r>
      <w:r w:rsidR="009E32E1" w:rsidRPr="004D143B">
        <w:rPr>
          <w:b/>
          <w:bCs/>
        </w:rPr>
        <w:t xml:space="preserve"> in particular</w:t>
      </w:r>
      <w:r w:rsidR="00435846">
        <w:rPr>
          <w:b/>
          <w:bCs/>
        </w:rPr>
        <w:t>, their</w:t>
      </w:r>
      <w:r w:rsidR="009E32E1" w:rsidRPr="004D143B">
        <w:rPr>
          <w:b/>
          <w:bCs/>
        </w:rPr>
        <w:t xml:space="preserve"> likelihood of survival</w:t>
      </w:r>
      <w:r w:rsidR="009E32E1" w:rsidRPr="00454F3A">
        <w:t xml:space="preserve">. Approximately </w:t>
      </w:r>
      <w:r w:rsidR="008C21F4">
        <w:t>85</w:t>
      </w:r>
      <w:r w:rsidR="009E32E1" w:rsidRPr="00E71AAA">
        <w:t xml:space="preserve"> </w:t>
      </w:r>
      <w:r w:rsidR="009E32E1">
        <w:t>per cent</w:t>
      </w:r>
      <w:r w:rsidR="009E32E1" w:rsidRPr="00454F3A">
        <w:t xml:space="preserve"> of BCAP respondents and </w:t>
      </w:r>
      <w:r w:rsidR="008C21F4">
        <w:t>88</w:t>
      </w:r>
      <w:r w:rsidR="009E32E1" w:rsidRPr="00E71AAA">
        <w:t xml:space="preserve"> </w:t>
      </w:r>
      <w:r w:rsidR="009E32E1">
        <w:t>per cent</w:t>
      </w:r>
      <w:r w:rsidR="009E32E1" w:rsidRPr="00454F3A">
        <w:t xml:space="preserve"> of LHVF respondents</w:t>
      </w:r>
      <w:r w:rsidR="001B729A">
        <w:t xml:space="preserve"> which are still operating</w:t>
      </w:r>
      <w:r w:rsidR="009E32E1" w:rsidRPr="00454F3A">
        <w:t xml:space="preserve"> indicated that their business would </w:t>
      </w:r>
      <w:r w:rsidR="002355BD">
        <w:t xml:space="preserve">or may </w:t>
      </w:r>
      <w:r w:rsidR="009E32E1" w:rsidRPr="00454F3A">
        <w:t xml:space="preserve">have ceased operating without </w:t>
      </w:r>
      <w:r w:rsidR="00312E13">
        <w:t>these grant</w:t>
      </w:r>
      <w:r w:rsidR="009E32E1" w:rsidRPr="00454F3A">
        <w:t xml:space="preserve"> program</w:t>
      </w:r>
      <w:r w:rsidR="002355BD">
        <w:t>s</w:t>
      </w:r>
      <w:r w:rsidR="009E32E1">
        <w:t xml:space="preserve"> (</w:t>
      </w:r>
      <w:r w:rsidR="00B55C4D">
        <w:fldChar w:fldCharType="begin"/>
      </w:r>
      <w:r w:rsidR="00B55C4D">
        <w:instrText xml:space="preserve"> REF _Ref173345222 \r \h </w:instrText>
      </w:r>
      <w:r w:rsidR="00021EF3">
        <w:instrText xml:space="preserve"> \* MERGEFORMAT </w:instrText>
      </w:r>
      <w:r w:rsidR="00B55C4D">
        <w:fldChar w:fldCharType="separate"/>
      </w:r>
      <w:r w:rsidR="0016271C">
        <w:t>Chart 2.5</w:t>
      </w:r>
      <w:r w:rsidR="00B55C4D">
        <w:fldChar w:fldCharType="end"/>
      </w:r>
      <w:r w:rsidR="009E32E1">
        <w:t xml:space="preserve">). This was supported by qualitative data provided through both the business survey and case studies, through which a number of business owners reflected </w:t>
      </w:r>
      <w:r w:rsidR="00412B2D">
        <w:t>that</w:t>
      </w:r>
      <w:r w:rsidR="009E32E1">
        <w:t xml:space="preserve"> the grants provided a crucial lifeline for their business throughout the pandemic period</w:t>
      </w:r>
      <w:r w:rsidR="008E2810">
        <w:t xml:space="preserve">, including a children’s sporting organisation which had only opened in January of 2020, </w:t>
      </w:r>
      <w:r w:rsidR="00885E5E">
        <w:t>and</w:t>
      </w:r>
      <w:r w:rsidR="008E2810">
        <w:t xml:space="preserve"> attributes their continual operation to </w:t>
      </w:r>
      <w:r w:rsidR="00984AB8">
        <w:t xml:space="preserve">their reception of </w:t>
      </w:r>
      <w:r w:rsidR="00BE29E7">
        <w:t xml:space="preserve">BCAP grants (see </w:t>
      </w:r>
      <w:r w:rsidR="00885E5E">
        <w:fldChar w:fldCharType="begin"/>
      </w:r>
      <w:r w:rsidR="00885E5E">
        <w:instrText xml:space="preserve"> REF _Ref173936298 \r \h </w:instrText>
      </w:r>
      <w:r w:rsidR="00021EF3">
        <w:instrText xml:space="preserve"> \* MERGEFORMAT </w:instrText>
      </w:r>
      <w:r w:rsidR="00885E5E">
        <w:fldChar w:fldCharType="separate"/>
      </w:r>
      <w:r w:rsidR="0016271C">
        <w:t>Appendix D</w:t>
      </w:r>
      <w:r w:rsidR="00885E5E">
        <w:fldChar w:fldCharType="end"/>
      </w:r>
      <w:r w:rsidR="00BE29E7">
        <w:t>: Children’s sporting organisation)</w:t>
      </w:r>
      <w:r w:rsidR="009E32E1">
        <w:t>.</w:t>
      </w:r>
      <w:r w:rsidR="00FB0823">
        <w:t xml:space="preserve"> In considering these survey results, it is important to note</w:t>
      </w:r>
      <w:r w:rsidR="00B83917">
        <w:t xml:space="preserve"> </w:t>
      </w:r>
      <w:r w:rsidR="00FB0823">
        <w:t>t</w:t>
      </w:r>
      <w:r w:rsidR="00266D7B">
        <w:t>he reported survival rate by survey respondents</w:t>
      </w:r>
      <w:r w:rsidR="00406F37">
        <w:t xml:space="preserve"> (84</w:t>
      </w:r>
      <w:r w:rsidR="001F2E00">
        <w:t xml:space="preserve"> per cent</w:t>
      </w:r>
      <w:r w:rsidR="00406F37">
        <w:t xml:space="preserve"> for BCAP and 83</w:t>
      </w:r>
      <w:r w:rsidR="001F2E00">
        <w:t xml:space="preserve"> per cent</w:t>
      </w:r>
      <w:r w:rsidR="00406F37">
        <w:t xml:space="preserve"> for LHVF)</w:t>
      </w:r>
      <w:r w:rsidR="00266D7B">
        <w:t xml:space="preserve"> was lower</w:t>
      </w:r>
      <w:r w:rsidR="00FB0823">
        <w:t xml:space="preserve"> than the actual rate of </w:t>
      </w:r>
      <w:r w:rsidR="00E72832">
        <w:t>co</w:t>
      </w:r>
      <w:r w:rsidR="002110BE">
        <w:t xml:space="preserve">mpany </w:t>
      </w:r>
      <w:r w:rsidR="00FB0823">
        <w:t>grant recipients based on ASIC</w:t>
      </w:r>
      <w:r w:rsidR="00406F37">
        <w:t xml:space="preserve"> and ABR</w:t>
      </w:r>
      <w:r w:rsidR="00FB0823">
        <w:t xml:space="preserve"> data</w:t>
      </w:r>
      <w:r w:rsidR="002110BE">
        <w:t xml:space="preserve"> (</w:t>
      </w:r>
      <w:r w:rsidR="001F2E00">
        <w:t>87.2 per cent)</w:t>
      </w:r>
      <w:r w:rsidR="00406F37">
        <w:t>.</w:t>
      </w:r>
      <w:r w:rsidR="008E2810">
        <w:t xml:space="preserve"> </w:t>
      </w:r>
    </w:p>
    <w:p w14:paraId="5A505F02" w14:textId="6660E522" w:rsidR="009E32E1" w:rsidRDefault="009E32E1" w:rsidP="00021EF3">
      <w:r>
        <w:t>Of businesses responding to the survey, 16</w:t>
      </w:r>
      <w:r w:rsidRPr="00E71AAA">
        <w:t xml:space="preserve"> </w:t>
      </w:r>
      <w:r>
        <w:t>per cent and 17</w:t>
      </w:r>
      <w:r w:rsidRPr="00E71AAA">
        <w:t xml:space="preserve"> </w:t>
      </w:r>
      <w:r>
        <w:t>per cent of BCAP and LHVF participants indicated their business had ceased operating since receipt of the grants. ABR data indicates that as of May 2024</w:t>
      </w:r>
      <w:r w:rsidR="00412B2D">
        <w:t>,</w:t>
      </w:r>
      <w:r>
        <w:t xml:space="preserve"> 5.1 per cent of BCAP recipients and 11.6 per cent of LHVF recipients had cancelled their ABNs or become insolvent since receiving a grant</w:t>
      </w:r>
      <w:r w:rsidR="00AC774B">
        <w:t>, with these figures including sole traders</w:t>
      </w:r>
      <w:r>
        <w:t>. Over the same period 23.4 per cent of ABNs were cancelled, although 86.7 per cent of these were cancel</w:t>
      </w:r>
      <w:r w:rsidR="00CD6EA4">
        <w:t>l</w:t>
      </w:r>
      <w:r>
        <w:t xml:space="preserve">ation of ABNs to sole traders. </w:t>
      </w:r>
    </w:p>
    <w:p w14:paraId="32855052" w14:textId="7FCCD3CE" w:rsidR="002160FA" w:rsidRPr="00454F3A" w:rsidRDefault="002160FA" w:rsidP="00021EF3">
      <w:pPr>
        <w:pStyle w:val="CaptionChart"/>
      </w:pPr>
      <w:bookmarkStart w:id="360" w:name="_Ref173345222"/>
      <w:r w:rsidRPr="00454F3A">
        <w:t>: Share of survey respondents indicating whether the grants supported their business to stay afloat during the COVID-19 pandemic</w:t>
      </w:r>
      <w:bookmarkEnd w:id="360"/>
      <w:r w:rsidR="00255539">
        <w:t>.</w:t>
      </w:r>
    </w:p>
    <w:p w14:paraId="3F673953" w14:textId="77777777" w:rsidR="002160FA" w:rsidRPr="000C1A80" w:rsidRDefault="002160FA" w:rsidP="00021EF3">
      <w:pPr>
        <w:spacing w:before="160"/>
      </w:pPr>
      <w:r w:rsidRPr="00244A6E">
        <w:rPr>
          <w:noProof/>
        </w:rPr>
        <w:drawing>
          <wp:inline distT="0" distB="0" distL="0" distR="0" wp14:anchorId="360062FA" wp14:editId="0EAFF93C">
            <wp:extent cx="5731510" cy="2233930"/>
            <wp:effectExtent l="0" t="0" r="0" b="0"/>
            <wp:docPr id="7" name="Picture 7" descr="Two bar charts that shows the share of survey respondents indicating their opinion on whether the business support grants assisted in keeping their business afloat. The LHVF bar shows that 50% of respondents believed their business would have closed without the LHVF, 38% said LHVF partially assisted in keeping their business open and 6% said that operations would have continued regardless of the LHVF grants. An additional 5% of respondents were not sure. &#10;&#10;The BCAP results were as follows: 48% said business would have closed, 37% said BCAP partially helped keep their business open and 7% said operations would have continued regardless. 8% of respondents didn't k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bar charts that shows the share of survey respondents indicating their opinion on whether the business support grants assisted in keeping their business afloat. The LHVF bar shows that 50% of respondents believed their business would have closed without the LHVF, 38% said LHVF partially assisted in keeping their business open and 6% said that operations would have continued regardless of the LHVF grants. An additional 5% of respondents were not sure. &#10;&#10;The BCAP results were as follows: 48% said business would have closed, 37% said BCAP partially helped keep their business open and 7% said operations would have continued regardless. 8% of respondents didn't know.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233930"/>
                    </a:xfrm>
                    <a:prstGeom prst="rect">
                      <a:avLst/>
                    </a:prstGeom>
                    <a:noFill/>
                    <a:ln>
                      <a:noFill/>
                    </a:ln>
                  </pic:spPr>
                </pic:pic>
              </a:graphicData>
            </a:graphic>
          </wp:inline>
        </w:drawing>
      </w:r>
    </w:p>
    <w:p w14:paraId="760EEF54" w14:textId="77777777" w:rsidR="002160FA" w:rsidRPr="000C1A80" w:rsidRDefault="002160FA" w:rsidP="00021EF3">
      <w:pPr>
        <w:pStyle w:val="Source"/>
      </w:pPr>
      <w:r w:rsidRPr="000C1A80">
        <w:t>Source: Business survey</w:t>
      </w:r>
      <w:r>
        <w:t>.</w:t>
      </w:r>
    </w:p>
    <w:p w14:paraId="2B28E14A" w14:textId="6CE0E0C0" w:rsidR="000C0706" w:rsidRDefault="00385956" w:rsidP="00385956">
      <w:r>
        <w:t>“</w:t>
      </w:r>
      <w:r w:rsidRPr="003E2C04">
        <w:t>If not for the grant, I believe I would have lost my family business</w:t>
      </w:r>
      <w:r>
        <w:t xml:space="preserve"> [and]</w:t>
      </w:r>
      <w:r w:rsidRPr="003E2C04">
        <w:t xml:space="preserve"> lost the </w:t>
      </w:r>
      <w:r>
        <w:t>house...</w:t>
      </w:r>
      <w:r w:rsidRPr="003E2C04">
        <w:t>. Thank you for helping us</w:t>
      </w:r>
      <w:r>
        <w:t>” – BCAP participant.</w:t>
      </w:r>
    </w:p>
    <w:p w14:paraId="1165BB4A" w14:textId="2949E008" w:rsidR="00B56308" w:rsidRDefault="003F2F6E" w:rsidP="00021EF3">
      <w:bookmarkStart w:id="361" w:name="_Toc173344725"/>
      <w:bookmarkStart w:id="362" w:name="_Toc173344952"/>
      <w:r w:rsidRPr="00950F0C">
        <w:t>It is also important to acknowledge that businesses</w:t>
      </w:r>
      <w:r w:rsidR="00B56308" w:rsidRPr="00950F0C">
        <w:t xml:space="preserve"> enter and exit from the economy on a regular basis and </w:t>
      </w:r>
      <w:r w:rsidRPr="00950F0C">
        <w:t>that business turnover is</w:t>
      </w:r>
      <w:r w:rsidR="00B56308" w:rsidRPr="00950F0C">
        <w:t xml:space="preserve"> considered to be important in a healthy economy.</w:t>
      </w:r>
      <w:r w:rsidR="00B56308" w:rsidRPr="00950F0C">
        <w:rPr>
          <w:rStyle w:val="EndnoteReference"/>
        </w:rPr>
        <w:endnoteReference w:id="26"/>
      </w:r>
      <w:r w:rsidR="00B56308" w:rsidRPr="00950F0C">
        <w:t xml:space="preserve"> While supporting </w:t>
      </w:r>
      <w:r w:rsidRPr="00950F0C">
        <w:t xml:space="preserve">business </w:t>
      </w:r>
      <w:r w:rsidR="00B56308" w:rsidRPr="00950F0C">
        <w:t xml:space="preserve">survival </w:t>
      </w:r>
      <w:r w:rsidRPr="00950F0C">
        <w:t xml:space="preserve">to </w:t>
      </w:r>
      <w:r w:rsidRPr="00950F0C">
        <w:lastRenderedPageBreak/>
        <w:t>avoid widespread business failure</w:t>
      </w:r>
      <w:r w:rsidR="00B56308" w:rsidRPr="00950F0C">
        <w:t xml:space="preserve"> was a</w:t>
      </w:r>
      <w:r w:rsidR="00950F0C" w:rsidRPr="00950F0C">
        <w:t xml:space="preserve"> key</w:t>
      </w:r>
      <w:r w:rsidR="00B56308" w:rsidRPr="00950F0C">
        <w:t xml:space="preserve"> objective of this program, some level of business exits is normal and healthy for an economy</w:t>
      </w:r>
      <w:r w:rsidR="00DB25D1" w:rsidRPr="00950F0C">
        <w:t>.</w:t>
      </w:r>
    </w:p>
    <w:p w14:paraId="5E66119B" w14:textId="77777777" w:rsidR="00D37C45" w:rsidRDefault="00D37C45" w:rsidP="00021EF3">
      <w:pPr>
        <w:pStyle w:val="Heading3un-numbered"/>
      </w:pPr>
      <w:bookmarkStart w:id="363" w:name="_Toc173915907"/>
      <w:bookmarkStart w:id="364" w:name="_Toc174118151"/>
      <w:bookmarkStart w:id="365" w:name="_Toc176516270"/>
      <w:r>
        <w:t>Business confidence</w:t>
      </w:r>
      <w:bookmarkEnd w:id="363"/>
      <w:bookmarkEnd w:id="364"/>
      <w:bookmarkEnd w:id="365"/>
    </w:p>
    <w:p w14:paraId="0CBE481F" w14:textId="77777777" w:rsidR="00D37C45" w:rsidRDefault="00D37C45" w:rsidP="00021EF3">
      <w:r>
        <w:t xml:space="preserve">The grants were also intended to support </w:t>
      </w:r>
      <w:r w:rsidRPr="0065433B">
        <w:rPr>
          <w:b/>
          <w:bCs/>
        </w:rPr>
        <w:t>business confidence</w:t>
      </w:r>
      <w:r>
        <w:t xml:space="preserve"> by both supporting businesses directly and providing a significant fiscal injection. Analysis of the effect on business confidence was limited by data, with viable data sources only available at the state level. However, it is possible to consider the trends in business confidence in Victoria relative to the timing of grant round and in other states.</w:t>
      </w:r>
    </w:p>
    <w:p w14:paraId="7AE17472" w14:textId="68AC7E51" w:rsidR="00D37C45" w:rsidRDefault="00D37C45" w:rsidP="00021EF3">
      <w:pPr>
        <w:pStyle w:val="CaptionChart"/>
      </w:pPr>
      <w:r>
        <w:t>: Business sentiment in Victoria, net balance – shaded regions indicate lockdowns</w:t>
      </w:r>
      <w:r w:rsidR="00255539">
        <w:t>.</w:t>
      </w:r>
    </w:p>
    <w:p w14:paraId="363D398B" w14:textId="77777777" w:rsidR="00D37C45" w:rsidRDefault="00D37C45" w:rsidP="00021EF3">
      <w:r w:rsidRPr="002C5AC7">
        <w:rPr>
          <w:noProof/>
        </w:rPr>
        <mc:AlternateContent>
          <mc:Choice Requires="wps">
            <w:drawing>
              <wp:anchor distT="0" distB="0" distL="114300" distR="114300" simplePos="0" relativeHeight="251650560" behindDoc="0" locked="0" layoutInCell="1" allowOverlap="1" wp14:anchorId="79D77CC0" wp14:editId="6F8C1746">
                <wp:simplePos x="0" y="0"/>
                <wp:positionH relativeFrom="column">
                  <wp:posOffset>2075238</wp:posOffset>
                </wp:positionH>
                <wp:positionV relativeFrom="paragraph">
                  <wp:posOffset>1813560</wp:posOffset>
                </wp:positionV>
                <wp:extent cx="593090" cy="36449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 cy="364490"/>
                        </a:xfrm>
                        <a:prstGeom prst="rect">
                          <a:avLst/>
                        </a:prstGeom>
                        <a:noFill/>
                      </wps:spPr>
                      <wps:txbx>
                        <w:txbxContent>
                          <w:p w14:paraId="4C2904A1" w14:textId="77777777" w:rsidR="00D37C45" w:rsidRDefault="00D37C45" w:rsidP="00D37C45">
                            <w:pPr>
                              <w:rPr>
                                <w:rFonts w:eastAsia="Verdana"/>
                                <w:color w:val="000000" w:themeColor="text1"/>
                                <w:kern w:val="24"/>
                              </w:rPr>
                            </w:pPr>
                            <w:r>
                              <w:rPr>
                                <w:rFonts w:eastAsia="Verdana"/>
                                <w:color w:val="000000" w:themeColor="text1"/>
                                <w:kern w:val="24"/>
                              </w:rPr>
                              <w:t>Start of LHVF</w:t>
                            </w:r>
                          </w:p>
                        </w:txbxContent>
                      </wps:txbx>
                      <wps:bodyPr rot="0" spcFirstLastPara="0"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D77CC0" id="Text Box 39" o:spid="_x0000_s1028" type="#_x0000_t202" alt="&quot;&quot;" style="position:absolute;margin-left:163.4pt;margin-top:142.8pt;width:46.7pt;height:28.7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" filled="f" stroked="f">
                <v:textbox style="mso-fit-shape-to-text:t" inset="0,0,0,0">
                  <w:txbxContent>
                    <w:p w14:paraId="4C2904A1" w14:textId="77777777" w:rsidR="00D37C45" w:rsidRDefault="00D37C45" w:rsidP="00D37C45">
                      <w:pPr>
                        <w:rPr>
                          <w:rFonts w:eastAsia="Verdana"/>
                          <w:color w:val="000000" w:themeColor="text1"/>
                          <w:kern w:val="24"/>
                        </w:rPr>
                      </w:pPr>
                      <w:r>
                        <w:rPr>
                          <w:rFonts w:eastAsia="Verdana"/>
                          <w:color w:val="000000" w:themeColor="text1"/>
                          <w:kern w:val="24"/>
                        </w:rPr>
                        <w:t>Start of LHVF</w:t>
                      </w:r>
                    </w:p>
                  </w:txbxContent>
                </v:textbox>
              </v:shape>
            </w:pict>
          </mc:Fallback>
        </mc:AlternateContent>
      </w:r>
      <w:r w:rsidRPr="002C5AC7">
        <w:rPr>
          <w:noProof/>
        </w:rPr>
        <mc:AlternateContent>
          <mc:Choice Requires="wps">
            <w:drawing>
              <wp:anchor distT="0" distB="0" distL="114300" distR="114300" simplePos="0" relativeHeight="251652608" behindDoc="0" locked="0" layoutInCell="1" allowOverlap="1" wp14:anchorId="6F6145F1" wp14:editId="1720F409">
                <wp:simplePos x="0" y="0"/>
                <wp:positionH relativeFrom="column">
                  <wp:posOffset>2687262</wp:posOffset>
                </wp:positionH>
                <wp:positionV relativeFrom="paragraph">
                  <wp:posOffset>1813560</wp:posOffset>
                </wp:positionV>
                <wp:extent cx="593090" cy="364490"/>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 cy="364490"/>
                        </a:xfrm>
                        <a:prstGeom prst="rect">
                          <a:avLst/>
                        </a:prstGeom>
                        <a:noFill/>
                      </wps:spPr>
                      <wps:txbx>
                        <w:txbxContent>
                          <w:p w14:paraId="0456837E" w14:textId="77777777" w:rsidR="00D37C45" w:rsidRDefault="00D37C45" w:rsidP="00D37C45">
                            <w:pPr>
                              <w:rPr>
                                <w:rFonts w:eastAsia="Verdana"/>
                                <w:color w:val="000000" w:themeColor="text1"/>
                                <w:kern w:val="24"/>
                              </w:rPr>
                            </w:pPr>
                            <w:r>
                              <w:rPr>
                                <w:rFonts w:eastAsia="Verdana"/>
                                <w:color w:val="000000" w:themeColor="text1"/>
                                <w:kern w:val="24"/>
                              </w:rPr>
                              <w:t>Start of BCAP</w:t>
                            </w:r>
                          </w:p>
                        </w:txbxContent>
                      </wps:txbx>
                      <wps:bodyPr rot="0" spcFirstLastPara="0"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6145F1" id="Text Box 40" o:spid="_x0000_s1029" type="#_x0000_t202" alt="&quot;&quot;" style="position:absolute;margin-left:211.6pt;margin-top:142.8pt;width:46.7pt;height:28.7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" filled="f" stroked="f">
                <v:textbox style="mso-fit-shape-to-text:t" inset="0,0,0,0">
                  <w:txbxContent>
                    <w:p w14:paraId="0456837E" w14:textId="77777777" w:rsidR="00D37C45" w:rsidRDefault="00D37C45" w:rsidP="00D37C45">
                      <w:pPr>
                        <w:rPr>
                          <w:rFonts w:eastAsia="Verdana"/>
                          <w:color w:val="000000" w:themeColor="text1"/>
                          <w:kern w:val="24"/>
                        </w:rPr>
                      </w:pPr>
                      <w:r>
                        <w:rPr>
                          <w:rFonts w:eastAsia="Verdana"/>
                          <w:color w:val="000000" w:themeColor="text1"/>
                          <w:kern w:val="24"/>
                        </w:rPr>
                        <w:t>Start of BCAP</w:t>
                      </w:r>
                    </w:p>
                  </w:txbxContent>
                </v:textbox>
              </v:shape>
            </w:pict>
          </mc:Fallback>
        </mc:AlternateContent>
      </w:r>
      <w:r w:rsidRPr="002C5AC7">
        <w:rPr>
          <w:noProof/>
        </w:rPr>
        <mc:AlternateContent>
          <mc:Choice Requires="wps">
            <w:drawing>
              <wp:anchor distT="0" distB="0" distL="114300" distR="114300" simplePos="0" relativeHeight="251653632" behindDoc="0" locked="0" layoutInCell="1" allowOverlap="1" wp14:anchorId="03662209" wp14:editId="6C65C419">
                <wp:simplePos x="0" y="0"/>
                <wp:positionH relativeFrom="column">
                  <wp:posOffset>3526790</wp:posOffset>
                </wp:positionH>
                <wp:positionV relativeFrom="paragraph">
                  <wp:posOffset>1677728</wp:posOffset>
                </wp:positionV>
                <wp:extent cx="593090" cy="41529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 cy="415290"/>
                        </a:xfrm>
                        <a:prstGeom prst="rect">
                          <a:avLst/>
                        </a:prstGeom>
                        <a:noFill/>
                      </wps:spPr>
                      <wps:txbx>
                        <w:txbxContent>
                          <w:p w14:paraId="2B932AEE" w14:textId="77777777" w:rsidR="00D37C45" w:rsidRDefault="00D37C45" w:rsidP="00D37C45">
                            <w:pPr>
                              <w:rPr>
                                <w:rFonts w:eastAsia="Verdana"/>
                                <w:color w:val="000000" w:themeColor="text1"/>
                                <w:kern w:val="24"/>
                              </w:rPr>
                            </w:pPr>
                            <w:r>
                              <w:rPr>
                                <w:rFonts w:eastAsia="Verdana"/>
                                <w:color w:val="000000" w:themeColor="text1"/>
                                <w:kern w:val="24"/>
                              </w:rPr>
                              <w:t>End of BCAP &amp; LHVF</w:t>
                            </w:r>
                          </w:p>
                        </w:txbxContent>
                      </wps:txbx>
                      <wps:bodyPr rot="0" spcFirstLastPara="0"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662209" id="Text Box 42" o:spid="_x0000_s1030" type="#_x0000_t202" alt="&quot;&quot;" style="position:absolute;margin-left:277.7pt;margin-top:132.1pt;width:46.7pt;height:32.7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" filled="f" stroked="f">
                <v:textbox style="mso-fit-shape-to-text:t" inset="0,0,0,0">
                  <w:txbxContent>
                    <w:p w14:paraId="2B932AEE" w14:textId="77777777" w:rsidR="00D37C45" w:rsidRDefault="00D37C45" w:rsidP="00D37C45">
                      <w:pPr>
                        <w:rPr>
                          <w:rFonts w:eastAsia="Verdana"/>
                          <w:color w:val="000000" w:themeColor="text1"/>
                          <w:kern w:val="24"/>
                        </w:rPr>
                      </w:pPr>
                      <w:r>
                        <w:rPr>
                          <w:rFonts w:eastAsia="Verdana"/>
                          <w:color w:val="000000" w:themeColor="text1"/>
                          <w:kern w:val="24"/>
                        </w:rPr>
                        <w:t>End of BCAP &amp; LHVF</w:t>
                      </w:r>
                    </w:p>
                  </w:txbxContent>
                </v:textbox>
              </v:shape>
            </w:pict>
          </mc:Fallback>
        </mc:AlternateContent>
      </w:r>
      <w:r w:rsidRPr="007F0C70">
        <w:rPr>
          <w:noProof/>
        </w:rPr>
        <w:t xml:space="preserve"> </w:t>
      </w:r>
      <w:r w:rsidRPr="007F0C70">
        <w:rPr>
          <w:noProof/>
        </w:rPr>
        <mc:AlternateContent>
          <mc:Choice Requires="wpg">
            <w:drawing>
              <wp:inline distT="0" distB="0" distL="0" distR="0" wp14:anchorId="75AFB20A" wp14:editId="734A4606">
                <wp:extent cx="5759450" cy="2880000"/>
                <wp:effectExtent l="0" t="0" r="0" b="0"/>
                <wp:docPr id="45" name="Group 25" descr="A line chart that shows business conditions in Victoria and business confidence in Victoria from June 2019 to June 2023. The chart marks data points every six months and has shading over the chart that indicates the Victorian COVID-19 lockdown periods. The chart begins at approximately 2 for both. Both experience a dramatic drop between December 2019 and June 2020; business confidence drops to -64 and business conditions to -38. This drop is right at the beginning of the first lockdown. From there both business conditions and business confidence trend upwards and then stabilise, business conditions remained between 20 and zero from June 2021 to June 2023, with the exception of a peak in September 2022 when it rose to 30. Business confidence fluctuated more, with more consistent peaks and troughs between -11 and 23 from June 2021 to June 2023. "/>
                <wp:cNvGraphicFramePr/>
                <a:graphic xmlns:a="http://schemas.openxmlformats.org/drawingml/2006/main">
                  <a:graphicData uri="http://schemas.microsoft.com/office/word/2010/wordprocessingGroup">
                    <wpg:wgp>
                      <wpg:cNvGrpSpPr/>
                      <wpg:grpSpPr>
                        <a:xfrm>
                          <a:off x="0" y="0"/>
                          <a:ext cx="5759450" cy="2880000"/>
                          <a:chOff x="0" y="0"/>
                          <a:chExt cx="5759450" cy="2799660"/>
                        </a:xfrm>
                      </wpg:grpSpPr>
                      <wps:wsp>
                        <wps:cNvPr id="46" name="Rectangle 46"/>
                        <wps:cNvSpPr/>
                        <wps:spPr bwMode="gray">
                          <a:xfrm>
                            <a:off x="3221208" y="139121"/>
                            <a:ext cx="198000" cy="2090885"/>
                          </a:xfrm>
                          <a:prstGeom prst="rect">
                            <a:avLst/>
                          </a:prstGeom>
                          <a:solidFill>
                            <a:schemeClr val="accent6">
                              <a:lumMod val="40000"/>
                              <a:lumOff val="60000"/>
                            </a:schemeClr>
                          </a:solidFill>
                          <a:ln w="19050" algn="ctr">
                            <a:noFill/>
                            <a:miter lim="800000"/>
                            <a:headEnd/>
                            <a:tailEnd/>
                          </a:ln>
                        </wps:spPr>
                        <wps:bodyPr wrap="square" lIns="88900" tIns="88900" rIns="88900" bIns="88900" rtlCol="0" anchor="ctr"/>
                      </wps:wsp>
                      <wps:wsp>
                        <wps:cNvPr id="47" name="Rectangle 47"/>
                        <wps:cNvSpPr/>
                        <wps:spPr bwMode="gray">
                          <a:xfrm>
                            <a:off x="3107649" y="139121"/>
                            <a:ext cx="53858" cy="2090885"/>
                          </a:xfrm>
                          <a:prstGeom prst="rect">
                            <a:avLst/>
                          </a:prstGeom>
                          <a:solidFill>
                            <a:schemeClr val="accent6">
                              <a:lumMod val="40000"/>
                              <a:lumOff val="60000"/>
                            </a:schemeClr>
                          </a:solidFill>
                          <a:ln w="19050" algn="ctr">
                            <a:noFill/>
                            <a:miter lim="800000"/>
                            <a:headEnd/>
                            <a:tailEnd/>
                          </a:ln>
                        </wps:spPr>
                        <wps:bodyPr wrap="square" lIns="88900" tIns="88900" rIns="88900" bIns="88900" rtlCol="0" anchor="ctr"/>
                      </wps:wsp>
                      <wps:wsp>
                        <wps:cNvPr id="48" name="Rectangle 48"/>
                        <wps:cNvSpPr/>
                        <wps:spPr bwMode="gray">
                          <a:xfrm>
                            <a:off x="2913498" y="139121"/>
                            <a:ext cx="53858" cy="2090885"/>
                          </a:xfrm>
                          <a:prstGeom prst="rect">
                            <a:avLst/>
                          </a:prstGeom>
                          <a:solidFill>
                            <a:schemeClr val="accent6">
                              <a:lumMod val="40000"/>
                              <a:lumOff val="60000"/>
                            </a:schemeClr>
                          </a:solidFill>
                          <a:ln w="19050" algn="ctr">
                            <a:noFill/>
                            <a:miter lim="800000"/>
                            <a:headEnd/>
                            <a:tailEnd/>
                          </a:ln>
                        </wps:spPr>
                        <wps:bodyPr wrap="square" lIns="88900" tIns="88900" rIns="88900" bIns="88900" rtlCol="0" anchor="ctr"/>
                      </wps:wsp>
                      <wps:wsp>
                        <wps:cNvPr id="58" name="Rectangle 58"/>
                        <wps:cNvSpPr/>
                        <wps:spPr bwMode="gray">
                          <a:xfrm>
                            <a:off x="2535579" y="139121"/>
                            <a:ext cx="45719" cy="2090885"/>
                          </a:xfrm>
                          <a:prstGeom prst="rect">
                            <a:avLst/>
                          </a:prstGeom>
                          <a:solidFill>
                            <a:schemeClr val="accent6">
                              <a:lumMod val="40000"/>
                              <a:lumOff val="60000"/>
                            </a:schemeClr>
                          </a:solidFill>
                          <a:ln w="19050" algn="ctr">
                            <a:noFill/>
                            <a:miter lim="800000"/>
                            <a:headEnd/>
                            <a:tailEnd/>
                          </a:ln>
                        </wps:spPr>
                        <wps:bodyPr wrap="square" lIns="88900" tIns="88900" rIns="88900" bIns="88900" rtlCol="0" anchor="ctr"/>
                      </wps:wsp>
                      <wps:wsp>
                        <wps:cNvPr id="59" name="Rectangle 59"/>
                        <wps:cNvSpPr/>
                        <wps:spPr bwMode="gray">
                          <a:xfrm>
                            <a:off x="1812514" y="139121"/>
                            <a:ext cx="390865" cy="2090885"/>
                          </a:xfrm>
                          <a:prstGeom prst="rect">
                            <a:avLst/>
                          </a:prstGeom>
                          <a:solidFill>
                            <a:schemeClr val="accent6">
                              <a:lumMod val="40000"/>
                              <a:lumOff val="60000"/>
                            </a:schemeClr>
                          </a:solidFill>
                          <a:ln w="19050" algn="ctr">
                            <a:noFill/>
                            <a:miter lim="800000"/>
                            <a:headEnd/>
                            <a:tailEnd/>
                          </a:ln>
                        </wps:spPr>
                        <wps:bodyPr wrap="square" lIns="88900" tIns="88900" rIns="88900" bIns="88900" rtlCol="0" anchor="ctr"/>
                      </wps:wsp>
                      <wps:wsp>
                        <wps:cNvPr id="60" name="Rectangle 60"/>
                        <wps:cNvSpPr/>
                        <wps:spPr bwMode="gray">
                          <a:xfrm>
                            <a:off x="1435442" y="139121"/>
                            <a:ext cx="212514" cy="2090885"/>
                          </a:xfrm>
                          <a:prstGeom prst="rect">
                            <a:avLst/>
                          </a:prstGeom>
                          <a:solidFill>
                            <a:schemeClr val="accent6">
                              <a:lumMod val="40000"/>
                              <a:lumOff val="60000"/>
                            </a:schemeClr>
                          </a:solidFill>
                          <a:ln w="19050" algn="ctr">
                            <a:noFill/>
                            <a:miter lim="800000"/>
                            <a:headEnd/>
                            <a:tailEnd/>
                          </a:ln>
                        </wps:spPr>
                        <wps:bodyPr wrap="square" lIns="88900" tIns="88900" rIns="88900" bIns="88900" rtlCol="0" anchor="ctr"/>
                      </wps:wsp>
                      <wpg:graphicFrame>
                        <wpg:cNvPr id="1489793600" name="Chart 1489793600"/>
                        <wpg:cNvFrPr/>
                        <wpg:xfrm>
                          <a:off x="0" y="0"/>
                          <a:ext cx="5759450" cy="2799660"/>
                        </wpg:xfrm>
                        <a:graphic>
                          <a:graphicData uri="http://schemas.openxmlformats.org/drawingml/2006/chart">
                            <c:chart xmlns:c="http://schemas.openxmlformats.org/drawingml/2006/chart" xmlns:r="http://schemas.openxmlformats.org/officeDocument/2006/relationships" r:id="rId36"/>
                          </a:graphicData>
                        </a:graphic>
                      </wpg:graphicFrame>
                      <wps:wsp>
                        <wps:cNvPr id="1489793601" name="Straight Connector 1489793601"/>
                        <wps:cNvCnPr>
                          <a:cxnSpLocks/>
                        </wps:cNvCnPr>
                        <wps:spPr>
                          <a:xfrm flipV="1">
                            <a:off x="2048992" y="139121"/>
                            <a:ext cx="0" cy="209088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89793602" name="Straight Connector 1489793602"/>
                        <wps:cNvCnPr>
                          <a:cxnSpLocks/>
                        </wps:cNvCnPr>
                        <wps:spPr>
                          <a:xfrm flipV="1">
                            <a:off x="2628713" y="139121"/>
                            <a:ext cx="0" cy="209088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89793603" name="Straight Connector 1489793603"/>
                        <wps:cNvCnPr>
                          <a:cxnSpLocks/>
                        </wps:cNvCnPr>
                        <wps:spPr>
                          <a:xfrm flipV="1">
                            <a:off x="3489168" y="139121"/>
                            <a:ext cx="0" cy="209088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2F4E2ED" id="Group 25" o:spid="_x0000_s1026" alt="A line chart that shows business conditions in Victoria and business confidence in Victoria from June 2019 to June 2023. The chart marks data points every six months and has shading over the chart that indicates the Victorian COVID-19 lockdown periods. The chart begins at approximately 2 for both. Both experience a dramatic drop between December 2019 and June 2020; business confidence drops to -64 and business conditions to -38. This drop is right at the beginning of the first lockdown. From there both business conditions and business confidence trend upwards and then stabilise, business conditions remained between 20 and zero from June 2021 to June 2023, with the exception of a peak in September 2022 when it rose to 30. Business confidence fluctuated more, with more consistent peaks and troughs between -11 and 23 from June 2021 to June 2023. " style="width:453.5pt;height:226.75pt;mso-position-horizontal-relative:char;mso-position-vertical-relative:line" coordsize="57594,2799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">
                <v:rect id="Rectangle 46" o:spid="_x0000_s1027" style="position:absolute;left:32212;top:1391;width:1980;height:2090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" fillcolor="#c7c8ca [1305]" stroked="f" strokeweight="1.5pt">
                  <v:textbox inset="7pt,7pt,7pt,7pt"/>
                </v:rect>
                <v:rect id="Rectangle 47" o:spid="_x0000_s1028" style="position:absolute;left:31076;top:1391;width:539;height:2090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" fillcolor="#c7c8ca [1305]" stroked="f" strokeweight="1.5pt">
                  <v:textbox inset="7pt,7pt,7pt,7pt"/>
                </v:rect>
                <v:rect id="Rectangle 48" o:spid="_x0000_s1029" style="position:absolute;left:29134;top:1391;width:539;height:2090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" fillcolor="#c7c8ca [1305]" stroked="f" strokeweight="1.5pt">
                  <v:textbox inset="7pt,7pt,7pt,7pt"/>
                </v:rect>
                <v:rect id="Rectangle 58" o:spid="_x0000_s1030" style="position:absolute;left:25355;top:1391;width:457;height:2090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" fillcolor="#c7c8ca [1305]" stroked="f" strokeweight="1.5pt">
                  <v:textbox inset="7pt,7pt,7pt,7pt"/>
                </v:rect>
                <v:rect id="Rectangle 59" o:spid="_x0000_s1031" style="position:absolute;left:18125;top:1391;width:3908;height:2090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" fillcolor="#c7c8ca [1305]" stroked="f" strokeweight="1.5pt">
                  <v:textbox inset="7pt,7pt,7pt,7pt"/>
                </v:rect>
                <v:rect id="Rectangle 60" o:spid="_x0000_s1032" style="position:absolute;left:14354;top:1391;width:2125;height:2090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" fillcolor="#c7c8ca [1305]" stroked="f" strokeweight="1.5pt">
                  <v:textbox inset="7pt,7pt,7pt,7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89793600" o:spid="_x0000_s1033" type="#_x0000_t75" style="position:absolute;left:731;top:651;width:56876;height:26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">
                  <v:imagedata r:id="rId37" o:title=""/>
                  <o:lock v:ext="edit" aspectratio="f"/>
                </v:shape>
                <v:line id="Straight Connector 1489793601" o:spid="_x0000_s1034" style="position:absolute;flip:y;visibility:visible;mso-wrap-style:square" from="20489,1391" to="20489,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" strokecolor="black [3213]">
                  <v:stroke dashstyle="dash"/>
                  <o:lock v:ext="edit" shapetype="f"/>
                </v:line>
                <v:line id="Straight Connector 1489793602" o:spid="_x0000_s1035" style="position:absolute;flip:y;visibility:visible;mso-wrap-style:square" from="26287,1391" to="26287,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" strokecolor="black [3213]">
                  <v:stroke dashstyle="dash"/>
                  <o:lock v:ext="edit" shapetype="f"/>
                </v:line>
                <v:line id="Straight Connector 1489793603" o:spid="_x0000_s1036" style="position:absolute;flip:y;visibility:visible;mso-wrap-style:square" from="34891,1391" to="34891,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" strokecolor="black [3213]">
                  <v:stroke dashstyle="dash"/>
                  <o:lock v:ext="edit" shapetype="f"/>
                </v:line>
                <w10:anchorlock/>
              </v:group>
            </w:pict>
          </mc:Fallback>
        </mc:AlternateContent>
      </w:r>
    </w:p>
    <w:p w14:paraId="65D55459" w14:textId="24E26A11" w:rsidR="00D37C45" w:rsidRPr="00D628F8" w:rsidRDefault="00D37C45" w:rsidP="00021EF3">
      <w:pPr>
        <w:pStyle w:val="Source"/>
      </w:pPr>
      <w:r w:rsidRPr="00D628F8">
        <w:t xml:space="preserve">Source: </w:t>
      </w:r>
      <w:r>
        <w:t xml:space="preserve">NAB </w:t>
      </w:r>
      <w:r w:rsidRPr="00D628F8">
        <w:t>Quarterly Business Survey</w:t>
      </w:r>
      <w:r w:rsidR="00792D18">
        <w:t>.</w:t>
      </w:r>
    </w:p>
    <w:p w14:paraId="78DD4F43" w14:textId="77777777" w:rsidR="00D37C45" w:rsidRDefault="00D37C45" w:rsidP="00021EF3">
      <w:r w:rsidRPr="00FE1C31">
        <w:t xml:space="preserve">From 2019 to 2023, business conditions and confidence fluctuated significantly due to economic and public health challenges. In early 2020, both </w:t>
      </w:r>
      <w:r>
        <w:t>conditions and confidence</w:t>
      </w:r>
      <w:r w:rsidRPr="00FE1C31">
        <w:t xml:space="preserve"> dropped sharply as the COVID-19 pandemic introduced uncertainty, but by the end of 2020, they had rebounded to pre-pandemic levels due to eased restrictions and business adaptations.</w:t>
      </w:r>
    </w:p>
    <w:p w14:paraId="5D36B3BA" w14:textId="77777777" w:rsidR="00D37C45" w:rsidRDefault="00D37C45" w:rsidP="00021EF3">
      <w:r w:rsidRPr="00FE1C31">
        <w:t>In 2021, volatility increased with frequent changes in public health measures, making consistent business operations difficult. Business sentiment was high in early 2021 but declined later in the year as COVID-19 cases rose.</w:t>
      </w:r>
    </w:p>
    <w:p w14:paraId="1699C01D" w14:textId="77777777" w:rsidR="00D37C45" w:rsidRDefault="00D37C45" w:rsidP="00021EF3">
      <w:r w:rsidRPr="00FE1C31">
        <w:t xml:space="preserve">The introduction of LHVF and BCAP </w:t>
      </w:r>
      <w:r>
        <w:t xml:space="preserve">coincided with improvements in </w:t>
      </w:r>
      <w:r w:rsidRPr="00FE1C31">
        <w:t>business conditions and confidence. However, this improvement cannot be solely attributed to the grants due to the complex interplay of public health developments, global economic trends, and domestic political dynamics.</w:t>
      </w:r>
    </w:p>
    <w:p w14:paraId="459D2BE9" w14:textId="07E25864" w:rsidR="002244EB" w:rsidRPr="00C11B87" w:rsidRDefault="002244EB" w:rsidP="00021EF3">
      <w:pPr>
        <w:pStyle w:val="Heading3un-numbered"/>
      </w:pPr>
      <w:bookmarkStart w:id="366" w:name="_Toc173915908"/>
      <w:bookmarkStart w:id="367" w:name="_Toc174118152"/>
      <w:bookmarkStart w:id="368" w:name="_Toc176516271"/>
      <w:r>
        <w:t>Employment outcomes</w:t>
      </w:r>
      <w:bookmarkEnd w:id="361"/>
      <w:bookmarkEnd w:id="362"/>
      <w:bookmarkEnd w:id="366"/>
      <w:bookmarkEnd w:id="367"/>
      <w:bookmarkEnd w:id="368"/>
    </w:p>
    <w:p w14:paraId="06E7773B" w14:textId="5C6358ED" w:rsidR="00A768A4" w:rsidRDefault="006755FA" w:rsidP="00021EF3">
      <w:r>
        <w:t xml:space="preserve">The grants were also intended to support </w:t>
      </w:r>
      <w:r w:rsidRPr="0065433B">
        <w:rPr>
          <w:b/>
          <w:bCs/>
        </w:rPr>
        <w:t>employment outcomes</w:t>
      </w:r>
      <w:r>
        <w:t xml:space="preserve"> </w:t>
      </w:r>
      <w:r w:rsidR="00165C5B">
        <w:t>by providing business with cash</w:t>
      </w:r>
      <w:r w:rsidR="008302DE">
        <w:t xml:space="preserve"> </w:t>
      </w:r>
      <w:r w:rsidR="00165C5B">
        <w:t xml:space="preserve">flow to </w:t>
      </w:r>
      <w:r w:rsidR="00310873">
        <w:t xml:space="preserve">stay operational and </w:t>
      </w:r>
      <w:r w:rsidR="008D13A9">
        <w:t>directly</w:t>
      </w:r>
      <w:r w:rsidR="00165C5B">
        <w:t xml:space="preserve"> pay wages.</w:t>
      </w:r>
      <w:r w:rsidR="00310873">
        <w:t xml:space="preserve"> </w:t>
      </w:r>
      <w:r w:rsidR="008D670E">
        <w:t xml:space="preserve">These </w:t>
      </w:r>
      <w:r>
        <w:t>e</w:t>
      </w:r>
      <w:r w:rsidR="0028224D">
        <w:t xml:space="preserve">mployment effects </w:t>
      </w:r>
      <w:r w:rsidR="008D670E">
        <w:t>were assessed</w:t>
      </w:r>
      <w:r w:rsidR="0028224D">
        <w:t xml:space="preserve"> through </w:t>
      </w:r>
      <w:r w:rsidR="00CC07C3">
        <w:t>regression</w:t>
      </w:r>
      <w:r w:rsidR="0028224D">
        <w:t xml:space="preserve"> analysis o</w:t>
      </w:r>
      <w:r w:rsidR="00A11C81">
        <w:t>f</w:t>
      </w:r>
      <w:r w:rsidR="0028224D">
        <w:t xml:space="preserve"> hours worked by industry</w:t>
      </w:r>
      <w:r w:rsidR="00D761A1">
        <w:t xml:space="preserve"> </w:t>
      </w:r>
      <w:r w:rsidR="00D761A1" w:rsidRPr="003933EA">
        <w:t>(</w:t>
      </w:r>
      <w:r w:rsidR="006C18BD" w:rsidRPr="003933EA">
        <w:t xml:space="preserve">see </w:t>
      </w:r>
      <w:r w:rsidR="006C18BD" w:rsidRPr="003933EA">
        <w:fldChar w:fldCharType="begin"/>
      </w:r>
      <w:r w:rsidR="006C18BD" w:rsidRPr="003933EA">
        <w:instrText xml:space="preserve"> REF _Ref173253471 \r \h  \* MERGEFORMAT </w:instrText>
      </w:r>
      <w:r w:rsidR="006C18BD" w:rsidRPr="003933EA">
        <w:fldChar w:fldCharType="separate"/>
      </w:r>
      <w:r w:rsidR="0016271C">
        <w:t>Appendix A</w:t>
      </w:r>
      <w:r w:rsidR="006C18BD" w:rsidRPr="003933EA">
        <w:fldChar w:fldCharType="end"/>
      </w:r>
      <w:r w:rsidR="00D761A1" w:rsidRPr="003933EA">
        <w:t>)</w:t>
      </w:r>
      <w:r w:rsidR="0028224D" w:rsidRPr="003933EA">
        <w:t>.</w:t>
      </w:r>
      <w:r w:rsidR="00732B22">
        <w:t xml:space="preserve"> </w:t>
      </w:r>
      <w:r w:rsidR="008C0D6B">
        <w:t xml:space="preserve">No significant </w:t>
      </w:r>
      <w:r w:rsidR="0073456F">
        <w:t xml:space="preserve">relationship was </w:t>
      </w:r>
      <w:r w:rsidR="00CE415F">
        <w:t xml:space="preserve">identified </w:t>
      </w:r>
      <w:r w:rsidR="0068526F">
        <w:t xml:space="preserve">between </w:t>
      </w:r>
      <w:r w:rsidR="00F31EEE">
        <w:t xml:space="preserve">the </w:t>
      </w:r>
      <w:r w:rsidR="009A4438">
        <w:t>number or value of grants</w:t>
      </w:r>
      <w:r w:rsidR="00F31EEE">
        <w:t xml:space="preserve"> and </w:t>
      </w:r>
      <w:r w:rsidR="006C4BA1">
        <w:t>employment outcomes</w:t>
      </w:r>
      <w:r w:rsidR="00534DE5">
        <w:t xml:space="preserve">, </w:t>
      </w:r>
      <w:r w:rsidR="00A768A4">
        <w:t>which</w:t>
      </w:r>
      <w:r w:rsidR="00534DE5">
        <w:t xml:space="preserve"> </w:t>
      </w:r>
      <w:r w:rsidR="0080478E">
        <w:t xml:space="preserve">is reflective of data challenges and </w:t>
      </w:r>
      <w:r w:rsidR="00A768A4">
        <w:t>in particular</w:t>
      </w:r>
      <w:r w:rsidR="00622C69">
        <w:t>,</w:t>
      </w:r>
      <w:r w:rsidR="00A768A4">
        <w:t xml:space="preserve"> a lack of business level data</w:t>
      </w:r>
      <w:r w:rsidR="00622C69">
        <w:t>. This</w:t>
      </w:r>
      <w:r w:rsidR="0080478E">
        <w:t xml:space="preserve"> does not necessarily indicate </w:t>
      </w:r>
      <w:r w:rsidR="00677A6B">
        <w:t>that the grants had no impact on employment.</w:t>
      </w:r>
      <w:r w:rsidR="0030230F">
        <w:t xml:space="preserve"> </w:t>
      </w:r>
    </w:p>
    <w:p w14:paraId="0B16B048" w14:textId="6DF0B0F2" w:rsidR="00A768A4" w:rsidRDefault="00FF7A1E" w:rsidP="00021EF3">
      <w:r>
        <w:t xml:space="preserve">However, trends in </w:t>
      </w:r>
      <w:r w:rsidR="006E6436">
        <w:t xml:space="preserve">total hours actually worked </w:t>
      </w:r>
      <w:r w:rsidR="002B1DCC">
        <w:t xml:space="preserve">across Victoria and </w:t>
      </w:r>
      <w:r w:rsidR="002244EB">
        <w:t>NSW</w:t>
      </w:r>
      <w:r w:rsidR="00B16120">
        <w:t xml:space="preserve"> </w:t>
      </w:r>
      <w:r w:rsidR="00F60097">
        <w:t xml:space="preserve">based on key industries </w:t>
      </w:r>
      <w:r w:rsidR="00B16120">
        <w:t>can provide a sense of the outcomes realised in Victoria which the grants programs</w:t>
      </w:r>
      <w:r w:rsidR="00F60097">
        <w:t xml:space="preserve"> likely contributed to</w:t>
      </w:r>
      <w:r w:rsidR="00A768A4">
        <w:t>:</w:t>
      </w:r>
    </w:p>
    <w:p w14:paraId="0609333B" w14:textId="78A26FA7" w:rsidR="002244EB" w:rsidRDefault="004628AF" w:rsidP="00021EF3">
      <w:pPr>
        <w:pStyle w:val="ListBullet"/>
      </w:pPr>
      <w:r>
        <w:t>I</w:t>
      </w:r>
      <w:r w:rsidR="002B1DCC" w:rsidRPr="00B3244B">
        <w:t>n</w:t>
      </w:r>
      <w:r w:rsidR="002B1DCC">
        <w:t xml:space="preserve"> the 34 ANZSIC </w:t>
      </w:r>
      <w:r w:rsidR="00575F0A">
        <w:t>g</w:t>
      </w:r>
      <w:r w:rsidR="002B1DCC">
        <w:t>roups</w:t>
      </w:r>
      <w:r w:rsidR="00543843" w:rsidRPr="00144137">
        <w:rPr>
          <w:rStyle w:val="FootnoteReference"/>
        </w:rPr>
        <w:footnoteReference w:id="5"/>
      </w:r>
      <w:r w:rsidR="002B1DCC">
        <w:t xml:space="preserve"> which received the </w:t>
      </w:r>
      <w:r w:rsidR="00D542BA">
        <w:t>greatest value of grants</w:t>
      </w:r>
      <w:r w:rsidR="00622C69">
        <w:t>,</w:t>
      </w:r>
      <w:r w:rsidR="00D542BA">
        <w:t xml:space="preserve"> hours worked in Victoria in 2021 were </w:t>
      </w:r>
      <w:r w:rsidR="00D373A7">
        <w:t>3.5</w:t>
      </w:r>
      <w:r w:rsidR="00E71AAA" w:rsidRPr="00E71AAA">
        <w:t xml:space="preserve"> </w:t>
      </w:r>
      <w:r w:rsidR="00E71AAA">
        <w:t>per cent</w:t>
      </w:r>
      <w:r w:rsidR="00D373A7">
        <w:t xml:space="preserve"> below their level in 2019</w:t>
      </w:r>
      <w:r w:rsidR="00BA5A01">
        <w:t xml:space="preserve"> compared to </w:t>
      </w:r>
      <w:r w:rsidR="00BA5A01" w:rsidRPr="00B3244B">
        <w:t>an</w:t>
      </w:r>
      <w:r w:rsidR="00D216EF">
        <w:t xml:space="preserve"> 11.3</w:t>
      </w:r>
      <w:r w:rsidR="00E71AAA" w:rsidRPr="00E71AAA">
        <w:t xml:space="preserve"> </w:t>
      </w:r>
      <w:r w:rsidR="00E71AAA">
        <w:t>per cent</w:t>
      </w:r>
      <w:r w:rsidR="00D216EF">
        <w:t xml:space="preserve"> </w:t>
      </w:r>
      <w:r w:rsidR="00BA5A01">
        <w:t xml:space="preserve">decline </w:t>
      </w:r>
      <w:r w:rsidR="00D216EF">
        <w:t xml:space="preserve">in </w:t>
      </w:r>
      <w:r w:rsidR="00AA1D65" w:rsidRPr="00B3244B">
        <w:t>NSW</w:t>
      </w:r>
      <w:r w:rsidR="00BA5A01">
        <w:t xml:space="preserve"> for the same industries</w:t>
      </w:r>
      <w:r w:rsidR="00DB25D1">
        <w:t>.</w:t>
      </w:r>
    </w:p>
    <w:p w14:paraId="778A8CA3" w14:textId="27B86BC7" w:rsidR="00E81A24" w:rsidRDefault="004628AF" w:rsidP="00021EF3">
      <w:pPr>
        <w:pStyle w:val="ListBullet"/>
      </w:pPr>
      <w:r>
        <w:t>I</w:t>
      </w:r>
      <w:r w:rsidR="00D216EF" w:rsidRPr="00B3244B">
        <w:t>f</w:t>
      </w:r>
      <w:r w:rsidR="00D216EF">
        <w:t xml:space="preserve"> </w:t>
      </w:r>
      <w:r w:rsidR="00E85060">
        <w:t xml:space="preserve">the level of contraction seen in </w:t>
      </w:r>
      <w:r w:rsidR="002244EB" w:rsidRPr="00B3244B">
        <w:t>NSW</w:t>
      </w:r>
      <w:r w:rsidR="00E85060">
        <w:t xml:space="preserve"> had been observed in Victoria</w:t>
      </w:r>
      <w:r w:rsidR="002244EB">
        <w:t>,</w:t>
      </w:r>
      <w:r w:rsidR="00E85060">
        <w:t xml:space="preserve"> </w:t>
      </w:r>
      <w:r w:rsidR="00ED0653">
        <w:t xml:space="preserve">then </w:t>
      </w:r>
      <w:r w:rsidR="006B5511">
        <w:t xml:space="preserve">Victorians would have worked approximately 2 million hours less per week over 2021, which is equivalent to 52,500 </w:t>
      </w:r>
      <w:r w:rsidR="00924655">
        <w:t xml:space="preserve">Full Time Equivalent </w:t>
      </w:r>
      <w:r w:rsidR="00924655">
        <w:lastRenderedPageBreak/>
        <w:t>(</w:t>
      </w:r>
      <w:r w:rsidR="006B5511">
        <w:t>FTE</w:t>
      </w:r>
      <w:r w:rsidR="00924655">
        <w:t>)</w:t>
      </w:r>
      <w:r w:rsidR="006B5511">
        <w:t xml:space="preserve"> workers.</w:t>
      </w:r>
      <w:r w:rsidR="00BD3A7A">
        <w:t xml:space="preserve"> Implicit in this counterfactual </w:t>
      </w:r>
      <w:r w:rsidR="00CC31DE">
        <w:t xml:space="preserve">is the impact of </w:t>
      </w:r>
      <w:r w:rsidR="00ED5486">
        <w:t xml:space="preserve">NSW Government business support, including </w:t>
      </w:r>
      <w:proofErr w:type="spellStart"/>
      <w:r w:rsidR="00ED5486">
        <w:t>JobSaver</w:t>
      </w:r>
      <w:proofErr w:type="spellEnd"/>
      <w:r w:rsidR="00ED5486">
        <w:t>.</w:t>
      </w:r>
    </w:p>
    <w:p w14:paraId="40898571" w14:textId="7FE8B0C5" w:rsidR="002F7CE2" w:rsidRDefault="002F7CE2" w:rsidP="00021EF3">
      <w:r>
        <w:t xml:space="preserve">While there </w:t>
      </w:r>
      <w:r w:rsidR="008C16A0">
        <w:t xml:space="preserve">is </w:t>
      </w:r>
      <w:r w:rsidR="00F30FBD">
        <w:t>insufficient</w:t>
      </w:r>
      <w:r w:rsidR="004C21D6">
        <w:t xml:space="preserve"> evidence to </w:t>
      </w:r>
      <w:r w:rsidR="00D7565D">
        <w:t>estimate the</w:t>
      </w:r>
      <w:r w:rsidR="004C21D6">
        <w:t xml:space="preserve"> causal </w:t>
      </w:r>
      <w:r w:rsidR="00D7565D">
        <w:t>impact of the grants programs on employment, the</w:t>
      </w:r>
      <w:r w:rsidR="00AD09B4">
        <w:t xml:space="preserve"> available data does display</w:t>
      </w:r>
      <w:r w:rsidR="00D7565D">
        <w:t xml:space="preserve"> </w:t>
      </w:r>
      <w:r w:rsidR="00452DB7">
        <w:t>a</w:t>
      </w:r>
      <w:r w:rsidR="00D7565D">
        <w:t xml:space="preserve"> positive relationship between </w:t>
      </w:r>
      <w:r w:rsidR="00D754B7">
        <w:t xml:space="preserve">the targeting of grants and </w:t>
      </w:r>
      <w:r w:rsidR="00D7565D">
        <w:t xml:space="preserve">employment </w:t>
      </w:r>
      <w:r w:rsidR="00540778">
        <w:t xml:space="preserve">outcomes </w:t>
      </w:r>
      <w:r w:rsidR="00D754B7">
        <w:t xml:space="preserve">by </w:t>
      </w:r>
      <w:r w:rsidR="00AF1703">
        <w:t>industr</w:t>
      </w:r>
      <w:r w:rsidR="00D754B7">
        <w:t>y</w:t>
      </w:r>
      <w:r w:rsidR="00540778">
        <w:t>.</w:t>
      </w:r>
      <w:r w:rsidR="00D7565D">
        <w:t xml:space="preserve"> </w:t>
      </w:r>
    </w:p>
    <w:p w14:paraId="15FE5762" w14:textId="01DA6374" w:rsidR="00AB7844" w:rsidRDefault="00AB7844" w:rsidP="00021EF3">
      <w:r>
        <w:t xml:space="preserve">Surveyed employing businesses also reported positive impacts on </w:t>
      </w:r>
      <w:r w:rsidRPr="00554BD2">
        <w:rPr>
          <w:b/>
          <w:bCs/>
        </w:rPr>
        <w:t>employment and wages paid</w:t>
      </w:r>
      <w:r>
        <w:t xml:space="preserve"> at their business as a result of the grants. In particular, 30</w:t>
      </w:r>
      <w:r w:rsidRPr="00E71AAA">
        <w:t xml:space="preserve"> </w:t>
      </w:r>
      <w:r>
        <w:t>per cent of employing LHVF respondents indicated that their business would not have been to retain any FTE employment without the support of the grants, compared to 23 per cent</w:t>
      </w:r>
      <w:r w:rsidDel="00E71AAA">
        <w:t xml:space="preserve"> </w:t>
      </w:r>
      <w:r>
        <w:t>of employing BCAP respondents. A further 28</w:t>
      </w:r>
      <w:r w:rsidRPr="00E71AAA">
        <w:t xml:space="preserve"> </w:t>
      </w:r>
      <w:r>
        <w:t>per cent and 17</w:t>
      </w:r>
      <w:r w:rsidRPr="00E71AAA">
        <w:t xml:space="preserve"> </w:t>
      </w:r>
      <w:r>
        <w:t>per cent respectively for LHVF and BCAP reported that FTE employment would have been significantly lower without the support of the grants (</w:t>
      </w:r>
      <w:r w:rsidR="003933EA">
        <w:t xml:space="preserve">see </w:t>
      </w:r>
      <w:r w:rsidR="003933EA">
        <w:rPr>
          <w:highlight w:val="yellow"/>
        </w:rPr>
        <w:fldChar w:fldCharType="begin"/>
      </w:r>
      <w:r w:rsidR="003933EA">
        <w:instrText xml:space="preserve"> REF _Ref173344148 \r \h </w:instrText>
      </w:r>
      <w:r w:rsidR="00021EF3">
        <w:rPr>
          <w:highlight w:val="yellow"/>
        </w:rPr>
        <w:instrText xml:space="preserve"> \* MERGEFORMAT </w:instrText>
      </w:r>
      <w:r w:rsidR="003933EA">
        <w:rPr>
          <w:highlight w:val="yellow"/>
        </w:rPr>
      </w:r>
      <w:r w:rsidR="003933EA">
        <w:rPr>
          <w:highlight w:val="yellow"/>
        </w:rPr>
        <w:fldChar w:fldCharType="separate"/>
      </w:r>
      <w:r w:rsidR="0016271C">
        <w:t>Chart 2.7</w:t>
      </w:r>
      <w:r w:rsidR="003933EA">
        <w:rPr>
          <w:highlight w:val="yellow"/>
        </w:rPr>
        <w:fldChar w:fldCharType="end"/>
      </w:r>
      <w:r w:rsidR="003933EA">
        <w:t>)</w:t>
      </w:r>
    </w:p>
    <w:p w14:paraId="596AF995" w14:textId="28C60BBF" w:rsidR="00AB7844" w:rsidRDefault="00AB7844" w:rsidP="00021EF3">
      <w:pPr>
        <w:pStyle w:val="CaptionChart"/>
      </w:pPr>
      <w:bookmarkStart w:id="369" w:name="_Ref173344148"/>
      <w:r>
        <w:t xml:space="preserve">: Self-reported impacts of the grants on the level of </w:t>
      </w:r>
      <w:r w:rsidR="00EC5296">
        <w:t>FTE</w:t>
      </w:r>
      <w:r>
        <w:t xml:space="preserve"> employment</w:t>
      </w:r>
      <w:bookmarkEnd w:id="369"/>
      <w:r w:rsidR="00255539">
        <w:t>.</w:t>
      </w:r>
      <w:r>
        <w:t xml:space="preserve"> </w:t>
      </w:r>
    </w:p>
    <w:p w14:paraId="77F59EB2" w14:textId="77777777" w:rsidR="00AB7844" w:rsidRDefault="00AB7844" w:rsidP="00021EF3">
      <w:r w:rsidRPr="002638C0">
        <w:rPr>
          <w:noProof/>
        </w:rPr>
        <w:drawing>
          <wp:inline distT="0" distB="0" distL="0" distR="0" wp14:anchorId="6113812D" wp14:editId="289831B4">
            <wp:extent cx="5731510" cy="2413000"/>
            <wp:effectExtent l="0" t="0" r="0" b="0"/>
            <wp:docPr id="17" name="Picture 17" descr="A bar chart that shows the self-reported impacts of the grants on the level of full time equivalent employment. &#10;LHVF had 30% of survey respondents report a very significant impact of the grants on FTE employment, 30% reported significant impact, 11% reported a slight impact, 14% said they had a moderate impact and 9% said there was no impact. 6% of respondents were unsure. &#10;&#10;BCAP had 23% of survey respondents report that the grants had a very significant impact on the level of FTE employment, 24% said the grants had significant impact, 9% said it had a slight impact, 25% reported a moderate impact and 9% said they had no impact. 10% of respondents were un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r chart that shows the self-reported impacts of the grants on the level of full time equivalent employment. &#10;LHVF had 30% of survey respondents report a very significant impact of the grants on FTE employment, 30% reported significant impact, 11% reported a slight impact, 14% said they had a moderate impact and 9% said there was no impact. 6% of respondents were unsure. &#10;&#10;BCAP had 23% of survey respondents report that the grants had a very significant impact on the level of FTE employment, 24% said the grants had significant impact, 9% said it had a slight impact, 25% reported a moderate impact and 9% said they had no impact. 10% of respondents were unsur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24D5FD24" w14:textId="77777777" w:rsidR="00AB7844" w:rsidRDefault="00AB7844" w:rsidP="00021EF3">
      <w:pPr>
        <w:pStyle w:val="Source"/>
      </w:pPr>
      <w:r>
        <w:t>Source: Business survey.</w:t>
      </w:r>
    </w:p>
    <w:p w14:paraId="580EB470" w14:textId="48E751D2" w:rsidR="001618EA" w:rsidRDefault="002839DF" w:rsidP="00021EF3">
      <w:bookmarkStart w:id="370" w:name="_Toc173344726"/>
      <w:bookmarkStart w:id="371" w:name="_Toc173344953"/>
      <w:r>
        <w:t xml:space="preserve">It is important to note that while </w:t>
      </w:r>
      <w:r w:rsidRPr="00307C41">
        <w:t>detailed statistical analysis of secondary data was undertaken in attempting to assess the impact of the programs on key outcomes such as survival and hours worked</w:t>
      </w:r>
      <w:r>
        <w:t>,</w:t>
      </w:r>
      <w:r w:rsidRPr="00307C41">
        <w:t xml:space="preserve"> </w:t>
      </w:r>
      <w:r w:rsidRPr="00F4659B">
        <w:t>this</w:t>
      </w:r>
      <w:r>
        <w:t xml:space="preserve"> </w:t>
      </w:r>
      <w:r w:rsidRPr="00F4659B">
        <w:t xml:space="preserve">did not yield causal estimates </w:t>
      </w:r>
      <w:r w:rsidRPr="00307C41">
        <w:t xml:space="preserve">due to data limitations and </w:t>
      </w:r>
      <w:r>
        <w:t>not being able</w:t>
      </w:r>
      <w:r w:rsidRPr="00307C41">
        <w:t xml:space="preserve"> to specify an appropriate counterfactual group</w:t>
      </w:r>
      <w:r>
        <w:t xml:space="preserve"> within the parameters of this evaluation (</w:t>
      </w:r>
      <w:r w:rsidRPr="00F142BF">
        <w:t xml:space="preserve">see </w:t>
      </w:r>
      <w:r w:rsidRPr="00F142BF">
        <w:fldChar w:fldCharType="begin"/>
      </w:r>
      <w:r w:rsidRPr="00F142BF">
        <w:instrText xml:space="preserve"> REF _Ref173253654 \r \h  \* MERGEFORMAT </w:instrText>
      </w:r>
      <w:r w:rsidRPr="00F142BF">
        <w:fldChar w:fldCharType="separate"/>
      </w:r>
      <w:r w:rsidR="0016271C">
        <w:t>Appendix A</w:t>
      </w:r>
      <w:r w:rsidRPr="00F142BF">
        <w:fldChar w:fldCharType="end"/>
      </w:r>
      <w:r>
        <w:t xml:space="preserve">). </w:t>
      </w:r>
      <w:bookmarkEnd w:id="370"/>
      <w:bookmarkEnd w:id="371"/>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BD0E60" w14:paraId="03248A97"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06C3085D" w14:textId="46C2BEDA" w:rsidR="00BD0E60" w:rsidRPr="00A04FF8" w:rsidRDefault="00BD0E60" w:rsidP="00021EF3">
            <w:pPr>
              <w:spacing w:after="0"/>
              <w:rPr>
                <w:b/>
                <w:bCs/>
              </w:rPr>
            </w:pPr>
            <w:r w:rsidRPr="00A04FF8">
              <w:rPr>
                <w:b/>
                <w:bCs/>
                <w:color w:val="62B5E5" w:themeColor="accent3"/>
              </w:rPr>
              <w:t xml:space="preserve">Finding </w:t>
            </w:r>
            <w:r w:rsidR="006342DF">
              <w:rPr>
                <w:b/>
                <w:bCs/>
                <w:color w:val="62B5E5" w:themeColor="accent3"/>
              </w:rPr>
              <w:t>11</w:t>
            </w:r>
            <w:r w:rsidRPr="00A04FF8">
              <w:rPr>
                <w:b/>
                <w:bCs/>
                <w:color w:val="62B5E5" w:themeColor="accent3"/>
              </w:rPr>
              <w:t>: </w:t>
            </w:r>
            <w:r w:rsidR="006207C7" w:rsidRPr="006207C7">
              <w:rPr>
                <w:b/>
                <w:bCs/>
              </w:rPr>
              <w:t xml:space="preserve">Businesses reported the grants to have a </w:t>
            </w:r>
            <w:r w:rsidR="00DA291A">
              <w:rPr>
                <w:b/>
                <w:bCs/>
              </w:rPr>
              <w:t>positive</w:t>
            </w:r>
            <w:r w:rsidR="00DA291A" w:rsidRPr="006207C7">
              <w:rPr>
                <w:b/>
                <w:bCs/>
              </w:rPr>
              <w:t xml:space="preserve"> </w:t>
            </w:r>
            <w:r w:rsidR="006207C7" w:rsidRPr="006207C7">
              <w:rPr>
                <w:b/>
                <w:bCs/>
              </w:rPr>
              <w:t>impact in terms of meeting business costs and personal wellbeing.</w:t>
            </w:r>
          </w:p>
        </w:tc>
      </w:tr>
    </w:tbl>
    <w:p w14:paraId="28C7207C" w14:textId="2697E393" w:rsidR="00452DB7" w:rsidRDefault="00751044" w:rsidP="00021EF3">
      <w:pPr>
        <w:spacing w:before="160"/>
      </w:pPr>
      <w:r>
        <w:t>Analysis of outcomes related to wellbeing relied more heavily on self-reported, business level data</w:t>
      </w:r>
      <w:r w:rsidR="002931BE">
        <w:t>,</w:t>
      </w:r>
      <w:r w:rsidR="00980450">
        <w:t xml:space="preserve"> </w:t>
      </w:r>
      <w:r w:rsidR="00DE7505">
        <w:t xml:space="preserve">which showed strong positive impacts. </w:t>
      </w:r>
      <w:r w:rsidR="00BD5E01">
        <w:t xml:space="preserve">This, in addition </w:t>
      </w:r>
      <w:r w:rsidR="00625812">
        <w:t>to analysis of the grants as a cost</w:t>
      </w:r>
      <w:r w:rsidR="00350AF2">
        <w:t>-</w:t>
      </w:r>
      <w:r w:rsidR="00625812">
        <w:t>coverage tool, is examined below.</w:t>
      </w:r>
    </w:p>
    <w:p w14:paraId="2EA4FD8F" w14:textId="77777777" w:rsidR="001056C2" w:rsidRDefault="001056C2" w:rsidP="00021EF3">
      <w:pPr>
        <w:pStyle w:val="Heading3un-numbered"/>
        <w:spacing w:before="160"/>
      </w:pPr>
      <w:bookmarkStart w:id="372" w:name="_Toc173344727"/>
      <w:bookmarkStart w:id="373" w:name="_Toc173344954"/>
      <w:bookmarkStart w:id="374" w:name="_Toc173915909"/>
      <w:bookmarkStart w:id="375" w:name="_Toc174118153"/>
      <w:bookmarkStart w:id="376" w:name="_Toc176516272"/>
      <w:r>
        <w:t>Cost coverage</w:t>
      </w:r>
      <w:bookmarkEnd w:id="372"/>
      <w:bookmarkEnd w:id="373"/>
      <w:bookmarkEnd w:id="374"/>
      <w:bookmarkEnd w:id="375"/>
      <w:bookmarkEnd w:id="376"/>
    </w:p>
    <w:p w14:paraId="0AA02FF8" w14:textId="32261250" w:rsidR="001056C2" w:rsidRDefault="000833C7" w:rsidP="00021EF3">
      <w:r>
        <w:t xml:space="preserve">Analysis </w:t>
      </w:r>
      <w:r w:rsidR="000555E8">
        <w:t xml:space="preserve">of secondary data </w:t>
      </w:r>
      <w:r>
        <w:t>was undertaken to</w:t>
      </w:r>
      <w:r w:rsidR="001056C2">
        <w:t xml:space="preserve"> assess the grants as a </w:t>
      </w:r>
      <w:r w:rsidR="001056C2" w:rsidRPr="00791B50">
        <w:rPr>
          <w:b/>
          <w:bCs/>
        </w:rPr>
        <w:t>cost</w:t>
      </w:r>
      <w:r w:rsidR="002A28D8">
        <w:rPr>
          <w:b/>
          <w:bCs/>
        </w:rPr>
        <w:t>-</w:t>
      </w:r>
      <w:r w:rsidR="001056C2" w:rsidRPr="00791B50">
        <w:rPr>
          <w:b/>
          <w:bCs/>
        </w:rPr>
        <w:t>coverage</w:t>
      </w:r>
      <w:r w:rsidR="001056C2">
        <w:t xml:space="preserve"> mechanism, comparing the average value of grants received by industry and estimates of expected typical costs incurred over the relevant period. This analysis </w:t>
      </w:r>
      <w:r w:rsidR="00246693">
        <w:t xml:space="preserve">provides a sense </w:t>
      </w:r>
      <w:r w:rsidR="009D64E1">
        <w:t>of the extent to which grant revenue provided a financial base through which to co</w:t>
      </w:r>
      <w:r>
        <w:t>v</w:t>
      </w:r>
      <w:r w:rsidR="009D64E1">
        <w:t>er costs</w:t>
      </w:r>
      <w:r>
        <w:t xml:space="preserve"> at the business level</w:t>
      </w:r>
      <w:r w:rsidR="00642988">
        <w:t>,</w:t>
      </w:r>
      <w:r w:rsidR="004772B2">
        <w:t xml:space="preserve"> and </w:t>
      </w:r>
      <w:r w:rsidR="00642988">
        <w:t>how this likely varied based on program and industry.</w:t>
      </w:r>
      <w:r w:rsidR="004772B2">
        <w:t xml:space="preserve"> </w:t>
      </w:r>
      <w:r w:rsidR="00642988">
        <w:t>This analysis</w:t>
      </w:r>
      <w:r w:rsidR="004772B2">
        <w:t xml:space="preserve"> is detailed in </w:t>
      </w:r>
      <w:r w:rsidR="004772B2">
        <w:fldChar w:fldCharType="begin"/>
      </w:r>
      <w:r w:rsidR="004772B2">
        <w:instrText xml:space="preserve"> REF _Ref173334514 \r \h </w:instrText>
      </w:r>
      <w:r w:rsidR="00021EF3">
        <w:instrText xml:space="preserve"> \* MERGEFORMAT </w:instrText>
      </w:r>
      <w:r w:rsidR="004772B2">
        <w:fldChar w:fldCharType="separate"/>
      </w:r>
      <w:r w:rsidR="0016271C">
        <w:t>Appendix A</w:t>
      </w:r>
      <w:r w:rsidR="004772B2">
        <w:fldChar w:fldCharType="end"/>
      </w:r>
      <w:r w:rsidR="009D64E1">
        <w:t>. The</w:t>
      </w:r>
      <w:r w:rsidR="001056C2">
        <w:t xml:space="preserve"> analysis showed:</w:t>
      </w:r>
    </w:p>
    <w:p w14:paraId="3E5CE87A" w14:textId="77777777" w:rsidR="001056C2" w:rsidRDefault="001056C2" w:rsidP="00021EF3">
      <w:pPr>
        <w:pStyle w:val="ListBullet"/>
      </w:pPr>
      <w:r w:rsidRPr="00B140B6">
        <w:t>average</w:t>
      </w:r>
      <w:r>
        <w:t xml:space="preserve"> per business BCAP grant revenue covered 6</w:t>
      </w:r>
      <w:r w:rsidRPr="00E71AAA">
        <w:t xml:space="preserve"> </w:t>
      </w:r>
      <w:r>
        <w:t>per cent of individual business costs over the COVID-19 lockdown periods</w:t>
      </w:r>
      <w:r w:rsidRPr="00B140B6">
        <w:t>.</w:t>
      </w:r>
    </w:p>
    <w:p w14:paraId="0D4F70AE" w14:textId="3484E0C2" w:rsidR="001056C2" w:rsidRDefault="001056C2" w:rsidP="00021EF3">
      <w:pPr>
        <w:pStyle w:val="ListBullet"/>
      </w:pPr>
      <w:r w:rsidRPr="00122D43">
        <w:t>average</w:t>
      </w:r>
      <w:r>
        <w:t xml:space="preserve"> per business LHVF grant revenue covered 23.1</w:t>
      </w:r>
      <w:r w:rsidRPr="00E71AAA">
        <w:t xml:space="preserve"> </w:t>
      </w:r>
      <w:r>
        <w:t>per cent of individual business costs over the COVID-19</w:t>
      </w:r>
      <w:r w:rsidR="00C16E20">
        <w:t xml:space="preserve"> pandemic</w:t>
      </w:r>
      <w:r>
        <w:t xml:space="preserve"> lockdown periods</w:t>
      </w:r>
      <w:r w:rsidRPr="00122D43">
        <w:t>.</w:t>
      </w:r>
    </w:p>
    <w:p w14:paraId="3BA28D51" w14:textId="6F4E0B79" w:rsidR="001056C2" w:rsidRDefault="001056C2" w:rsidP="00021EF3">
      <w:pPr>
        <w:pStyle w:val="ListBullet"/>
      </w:pPr>
      <w:r w:rsidRPr="00122D43">
        <w:t>results</w:t>
      </w:r>
      <w:r>
        <w:t xml:space="preserve"> varied by industry, with an estimated 21.6</w:t>
      </w:r>
      <w:r w:rsidRPr="00E71AAA">
        <w:t xml:space="preserve"> </w:t>
      </w:r>
      <w:r>
        <w:t>per cent for BCAP participants in the Rental Hiring and Real Estate Services industry, compared to 1.0</w:t>
      </w:r>
      <w:r w:rsidRPr="00E71AAA">
        <w:t xml:space="preserve"> </w:t>
      </w:r>
      <w:r>
        <w:t>per cent for manufacturing businesses.</w:t>
      </w:r>
    </w:p>
    <w:p w14:paraId="57EB89F1" w14:textId="68AF53CE" w:rsidR="00B8282E" w:rsidRDefault="00B8282E" w:rsidP="00021EF3">
      <w:r>
        <w:t xml:space="preserve">It is also important to note that although the grants </w:t>
      </w:r>
      <w:r w:rsidR="00422DA4">
        <w:t>covered a proportion of costs, businesses were not necessarily incurring all their typical costs throughout restriction periods.</w:t>
      </w:r>
    </w:p>
    <w:p w14:paraId="3BD94CE2" w14:textId="7999513E" w:rsidR="00A913B0" w:rsidRDefault="00642988" w:rsidP="00021EF3">
      <w:r>
        <w:lastRenderedPageBreak/>
        <w:t>Additionally</w:t>
      </w:r>
      <w:r w:rsidR="001425D8">
        <w:t>,</w:t>
      </w:r>
      <w:r w:rsidR="001425D8" w:rsidDel="00FA5F5C">
        <w:t xml:space="preserve"> </w:t>
      </w:r>
      <w:r w:rsidR="00A913B0" w:rsidRPr="00893EB3">
        <w:rPr>
          <w:b/>
        </w:rPr>
        <w:t>survey</w:t>
      </w:r>
      <w:r w:rsidR="00FA5F5C" w:rsidRPr="00893EB3">
        <w:rPr>
          <w:b/>
        </w:rPr>
        <w:t xml:space="preserve"> respondents</w:t>
      </w:r>
      <w:r w:rsidR="00FA5F5C">
        <w:t xml:space="preserve"> were asked to indicate whether </w:t>
      </w:r>
      <w:r w:rsidR="003D6A92">
        <w:t>the grants enabled them to cover costs in addition to other uses</w:t>
      </w:r>
      <w:r w:rsidR="00350AF2">
        <w:t>,</w:t>
      </w:r>
      <w:r w:rsidR="003D6A92">
        <w:t xml:space="preserve"> such as </w:t>
      </w:r>
      <w:r w:rsidR="00093B76">
        <w:t>accessing financial or legal advice.</w:t>
      </w:r>
      <w:r w:rsidR="00A913B0">
        <w:t xml:space="preserve"> </w:t>
      </w:r>
      <w:r w:rsidR="00093B76">
        <w:t xml:space="preserve">The majority of business </w:t>
      </w:r>
      <w:r w:rsidR="00A913B0">
        <w:t xml:space="preserve">reported </w:t>
      </w:r>
      <w:r w:rsidR="00093B76">
        <w:t xml:space="preserve">they used the </w:t>
      </w:r>
      <w:r w:rsidR="00A913B0">
        <w:t xml:space="preserve">grants to cover costs, </w:t>
      </w:r>
      <w:r w:rsidR="00720880">
        <w:t xml:space="preserve">which was 68% </w:t>
      </w:r>
      <w:r w:rsidR="000555E8">
        <w:t>of BCAP participants and</w:t>
      </w:r>
      <w:r w:rsidR="00720880" w:rsidDel="000555E8">
        <w:t xml:space="preserve"> </w:t>
      </w:r>
      <w:r w:rsidR="00720880">
        <w:t xml:space="preserve">72% </w:t>
      </w:r>
      <w:r w:rsidR="000555E8">
        <w:t>of LHVF participants</w:t>
      </w:r>
      <w:r w:rsidR="00720880">
        <w:t>.</w:t>
      </w:r>
      <w:r>
        <w:t xml:space="preserve"> Qualitative feedback provided by businesses through the survey and case stud</w:t>
      </w:r>
      <w:r w:rsidR="00D972A6">
        <w:t>ies</w:t>
      </w:r>
      <w:r>
        <w:t xml:space="preserve"> also indicated that many businesses found the grants to be a useful mechanism for covering costs over the period.</w:t>
      </w:r>
      <w:r w:rsidR="000D6E1B">
        <w:t xml:space="preserve"> </w:t>
      </w:r>
      <w:r w:rsidR="00C841DB">
        <w:t xml:space="preserve">For </w:t>
      </w:r>
      <w:r w:rsidR="008B3028">
        <w:t>instance</w:t>
      </w:r>
      <w:r w:rsidR="00C841DB">
        <w:t>,</w:t>
      </w:r>
      <w:r w:rsidR="000D6E1B">
        <w:t xml:space="preserve"> the case study </w:t>
      </w:r>
      <w:r w:rsidR="00EA5406">
        <w:t>of the</w:t>
      </w:r>
      <w:r w:rsidR="00F96CC9">
        <w:t xml:space="preserve"> lo</w:t>
      </w:r>
      <w:r w:rsidR="00F317E9">
        <w:t xml:space="preserve">cal independent theatre </w:t>
      </w:r>
      <w:r w:rsidR="00CB31FB">
        <w:t>company</w:t>
      </w:r>
      <w:r w:rsidR="00F317E9">
        <w:t xml:space="preserve">, who </w:t>
      </w:r>
      <w:r w:rsidR="002F14BB">
        <w:t>performed and ran programs</w:t>
      </w:r>
      <w:r w:rsidR="00F947CD">
        <w:t xml:space="preserve"> out of the </w:t>
      </w:r>
      <w:r w:rsidR="002F14BB">
        <w:t>M</w:t>
      </w:r>
      <w:r w:rsidR="00F947CD">
        <w:t>elbourne</w:t>
      </w:r>
      <w:r w:rsidR="008B01EC">
        <w:t xml:space="preserve"> suburbs</w:t>
      </w:r>
      <w:r w:rsidR="00161959">
        <w:t xml:space="preserve">, </w:t>
      </w:r>
      <w:r w:rsidR="00857214">
        <w:t xml:space="preserve">used </w:t>
      </w:r>
      <w:r w:rsidR="000D6E1B">
        <w:t xml:space="preserve">the </w:t>
      </w:r>
      <w:r w:rsidR="00EA0502">
        <w:t>BCAP grants to</w:t>
      </w:r>
      <w:r w:rsidR="000A4CFF">
        <w:t xml:space="preserve"> </w:t>
      </w:r>
      <w:r w:rsidR="002A6353">
        <w:t>continue operat</w:t>
      </w:r>
      <w:r w:rsidR="000A4CFF">
        <w:t>ions</w:t>
      </w:r>
      <w:r w:rsidR="002A6353">
        <w:t xml:space="preserve"> and </w:t>
      </w:r>
      <w:r w:rsidR="00867410">
        <w:t>hold</w:t>
      </w:r>
      <w:r w:rsidR="000D6E1B">
        <w:t xml:space="preserve"> </w:t>
      </w:r>
      <w:r w:rsidR="002A6353">
        <w:t xml:space="preserve">planned events. </w:t>
      </w:r>
      <w:r w:rsidR="004225F4">
        <w:t xml:space="preserve">Without the grant, the company </w:t>
      </w:r>
      <w:r w:rsidR="003A2B9C">
        <w:t xml:space="preserve">indicated that they would have struggled to remain open (see </w:t>
      </w:r>
      <w:r w:rsidR="005573FB">
        <w:fldChar w:fldCharType="begin"/>
      </w:r>
      <w:r w:rsidR="005573FB">
        <w:instrText xml:space="preserve"> REF _Ref173917464 \r \h </w:instrText>
      </w:r>
      <w:r w:rsidR="00021EF3">
        <w:instrText xml:space="preserve"> \* MERGEFORMAT </w:instrText>
      </w:r>
      <w:r w:rsidR="005573FB">
        <w:fldChar w:fldCharType="separate"/>
      </w:r>
      <w:r w:rsidR="0016271C">
        <w:t>Appendix D</w:t>
      </w:r>
      <w:r w:rsidR="005573FB">
        <w:fldChar w:fldCharType="end"/>
      </w:r>
      <w:r w:rsidR="003335E0">
        <w:t>: Independent theatre company</w:t>
      </w:r>
      <w:r w:rsidR="003A2B9C">
        <w:t>).</w:t>
      </w:r>
    </w:p>
    <w:p w14:paraId="268ADED3" w14:textId="09CEA1A0" w:rsidR="008500F3" w:rsidRDefault="008500F3" w:rsidP="00021EF3">
      <w:r>
        <w:t xml:space="preserve">Employing businesses </w:t>
      </w:r>
      <w:r w:rsidR="003469AD">
        <w:t xml:space="preserve">that </w:t>
      </w:r>
      <w:r>
        <w:t xml:space="preserve">reported a positive impact on FTE employment were also asked to estimate the </w:t>
      </w:r>
      <w:r w:rsidR="00D8523A">
        <w:t>extent</w:t>
      </w:r>
      <w:r>
        <w:t xml:space="preserve"> to </w:t>
      </w:r>
      <w:r w:rsidR="00D8523A">
        <w:t>which</w:t>
      </w:r>
      <w:r>
        <w:t xml:space="preserve"> </w:t>
      </w:r>
      <w:r w:rsidR="00A913B0">
        <w:t>the grants supported them in paying wages</w:t>
      </w:r>
      <w:r>
        <w:t xml:space="preserve"> (</w:t>
      </w:r>
      <w:r w:rsidR="00F142BF">
        <w:fldChar w:fldCharType="begin"/>
      </w:r>
      <w:r w:rsidR="00F142BF">
        <w:instrText xml:space="preserve"> REF _Ref173344192 \r \h </w:instrText>
      </w:r>
      <w:r w:rsidR="00021EF3">
        <w:instrText xml:space="preserve"> \* MERGEFORMAT </w:instrText>
      </w:r>
      <w:r w:rsidR="00F142BF">
        <w:fldChar w:fldCharType="separate"/>
      </w:r>
      <w:r w:rsidR="0016271C">
        <w:t>Chart 2.8</w:t>
      </w:r>
      <w:r w:rsidR="00F142BF">
        <w:fldChar w:fldCharType="end"/>
      </w:r>
      <w:r>
        <w:t>). Approximately 68</w:t>
      </w:r>
      <w:r w:rsidRPr="00E71AAA">
        <w:t xml:space="preserve"> </w:t>
      </w:r>
      <w:r>
        <w:t>per cent of these respondents reported a</w:t>
      </w:r>
      <w:r w:rsidR="00A913B0">
        <w:t xml:space="preserve"> positive</w:t>
      </w:r>
      <w:r>
        <w:t xml:space="preserve"> impact on wages paid of at least 20</w:t>
      </w:r>
      <w:r w:rsidRPr="00E71AAA">
        <w:t xml:space="preserve"> </w:t>
      </w:r>
      <w:r>
        <w:t>per cent for BCAP, compared to 76</w:t>
      </w:r>
      <w:r w:rsidRPr="00E71AAA">
        <w:t xml:space="preserve"> </w:t>
      </w:r>
      <w:r>
        <w:t>per cent for LHVF</w:t>
      </w:r>
      <w:r w:rsidR="00A913B0">
        <w:t>, suggesting the grants supported business</w:t>
      </w:r>
      <w:r w:rsidR="00C75836">
        <w:t>es</w:t>
      </w:r>
      <w:r w:rsidR="00A913B0">
        <w:t xml:space="preserve"> in meeting wage expenses</w:t>
      </w:r>
      <w:r>
        <w:t>.</w:t>
      </w:r>
    </w:p>
    <w:p w14:paraId="3893162D" w14:textId="2601B863" w:rsidR="008500F3" w:rsidRDefault="008500F3" w:rsidP="00021EF3">
      <w:pPr>
        <w:pStyle w:val="CaptionChart"/>
      </w:pPr>
      <w:bookmarkStart w:id="377" w:name="_Ref173344192"/>
      <w:r>
        <w:t>: Self-reported impacts of the grants on wages paid by employing businesses</w:t>
      </w:r>
      <w:bookmarkEnd w:id="377"/>
      <w:r w:rsidR="00350AF2">
        <w:t>.</w:t>
      </w:r>
    </w:p>
    <w:p w14:paraId="7DC687CC" w14:textId="77777777" w:rsidR="008500F3" w:rsidRDefault="008500F3" w:rsidP="00021EF3">
      <w:r w:rsidRPr="00946BA3">
        <w:rPr>
          <w:noProof/>
        </w:rPr>
        <w:drawing>
          <wp:inline distT="0" distB="0" distL="0" distR="0" wp14:anchorId="7CA27DB3" wp14:editId="1BAD7ADF">
            <wp:extent cx="5731510" cy="2548255"/>
            <wp:effectExtent l="0" t="0" r="0" b="0"/>
            <wp:docPr id="28" name="Picture 28" descr="This bar chart displays the self-reported impacts of the grants on wages paid by employing businesses. &#10;Approximately 32% of BCAP receiving survey respondents used the grant to pay up to 20% of staff wages, 22% used it to pay 20 to 39% of wages, 22% used it to cover between 40 and 59% of wages, 14% used it to cover 60 to 79% of wages, 1.5% used it to cover 80 to 99% of all wages and 7% used it to cover 100% of wages. A further 1% reported using it to cover more than 100% of wages. &#10;&#10;Of LHVF receiving survey respondents, 23% used the grant to cover 1 to 19% of wages, 24% used it to cover 20  to 29% of wages, 21% used it to 40 to 59% of wages, 12% used it to cover 60 to 79%, 13.% used it to cover 80 to 99% of wages and 3.5% used it to cover 100% of wages. A further 2% used it to cover more than 100% of all w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bar chart displays the self-reported impacts of the grants on wages paid by employing businesses. &#10;Approximately 32% of BCAP receiving survey respondents used the grant to pay up to 20% of staff wages, 22% used it to pay 20 to 39% of wages, 22% used it to cover between 40 and 59% of wages, 14% used it to cover 60 to 79% of wages, 1.5% used it to cover 80 to 99% of all wages and 7% used it to cover 100% of wages. A further 1% reported using it to cover more than 100% of wages. &#10;&#10;Of LHVF receiving survey respondents, 23% used the grant to cover 1 to 19% of wages, 24% used it to cover 20  to 29% of wages, 21% used it to 40 to 59% of wages, 12% used it to cover 60 to 79%, 13.% used it to cover 80 to 99% of wages and 3.5% used it to cover 100% of wages. A further 2% used it to cover more than 100% of all wage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548255"/>
                    </a:xfrm>
                    <a:prstGeom prst="rect">
                      <a:avLst/>
                    </a:prstGeom>
                    <a:noFill/>
                    <a:ln>
                      <a:noFill/>
                    </a:ln>
                  </pic:spPr>
                </pic:pic>
              </a:graphicData>
            </a:graphic>
          </wp:inline>
        </w:drawing>
      </w:r>
    </w:p>
    <w:p w14:paraId="6955E292" w14:textId="6E1A6963" w:rsidR="008500F3" w:rsidRDefault="008500F3" w:rsidP="00021EF3">
      <w:pPr>
        <w:pStyle w:val="Source"/>
      </w:pPr>
      <w:r>
        <w:t>Source: Business survey.</w:t>
      </w:r>
    </w:p>
    <w:p w14:paraId="5D0F30F7" w14:textId="68B3974E" w:rsidR="002244EB" w:rsidRDefault="002244EB" w:rsidP="00021EF3">
      <w:pPr>
        <w:pStyle w:val="Heading3un-numbered"/>
      </w:pPr>
      <w:bookmarkStart w:id="378" w:name="_Toc173344728"/>
      <w:bookmarkStart w:id="379" w:name="_Toc173344955"/>
      <w:bookmarkStart w:id="380" w:name="_Toc173915910"/>
      <w:bookmarkStart w:id="381" w:name="_Toc174118154"/>
      <w:bookmarkStart w:id="382" w:name="_Toc176516273"/>
      <w:r>
        <w:t>Wellbeing</w:t>
      </w:r>
      <w:bookmarkEnd w:id="378"/>
      <w:bookmarkEnd w:id="379"/>
      <w:bookmarkEnd w:id="380"/>
      <w:bookmarkEnd w:id="381"/>
      <w:bookmarkEnd w:id="382"/>
    </w:p>
    <w:p w14:paraId="5B2B437D" w14:textId="6F8ED5E5" w:rsidR="002848ED" w:rsidRDefault="00915C97" w:rsidP="00021EF3">
      <w:r>
        <w:t xml:space="preserve">The impacts of the grants on </w:t>
      </w:r>
      <w:r w:rsidRPr="00BD18C9">
        <w:rPr>
          <w:b/>
          <w:bCs/>
        </w:rPr>
        <w:t>wellbeing</w:t>
      </w:r>
      <w:r>
        <w:t xml:space="preserve"> </w:t>
      </w:r>
      <w:r w:rsidR="000636D3">
        <w:t xml:space="preserve">were assessed through analysis of primary data, including the business survey, with </w:t>
      </w:r>
      <w:r w:rsidR="0044419B">
        <w:t xml:space="preserve">the grants being intended </w:t>
      </w:r>
      <w:r w:rsidR="008E2832">
        <w:t>to provide a sense of security and stress relief to business owners during the pandemic.</w:t>
      </w:r>
    </w:p>
    <w:p w14:paraId="07EBD0B6" w14:textId="571B3264" w:rsidR="00955376" w:rsidRDefault="006527F1" w:rsidP="00021EF3">
      <w:r>
        <w:t xml:space="preserve">Similar to the other key outcomes already discussed, the survey indicated </w:t>
      </w:r>
      <w:r w:rsidR="00E72EEA">
        <w:t xml:space="preserve">the grants had </w:t>
      </w:r>
      <w:r>
        <w:t>a strong positive impact on business owner wellbeing</w:t>
      </w:r>
      <w:r w:rsidR="00FF499F">
        <w:t>, measured in terms of</w:t>
      </w:r>
      <w:r w:rsidR="00312B48">
        <w:t xml:space="preserve"> impacts on </w:t>
      </w:r>
      <w:r w:rsidR="007825C3">
        <w:t>reduced stress</w:t>
      </w:r>
      <w:r w:rsidR="00356E6E">
        <w:t xml:space="preserve"> and feelings of relief and security. </w:t>
      </w:r>
      <w:r w:rsidR="00C36F38">
        <w:t>The survey also considered the extent to which the grants supported the wellbeing of others in the business (in addition to the business owner/respondent).</w:t>
      </w:r>
      <w:r w:rsidR="007825C3">
        <w:t xml:space="preserve"> </w:t>
      </w:r>
      <w:r w:rsidR="00F142BF" w:rsidRPr="00F142BF">
        <w:fldChar w:fldCharType="begin"/>
      </w:r>
      <w:r w:rsidR="00F142BF" w:rsidRPr="00F142BF">
        <w:instrText xml:space="preserve"> REF _Ref172731479 \r \h </w:instrText>
      </w:r>
      <w:r w:rsidR="00F142BF">
        <w:instrText xml:space="preserve"> \* MERGEFORMAT </w:instrText>
      </w:r>
      <w:r w:rsidR="00F142BF" w:rsidRPr="00F142BF">
        <w:fldChar w:fldCharType="separate"/>
      </w:r>
      <w:r w:rsidR="0016271C">
        <w:t>Chart 2.9</w:t>
      </w:r>
      <w:r w:rsidR="00F142BF" w:rsidRPr="00F142BF">
        <w:fldChar w:fldCharType="end"/>
      </w:r>
      <w:r w:rsidR="002D2602">
        <w:t xml:space="preserve"> and </w:t>
      </w:r>
      <w:r w:rsidR="00F142BF" w:rsidRPr="00F142BF">
        <w:fldChar w:fldCharType="begin"/>
      </w:r>
      <w:r w:rsidR="00F142BF" w:rsidRPr="00F142BF">
        <w:instrText xml:space="preserve"> REF _Ref172731486 \r \h </w:instrText>
      </w:r>
      <w:r w:rsidR="00F142BF">
        <w:instrText xml:space="preserve"> \* MERGEFORMAT </w:instrText>
      </w:r>
      <w:r w:rsidR="00F142BF" w:rsidRPr="00F142BF">
        <w:fldChar w:fldCharType="separate"/>
      </w:r>
      <w:r w:rsidR="0016271C">
        <w:t>Chart 2.10</w:t>
      </w:r>
      <w:r w:rsidR="00F142BF" w:rsidRPr="00F142BF">
        <w:fldChar w:fldCharType="end"/>
      </w:r>
      <w:r w:rsidR="002D2602">
        <w:t xml:space="preserve"> </w:t>
      </w:r>
      <w:r w:rsidR="009436A7">
        <w:t>indicate these results for BCAP respondents and LHVF respondents</w:t>
      </w:r>
      <w:r w:rsidR="00FF2C3E">
        <w:t>,</w:t>
      </w:r>
      <w:r w:rsidR="009436A7">
        <w:t xml:space="preserve"> respectively, </w:t>
      </w:r>
      <w:r w:rsidR="008D47C2" w:rsidRPr="008D47C2">
        <w:t>with 80</w:t>
      </w:r>
      <w:r w:rsidR="00E71AAA" w:rsidRPr="00E71AAA">
        <w:t xml:space="preserve"> </w:t>
      </w:r>
      <w:r w:rsidR="00E71AAA">
        <w:t xml:space="preserve">per cent </w:t>
      </w:r>
      <w:r w:rsidR="008D47C2" w:rsidRPr="008D47C2">
        <w:t>of BCAP respondents and 71</w:t>
      </w:r>
      <w:r w:rsidR="00E71AAA" w:rsidRPr="00E71AAA">
        <w:t xml:space="preserve"> </w:t>
      </w:r>
      <w:r w:rsidR="00E71AAA">
        <w:t>per cent</w:t>
      </w:r>
      <w:r w:rsidR="008D47C2" w:rsidRPr="008D47C2">
        <w:t xml:space="preserve"> of LHVF respondents agreeing it helped to reduce stress</w:t>
      </w:r>
      <w:r w:rsidR="00E53FC1">
        <w:t xml:space="preserve">. Further, </w:t>
      </w:r>
      <w:r w:rsidR="008D47C2" w:rsidRPr="008D47C2">
        <w:t>72</w:t>
      </w:r>
      <w:r w:rsidR="00E71AAA" w:rsidRPr="00E71AAA">
        <w:t xml:space="preserve"> </w:t>
      </w:r>
      <w:r w:rsidR="00E71AAA">
        <w:t xml:space="preserve">per cent </w:t>
      </w:r>
      <w:r w:rsidR="008D47C2" w:rsidRPr="008D47C2">
        <w:t>of BCAP respondents and 69</w:t>
      </w:r>
      <w:r w:rsidR="00E71AAA" w:rsidRPr="00E71AAA">
        <w:t xml:space="preserve"> </w:t>
      </w:r>
      <w:r w:rsidR="00E71AAA">
        <w:t xml:space="preserve">per cent </w:t>
      </w:r>
      <w:r w:rsidR="008D47C2" w:rsidRPr="008D47C2">
        <w:t xml:space="preserve">of LHVF respondents indicated </w:t>
      </w:r>
      <w:r w:rsidR="00E53FC1">
        <w:t xml:space="preserve">the grants </w:t>
      </w:r>
      <w:r w:rsidR="008D47C2" w:rsidRPr="008D47C2">
        <w:t>supported the wellbeing of others in the business.</w:t>
      </w:r>
      <w:r w:rsidR="00820A8A">
        <w:t xml:space="preserve"> </w:t>
      </w:r>
      <w:r w:rsidR="00F24040">
        <w:t>By all the included measures, the majority of respondents agreed</w:t>
      </w:r>
      <w:r w:rsidR="00BD18C9">
        <w:t xml:space="preserve"> the grants had a positive impact on wellbeing. </w:t>
      </w:r>
      <w:r w:rsidR="00887F4C">
        <w:t xml:space="preserve">The </w:t>
      </w:r>
      <w:r w:rsidR="007C5F6D">
        <w:t>positive impact of the grants on wellbeing was echoed in the case studies</w:t>
      </w:r>
      <w:r w:rsidR="00547588">
        <w:t xml:space="preserve">. A licensed casual eatery based in the Melbourne </w:t>
      </w:r>
      <w:r w:rsidR="00207FE0">
        <w:t>central business district (</w:t>
      </w:r>
      <w:r w:rsidR="00547588">
        <w:t>CBD</w:t>
      </w:r>
      <w:r w:rsidR="00207FE0">
        <w:t>)</w:t>
      </w:r>
      <w:r w:rsidR="00D476A4">
        <w:t xml:space="preserve"> was under significant stress</w:t>
      </w:r>
      <w:r w:rsidR="00A47C88">
        <w:t xml:space="preserve"> trying to cover their </w:t>
      </w:r>
      <w:r w:rsidR="00495393">
        <w:t>costs during the COVID-19 pandemic</w:t>
      </w:r>
      <w:r w:rsidR="00234709">
        <w:t>;</w:t>
      </w:r>
      <w:r w:rsidR="00495393">
        <w:t xml:space="preserve"> </w:t>
      </w:r>
      <w:r w:rsidR="008A65B6">
        <w:t>however</w:t>
      </w:r>
      <w:r w:rsidR="00234709">
        <w:t>,</w:t>
      </w:r>
      <w:r w:rsidR="008A65B6">
        <w:t xml:space="preserve"> after receiving the LHVF grants</w:t>
      </w:r>
      <w:r w:rsidR="001F73A3">
        <w:t>,</w:t>
      </w:r>
      <w:r w:rsidR="005B11CC">
        <w:t xml:space="preserve"> reported an alleviation of that stress</w:t>
      </w:r>
      <w:r w:rsidR="00130A16">
        <w:t xml:space="preserve"> </w:t>
      </w:r>
      <w:r w:rsidR="00CA289F">
        <w:t xml:space="preserve">(see </w:t>
      </w:r>
      <w:r w:rsidR="001F73A3">
        <w:fldChar w:fldCharType="begin"/>
      </w:r>
      <w:r w:rsidR="001F73A3">
        <w:instrText xml:space="preserve"> REF _Ref174112975 \r \h </w:instrText>
      </w:r>
      <w:r w:rsidR="00021EF3">
        <w:instrText xml:space="preserve"> \* MERGEFORMAT </w:instrText>
      </w:r>
      <w:r w:rsidR="001F73A3">
        <w:fldChar w:fldCharType="separate"/>
      </w:r>
      <w:r w:rsidR="0016271C">
        <w:t>Appendix D</w:t>
      </w:r>
      <w:r w:rsidR="001F73A3">
        <w:fldChar w:fldCharType="end"/>
      </w:r>
      <w:r w:rsidR="00CA289F">
        <w:t>: Fast, casual eatery case study).</w:t>
      </w:r>
    </w:p>
    <w:p w14:paraId="6D9FD061" w14:textId="49691A2B" w:rsidR="002D2602" w:rsidRDefault="00820A8A" w:rsidP="00021EF3">
      <w:r>
        <w:t xml:space="preserve">Considering </w:t>
      </w:r>
      <w:r w:rsidR="00F142BF">
        <w:fldChar w:fldCharType="begin"/>
      </w:r>
      <w:r w:rsidR="00F142BF">
        <w:instrText xml:space="preserve"> REF _Ref172731479 \r \h </w:instrText>
      </w:r>
      <w:r w:rsidR="00021EF3">
        <w:instrText xml:space="preserve"> \* MERGEFORMAT </w:instrText>
      </w:r>
      <w:r w:rsidR="00F142BF">
        <w:fldChar w:fldCharType="separate"/>
      </w:r>
      <w:r w:rsidR="0016271C">
        <w:t>Chart 2.9</w:t>
      </w:r>
      <w:r w:rsidR="00F142BF">
        <w:fldChar w:fldCharType="end"/>
      </w:r>
      <w:r>
        <w:t xml:space="preserve">, BCAP appeared particularly effective in providing business owners with </w:t>
      </w:r>
      <w:r w:rsidR="00EF5953">
        <w:t xml:space="preserve">a sense of relief, reducing stress and feelings of support. These outcomes appeared less pronounced </w:t>
      </w:r>
      <w:r w:rsidR="003C41E7">
        <w:t xml:space="preserve">for LHVF, </w:t>
      </w:r>
      <w:r w:rsidR="00F24040">
        <w:t>particularly in terms of helping respondents to fill more secure (with 70</w:t>
      </w:r>
      <w:r w:rsidR="00E71AAA" w:rsidRPr="00E71AAA">
        <w:t xml:space="preserve"> </w:t>
      </w:r>
      <w:r w:rsidR="00E71AAA">
        <w:t xml:space="preserve">per cent </w:t>
      </w:r>
      <w:r w:rsidR="00BD18C9">
        <w:t xml:space="preserve">agreeing for LHVF relative to </w:t>
      </w:r>
      <w:r w:rsidR="00F471FE">
        <w:t>80</w:t>
      </w:r>
      <w:r w:rsidR="00E71AAA" w:rsidRPr="00E71AAA">
        <w:t xml:space="preserve"> </w:t>
      </w:r>
      <w:r w:rsidR="00E71AAA">
        <w:t xml:space="preserve">per cent </w:t>
      </w:r>
      <w:r w:rsidR="00F471FE">
        <w:t>for BCAP</w:t>
      </w:r>
      <w:r w:rsidR="00F24040">
        <w:t>).</w:t>
      </w:r>
      <w:r w:rsidR="00B007AC">
        <w:t xml:space="preserve"> This is possibly related to the targeted cohorts </w:t>
      </w:r>
      <w:r w:rsidR="004D2995">
        <w:t>for LHVF generally being more adversely impacted by pandemic restrictions (e.g., the hospitality sector).</w:t>
      </w:r>
    </w:p>
    <w:p w14:paraId="576CFB59" w14:textId="420AB2CE" w:rsidR="00C84942" w:rsidRDefault="002D6EF1" w:rsidP="00021EF3">
      <w:r>
        <w:t xml:space="preserve">A number of survey respondents also provided </w:t>
      </w:r>
      <w:r w:rsidR="00C729FA">
        <w:t>written responses to the business survey,</w:t>
      </w:r>
      <w:r>
        <w:t xml:space="preserve"> </w:t>
      </w:r>
      <w:r w:rsidR="002E4172">
        <w:t>expressing that the grants provided a sense of relief, reduced stress and supported their wellbeing during the pandemic.</w:t>
      </w:r>
    </w:p>
    <w:p w14:paraId="2B27E1DA" w14:textId="525DC095" w:rsidR="00F666FE" w:rsidRDefault="003A1168" w:rsidP="00021EF3">
      <w:r>
        <w:t xml:space="preserve">Recognising that the grants </w:t>
      </w:r>
      <w:r w:rsidR="00E86871">
        <w:t>were likely to have flow</w:t>
      </w:r>
      <w:r w:rsidR="00234709">
        <w:t>-</w:t>
      </w:r>
      <w:r w:rsidR="00E86871">
        <w:t xml:space="preserve">on impacts to the community beyond the immediate grant recipients, </w:t>
      </w:r>
      <w:r w:rsidR="0086206A">
        <w:t>t</w:t>
      </w:r>
      <w:r w:rsidR="004D2995">
        <w:t>he analysis also considered broader community impacts that could be tied to the grants</w:t>
      </w:r>
      <w:r w:rsidR="00957B6A">
        <w:t>,</w:t>
      </w:r>
      <w:r w:rsidR="004D2995">
        <w:t xml:space="preserve"> including </w:t>
      </w:r>
      <w:r w:rsidR="00787920">
        <w:t xml:space="preserve">supporting </w:t>
      </w:r>
      <w:r w:rsidR="00E86871">
        <w:t xml:space="preserve">the </w:t>
      </w:r>
      <w:r w:rsidR="00787920">
        <w:t>wellbeing of the community more broadly</w:t>
      </w:r>
      <w:r w:rsidR="00F666FE">
        <w:t>:</w:t>
      </w:r>
      <w:r w:rsidR="00287C1C">
        <w:t xml:space="preserve"> </w:t>
      </w:r>
    </w:p>
    <w:p w14:paraId="7B0FC1E3" w14:textId="4D137173" w:rsidR="004D2995" w:rsidRDefault="001105FB" w:rsidP="00021EF3">
      <w:pPr>
        <w:pStyle w:val="ListBullet"/>
      </w:pPr>
      <w:r>
        <w:lastRenderedPageBreak/>
        <w:t>a</w:t>
      </w:r>
      <w:r w:rsidR="00F5784E">
        <w:t>round 77</w:t>
      </w:r>
      <w:r w:rsidR="00E71AAA" w:rsidRPr="00E71AAA">
        <w:t xml:space="preserve"> </w:t>
      </w:r>
      <w:r w:rsidR="00E71AAA">
        <w:t xml:space="preserve">per cent </w:t>
      </w:r>
      <w:r w:rsidR="00F5784E">
        <w:t xml:space="preserve">of BCAP respondents agreed that </w:t>
      </w:r>
      <w:r w:rsidR="006A793E">
        <w:t xml:space="preserve">the grants supported the wellbeing of the community more </w:t>
      </w:r>
      <w:r w:rsidR="006A793E" w:rsidRPr="00F666FE">
        <w:t>broadly</w:t>
      </w:r>
      <w:r w:rsidR="00234709">
        <w:t>.</w:t>
      </w:r>
    </w:p>
    <w:p w14:paraId="7D13D01D" w14:textId="032B8F6A" w:rsidR="005461AC" w:rsidRDefault="001105FB" w:rsidP="00021EF3">
      <w:pPr>
        <w:pStyle w:val="ListBullet"/>
      </w:pPr>
      <w:r>
        <w:t>t</w:t>
      </w:r>
      <w:r w:rsidR="004D2F0E">
        <w:t>his was less evident i</w:t>
      </w:r>
      <w:r>
        <w:t>n terms of LHVF respondents of which 60</w:t>
      </w:r>
      <w:r w:rsidR="00E71AAA" w:rsidRPr="00E71AAA">
        <w:t xml:space="preserve"> </w:t>
      </w:r>
      <w:r w:rsidR="00E71AAA">
        <w:t>per cent</w:t>
      </w:r>
      <w:r>
        <w:t xml:space="preserve"> agreed</w:t>
      </w:r>
      <w:r w:rsidR="00347360">
        <w:t>.</w:t>
      </w:r>
    </w:p>
    <w:p w14:paraId="0CD0F032" w14:textId="2682E8A5" w:rsidR="003A1168" w:rsidRDefault="00A53016" w:rsidP="00A53016">
      <w:pPr>
        <w:pStyle w:val="ListBullet"/>
        <w:numPr>
          <w:ilvl w:val="0"/>
          <w:numId w:val="0"/>
        </w:numPr>
        <w:jc w:val="both"/>
      </w:pPr>
      <w:r w:rsidRPr="00347360">
        <w:t xml:space="preserve">“As a not-for-profit community organisation, the government support provided at this uncertain time was invaluable to our business, to our staffing community, our volunteers and our wider community. It </w:t>
      </w:r>
      <w:r>
        <w:t>gave</w:t>
      </w:r>
      <w:r w:rsidRPr="00347360">
        <w:t xml:space="preserve"> us the support needed to </w:t>
      </w:r>
      <w:r w:rsidRPr="003A1EAA">
        <w:t>continue</w:t>
      </w:r>
      <w:r w:rsidRPr="00347360">
        <w:t xml:space="preserve"> to provide community programs and operate our social enterprises. Thank you.”</w:t>
      </w:r>
      <w:r>
        <w:t xml:space="preserve"> </w:t>
      </w:r>
      <w:r w:rsidRPr="003A1EAA">
        <w:t>– LHVF participant</w:t>
      </w:r>
    </w:p>
    <w:p w14:paraId="5AA8D10C" w14:textId="11F0A585" w:rsidR="002D2602" w:rsidRDefault="002D2602" w:rsidP="00021EF3">
      <w:pPr>
        <w:pStyle w:val="CaptionChart"/>
      </w:pPr>
      <w:bookmarkStart w:id="383" w:name="_Ref172731479"/>
      <w:r>
        <w:t>: Self-reported impacts of the grants on wellbeing, BCAP</w:t>
      </w:r>
      <w:bookmarkEnd w:id="383"/>
      <w:r w:rsidR="007A1D95">
        <w:t>.</w:t>
      </w:r>
    </w:p>
    <w:p w14:paraId="0134CC08" w14:textId="7E7416F0" w:rsidR="00C36F38" w:rsidRDefault="00F676D3" w:rsidP="00021EF3">
      <w:r w:rsidRPr="00F676D3">
        <w:rPr>
          <w:noProof/>
        </w:rPr>
        <w:drawing>
          <wp:inline distT="0" distB="0" distL="0" distR="0" wp14:anchorId="71AD87FC" wp14:editId="605DE572">
            <wp:extent cx="5389880" cy="2365375"/>
            <wp:effectExtent l="0" t="0" r="1270" b="0"/>
            <wp:docPr id="33" name="Picture 33" descr="Stacked bar chart showing the self-reported impacts of BCAP grants on recipient wellbeing, across six statements. For each statement, respondents indicated their level of agreement: strongly agree, agree, neither agree nor disagree, disagree, or strongly disagree.&#10;&#10;Statement 1: 74 per cent agreed that BCAP supported their ability to comply with restrictions (49 per cent strongly, 25 per cent somewhat).&#10;&#10;Statement 2: 72 per cent agreed that BCAP supported the wellbeing or reduced stress for others in the business (46 per cent strongly, 26 per cent somewhat).&#10;&#10;Statement 3: 80 per cent agreed that BCAP helped reduce their stress (53 per cent strongly, 27 per cent somewhat).&#10;&#10;Statement 4: 83 per cent agreed that BCAP provided a sense of relief (58 per cent strongly, 25 per cent somewhat).&#10;&#10;Statement 5: 80 per cent agreed that BCAP made them feel more secure (54 per cent strongly, 26 per cent somewhat).&#10;&#10;Statement 6: 83 per cent agreed that BCAP made them feel supported (56 per cent strongly, 27 per cent somewhat).&#10;&#10;Across all statements, smaller proportions neither agreed nor disagreed (8–16 per cent), disagreed (3–8 per cent), or strongly disagreed (3–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acked bar chart showing the self-reported impacts of BCAP grants on recipient wellbeing, across six statements. For each statement, respondents indicated their level of agreement: strongly agree, agree, neither agree nor disagree, disagree, or strongly disagree.&#10;&#10;Statement 1: 74 per cent agreed that BCAP supported their ability to comply with restrictions (49 per cent strongly, 25 per cent somewhat).&#10;&#10;Statement 2: 72 per cent agreed that BCAP supported the wellbeing or reduced stress for others in the business (46 per cent strongly, 26 per cent somewhat).&#10;&#10;Statement 3: 80 per cent agreed that BCAP helped reduce their stress (53 per cent strongly, 27 per cent somewhat).&#10;&#10;Statement 4: 83 per cent agreed that BCAP provided a sense of relief (58 per cent strongly, 25 per cent somewhat).&#10;&#10;Statement 5: 80 per cent agreed that BCAP made them feel more secure (54 per cent strongly, 26 per cent somewhat).&#10;&#10;Statement 6: 83 per cent agreed that BCAP made them feel supported (56 per cent strongly, 27 per cent somewhat).&#10;&#10;Across all statements, smaller proportions neither agreed nor disagreed (8–16 per cent), disagreed (3–8 per cent), or strongly disagreed (3–8 per c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9880" cy="2365375"/>
                    </a:xfrm>
                    <a:prstGeom prst="rect">
                      <a:avLst/>
                    </a:prstGeom>
                    <a:noFill/>
                    <a:ln>
                      <a:noFill/>
                    </a:ln>
                  </pic:spPr>
                </pic:pic>
              </a:graphicData>
            </a:graphic>
          </wp:inline>
        </w:drawing>
      </w:r>
    </w:p>
    <w:p w14:paraId="7A603A79" w14:textId="6F32E20A" w:rsidR="002D2602" w:rsidRDefault="002D2602" w:rsidP="00021EF3">
      <w:pPr>
        <w:pStyle w:val="Source"/>
      </w:pPr>
      <w:r>
        <w:t>Source: Business survey</w:t>
      </w:r>
      <w:r w:rsidR="00D47467">
        <w:t>.</w:t>
      </w:r>
    </w:p>
    <w:p w14:paraId="1A26EA68" w14:textId="47427B2C" w:rsidR="002D2602" w:rsidRDefault="002D2602" w:rsidP="00021EF3">
      <w:pPr>
        <w:pStyle w:val="CaptionChart"/>
      </w:pPr>
      <w:bookmarkStart w:id="384" w:name="_Ref172731486"/>
      <w:r>
        <w:t>: Self-reported impacts of the grants on wellbeing, LHVF</w:t>
      </w:r>
      <w:bookmarkEnd w:id="384"/>
      <w:r w:rsidR="007A1D95">
        <w:t>.</w:t>
      </w:r>
    </w:p>
    <w:p w14:paraId="358694D3" w14:textId="23E255FA" w:rsidR="00690512" w:rsidRPr="00690512" w:rsidRDefault="00211967" w:rsidP="00021EF3">
      <w:r w:rsidRPr="00211967">
        <w:rPr>
          <w:noProof/>
        </w:rPr>
        <w:drawing>
          <wp:inline distT="0" distB="0" distL="0" distR="0" wp14:anchorId="0D67F16A" wp14:editId="63AF2BAD">
            <wp:extent cx="5396230" cy="2338705"/>
            <wp:effectExtent l="0" t="0" r="0" b="4445"/>
            <wp:docPr id="1489793627" name="Picture 1489793627" descr="Stacked bar chart showing the self-reported impacts of LHVF grants on recipient wellbeing across six statements. For each statement, respondents indicated their level of agreement: strongly agree, agree, neither agree nor disagree, disagree, or strongly disagree.&#10;&#10;Statement 1: 70 per cent agreed that LHVF supported their ability to comply with restrictions (40 per cent strongly, 30 per cent somewhat).&#10;&#10;Statement 2: 69 per cent agreed that LHVF supported the wellbeing or reduced stress for others in the business (39 per cent strongly, 30 per cent somewhat).&#10;&#10;Statement 3: 71 per cent agreed that LHVF helped reduce their stress (41 per cent strongly, 30 per cent somewhat).&#10;&#10;Statement 4: 78 per cent agreed that LHVF provided a sense of relief (44 per cent strongly, 34 per cent somewhat).&#10;&#10;Statement 5: 70 per cent agreed that LHVF made them feel more secure (39 per cent strongly, 31 per cent somewhat).&#10;&#10;Statement 6: 80 per cent agreed that LHVF made them feel supported (46 per cent strongly, 34 per cent somewhat).&#10;&#10;Across all statements, smaller proportions neither agreed nor disagreed (11–17 per cent), disagreed (4–9 per cent), or strongly disagreed (4–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7" name="Picture 1489793627" descr="Stacked bar chart showing the self-reported impacts of LHVF grants on recipient wellbeing across six statements. For each statement, respondents indicated their level of agreement: strongly agree, agree, neither agree nor disagree, disagree, or strongly disagree.&#10;&#10;Statement 1: 70 per cent agreed that LHVF supported their ability to comply with restrictions (40 per cent strongly, 30 per cent somewhat).&#10;&#10;Statement 2: 69 per cent agreed that LHVF supported the wellbeing or reduced stress for others in the business (39 per cent strongly, 30 per cent somewhat).&#10;&#10;Statement 3: 71 per cent agreed that LHVF helped reduce their stress (41 per cent strongly, 30 per cent somewhat).&#10;&#10;Statement 4: 78 per cent agreed that LHVF provided a sense of relief (44 per cent strongly, 34 per cent somewhat).&#10;&#10;Statement 5: 70 per cent agreed that LHVF made them feel more secure (39 per cent strongly, 31 per cent somewhat).&#10;&#10;Statement 6: 80 per cent agreed that LHVF made them feel supported (46 per cent strongly, 34 per cent somewhat).&#10;&#10;Across all statements, smaller proportions neither agreed nor disagreed (11–17 per cent), disagreed (4–9 per cent), or strongly disagreed (4–8 per c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6230" cy="2338705"/>
                    </a:xfrm>
                    <a:prstGeom prst="rect">
                      <a:avLst/>
                    </a:prstGeom>
                    <a:noFill/>
                    <a:ln>
                      <a:noFill/>
                    </a:ln>
                  </pic:spPr>
                </pic:pic>
              </a:graphicData>
            </a:graphic>
          </wp:inline>
        </w:drawing>
      </w:r>
    </w:p>
    <w:p w14:paraId="4F376016" w14:textId="17C9B2C9" w:rsidR="002D2602" w:rsidRDefault="002D2602" w:rsidP="00021EF3">
      <w:pPr>
        <w:pStyle w:val="CaptionChart"/>
        <w:numPr>
          <w:ilvl w:val="0"/>
          <w:numId w:val="0"/>
        </w:numPr>
      </w:pPr>
    </w:p>
    <w:p w14:paraId="7E305EF0" w14:textId="48A97F1D" w:rsidR="002D2602" w:rsidRDefault="002D2602" w:rsidP="00021EF3">
      <w:pPr>
        <w:pStyle w:val="Source"/>
      </w:pPr>
      <w:r>
        <w:t>Source: Business survey</w:t>
      </w:r>
      <w:r w:rsidR="00D47467">
        <w:t>.</w:t>
      </w:r>
    </w:p>
    <w:p w14:paraId="4B03A0E5" w14:textId="7B49C5D3" w:rsidR="001105FB" w:rsidRPr="001105FB" w:rsidRDefault="001F4B4B" w:rsidP="00021EF3">
      <w:r>
        <w:t xml:space="preserve">Detailed survey analysis including sample sizes, limitations and all relevant charts and tables are included in </w:t>
      </w:r>
      <w:r w:rsidR="00942D5F" w:rsidRPr="00F142BF">
        <w:fldChar w:fldCharType="begin"/>
      </w:r>
      <w:r w:rsidR="00942D5F" w:rsidRPr="00F142BF">
        <w:instrText xml:space="preserve"> REF _Ref173255391 \r \h  \* MERGEFORMAT </w:instrText>
      </w:r>
      <w:r w:rsidR="00942D5F" w:rsidRPr="00F142BF">
        <w:fldChar w:fldCharType="separate"/>
      </w:r>
      <w:r w:rsidR="0016271C">
        <w:t>Appendix E</w:t>
      </w:r>
      <w:r w:rsidR="00942D5F" w:rsidRPr="00F142BF">
        <w:fldChar w:fldCharType="end"/>
      </w:r>
      <w:r w:rsidRPr="00F142BF">
        <w:t>.</w:t>
      </w:r>
    </w:p>
    <w:p w14:paraId="63E95934" w14:textId="29B7DD5F" w:rsidR="00026CE3" w:rsidRDefault="00A53016" w:rsidP="00A53016">
      <w:r>
        <w:t>“</w:t>
      </w:r>
      <w:r w:rsidRPr="003A478F">
        <w:t>When the first locked down occurred, I had to borrow $4500 from my parents to pay for the first month's wages to staff. It was extremely stressful</w:t>
      </w:r>
      <w:r>
        <w:t>,</w:t>
      </w:r>
      <w:r w:rsidRPr="003A478F">
        <w:t xml:space="preserve"> and I still suffer from anxiety which I never had before. It was the worst thing I have ever experienced. Not knowing whether your business was going to survive. Without the grants I would have had to close. The application was time consuming and a little stressful</w:t>
      </w:r>
      <w:r>
        <w:t>,</w:t>
      </w:r>
      <w:r w:rsidRPr="003A478F">
        <w:t xml:space="preserve"> but I made it in the end. It's definitely impacted my business.</w:t>
      </w:r>
      <w:r>
        <w:t>” – BCAP participant</w:t>
      </w:r>
    </w:p>
    <w:p w14:paraId="04FE32DE" w14:textId="4F2B294A" w:rsidR="000C4AA5" w:rsidRDefault="00552D6C" w:rsidP="00021EF3">
      <w:r w:rsidRPr="009F62CA">
        <w:t>Data from</w:t>
      </w:r>
      <w:r>
        <w:t xml:space="preserve"> </w:t>
      </w:r>
      <w:r w:rsidR="00FC39CB">
        <w:t>t</w:t>
      </w:r>
      <w:r>
        <w:t xml:space="preserve">he </w:t>
      </w:r>
      <w:r w:rsidR="00926936">
        <w:t>HILDA</w:t>
      </w:r>
      <w:r w:rsidRPr="00800692">
        <w:t xml:space="preserve"> Survey</w:t>
      </w:r>
      <w:r>
        <w:t xml:space="preserve"> was also analysed to investigate the impact of grants programs on the wellbeing of business owners and sole traders, who were the direct beneficiaries of the </w:t>
      </w:r>
      <w:r w:rsidR="00942D5F">
        <w:t>COVID</w:t>
      </w:r>
      <w:r w:rsidR="00D36281">
        <w:t>-19 Business Supports</w:t>
      </w:r>
      <w:r w:rsidR="00A33032">
        <w:t xml:space="preserve"> G</w:t>
      </w:r>
      <w:r>
        <w:t xml:space="preserve">rants program. </w:t>
      </w:r>
      <w:r w:rsidR="000C4AA5">
        <w:t xml:space="preserve">Analysis of other variables showed a clear deterioration in self-reported mental health and life satisfaction amongst Victorian business owners and sole traders, with this decline in outcomes being more acute </w:t>
      </w:r>
      <w:r w:rsidR="000C4AA5">
        <w:lastRenderedPageBreak/>
        <w:t xml:space="preserve">in Victoria </w:t>
      </w:r>
      <w:r w:rsidR="000C4AA5" w:rsidRPr="009F62CA">
        <w:rPr>
          <w:rStyle w:val="normaltextrun"/>
        </w:rPr>
        <w:t>than</w:t>
      </w:r>
      <w:r w:rsidR="000C4AA5">
        <w:t xml:space="preserve"> other states. This is likely reflective of the unequal burden of COVID-19 and public health restrictions on Victorians relative to the rest of the country. </w:t>
      </w:r>
      <w:r w:rsidR="000C4AA5" w:rsidRPr="009F62CA">
        <w:t xml:space="preserve">The </w:t>
      </w:r>
      <w:r w:rsidR="000C4AA5">
        <w:t xml:space="preserve">complex impact of COVID-19 and public health restrictions and data limitations make it challenging to draw any conclusions on the impact of the grants on the welfare of grant recipients, based on the available secondary data. </w:t>
      </w:r>
    </w:p>
    <w:p w14:paraId="7216C834" w14:textId="6F2F4F32" w:rsidR="00552D6C" w:rsidRDefault="00552D6C" w:rsidP="00021EF3">
      <w:r>
        <w:t>Overall, Victorian business owners and sole traders reported lower levels of work-related stress than their peers in other states</w:t>
      </w:r>
      <w:r w:rsidR="006E3A16">
        <w:t xml:space="preserve">. As grant recipients cannot be identified in this data, causal </w:t>
      </w:r>
      <w:r w:rsidR="00CD0B70">
        <w:t>inferences</w:t>
      </w:r>
      <w:r w:rsidR="00CF1BE3">
        <w:t xml:space="preserve"> cannot be drawn between grants and th</w:t>
      </w:r>
      <w:r w:rsidR="00CD0B70">
        <w:t>is data</w:t>
      </w:r>
      <w:r>
        <w:t>.</w:t>
      </w:r>
    </w:p>
    <w:p w14:paraId="1B0295D5" w14:textId="77777777" w:rsidR="000B7CE5" w:rsidRPr="001105FB" w:rsidRDefault="000B7CE5" w:rsidP="00021EF3">
      <w:pPr>
        <w:pStyle w:val="Heading3un-numbered"/>
      </w:pPr>
      <w:bookmarkStart w:id="385" w:name="_Toc173915911"/>
      <w:bookmarkStart w:id="386" w:name="_Toc174118155"/>
      <w:bookmarkStart w:id="387" w:name="_Toc176516274"/>
      <w:r>
        <w:t>Broader economic impacts</w:t>
      </w:r>
      <w:bookmarkEnd w:id="385"/>
      <w:bookmarkEnd w:id="386"/>
      <w:bookmarkEnd w:id="387"/>
    </w:p>
    <w:p w14:paraId="105233BF" w14:textId="53B1F61E" w:rsidR="000B7CE5" w:rsidRPr="001105FB" w:rsidRDefault="000B7CE5" w:rsidP="00021EF3">
      <w:r>
        <w:t>Given the scale and nature of the COVID-19 Business Support Grants, it is reasonable to expect the programs would have broader economic impacts, beyond individual businesses and industries. However, a</w:t>
      </w:r>
      <w:r w:rsidRPr="009A45BC">
        <w:t xml:space="preserve"> significant challenge in estimating the </w:t>
      </w:r>
      <w:r>
        <w:t>broader</w:t>
      </w:r>
      <w:r w:rsidRPr="009A45BC">
        <w:t xml:space="preserve"> economic impact</w:t>
      </w:r>
      <w:r>
        <w:t>s</w:t>
      </w:r>
      <w:r w:rsidRPr="009A45BC">
        <w:t xml:space="preserve"> of support during the C</w:t>
      </w:r>
      <w:r>
        <w:t>OVID</w:t>
      </w:r>
      <w:r w:rsidRPr="009A45BC">
        <w:t xml:space="preserve">-19 pandemic is the lack of </w:t>
      </w:r>
      <w:r>
        <w:t xml:space="preserve">a </w:t>
      </w:r>
      <w:r w:rsidRPr="009A45BC">
        <w:t xml:space="preserve">viable counterfactual. </w:t>
      </w:r>
      <w:r>
        <w:t>This is largely due to</w:t>
      </w:r>
      <w:r w:rsidRPr="009A45BC">
        <w:t xml:space="preserve"> Victoria</w:t>
      </w:r>
      <w:r>
        <w:t xml:space="preserve"> being</w:t>
      </w:r>
      <w:r w:rsidRPr="009A45BC">
        <w:t xml:space="preserve"> more severely impacted by the pandemic compared to other Australian states</w:t>
      </w:r>
      <w:r>
        <w:t xml:space="preserve"> and territories</w:t>
      </w:r>
      <w:r w:rsidRPr="009A45BC">
        <w:t xml:space="preserve">, and all other comparable jurisdictions </w:t>
      </w:r>
      <w:r>
        <w:t>having implemented</w:t>
      </w:r>
      <w:r w:rsidRPr="009A45BC">
        <w:t xml:space="preserve"> similar business support programs. </w:t>
      </w:r>
      <w:r>
        <w:t>In particular, the</w:t>
      </w:r>
      <w:r w:rsidRPr="009A45BC">
        <w:t xml:space="preserve"> scale of the BCAP and LHVF grants, along with other Victorian Government programs, likely resulted in </w:t>
      </w:r>
      <w:r w:rsidR="00D12189">
        <w:t>broader economic effects given the size of</w:t>
      </w:r>
      <w:r>
        <w:t xml:space="preserve"> fiscal injection, </w:t>
      </w:r>
      <w:r w:rsidR="00D12189">
        <w:t>beyond the</w:t>
      </w:r>
      <w:r>
        <w:t xml:space="preserve"> </w:t>
      </w:r>
      <w:r w:rsidR="00D12189">
        <w:t>employment and business survival effects for program participants</w:t>
      </w:r>
      <w:r w:rsidRPr="009A45BC">
        <w:t>.</w:t>
      </w:r>
      <w:r>
        <w:t xml:space="preserve"> While it is not possible to measure these impacts </w:t>
      </w:r>
      <w:r w:rsidR="00E63261">
        <w:t>within the parameters of this evaluation</w:t>
      </w:r>
      <w:r>
        <w:t xml:space="preserve">, they can be considered qualitatively. </w:t>
      </w:r>
    </w:p>
    <w:p w14:paraId="3CA31D42" w14:textId="7F221246" w:rsidR="007D060C" w:rsidRDefault="007D060C" w:rsidP="00021EF3">
      <w:r w:rsidRPr="00377936">
        <w:rPr>
          <w:b/>
        </w:rPr>
        <w:t>Business level profitability</w:t>
      </w:r>
      <w:r>
        <w:t xml:space="preserve"> – </w:t>
      </w:r>
      <w:r w:rsidRPr="009A45BC">
        <w:t>This evaluation was unable to access data on firm-level profitability and, as such, cannot estimate the impact of these grants on the profitability of recipients. However, other analyses of C</w:t>
      </w:r>
      <w:r>
        <w:t>OVID</w:t>
      </w:r>
      <w:r w:rsidRPr="009A45BC">
        <w:t>-19</w:t>
      </w:r>
      <w:r w:rsidR="00C16E20">
        <w:t xml:space="preserve"> pandemic</w:t>
      </w:r>
      <w:r w:rsidRPr="009A45BC">
        <w:t xml:space="preserve">-related economic supports found that payments targeted at businesses, such as </w:t>
      </w:r>
      <w:proofErr w:type="spellStart"/>
      <w:r w:rsidRPr="009A45BC">
        <w:t>Job</w:t>
      </w:r>
      <w:r>
        <w:t>K</w:t>
      </w:r>
      <w:r w:rsidRPr="009A45BC">
        <w:t>eeper</w:t>
      </w:r>
      <w:proofErr w:type="spellEnd"/>
      <w:r w:rsidRPr="009A45BC">
        <w:t>, were associated with significant increases in business profitability.</w:t>
      </w:r>
    </w:p>
    <w:p w14:paraId="553F1B2C" w14:textId="33E58E89" w:rsidR="007D060C" w:rsidRDefault="007D060C" w:rsidP="00021EF3">
      <w:r>
        <w:rPr>
          <w:b/>
          <w:bCs/>
        </w:rPr>
        <w:t xml:space="preserve">Business closure </w:t>
      </w:r>
      <w:r>
        <w:t xml:space="preserve">– </w:t>
      </w:r>
      <w:r w:rsidRPr="009A45BC">
        <w:t xml:space="preserve">In the absence of these grants, business and consumer confidence might have declined significantly. Risk-averse businesses might have opted to </w:t>
      </w:r>
      <w:r>
        <w:t>cease</w:t>
      </w:r>
      <w:r w:rsidRPr="009A45BC">
        <w:t xml:space="preserve"> operations rather than attempt to continue through the challenging </w:t>
      </w:r>
      <w:r>
        <w:t xml:space="preserve">business </w:t>
      </w:r>
      <w:r w:rsidRPr="009A45BC">
        <w:t xml:space="preserve">environment of 2021. </w:t>
      </w:r>
      <w:r>
        <w:t xml:space="preserve">Business insolvency laws were suspended in 2020, as a part of the </w:t>
      </w:r>
      <w:r w:rsidRPr="00F77B51">
        <w:t>Coronavirus Economic Response Package Omnibus Act 2020</w:t>
      </w:r>
      <w:r>
        <w:t>. Following the reintroduction of these laws from 31 March 2021, insolvencies stayed at historically low levels until 2024. The low</w:t>
      </w:r>
      <w:r w:rsidR="00A201DA">
        <w:t xml:space="preserve"> </w:t>
      </w:r>
      <w:r>
        <w:t>insolvency rate can be attributed to looser enforcement of tax debts by the ATO and loose monetary policy</w:t>
      </w:r>
      <w:r w:rsidR="009A353D">
        <w:t>;</w:t>
      </w:r>
      <w:r>
        <w:t xml:space="preserve"> however</w:t>
      </w:r>
      <w:r w:rsidR="009A353D">
        <w:t>,</w:t>
      </w:r>
      <w:r>
        <w:t xml:space="preserve"> the BCAP and LHVF grants may have also supported some businesses in avoiding insolvency. Widespread business closure</w:t>
      </w:r>
      <w:r w:rsidRPr="009A45BC">
        <w:t xml:space="preserve"> could have led to a significant economic downturn in Victoria in 2021</w:t>
      </w:r>
      <w:r>
        <w:t>,</w:t>
      </w:r>
      <w:r w:rsidRPr="009A45BC">
        <w:t xml:space="preserve"> and a </w:t>
      </w:r>
      <w:r>
        <w:t xml:space="preserve">subsequent </w:t>
      </w:r>
      <w:r w:rsidRPr="009A45BC">
        <w:t xml:space="preserve">substantial increase in </w:t>
      </w:r>
      <w:r>
        <w:t>unemployment and</w:t>
      </w:r>
      <w:r w:rsidRPr="009A45BC">
        <w:t xml:space="preserve"> the number of Victorians receiving </w:t>
      </w:r>
      <w:proofErr w:type="spellStart"/>
      <w:r w:rsidRPr="009A45BC">
        <w:t>Job</w:t>
      </w:r>
      <w:r>
        <w:t>S</w:t>
      </w:r>
      <w:r w:rsidRPr="009A45BC">
        <w:t>eeker</w:t>
      </w:r>
      <w:proofErr w:type="spellEnd"/>
      <w:r>
        <w:t>. This would have placed</w:t>
      </w:r>
      <w:r w:rsidRPr="009A45BC">
        <w:t xml:space="preserve"> significant fiscal burden on the Commonwealth Government. </w:t>
      </w:r>
    </w:p>
    <w:p w14:paraId="14C6BA7D" w14:textId="6D7057F2" w:rsidR="002155B2" w:rsidRDefault="002155B2" w:rsidP="00021EF3">
      <w:r>
        <w:rPr>
          <w:b/>
          <w:bCs/>
        </w:rPr>
        <w:t xml:space="preserve">Employment – </w:t>
      </w:r>
      <w:r w:rsidRPr="009A45BC">
        <w:t xml:space="preserve">The </w:t>
      </w:r>
      <w:proofErr w:type="spellStart"/>
      <w:r w:rsidRPr="009A45BC">
        <w:t>Job</w:t>
      </w:r>
      <w:r>
        <w:t>K</w:t>
      </w:r>
      <w:r w:rsidRPr="009A45BC">
        <w:t>eeper</w:t>
      </w:r>
      <w:proofErr w:type="spellEnd"/>
      <w:r w:rsidRPr="009A45BC">
        <w:t xml:space="preserve"> program provided $89 billion to businesses across Australia, which is </w:t>
      </w:r>
      <w:r>
        <w:t>approximately</w:t>
      </w:r>
      <w:r w:rsidRPr="009A45BC">
        <w:t xml:space="preserve"> 14 times the combined grants volume of BCAP and LHVF. However, </w:t>
      </w:r>
      <w:proofErr w:type="spellStart"/>
      <w:r w:rsidRPr="009A45BC">
        <w:t>Job</w:t>
      </w:r>
      <w:r>
        <w:t>K</w:t>
      </w:r>
      <w:r w:rsidRPr="009A45BC">
        <w:t>eeper</w:t>
      </w:r>
      <w:proofErr w:type="spellEnd"/>
      <w:r w:rsidRPr="009A45BC">
        <w:t xml:space="preserve"> provided payments continuously for 12 months to eligible businesses and covered the entire Australian economy, of which Victoria represents 22.2</w:t>
      </w:r>
      <w:r w:rsidRPr="00E71AAA">
        <w:t xml:space="preserve"> </w:t>
      </w:r>
      <w:r>
        <w:t>per cent</w:t>
      </w:r>
      <w:r w:rsidRPr="009A45BC">
        <w:t xml:space="preserve">. Consequently, within the context of eligible businesses in Victoria, the scale of the BCAP and LHVF grants approached a similar magnitude to that of </w:t>
      </w:r>
      <w:proofErr w:type="spellStart"/>
      <w:r w:rsidRPr="009A45BC">
        <w:t>Job</w:t>
      </w:r>
      <w:r>
        <w:t>K</w:t>
      </w:r>
      <w:r w:rsidRPr="009A45BC">
        <w:t>eeper</w:t>
      </w:r>
      <w:proofErr w:type="spellEnd"/>
      <w:r w:rsidRPr="009A45BC">
        <w:t xml:space="preserve">. </w:t>
      </w:r>
      <w:proofErr w:type="spellStart"/>
      <w:r w:rsidRPr="009A45BC">
        <w:t>Job</w:t>
      </w:r>
      <w:r>
        <w:t>K</w:t>
      </w:r>
      <w:r w:rsidRPr="009A45BC">
        <w:t>eeper</w:t>
      </w:r>
      <w:proofErr w:type="spellEnd"/>
      <w:r w:rsidRPr="009A45BC">
        <w:t xml:space="preserve"> was estimated to have prevented unemployment from rising by an estimated </w:t>
      </w:r>
      <w:r w:rsidR="009A353D">
        <w:t>three</w:t>
      </w:r>
      <w:r w:rsidR="009A353D" w:rsidRPr="009A45BC">
        <w:t xml:space="preserve"> </w:t>
      </w:r>
      <w:r w:rsidRPr="009A45BC">
        <w:t>percentage points. While this is not a directly applicable comparison, it provides context for the potential scale of the impact of LHVF and BCAP within the relevant industries in Victoria.</w:t>
      </w:r>
      <w:r>
        <w:t xml:space="preserve"> However, it should also be noted that Victoria did have alternate and targeted employment programs, including Working for Victoria, which would have also contributed to the overall macroeconomic impact. </w:t>
      </w:r>
    </w:p>
    <w:p w14:paraId="26ED0130" w14:textId="77777777" w:rsidR="002155B2" w:rsidRDefault="002155B2" w:rsidP="00021EF3">
      <w:r>
        <w:t>Positive</w:t>
      </w:r>
      <w:r w:rsidRPr="009A45BC">
        <w:t xml:space="preserve"> employment impacts would likely have </w:t>
      </w:r>
      <w:r>
        <w:t>had</w:t>
      </w:r>
      <w:r w:rsidRPr="009A45BC">
        <w:t xml:space="preserve"> a proportionately large benefit for younger Victorians. Younger Victorians are more likely to be employed in hospitality and retail than those in other age groups and are more likely to be employed in casual or insecure work. </w:t>
      </w:r>
      <w:r>
        <w:t>As such, the grants likely assisted younger Victorians in retaining their jobs.</w:t>
      </w:r>
      <w:r w:rsidRPr="009A45BC">
        <w:t xml:space="preserve"> The labour market conditions at the time of entry for a younger worker have a lasting impact on the earnings of an employee. Th</w:t>
      </w:r>
      <w:r>
        <w:t>is</w:t>
      </w:r>
      <w:r w:rsidRPr="009A45BC">
        <w:t xml:space="preserve"> expansionary fiscal policy from the Victorian Government, which likely tightened the overall labour market, is expected to have impacts on wages for those who entered the labour market in 2021 and 2022, with these impacts anticipated to last roughly a decade.</w:t>
      </w:r>
      <w:r>
        <w:rPr>
          <w:rStyle w:val="EndnoteReference"/>
        </w:rPr>
        <w:endnoteReference w:id="27"/>
      </w:r>
    </w:p>
    <w:p w14:paraId="6D53559E" w14:textId="77777777" w:rsidR="002155B2" w:rsidRDefault="002155B2" w:rsidP="00021EF3">
      <w:r w:rsidRPr="009A45BC">
        <w:t>Furthermore, in a counterfactual scenario where many</w:t>
      </w:r>
      <w:r>
        <w:t xml:space="preserve"> additional</w:t>
      </w:r>
      <w:r w:rsidRPr="009A45BC">
        <w:t xml:space="preserve"> businesses decided to temporarily</w:t>
      </w:r>
      <w:r>
        <w:t xml:space="preserve"> </w:t>
      </w:r>
      <w:r w:rsidRPr="009A45BC">
        <w:t>shut down, it is unlikely that the majority of employees would have returned to their roles. Analysis of labour market dynamics from early 2020 indicated that only roughly one-third of the 300,000 workers who were temporarily laid off ever returned to their roles.</w:t>
      </w:r>
      <w:r>
        <w:rPr>
          <w:rStyle w:val="EndnoteReference"/>
        </w:rPr>
        <w:endnoteReference w:id="28"/>
      </w:r>
      <w:r w:rsidRPr="009A45BC">
        <w:t xml:space="preserve"> Interventions that enabled businesses to retain employees likely preserved some amount of </w:t>
      </w:r>
      <w:r>
        <w:t>job specific knowledge and skills which</w:t>
      </w:r>
      <w:r w:rsidRPr="009A45BC">
        <w:t xml:space="preserve"> would have otherwise been lost without the grants program.</w:t>
      </w:r>
      <w:r>
        <w:rPr>
          <w:rStyle w:val="EndnoteReference"/>
        </w:rPr>
        <w:endnoteReference w:id="29"/>
      </w:r>
    </w:p>
    <w:p w14:paraId="301BA707" w14:textId="0241272E" w:rsidR="002155B2" w:rsidRDefault="002155B2" w:rsidP="00021EF3">
      <w:r>
        <w:rPr>
          <w:b/>
          <w:bCs/>
        </w:rPr>
        <w:t xml:space="preserve">Supply chain </w:t>
      </w:r>
      <w:r>
        <w:t xml:space="preserve">– </w:t>
      </w:r>
      <w:r w:rsidRPr="009A45BC">
        <w:t xml:space="preserve">The design of the program, which associated grants with public health restrictions, </w:t>
      </w:r>
      <w:r>
        <w:t>was intended to provided</w:t>
      </w:r>
      <w:r w:rsidRPr="009A45BC">
        <w:t xml:space="preserve"> businesses the confidence </w:t>
      </w:r>
      <w:r>
        <w:t>and cash</w:t>
      </w:r>
      <w:r w:rsidR="009A353D">
        <w:t xml:space="preserve"> </w:t>
      </w:r>
      <w:r>
        <w:t xml:space="preserve">flow </w:t>
      </w:r>
      <w:r w:rsidRPr="009A45BC">
        <w:t xml:space="preserve">to plan their operations as though trading would </w:t>
      </w:r>
      <w:r>
        <w:t xml:space="preserve">eventually </w:t>
      </w:r>
      <w:r w:rsidRPr="009A45BC">
        <w:t>continue</w:t>
      </w:r>
      <w:r>
        <w:t>,</w:t>
      </w:r>
      <w:r w:rsidRPr="009A45BC">
        <w:t xml:space="preserve"> unaffected by these restrictions. This allowed venues to place orders for perishable goods, such as foodstuffs, and roster on employees, with the knowledge that the cost of potential waste would be offset by the grants programs. Consequently, this likely increased spending across the supply chain, </w:t>
      </w:r>
      <w:r>
        <w:t xml:space="preserve">realising flow-on benefits by </w:t>
      </w:r>
      <w:r w:rsidRPr="009A45BC">
        <w:t xml:space="preserve">supporting wholesalers and </w:t>
      </w:r>
      <w:r>
        <w:t>intermediate</w:t>
      </w:r>
      <w:r w:rsidRPr="009A45BC">
        <w:t xml:space="preserve"> producers.</w:t>
      </w:r>
    </w:p>
    <w:p w14:paraId="315E0C7D" w14:textId="2D8920B5" w:rsidR="007D060C" w:rsidRPr="001105FB" w:rsidDel="000C4AA5" w:rsidRDefault="002155B2" w:rsidP="00021EF3">
      <w:r w:rsidRPr="00377936">
        <w:rPr>
          <w:b/>
        </w:rPr>
        <w:lastRenderedPageBreak/>
        <w:t>Inflation</w:t>
      </w:r>
      <w:r>
        <w:t xml:space="preserve"> – Research</w:t>
      </w:r>
      <w:r w:rsidRPr="009A45BC">
        <w:t xml:space="preserve"> literature suggests that the Australian policy response to C</w:t>
      </w:r>
      <w:r>
        <w:t>OVID</w:t>
      </w:r>
      <w:r w:rsidRPr="009A45BC">
        <w:t xml:space="preserve">-19, combined with </w:t>
      </w:r>
      <w:r>
        <w:t>easing</w:t>
      </w:r>
      <w:r w:rsidRPr="009A45BC">
        <w:t xml:space="preserve"> monetary policy, was a major contributor to the post-pandemic high</w:t>
      </w:r>
      <w:r w:rsidR="00854338">
        <w:t>-</w:t>
      </w:r>
      <w:r w:rsidRPr="009A45BC">
        <w:t xml:space="preserve">inflation environment. </w:t>
      </w:r>
      <w:r>
        <w:t>Research</w:t>
      </w:r>
      <w:r w:rsidRPr="009A45BC">
        <w:t xml:space="preserve"> estimates that policy responses nationally generated excess demand that temporarily added </w:t>
      </w:r>
      <w:r w:rsidR="009A353D">
        <w:t>three</w:t>
      </w:r>
      <w:r w:rsidR="009A353D" w:rsidRPr="009A45BC">
        <w:t xml:space="preserve"> </w:t>
      </w:r>
      <w:r w:rsidRPr="009A45BC">
        <w:t>percentage points to inflation.</w:t>
      </w:r>
      <w:r>
        <w:rPr>
          <w:rStyle w:val="EndnoteReference"/>
        </w:rPr>
        <w:endnoteReference w:id="30"/>
      </w:r>
      <w:r w:rsidRPr="009A45BC">
        <w:t xml:space="preserve"> Given the magnitude of spending associated with BCAP and LHVF over a relatively short period, </w:t>
      </w:r>
      <w:r>
        <w:t xml:space="preserve">it would be expected </w:t>
      </w:r>
      <w:r w:rsidRPr="009A45BC">
        <w:t xml:space="preserve">the grants </w:t>
      </w:r>
      <w:r>
        <w:t>added to aggregate demand and were thereby</w:t>
      </w:r>
      <w:r w:rsidRPr="009A45BC">
        <w:t xml:space="preserve"> </w:t>
      </w:r>
      <w:r>
        <w:t>additive to inflation</w:t>
      </w:r>
      <w:r w:rsidRPr="009A45BC">
        <w:t xml:space="preserve">. </w:t>
      </w:r>
      <w:r>
        <w:t>However,</w:t>
      </w:r>
      <w:r w:rsidRPr="009A45BC">
        <w:t xml:space="preserve"> the high</w:t>
      </w:r>
      <w:r w:rsidR="00854338">
        <w:t>-</w:t>
      </w:r>
      <w:r w:rsidRPr="009A45BC">
        <w:t xml:space="preserve">inflation environment was likely to occur regardless due to </w:t>
      </w:r>
      <w:r>
        <w:t>broader factors</w:t>
      </w:r>
      <w:r w:rsidR="00854338">
        <w:t>,</w:t>
      </w:r>
      <w:r>
        <w:t xml:space="preserve"> such as </w:t>
      </w:r>
      <w:r w:rsidRPr="009A45BC">
        <w:t>supply chain challenges and global conflict</w:t>
      </w:r>
      <w:r>
        <w:t>.</w:t>
      </w:r>
    </w:p>
    <w:p w14:paraId="12EFC3C6" w14:textId="77777777" w:rsidR="00B94BEB" w:rsidRDefault="00B94BEB" w:rsidP="00021EF3">
      <w:pPr>
        <w:pStyle w:val="Heading3SEQs"/>
      </w:pPr>
      <w:bookmarkStart w:id="388" w:name="_Ref173939103"/>
      <w:bookmarkStart w:id="389" w:name="_Toc174118156"/>
      <w:bookmarkStart w:id="390" w:name="_Toc176516275"/>
      <w:r w:rsidRPr="00F00EDA">
        <w:t>SEQ</w:t>
      </w:r>
      <w:r>
        <w:t xml:space="preserve"> 11</w:t>
      </w:r>
      <w:r w:rsidRPr="00F00EDA">
        <w:t xml:space="preserve">: </w:t>
      </w:r>
      <w:r w:rsidRPr="00893EB3">
        <w:rPr>
          <w:b w:val="0"/>
        </w:rPr>
        <w:t>To what extent did the external factors outside of the Department’s control affect the extent to which the grants benefitted the recipients and the broader Victorian economy?</w:t>
      </w:r>
      <w:bookmarkEnd w:id="388"/>
      <w:bookmarkEnd w:id="389"/>
      <w:bookmarkEnd w:id="390"/>
    </w:p>
    <w:p w14:paraId="13364937" w14:textId="0C6AA931" w:rsidR="00B94BEB" w:rsidRDefault="00B94BEB" w:rsidP="00021EF3">
      <w:r>
        <w:t xml:space="preserve">The effectiveness of the grant programs </w:t>
      </w:r>
      <w:r w:rsidR="005D7214">
        <w:t>and</w:t>
      </w:r>
      <w:r>
        <w:t xml:space="preserve"> the extent to which they delivered benefits was influenced by a number of external factors outside of the Department’s control, largely related to pandemic related and economic factors. This included the following:</w:t>
      </w:r>
    </w:p>
    <w:p w14:paraId="24A384FF" w14:textId="72E967CF" w:rsidR="00B94BEB" w:rsidRPr="005E36A3" w:rsidRDefault="00B94BEB" w:rsidP="00021EF3">
      <w:r w:rsidRPr="005E36A3">
        <w:rPr>
          <w:b/>
          <w:bCs/>
        </w:rPr>
        <w:t>The uncertain nature and timeline of the COVID-19 pandemic</w:t>
      </w:r>
      <w:r w:rsidRPr="005E36A3">
        <w:t xml:space="preserve"> – The grants programs provided a direct response to support businesses through periods of shutdown, with the decisions made around restrictions and shutdown periods made </w:t>
      </w:r>
      <w:r>
        <w:t>by government centrally in reaction to the spread of COVID-19</w:t>
      </w:r>
      <w:r w:rsidRPr="005E36A3">
        <w:t xml:space="preserve">. In this sense, the delivery of and outcomes realised from the grant programs were directly tied to these decisions related to restrictions. Further, the decisions were often made suddenly due to the uncertain nature of pandemic, impacting on the ability for the Department to undertake forward planning. </w:t>
      </w:r>
      <w:r w:rsidR="007F287A">
        <w:t>I</w:t>
      </w:r>
      <w:r w:rsidRPr="005E36A3">
        <w:t xml:space="preserve">nternal stakeholders noted that the grants programs were not designed for </w:t>
      </w:r>
      <w:r w:rsidR="00872F90">
        <w:t xml:space="preserve">the </w:t>
      </w:r>
      <w:r w:rsidRPr="005E36A3">
        <w:t>repeated nature and extent of shutdown periods that occurred. Similarly, different industries were affected in different ways by the various and often different restrictions imposed over the course of the COVID-19 pandemic, which could impact on the efficacy of the grants based on industry.</w:t>
      </w:r>
    </w:p>
    <w:p w14:paraId="3031DF16" w14:textId="4275B26B" w:rsidR="00B94BEB" w:rsidRDefault="00B94BEB" w:rsidP="00021EF3">
      <w:r w:rsidRPr="005E36A3">
        <w:rPr>
          <w:b/>
          <w:bCs/>
        </w:rPr>
        <w:t>Broader economic conditions</w:t>
      </w:r>
      <w:r w:rsidRPr="005E36A3">
        <w:t xml:space="preserve"> – Given the economic nature of the outcomes the grants programs sought to </w:t>
      </w:r>
      <w:r>
        <w:t>achieve</w:t>
      </w:r>
      <w:r w:rsidRPr="005E36A3">
        <w:t>,</w:t>
      </w:r>
      <w:r>
        <w:t xml:space="preserve"> they</w:t>
      </w:r>
      <w:r w:rsidRPr="005E36A3">
        <w:t xml:space="preserve"> are inherently tied to broader and confounding economic factors</w:t>
      </w:r>
      <w:r w:rsidR="00B91F08">
        <w:t xml:space="preserve"> (as discussed above)</w:t>
      </w:r>
      <w:r w:rsidRPr="005E36A3">
        <w:t xml:space="preserve">. For example, business survivability and insolvency rates have been impacted by a number of economic trends following the COVID-19 pandemic, including slow overall growth, high inflation and input costs. Further, employment outcomes immediately following the pandemic were influenced by a significant labour shortage, particularly in the service sector (e.g., hospitality). </w:t>
      </w:r>
    </w:p>
    <w:p w14:paraId="209A84FA" w14:textId="7E23749C" w:rsidR="00B94BEB" w:rsidRPr="00144137" w:rsidRDefault="00B94BEB" w:rsidP="00021EF3">
      <w:pPr>
        <w:rPr>
          <w:b/>
        </w:rPr>
      </w:pPr>
      <w:r>
        <w:rPr>
          <w:b/>
          <w:bCs/>
        </w:rPr>
        <w:t xml:space="preserve">Broader policy environment – </w:t>
      </w:r>
      <w:r>
        <w:t>Key intended outcomes of the programs in business survival, employment and wellbeing were also significantly affected by the broader policy environment throughout the COVID-19 pandemic. This included targeted interventions</w:t>
      </w:r>
      <w:r w:rsidR="00854338">
        <w:t>,</w:t>
      </w:r>
      <w:r>
        <w:t xml:space="preserve"> such as rent relief, payroll tax deferment and grants to support outdoor dining for the hospitality sector. It also included broader policies including the pandemic</w:t>
      </w:r>
      <w:r w:rsidR="00854338">
        <w:t>-</w:t>
      </w:r>
      <w:r>
        <w:t>related restrictions themselves.</w:t>
      </w:r>
    </w:p>
    <w:p w14:paraId="31418B74" w14:textId="2033B22E" w:rsidR="00BB4560" w:rsidRPr="00E72CC8" w:rsidRDefault="00BB4560" w:rsidP="00021EF3">
      <w:pPr>
        <w:pStyle w:val="Heading3SEQs"/>
      </w:pPr>
      <w:bookmarkStart w:id="391" w:name="_Ref173939135"/>
      <w:bookmarkStart w:id="392" w:name="_Toc174118157"/>
      <w:bookmarkStart w:id="393" w:name="_Toc176516276"/>
      <w:r w:rsidRPr="00F00EDA">
        <w:t>SEQ</w:t>
      </w:r>
      <w:r w:rsidR="009A3D80">
        <w:t xml:space="preserve"> </w:t>
      </w:r>
      <w:r w:rsidR="003C424A">
        <w:t>10</w:t>
      </w:r>
      <w:r w:rsidRPr="009A3D80">
        <w:t>:</w:t>
      </w:r>
      <w:r w:rsidRPr="00E72CC8">
        <w:t xml:space="preserve"> </w:t>
      </w:r>
      <w:r w:rsidRPr="00893EB3">
        <w:rPr>
          <w:b w:val="0"/>
        </w:rPr>
        <w:t>How did the benefits of the programs vary for different cohorts, contexts and geographical locations (i.e., metropolitan, outer-metropolitan, regional and rural locations)?</w:t>
      </w:r>
      <w:bookmarkEnd w:id="391"/>
      <w:bookmarkEnd w:id="392"/>
      <w:bookmarkEnd w:id="393"/>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D54BED" w14:paraId="2AC92FD9"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3E8C6345" w14:textId="2839F5C9" w:rsidR="00D54BED" w:rsidRPr="00A04FF8" w:rsidRDefault="00D54BED" w:rsidP="00021EF3">
            <w:pPr>
              <w:spacing w:after="0"/>
              <w:rPr>
                <w:b/>
                <w:bCs/>
              </w:rPr>
            </w:pPr>
            <w:bookmarkStart w:id="394" w:name="_Hlk172818894"/>
            <w:r w:rsidRPr="00A04FF8">
              <w:rPr>
                <w:b/>
                <w:bCs/>
                <w:color w:val="62B5E5" w:themeColor="accent3"/>
              </w:rPr>
              <w:t xml:space="preserve">Finding </w:t>
            </w:r>
            <w:r>
              <w:rPr>
                <w:b/>
                <w:bCs/>
                <w:color w:val="62B5E5" w:themeColor="accent3"/>
              </w:rPr>
              <w:t>1</w:t>
            </w:r>
            <w:r w:rsidR="00D42983">
              <w:rPr>
                <w:b/>
                <w:bCs/>
                <w:color w:val="62B5E5" w:themeColor="accent3"/>
              </w:rPr>
              <w:t>2</w:t>
            </w:r>
            <w:r w:rsidRPr="00A04FF8">
              <w:rPr>
                <w:b/>
                <w:bCs/>
                <w:color w:val="62B5E5" w:themeColor="accent3"/>
              </w:rPr>
              <w:t>:</w:t>
            </w:r>
            <w:r w:rsidR="00C2667D">
              <w:rPr>
                <w:b/>
                <w:bCs/>
              </w:rPr>
              <w:t xml:space="preserve"> </w:t>
            </w:r>
            <w:r w:rsidR="00C2667D" w:rsidRPr="00C2667D">
              <w:rPr>
                <w:b/>
                <w:bCs/>
              </w:rPr>
              <w:t>Impacts from LHVF appeared to be more pronounced than BCAP, with recipients benefitting from a sector</w:t>
            </w:r>
            <w:r w:rsidR="00B91F08">
              <w:rPr>
                <w:b/>
                <w:bCs/>
              </w:rPr>
              <w:t>-</w:t>
            </w:r>
            <w:r w:rsidR="00C2667D" w:rsidRPr="00C2667D">
              <w:rPr>
                <w:b/>
                <w:bCs/>
              </w:rPr>
              <w:t>specific lens.</w:t>
            </w:r>
          </w:p>
        </w:tc>
      </w:tr>
    </w:tbl>
    <w:bookmarkEnd w:id="394"/>
    <w:p w14:paraId="058BD25B" w14:textId="6432C19C" w:rsidR="00F82473" w:rsidRDefault="00F82473" w:rsidP="00021EF3">
      <w:pPr>
        <w:spacing w:before="160"/>
      </w:pPr>
      <w:r>
        <w:t xml:space="preserve">A comparison of outcomes between BCAP and LHVF </w:t>
      </w:r>
      <w:r w:rsidR="005069B6">
        <w:t>where possible</w:t>
      </w:r>
      <w:r>
        <w:t xml:space="preserve"> generally showed that outcomes appeared to be more pronounced for LHVF.</w:t>
      </w:r>
      <w:r w:rsidR="00892EB4">
        <w:t xml:space="preserve"> This was based on </w:t>
      </w:r>
      <w:r w:rsidR="00C63A98">
        <w:t>a combination of industry level and business level analysis of s</w:t>
      </w:r>
      <w:r w:rsidR="009E36B8">
        <w:t xml:space="preserve">econdary data, the business survey </w:t>
      </w:r>
      <w:r w:rsidR="005069B6">
        <w:t>and</w:t>
      </w:r>
      <w:r w:rsidR="009E36B8">
        <w:t xml:space="preserve"> thematic analysis of consultation </w:t>
      </w:r>
      <w:r w:rsidR="00D62917">
        <w:t>data</w:t>
      </w:r>
      <w:r w:rsidR="001B17AA">
        <w:t>, with stakeholders noting the LHVF participants benefited from a more targeted, sector</w:t>
      </w:r>
      <w:r w:rsidR="00041DBE">
        <w:t>-</w:t>
      </w:r>
      <w:r w:rsidR="001B17AA">
        <w:t>specific lens.</w:t>
      </w:r>
    </w:p>
    <w:p w14:paraId="39656DE3" w14:textId="17C9B8AE" w:rsidR="00C03C61" w:rsidRDefault="00761E51" w:rsidP="00021EF3">
      <w:r>
        <w:t>Where possible, the evaluation also considered how outcomes differed based on business</w:t>
      </w:r>
      <w:r w:rsidR="002741FF">
        <w:t xml:space="preserve"> size and geographic location</w:t>
      </w:r>
      <w:r w:rsidR="00041DBE">
        <w:t>.</w:t>
      </w:r>
      <w:r w:rsidR="001A251C">
        <w:t xml:space="preserve"> </w:t>
      </w:r>
      <w:r w:rsidR="00640306">
        <w:t>Analysis of the program data showed that the vast majority of funding went to supporting sole traders and small businesses within metropolitan regions</w:t>
      </w:r>
      <w:r w:rsidR="00B01569">
        <w:t>, w</w:t>
      </w:r>
      <w:r w:rsidR="001A251C">
        <w:t>ith further detail</w:t>
      </w:r>
      <w:r w:rsidR="00B01569">
        <w:t xml:space="preserve"> outlined in the text below</w:t>
      </w:r>
      <w:r w:rsidR="00640306">
        <w:t>.</w:t>
      </w:r>
    </w:p>
    <w:p w14:paraId="1BC3105A" w14:textId="0567C97F" w:rsidR="00053513" w:rsidRDefault="00864584" w:rsidP="00021EF3">
      <w:r>
        <w:t xml:space="preserve">Outcomes delivered </w:t>
      </w:r>
      <w:r w:rsidR="00D021EE">
        <w:t xml:space="preserve">uniquely by BCAP and LHVF can be compared directly through </w:t>
      </w:r>
      <w:r w:rsidR="007B7389">
        <w:t>the business survey and</w:t>
      </w:r>
      <w:r w:rsidR="00CC1EF9">
        <w:t>,</w:t>
      </w:r>
      <w:r w:rsidR="007B7389">
        <w:t xml:space="preserve"> in some instances</w:t>
      </w:r>
      <w:r w:rsidR="00CC1EF9">
        <w:t>,</w:t>
      </w:r>
      <w:r w:rsidR="007B7389">
        <w:t xml:space="preserve"> the analysis of secondary data</w:t>
      </w:r>
      <w:r w:rsidR="001A251C">
        <w:t>:</w:t>
      </w:r>
    </w:p>
    <w:p w14:paraId="082709EF" w14:textId="58B28F0F" w:rsidR="00D3084D" w:rsidRDefault="00524086" w:rsidP="00021EF3">
      <w:r>
        <w:t xml:space="preserve">As outlined in the preceding section, </w:t>
      </w:r>
      <w:r w:rsidR="003A3329">
        <w:t>self-reported outcomes were great</w:t>
      </w:r>
      <w:r w:rsidR="00981943">
        <w:t>er</w:t>
      </w:r>
      <w:r w:rsidR="003A3329">
        <w:t xml:space="preserve"> for LHVF in </w:t>
      </w:r>
      <w:r w:rsidR="008816C5">
        <w:t>relation to:</w:t>
      </w:r>
    </w:p>
    <w:p w14:paraId="598EEB10" w14:textId="02425D09" w:rsidR="008816C5" w:rsidRDefault="004F00E9" w:rsidP="00021EF3">
      <w:pPr>
        <w:pStyle w:val="ListBullet"/>
        <w:numPr>
          <w:ilvl w:val="0"/>
          <w:numId w:val="21"/>
        </w:numPr>
      </w:pPr>
      <w:r>
        <w:t>t</w:t>
      </w:r>
      <w:r w:rsidR="008816C5">
        <w:t>he share of businesses that feel the grants supported them to stay afloat</w:t>
      </w:r>
      <w:r w:rsidR="0001360C">
        <w:t>.</w:t>
      </w:r>
    </w:p>
    <w:p w14:paraId="4E1AD933" w14:textId="3AF9470D" w:rsidR="008816C5" w:rsidRDefault="004F00E9" w:rsidP="00021EF3">
      <w:pPr>
        <w:pStyle w:val="ListBullet"/>
        <w:numPr>
          <w:ilvl w:val="0"/>
          <w:numId w:val="21"/>
        </w:numPr>
      </w:pPr>
      <w:r>
        <w:t>p</w:t>
      </w:r>
      <w:r w:rsidR="00981943">
        <w:t>ositive impacts</w:t>
      </w:r>
      <w:r w:rsidR="008816C5">
        <w:t xml:space="preserve"> on FTE employment</w:t>
      </w:r>
      <w:r w:rsidR="0001360C">
        <w:t>.</w:t>
      </w:r>
    </w:p>
    <w:p w14:paraId="77378BA0" w14:textId="7E6CE6F2" w:rsidR="0099232F" w:rsidRDefault="004F00E9" w:rsidP="00021EF3">
      <w:pPr>
        <w:pStyle w:val="ListBullet"/>
        <w:numPr>
          <w:ilvl w:val="0"/>
          <w:numId w:val="21"/>
        </w:numPr>
      </w:pPr>
      <w:r>
        <w:t>t</w:t>
      </w:r>
      <w:r w:rsidR="005D318D">
        <w:t>he impact on wages paid</w:t>
      </w:r>
      <w:r w:rsidR="0001360C">
        <w:t>.</w:t>
      </w:r>
    </w:p>
    <w:p w14:paraId="21CDF350" w14:textId="7BC319D0" w:rsidR="008816C5" w:rsidRDefault="004F00E9" w:rsidP="00021EF3">
      <w:pPr>
        <w:pStyle w:val="ListBullet"/>
        <w:numPr>
          <w:ilvl w:val="0"/>
          <w:numId w:val="21"/>
        </w:numPr>
      </w:pPr>
      <w:r>
        <w:t>t</w:t>
      </w:r>
      <w:r w:rsidR="0099232F">
        <w:t>he persistence of positive impacts beyond the COVID-19</w:t>
      </w:r>
      <w:r w:rsidR="00C16E20">
        <w:t xml:space="preserve"> pandemic</w:t>
      </w:r>
      <w:r w:rsidR="0099232F">
        <w:t xml:space="preserve"> period</w:t>
      </w:r>
      <w:r w:rsidR="00BB63E8">
        <w:t>.</w:t>
      </w:r>
    </w:p>
    <w:p w14:paraId="6467D220" w14:textId="06C22844" w:rsidR="00AD3921" w:rsidRDefault="00AD3921" w:rsidP="00021EF3">
      <w:r>
        <w:t>However, the impacts on wellbeing related outcomes were reported to be notably higher in relation to BCAP</w:t>
      </w:r>
      <w:r w:rsidR="006402A4">
        <w:t xml:space="preserve"> based on survey results</w:t>
      </w:r>
      <w:r w:rsidR="00545667">
        <w:t xml:space="preserve"> (see </w:t>
      </w:r>
      <w:r w:rsidR="006402A4">
        <w:t xml:space="preserve">Finding </w:t>
      </w:r>
      <w:r w:rsidR="00D42983">
        <w:t>11</w:t>
      </w:r>
      <w:r w:rsidR="006402A4">
        <w:t>).</w:t>
      </w:r>
    </w:p>
    <w:p w14:paraId="77C6EC97" w14:textId="4BB381F2" w:rsidR="00FD0799" w:rsidRDefault="00A53016" w:rsidP="00A53016">
      <w:r w:rsidRPr="003A1EAA">
        <w:lastRenderedPageBreak/>
        <w:t>“</w:t>
      </w:r>
      <w:r w:rsidRPr="0014751A">
        <w:t>The grants were lifesaving to our business as we were totally shutdown under the COVID restrictions. Even when partially lifted</w:t>
      </w:r>
      <w:r>
        <w:t>, it</w:t>
      </w:r>
      <w:r w:rsidRPr="0014751A">
        <w:t xml:space="preserve"> did not earn us enough income to pay rent, wages or operating costs. We only started generating enough to cover these costs after ALL restrictions were lifted for venues. It took us another </w:t>
      </w:r>
      <w:r>
        <w:t>eight</w:t>
      </w:r>
      <w:r w:rsidRPr="0014751A">
        <w:t xml:space="preserve"> months to pay the </w:t>
      </w:r>
      <w:r>
        <w:t>l</w:t>
      </w:r>
      <w:r w:rsidRPr="0014751A">
        <w:t xml:space="preserve">andlord the deferred rent. However, the grants also enabled us to bring back bands and musicians and pay them generously as they were even more impacted by COVID than anyone else. We were saddened to see so many businesses close down in our street during the year of shutdown and </w:t>
      </w:r>
      <w:r>
        <w:t>are</w:t>
      </w:r>
      <w:r w:rsidRPr="0014751A">
        <w:t xml:space="preserve"> thank</w:t>
      </w:r>
      <w:r>
        <w:t>ful for</w:t>
      </w:r>
      <w:r w:rsidRPr="0014751A">
        <w:t xml:space="preserve"> the assistance we received to survive that period.</w:t>
      </w:r>
      <w:r w:rsidRPr="003A1EAA">
        <w:t xml:space="preserve">” </w:t>
      </w:r>
      <w:r>
        <w:t xml:space="preserve">– </w:t>
      </w:r>
      <w:r w:rsidRPr="003A1EAA">
        <w:t>LHVF participant</w:t>
      </w:r>
    </w:p>
    <w:p w14:paraId="1E156BAF" w14:textId="5874D884" w:rsidR="00D128F9" w:rsidRDefault="00AB6351" w:rsidP="00021EF3">
      <w:r w:rsidRPr="00CD2C26">
        <w:t xml:space="preserve">Analysis of ABR data </w:t>
      </w:r>
      <w:r w:rsidR="005F35EB" w:rsidRPr="00CD2C26">
        <w:t xml:space="preserve">which estimated the impact of the grants on business exit rates </w:t>
      </w:r>
      <w:r w:rsidR="001D3F9E" w:rsidRPr="00CD2C26">
        <w:t xml:space="preserve">showed a </w:t>
      </w:r>
      <w:r w:rsidR="008C112A" w:rsidRPr="00CD2C26">
        <w:t xml:space="preserve">comparable outcome for </w:t>
      </w:r>
      <w:r w:rsidR="00B576AC" w:rsidRPr="00CD2C26">
        <w:t>BCAP and LHVF</w:t>
      </w:r>
      <w:r w:rsidR="00CD2C26" w:rsidRPr="00CD2C26">
        <w:t xml:space="preserve"> (see </w:t>
      </w:r>
      <w:r w:rsidR="001D3C53" w:rsidRPr="0064211C">
        <w:t xml:space="preserve">Finding </w:t>
      </w:r>
      <w:r w:rsidR="00573DBA">
        <w:t>10</w:t>
      </w:r>
      <w:r w:rsidR="00CD2C26" w:rsidRPr="00CD2C26">
        <w:t>). A</w:t>
      </w:r>
      <w:r w:rsidR="00E57533" w:rsidRPr="00CD2C26">
        <w:t>n equivalent comparison</w:t>
      </w:r>
      <w:r w:rsidR="00E57533">
        <w:t xml:space="preserve"> </w:t>
      </w:r>
      <w:r w:rsidR="00CD2C26">
        <w:t xml:space="preserve">based on </w:t>
      </w:r>
      <w:r w:rsidR="007F7138">
        <w:t xml:space="preserve">the analysis of employment outcomes was not possible due to </w:t>
      </w:r>
      <w:r w:rsidR="007B6F39">
        <w:t>the analysis being undertaken at an industry level (</w:t>
      </w:r>
      <w:r w:rsidR="007B6F39" w:rsidRPr="0064211C">
        <w:t xml:space="preserve">see </w:t>
      </w:r>
      <w:r w:rsidR="001D3C53" w:rsidRPr="0064211C">
        <w:t xml:space="preserve">Finding </w:t>
      </w:r>
      <w:r w:rsidR="00573DBA">
        <w:t>10</w:t>
      </w:r>
      <w:r w:rsidR="007B6F39" w:rsidRPr="0064211C">
        <w:t>).</w:t>
      </w:r>
    </w:p>
    <w:p w14:paraId="4D23FA3D" w14:textId="15A32D20" w:rsidR="002E4865" w:rsidRDefault="00257596" w:rsidP="00021EF3">
      <w:r>
        <w:t>Cost</w:t>
      </w:r>
      <w:r w:rsidR="00D128F9">
        <w:t xml:space="preserve"> coverage analysis</w:t>
      </w:r>
      <w:r w:rsidR="004B0CF1">
        <w:t xml:space="preserve"> compared the value of grants received per business to estimated average costs over the shutdown periods</w:t>
      </w:r>
      <w:r w:rsidR="00342AAB">
        <w:t xml:space="preserve"> </w:t>
      </w:r>
      <w:r w:rsidR="002D59FC">
        <w:t>based on industry</w:t>
      </w:r>
      <w:r w:rsidR="00342AAB">
        <w:t xml:space="preserve"> </w:t>
      </w:r>
      <w:r w:rsidR="00342AAB" w:rsidRPr="0064211C">
        <w:t>(</w:t>
      </w:r>
      <w:r w:rsidR="001D3C53" w:rsidRPr="0064211C">
        <w:t xml:space="preserve">see Finding </w:t>
      </w:r>
      <w:r w:rsidR="00573DBA">
        <w:t>11</w:t>
      </w:r>
      <w:r w:rsidR="00342AAB" w:rsidRPr="0064211C">
        <w:t>)</w:t>
      </w:r>
      <w:r w:rsidR="004B0CF1" w:rsidRPr="0064211C">
        <w:t>.</w:t>
      </w:r>
      <w:r w:rsidR="004B0CF1">
        <w:t xml:space="preserve"> The estimated average proportion of costs covered by LHVF grants</w:t>
      </w:r>
      <w:r w:rsidR="00B14761">
        <w:t>,</w:t>
      </w:r>
      <w:r w:rsidR="004B0CF1">
        <w:t xml:space="preserve"> </w:t>
      </w:r>
      <w:r w:rsidR="00106063">
        <w:t xml:space="preserve">at </w:t>
      </w:r>
      <w:r w:rsidR="003A13DE">
        <w:t>23.1</w:t>
      </w:r>
      <w:r w:rsidR="00E71AAA" w:rsidRPr="00E71AAA">
        <w:t xml:space="preserve"> </w:t>
      </w:r>
      <w:r w:rsidR="00E71AAA">
        <w:t>per cent</w:t>
      </w:r>
      <w:r w:rsidR="00B14761">
        <w:t>,</w:t>
      </w:r>
      <w:r w:rsidR="003A13DE">
        <w:t xml:space="preserve"> was much higher than the estimate for BCAP</w:t>
      </w:r>
      <w:r w:rsidR="00C54DDA">
        <w:t>,</w:t>
      </w:r>
      <w:r w:rsidR="003A13DE">
        <w:t xml:space="preserve"> at 6.0</w:t>
      </w:r>
      <w:r w:rsidR="00E71AAA" w:rsidRPr="00E71AAA">
        <w:t xml:space="preserve"> </w:t>
      </w:r>
      <w:r w:rsidR="00E71AAA">
        <w:t>per cent</w:t>
      </w:r>
      <w:r w:rsidR="003A13DE" w:rsidDel="00193870">
        <w:t>.</w:t>
      </w:r>
      <w:r w:rsidR="003A13DE">
        <w:t xml:space="preserve"> This is </w:t>
      </w:r>
      <w:r w:rsidR="00F66416">
        <w:t>largely</w:t>
      </w:r>
      <w:r w:rsidR="003A13DE">
        <w:t xml:space="preserve"> attributable </w:t>
      </w:r>
      <w:r w:rsidR="003B37F3">
        <w:t xml:space="preserve">to </w:t>
      </w:r>
      <w:r w:rsidR="00427E56">
        <w:t xml:space="preserve">LHVF grants </w:t>
      </w:r>
      <w:r w:rsidR="00342AAB">
        <w:t>being much</w:t>
      </w:r>
      <w:r w:rsidR="00427E56">
        <w:t xml:space="preserve"> great</w:t>
      </w:r>
      <w:r w:rsidR="00481DBE">
        <w:t xml:space="preserve">er in value </w:t>
      </w:r>
      <w:r w:rsidR="00E95A73">
        <w:t>per business</w:t>
      </w:r>
      <w:r w:rsidR="00481DBE">
        <w:t xml:space="preserve"> than BCAP, </w:t>
      </w:r>
      <w:r w:rsidR="00E95A73">
        <w:t xml:space="preserve">which </w:t>
      </w:r>
      <w:r w:rsidR="001D3C53">
        <w:t>reflects</w:t>
      </w:r>
      <w:r w:rsidR="00481DBE">
        <w:t xml:space="preserve"> the </w:t>
      </w:r>
      <w:r w:rsidR="007F0831">
        <w:t xml:space="preserve">more </w:t>
      </w:r>
      <w:r w:rsidR="00E95A73">
        <w:t>extreme</w:t>
      </w:r>
      <w:r w:rsidR="007F0831">
        <w:t xml:space="preserve"> impacts faced by th</w:t>
      </w:r>
      <w:r w:rsidR="00CA4486">
        <w:t>e hospitality sector</w:t>
      </w:r>
      <w:r w:rsidR="00E95A73">
        <w:t>.</w:t>
      </w:r>
    </w:p>
    <w:p w14:paraId="777BD1A9" w14:textId="3E6DBA45" w:rsidR="00CD2C43" w:rsidRPr="002E4865" w:rsidRDefault="00CD2C43" w:rsidP="00021EF3">
      <w:pPr>
        <w:pStyle w:val="Heading3un-numbered"/>
      </w:pPr>
      <w:bookmarkStart w:id="395" w:name="_Toc173244970"/>
      <w:bookmarkStart w:id="396" w:name="_Toc173245885"/>
      <w:bookmarkStart w:id="397" w:name="_Toc173246314"/>
      <w:bookmarkStart w:id="398" w:name="_Toc173308308"/>
      <w:bookmarkStart w:id="399" w:name="_Toc173344730"/>
      <w:bookmarkStart w:id="400" w:name="_Toc173344957"/>
      <w:bookmarkStart w:id="401" w:name="_Toc173915912"/>
      <w:bookmarkStart w:id="402" w:name="_Toc174118158"/>
      <w:bookmarkStart w:id="403" w:name="_Toc176516277"/>
      <w:r>
        <w:t>Distribution of benefits</w:t>
      </w:r>
      <w:bookmarkEnd w:id="395"/>
      <w:bookmarkEnd w:id="396"/>
      <w:bookmarkEnd w:id="397"/>
      <w:bookmarkEnd w:id="398"/>
      <w:bookmarkEnd w:id="399"/>
      <w:bookmarkEnd w:id="400"/>
      <w:bookmarkEnd w:id="401"/>
      <w:bookmarkEnd w:id="402"/>
      <w:bookmarkEnd w:id="403"/>
    </w:p>
    <w:p w14:paraId="62F20D43" w14:textId="0056E460" w:rsidR="00B73612" w:rsidRDefault="003E2F0D" w:rsidP="00021EF3">
      <w:r>
        <w:t xml:space="preserve">Analysis of the program data allows an examination of </w:t>
      </w:r>
      <w:r w:rsidR="006A1506">
        <w:t xml:space="preserve">the distribution of grant funding </w:t>
      </w:r>
      <w:r w:rsidR="00E9659C">
        <w:t xml:space="preserve">based on industry, geographic location and business size. </w:t>
      </w:r>
      <w:r w:rsidR="00EC2AED">
        <w:t xml:space="preserve">While this does not necessarily </w:t>
      </w:r>
      <w:r w:rsidR="00101207">
        <w:t>rep</w:t>
      </w:r>
      <w:r w:rsidR="00C86632">
        <w:t xml:space="preserve">resent how the </w:t>
      </w:r>
      <w:r w:rsidR="00BB479A">
        <w:t xml:space="preserve">impacts at a business level varied based on </w:t>
      </w:r>
      <w:r w:rsidR="00B43E8E">
        <w:t xml:space="preserve">these characteristics, it provides a sense of the </w:t>
      </w:r>
      <w:r w:rsidR="009C7427">
        <w:t>likely distribution of aggregate benefit</w:t>
      </w:r>
      <w:r w:rsidR="00195A2F">
        <w:t>s.</w:t>
      </w:r>
    </w:p>
    <w:p w14:paraId="7F9CF20C" w14:textId="3B10E44A" w:rsidR="00195A2F" w:rsidRDefault="00973257" w:rsidP="00021EF3">
      <w:r>
        <w:t>Analysis of the distribution of grant funding is outlined under Finding 6, which generally shows that, for BCAP</w:t>
      </w:r>
      <w:r w:rsidR="003B0887">
        <w:t xml:space="preserve">, the majority of funding went to non-employing or small businesses </w:t>
      </w:r>
      <w:r w:rsidR="00254BB3">
        <w:t xml:space="preserve">operating in metropolitan areas. </w:t>
      </w:r>
      <w:r w:rsidR="00D17AE3">
        <w:t xml:space="preserve">In terms of industry, </w:t>
      </w:r>
      <w:r w:rsidR="00942E3D">
        <w:t xml:space="preserve">taxi and rideshare drivers received a large portion of </w:t>
      </w:r>
      <w:r w:rsidR="00D42603">
        <w:t>funding</w:t>
      </w:r>
      <w:r w:rsidR="00942E3D">
        <w:t>,</w:t>
      </w:r>
      <w:r w:rsidR="00733D50">
        <w:t xml:space="preserve"> while Cafes and </w:t>
      </w:r>
      <w:r w:rsidR="00D42603">
        <w:t>Restaurants</w:t>
      </w:r>
      <w:r w:rsidR="00733D50">
        <w:t>, Hair and Beauty and</w:t>
      </w:r>
      <w:r w:rsidR="00D42603">
        <w:t xml:space="preserve"> </w:t>
      </w:r>
      <w:r w:rsidR="00BD5459">
        <w:t>Building and Other Industrial Cleaning Services</w:t>
      </w:r>
      <w:r w:rsidR="00D42603">
        <w:t xml:space="preserve"> were also prominent</w:t>
      </w:r>
      <w:r w:rsidR="00B330C9">
        <w:t>.</w:t>
      </w:r>
    </w:p>
    <w:p w14:paraId="5BEDE8C9" w14:textId="27C98E3D" w:rsidR="00B330C9" w:rsidRDefault="009E4C25" w:rsidP="00021EF3">
      <w:r>
        <w:t>Comparatively, t</w:t>
      </w:r>
      <w:r w:rsidR="00B330C9">
        <w:t xml:space="preserve">his analysis showed that </w:t>
      </w:r>
      <w:r>
        <w:t>a much great</w:t>
      </w:r>
      <w:r w:rsidR="00995F6E">
        <w:t>er</w:t>
      </w:r>
      <w:r>
        <w:t xml:space="preserve"> portion of LHVF funding was distributed to employing businesses</w:t>
      </w:r>
      <w:r w:rsidR="001A25E8">
        <w:t>, also largely in metropolitan areas (see Finding 6 for further detail).</w:t>
      </w:r>
    </w:p>
    <w:p w14:paraId="52C8021E" w14:textId="155A640E" w:rsidR="00C908E3" w:rsidRDefault="00E9659C" w:rsidP="00021EF3">
      <w:r>
        <w:t xml:space="preserve">While a fulsome evaluation of </w:t>
      </w:r>
      <w:r w:rsidR="00FB5E90">
        <w:t xml:space="preserve">business level </w:t>
      </w:r>
      <w:r>
        <w:t>outcomes based on</w:t>
      </w:r>
      <w:r w:rsidR="00FB5E90">
        <w:t xml:space="preserve"> industry, business size and geography</w:t>
      </w:r>
      <w:r>
        <w:t xml:space="preserve"> </w:t>
      </w:r>
      <w:r w:rsidR="003D77DE">
        <w:t xml:space="preserve">were </w:t>
      </w:r>
      <w:r>
        <w:t>not feasible within the</w:t>
      </w:r>
      <w:r w:rsidR="00BD7D5A">
        <w:t xml:space="preserve"> constraints of the</w:t>
      </w:r>
      <w:r>
        <w:t xml:space="preserve"> data </w:t>
      </w:r>
      <w:r w:rsidR="00FD06B5">
        <w:t xml:space="preserve">available, </w:t>
      </w:r>
      <w:r w:rsidR="00466086">
        <w:t xml:space="preserve">a discussion </w:t>
      </w:r>
      <w:r w:rsidR="00BD7D5A">
        <w:t>of</w:t>
      </w:r>
      <w:r w:rsidR="00466086">
        <w:t xml:space="preserve"> the variation in impacts </w:t>
      </w:r>
      <w:r w:rsidR="00577EA1">
        <w:t>based on survey analysis for employing and non-employing businesses is considered below in relation to business survival and wellbeing.</w:t>
      </w:r>
      <w:r w:rsidR="003D77DE">
        <w:t xml:space="preserve"> </w:t>
      </w:r>
    </w:p>
    <w:p w14:paraId="5C940D08" w14:textId="383E46AD" w:rsidR="005C7BC0" w:rsidRDefault="005A3242" w:rsidP="00021EF3">
      <w:pPr>
        <w:pStyle w:val="CaptionChart"/>
      </w:pPr>
      <w:r>
        <w:t>:</w:t>
      </w:r>
      <w:r w:rsidR="005C7BC0">
        <w:t xml:space="preserve"> </w:t>
      </w:r>
      <w:r w:rsidR="00F76C3D">
        <w:t xml:space="preserve">Impact of BCAP grant on business survival, employing vs non-employing </w:t>
      </w:r>
      <w:r w:rsidR="006D5220">
        <w:t>businesses.</w:t>
      </w:r>
    </w:p>
    <w:p w14:paraId="02E062EE" w14:textId="11CD0B90" w:rsidR="005C7BC0" w:rsidRDefault="00AB5896" w:rsidP="00021EF3">
      <w:r w:rsidRPr="00AB5896">
        <w:rPr>
          <w:noProof/>
        </w:rPr>
        <w:drawing>
          <wp:inline distT="0" distB="0" distL="0" distR="0" wp14:anchorId="1F142099" wp14:editId="63D93EAC">
            <wp:extent cx="5724000" cy="2592000"/>
            <wp:effectExtent l="0" t="0" r="0" b="0"/>
            <wp:docPr id="37" name="Picture 37" descr="Two stacked bar charts showing the share of employing and non-employing businesses whose Victorian operations would or would not have ceased without BCAP grants. For employing businesses, 89 per cent would have partially or fully ceased operations without the grants, 8 per cent would have continued regardless, and 4 per cent were unsure. For non-employing businesses, 75 per cent would have partially or fully ceased (44 per cent fully, 31 per cent partially), 3 per cent would have continued regardless, and 23 per cent were uns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Two stacked bar charts showing the share of employing and non-employing businesses whose Victorian operations would or would not have ceased without BCAP grants. For employing businesses, 89 per cent would have partially or fully ceased operations without the grants, 8 per cent would have continued regardless, and 4 per cent were unsure. For non-employing businesses, 75 per cent would have partially or fully ceased (44 per cent fully, 31 per cent partially), 3 per cent would have continued regardless, and 23 per cent were uns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000" cy="2592000"/>
                    </a:xfrm>
                    <a:prstGeom prst="rect">
                      <a:avLst/>
                    </a:prstGeom>
                    <a:noFill/>
                    <a:ln>
                      <a:noFill/>
                    </a:ln>
                  </pic:spPr>
                </pic:pic>
              </a:graphicData>
            </a:graphic>
          </wp:inline>
        </w:drawing>
      </w:r>
    </w:p>
    <w:p w14:paraId="19D1BCFD" w14:textId="702D2F50" w:rsidR="005C7BC0" w:rsidRDefault="005C7BC0" w:rsidP="00021EF3">
      <w:pPr>
        <w:pStyle w:val="Source"/>
      </w:pPr>
      <w:r>
        <w:t xml:space="preserve">Source: </w:t>
      </w:r>
      <w:r w:rsidR="000F7512">
        <w:t xml:space="preserve">Business </w:t>
      </w:r>
      <w:r w:rsidR="0095532D">
        <w:t>s</w:t>
      </w:r>
      <w:r w:rsidR="000F7512">
        <w:t>urvey</w:t>
      </w:r>
      <w:r w:rsidR="00792D18">
        <w:t>.</w:t>
      </w:r>
    </w:p>
    <w:p w14:paraId="569D775B" w14:textId="3B507CD5" w:rsidR="00BB4323" w:rsidRPr="00893EB3" w:rsidRDefault="00BB4323" w:rsidP="00021EF3">
      <w:pPr>
        <w:pStyle w:val="Source"/>
        <w:rPr>
          <w:sz w:val="17"/>
        </w:rPr>
      </w:pPr>
      <w:r w:rsidRPr="00BB4323">
        <w:rPr>
          <w:color w:val="auto"/>
          <w:sz w:val="18"/>
        </w:rPr>
        <w:t xml:space="preserve">As shown in Chart 2.11, 50 per cent of employing survey respondents indicated that they would have closed their business operations during the COVID-19 pandemic period if they had not received the BCAP grants, and 39 per cent indicated that they may have had to close. In comparison 44 per cent of non-employing businesses said they would have closed and 31 per cent may have had to close. The largest difference between the employing and non-employing businesses came from those who did not know if their business would have close, only 4 per cent of employing businesses were unsure, in comparison, 23 per cent on non-employing businesses did not know if they would have had to close. Additionally, both employing and non-employing businesses reported that BCAP had a positive effect on their wellbeing. Overall, non-employing businesses reported a more significant </w:t>
      </w:r>
      <w:r w:rsidRPr="00BB4323">
        <w:rPr>
          <w:color w:val="auto"/>
          <w:sz w:val="18"/>
        </w:rPr>
        <w:lastRenderedPageBreak/>
        <w:t xml:space="preserve">positive impact, however they also had a higher per cent of respondents who identified that BCAP did not have a significant impact on their wellbeing during the COVID-19 pandemic period.  </w:t>
      </w:r>
    </w:p>
    <w:p w14:paraId="226BD6B9" w14:textId="1C2D98E6" w:rsidR="000F7512" w:rsidRDefault="005A3242" w:rsidP="00021EF3">
      <w:pPr>
        <w:pStyle w:val="CaptionChart"/>
      </w:pPr>
      <w:r>
        <w:t>:</w:t>
      </w:r>
      <w:r w:rsidR="000F7512">
        <w:t xml:space="preserve"> Impact of BCAP of respondent wellbeing (non-employing businesses)</w:t>
      </w:r>
      <w:r w:rsidR="000A4BB9">
        <w:t>.</w:t>
      </w:r>
    </w:p>
    <w:p w14:paraId="01205F8E" w14:textId="0241431F" w:rsidR="005C68F0" w:rsidRPr="005C68F0" w:rsidRDefault="00831E80" w:rsidP="00021EF3">
      <w:r w:rsidRPr="00831E80">
        <w:rPr>
          <w:noProof/>
        </w:rPr>
        <w:drawing>
          <wp:inline distT="0" distB="0" distL="0" distR="0" wp14:anchorId="6A82DE64" wp14:editId="61326295">
            <wp:extent cx="5727600" cy="2592000"/>
            <wp:effectExtent l="0" t="0" r="6985" b="0"/>
            <wp:docPr id="41" name="Picture 41" descr="Stacked bar chart showing the self-reported impacts of BCAP grants on wellbeing among non-employing businesses, across six statements. Respondents indicated their level of agreement: strongly agree, agree, neither agree nor disagree, disagree, or strongly disagree.&#10;&#10;Statement 1: 75 per cent agreed that BCAP supported their ability to comply with restrictions (52 per cent strongly, 23 per cent somewhat); 16 per cent neither agreed nor disagreed, 2 per cent disagreed, and 7 per cent strongly disagreed.&#10;&#10;Statement 2: 70 per cent agreed that BCAP supported the wellbeing or reduced stress for others in the business (52 per cent strongly, 18 per cent somewhat); 20 per cent neither agreed nor disagreed, 2 per cent disagreed, and 7 per cent strongly disagreed.&#10;&#10;Statement 3: 84 per cent agreed that BCAP helped reduce their stress (61 per cent strongly, 23 per cent somewhat); 7 per cent neither agreed nor disagreed, 2 per cent disagreed, and 7 per cent strongly disagreed.&#10;&#10;Statement 4: 84 per cent agreed that BCAP provided a sense of relief (68 per cent strongly, 16 per cent somewhat); 7 per cent neither agreed nor disagreed, 2 per cent disagreed, and 7 per cent strongly disagreed.&#10;&#10;Statement 5: 84 per cent agreed that BCAP made them feel more secure (61 per cent strongly, 23 per cent somewhat); 7 per cent neither agreed nor disagreed, 2 per cent disagreed, and 7 per cent strongly disagreed.&#10;&#10;Statement 6: 89 per cent agreed that BCAP made them feel supported (64 per cent strongly, 25 per cent somewhat); 2 per cent neither agreed nor disagreed, 2 per cent disagreed, and 7 per cent strongly disagre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Stacked bar chart showing the self-reported impacts of BCAP grants on wellbeing among non-employing businesses, across six statements. Respondents indicated their level of agreement: strongly agree, agree, neither agree nor disagree, disagree, or strongly disagree.&#10;&#10;Statement 1: 75 per cent agreed that BCAP supported their ability to comply with restrictions (52 per cent strongly, 23 per cent somewhat); 16 per cent neither agreed nor disagreed, 2 per cent disagreed, and 7 per cent strongly disagreed.&#10;&#10;Statement 2: 70 per cent agreed that BCAP supported the wellbeing or reduced stress for others in the business (52 per cent strongly, 18 per cent somewhat); 20 per cent neither agreed nor disagreed, 2 per cent disagreed, and 7 per cent strongly disagreed.&#10;&#10;Statement 3: 84 per cent agreed that BCAP helped reduce their stress (61 per cent strongly, 23 per cent somewhat); 7 per cent neither agreed nor disagreed, 2 per cent disagreed, and 7 per cent strongly disagreed.&#10;&#10;Statement 4: 84 per cent agreed that BCAP provided a sense of relief (68 per cent strongly, 16 per cent somewhat); 7 per cent neither agreed nor disagreed, 2 per cent disagreed, and 7 per cent strongly disagreed.&#10;&#10;Statement 5: 84 per cent agreed that BCAP made them feel more secure (61 per cent strongly, 23 per cent somewhat); 7 per cent neither agreed nor disagreed, 2 per cent disagreed, and 7 per cent strongly disagreed.&#10;&#10;Statement 6: 89 per cent agreed that BCAP made them feel supported (64 per cent strongly, 25 per cent somewhat); 2 per cent neither agreed nor disagreed, 2 per cent disagreed, and 7 per cent strongly disagre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600" cy="2592000"/>
                    </a:xfrm>
                    <a:prstGeom prst="rect">
                      <a:avLst/>
                    </a:prstGeom>
                    <a:noFill/>
                    <a:ln>
                      <a:noFill/>
                    </a:ln>
                  </pic:spPr>
                </pic:pic>
              </a:graphicData>
            </a:graphic>
          </wp:inline>
        </w:drawing>
      </w:r>
    </w:p>
    <w:p w14:paraId="62C29B82" w14:textId="20E87E6A" w:rsidR="000F7512" w:rsidRDefault="000F7512" w:rsidP="00021EF3">
      <w:pPr>
        <w:pStyle w:val="Source"/>
      </w:pPr>
      <w:r>
        <w:t>Source: Business survey</w:t>
      </w:r>
      <w:r w:rsidR="00792D18">
        <w:t>.</w:t>
      </w:r>
    </w:p>
    <w:p w14:paraId="2CC210D4" w14:textId="4D7F4206" w:rsidR="000F7512" w:rsidRDefault="005A3242" w:rsidP="00021EF3">
      <w:pPr>
        <w:pStyle w:val="CaptionChart"/>
      </w:pPr>
      <w:r>
        <w:t>:</w:t>
      </w:r>
      <w:r w:rsidR="000F7512">
        <w:t xml:space="preserve"> Impact of BCAP on respondent wellbeing (employing businesses)</w:t>
      </w:r>
      <w:r w:rsidR="000A4BB9">
        <w:t>.</w:t>
      </w:r>
    </w:p>
    <w:p w14:paraId="27CCF8D2" w14:textId="1CB8AB65" w:rsidR="000F7512" w:rsidRPr="000F7512" w:rsidRDefault="00E40DAE" w:rsidP="00021EF3">
      <w:r w:rsidRPr="00E40DAE">
        <w:rPr>
          <w:noProof/>
        </w:rPr>
        <w:drawing>
          <wp:inline distT="0" distB="0" distL="0" distR="0" wp14:anchorId="27699EE0" wp14:editId="1279A5E1">
            <wp:extent cx="5610860" cy="2632075"/>
            <wp:effectExtent l="0" t="0" r="8890" b="0"/>
            <wp:docPr id="1489793635" name="Picture 1489793635" descr="Stacked bar chart showing the self-reported impacts of BCAP grants on wellbeing among employing businesses across six statements. Respondents indicated their level of agreement: strongly agree, agree, neither agree nor disagree, disagree, or strongly disagree.&#10;&#10;Statement 1: 73 per cent agreed that BCAP supported their ability to comply with restrictions (47 per cent strongly, 26 per cent somewhat); 16 per cent neither agreed nor disagreed, 5 per cent disagreed, and 6 per cent strongly disagreed.&#10;&#10;Statement 2: 73 per cent agreed that BCAP supported wellbeing or reduced stress for others in the business (44 per cent strongly, 29 per cent somewhat); 12 per cent neither agreed nor disagreed, 9 per cent disagreed, and 6 per cent strongly disagreed.&#10;&#10;Statement 3: 78 per cent agreed that BCAP helped reduce their stress (50 per cent strongly, 28 per cent somewhat); 9 per cent neither agreed nor disagreed, 5 per cent disagreed, and 8 per cent strongly disagreed.&#10;&#10;Statement 4: 83 per cent agreed that BCAP provided a sense of relief (54 per cent strongly, 29 per cent somewhat); 8 per cent neither agreed nor disagreed, 4 per cent disagreed, and 5 per cent strongly disagreed.&#10;&#10;Statement 5: 78 per cent agreed that BCAP made them feel more secure (51 per cent strongly, 27 per cent somewhat); 12 per cent neither agreed nor disagreed, 8 per cent disagreed, and 2 per cent strongly disagreed.&#10;&#10;Statement 6: 81 per cent agreed that BCAP made them feel supported (53 per cent strongly, 28 per cent somewhat); 12 per cent neither agreed nor disagreed, 5 per cent disagreed, and 2 per cent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35" name="Picture 1489793635" descr="Stacked bar chart showing the self-reported impacts of BCAP grants on wellbeing among employing businesses across six statements. Respondents indicated their level of agreement: strongly agree, agree, neither agree nor disagree, disagree, or strongly disagree.&#10;&#10;Statement 1: 73 per cent agreed that BCAP supported their ability to comply with restrictions (47 per cent strongly, 26 per cent somewhat); 16 per cent neither agreed nor disagreed, 5 per cent disagreed, and 6 per cent strongly disagreed.&#10;&#10;Statement 2: 73 per cent agreed that BCAP supported wellbeing or reduced stress for others in the business (44 per cent strongly, 29 per cent somewhat); 12 per cent neither agreed nor disagreed, 9 per cent disagreed, and 6 per cent strongly disagreed.&#10;&#10;Statement 3: 78 per cent agreed that BCAP helped reduce their stress (50 per cent strongly, 28 per cent somewhat); 9 per cent neither agreed nor disagreed, 5 per cent disagreed, and 8 per cent strongly disagreed.&#10;&#10;Statement 4: 83 per cent agreed that BCAP provided a sense of relief (54 per cent strongly, 29 per cent somewhat); 8 per cent neither agreed nor disagreed, 4 per cent disagreed, and 5 per cent strongly disagreed.&#10;&#10;Statement 5: 78 per cent agreed that BCAP made them feel more secure (51 per cent strongly, 27 per cent somewhat); 12 per cent neither agreed nor disagreed, 8 per cent disagreed, and 2 per cent strongly disagreed.&#10;&#10;Statement 6: 81 per cent agreed that BCAP made them feel supported (53 per cent strongly, 28 per cent somewhat); 12 per cent neither agreed nor disagreed, 5 per cent disagreed, and 2 per cent strongly disagre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860" cy="2632075"/>
                    </a:xfrm>
                    <a:prstGeom prst="rect">
                      <a:avLst/>
                    </a:prstGeom>
                    <a:noFill/>
                    <a:ln>
                      <a:noFill/>
                    </a:ln>
                  </pic:spPr>
                </pic:pic>
              </a:graphicData>
            </a:graphic>
          </wp:inline>
        </w:drawing>
      </w:r>
    </w:p>
    <w:p w14:paraId="28FB8D84" w14:textId="16321C05" w:rsidR="0095532D" w:rsidRPr="000F7512" w:rsidRDefault="0095532D" w:rsidP="00021EF3">
      <w:pPr>
        <w:pStyle w:val="Source"/>
      </w:pPr>
      <w:r>
        <w:t>Source: Business survey</w:t>
      </w:r>
      <w:r w:rsidR="00792D18">
        <w:t>.</w:t>
      </w:r>
    </w:p>
    <w:p w14:paraId="13AD159A" w14:textId="0883C651" w:rsidR="00334720" w:rsidRDefault="00334720" w:rsidP="00021EF3">
      <w:pPr>
        <w:spacing w:after="0" w:line="240" w:lineRule="atLeast"/>
        <w:rPr>
          <w:rFonts w:eastAsiaTheme="majorEastAsia" w:cstheme="majorBidi"/>
          <w:b/>
          <w:bCs/>
          <w:color w:val="62B5E5" w:themeColor="accent3"/>
          <w:sz w:val="22"/>
          <w:szCs w:val="26"/>
        </w:rPr>
      </w:pPr>
      <w:bookmarkStart w:id="404" w:name="_Ref172897203"/>
      <w:r>
        <w:br w:type="page"/>
      </w:r>
    </w:p>
    <w:p w14:paraId="3902C993" w14:textId="59D8B892" w:rsidR="00F31952" w:rsidRPr="00B60B2B" w:rsidRDefault="00A65498" w:rsidP="00021EF3">
      <w:pPr>
        <w:pStyle w:val="Heading2"/>
      </w:pPr>
      <w:bookmarkStart w:id="405" w:name="_Toc173244971"/>
      <w:bookmarkStart w:id="406" w:name="_Ref173343524"/>
      <w:bookmarkStart w:id="407" w:name="_Ref174094778"/>
      <w:bookmarkStart w:id="408" w:name="_Toc176516278"/>
      <w:r>
        <w:lastRenderedPageBreak/>
        <w:t>Value for money</w:t>
      </w:r>
      <w:bookmarkEnd w:id="404"/>
      <w:bookmarkEnd w:id="405"/>
      <w:bookmarkEnd w:id="406"/>
      <w:bookmarkEnd w:id="407"/>
      <w:bookmarkEnd w:id="408"/>
    </w:p>
    <w:p w14:paraId="3E7C3D91" w14:textId="72BD9252" w:rsidR="00305E4C" w:rsidRPr="00F74098" w:rsidRDefault="00F74098" w:rsidP="00021EF3">
      <w:pPr>
        <w:rPr>
          <w:b/>
        </w:rPr>
      </w:pPr>
      <w:r w:rsidRPr="009B0C6A">
        <w:rPr>
          <w:b/>
          <w:bCs/>
          <w:color w:val="62B5E5" w:themeColor="accent3"/>
        </w:rPr>
        <w:t>KEQ</w:t>
      </w:r>
      <w:r w:rsidR="00461935">
        <w:rPr>
          <w:b/>
          <w:bCs/>
          <w:color w:val="62B5E5" w:themeColor="accent3"/>
        </w:rPr>
        <w:t xml:space="preserve"> 4</w:t>
      </w:r>
      <w:r w:rsidRPr="009B0C6A">
        <w:rPr>
          <w:b/>
          <w:bCs/>
          <w:color w:val="62B5E5" w:themeColor="accent3"/>
        </w:rPr>
        <w:t xml:space="preserve">: </w:t>
      </w:r>
      <w:r w:rsidR="00305E4C" w:rsidRPr="009B0C6A">
        <w:rPr>
          <w:b/>
        </w:rPr>
        <w:t>Were the BCAP and LVHF worth implementing? Did the value of the outcomes outweigh the value of the resources used to obtain them?</w:t>
      </w:r>
    </w:p>
    <w:p w14:paraId="660EC4EF" w14:textId="3F719880" w:rsidR="00F74098" w:rsidRDefault="00F74098" w:rsidP="00021EF3">
      <w:pPr>
        <w:pStyle w:val="Heading3SEQs"/>
        <w:rPr>
          <w:b w:val="0"/>
        </w:rPr>
      </w:pPr>
      <w:bookmarkStart w:id="409" w:name="_Ref173939160"/>
      <w:bookmarkStart w:id="410" w:name="_Toc174118160"/>
      <w:bookmarkStart w:id="411" w:name="_Toc176516279"/>
      <w:r w:rsidRPr="00F00EDA">
        <w:t>SEQ</w:t>
      </w:r>
      <w:r>
        <w:t xml:space="preserve"> 13</w:t>
      </w:r>
      <w:r w:rsidRPr="009A3D80">
        <w:t>:</w:t>
      </w:r>
      <w:r w:rsidRPr="00E72CC8">
        <w:t xml:space="preserve"> </w:t>
      </w:r>
      <w:r w:rsidRPr="00893EB3">
        <w:rPr>
          <w:b w:val="0"/>
        </w:rPr>
        <w:t>How valuable were the outcomes to recipients and the community?</w:t>
      </w:r>
      <w:bookmarkEnd w:id="409"/>
      <w:bookmarkEnd w:id="410"/>
      <w:bookmarkEnd w:id="411"/>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051913" w14:paraId="50BCB040" w14:textId="77777777" w:rsidTr="00207E5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494E0257" w14:textId="0C4D60C8" w:rsidR="00051913" w:rsidRPr="00A04FF8" w:rsidRDefault="00051913" w:rsidP="00021EF3">
            <w:pPr>
              <w:spacing w:after="0"/>
              <w:rPr>
                <w:b/>
                <w:bCs/>
              </w:rPr>
            </w:pPr>
            <w:r w:rsidRPr="00A04FF8">
              <w:rPr>
                <w:b/>
                <w:bCs/>
                <w:color w:val="62B5E5" w:themeColor="accent3"/>
              </w:rPr>
              <w:t xml:space="preserve">Finding </w:t>
            </w:r>
            <w:r>
              <w:rPr>
                <w:b/>
                <w:bCs/>
                <w:color w:val="62B5E5" w:themeColor="accent3"/>
              </w:rPr>
              <w:t>13</w:t>
            </w:r>
            <w:r w:rsidRPr="00A04FF8">
              <w:rPr>
                <w:b/>
                <w:bCs/>
                <w:color w:val="62B5E5" w:themeColor="accent3"/>
              </w:rPr>
              <w:t>: </w:t>
            </w:r>
            <w:r w:rsidRPr="00051913">
              <w:rPr>
                <w:b/>
                <w:bCs/>
              </w:rPr>
              <w:t>The CBA suggests that the programs delivered a return to the Victorian economy in that the estimated benefits outweighed the economic costs of delivering the program.</w:t>
            </w:r>
          </w:p>
        </w:tc>
      </w:tr>
    </w:tbl>
    <w:p w14:paraId="623DE87B" w14:textId="2EC134C1" w:rsidR="00F52914" w:rsidRPr="00F52914" w:rsidRDefault="0018200C" w:rsidP="00021EF3">
      <w:pPr>
        <w:spacing w:before="160"/>
      </w:pPr>
      <w:r>
        <w:t xml:space="preserve">Assessment of value for money and the value of outcomes to recipients and the community has been informed by </w:t>
      </w:r>
      <w:r w:rsidR="00C410DA">
        <w:t xml:space="preserve">a </w:t>
      </w:r>
      <w:r>
        <w:t xml:space="preserve">CBA. </w:t>
      </w:r>
      <w:r w:rsidR="00F52914" w:rsidRPr="00F52914">
        <w:t xml:space="preserve">A </w:t>
      </w:r>
      <w:r w:rsidR="00F52914">
        <w:t xml:space="preserve">CBA </w:t>
      </w:r>
      <w:r w:rsidR="00F52914" w:rsidRPr="00F52914">
        <w:t xml:space="preserve">considers economic, environmental and social impacts attributable to an intervention or policy. The CBA only estimates the incremental impact of the </w:t>
      </w:r>
      <w:r w:rsidR="00F52914">
        <w:t>programs</w:t>
      </w:r>
      <w:r w:rsidR="00F52914" w:rsidRPr="00F52914">
        <w:t xml:space="preserve"> – that is, the costs and benefits attributable to the programs relative to a defined base case. In this instance, the base case assumes that the Victorian Government did not operate </w:t>
      </w:r>
      <w:r w:rsidR="00F52914">
        <w:t>BCAP and LHVF.</w:t>
      </w:r>
      <w:r w:rsidR="00F52914" w:rsidRPr="00F52914">
        <w:t xml:space="preserve"> </w:t>
      </w:r>
    </w:p>
    <w:p w14:paraId="7C0CB037" w14:textId="7F405413" w:rsidR="00F52914" w:rsidRPr="00F52914" w:rsidRDefault="00F52914" w:rsidP="00021EF3">
      <w:r w:rsidRPr="00F52914">
        <w:t xml:space="preserve">In this analysis, we estimate the net benefits that accrue </w:t>
      </w:r>
      <w:r w:rsidR="00EE4F73">
        <w:t>within the Victorian economy</w:t>
      </w:r>
      <w:r w:rsidRPr="00F52914">
        <w:t xml:space="preserve"> and costs incurred within Victoria.</w:t>
      </w:r>
    </w:p>
    <w:p w14:paraId="49C01B33" w14:textId="601DB66A" w:rsidR="00D256E4" w:rsidRDefault="00F52914" w:rsidP="00021EF3">
      <w:r w:rsidRPr="00F52914">
        <w:t>Where possible, the incremental costs and benefits of the in-scope programs have been monetised. This is not always possible either due to the effects being non-financial or intangible or there being insufficient data to value those benefits. The CBA framework is outlined</w:t>
      </w:r>
      <w:r w:rsidR="005000A5">
        <w:t xml:space="preserve"> below</w:t>
      </w:r>
      <w:r w:rsidRPr="00F52914">
        <w:t xml:space="preserve"> in </w:t>
      </w:r>
      <w:r w:rsidR="00AE1227">
        <w:fldChar w:fldCharType="begin"/>
      </w:r>
      <w:r w:rsidR="00AE1227">
        <w:instrText xml:space="preserve"> REF _Ref174017678 \r \h </w:instrText>
      </w:r>
      <w:r w:rsidR="00021EF3">
        <w:instrText xml:space="preserve"> \* MERGEFORMAT </w:instrText>
      </w:r>
      <w:r w:rsidR="00AE1227">
        <w:fldChar w:fldCharType="separate"/>
      </w:r>
      <w:r w:rsidR="0016271C">
        <w:t>Table 2.4</w:t>
      </w:r>
      <w:r w:rsidR="00AE1227">
        <w:fldChar w:fldCharType="end"/>
      </w:r>
      <w:r w:rsidRPr="00F52914">
        <w:t>. This shows the categories of costs and benefits measured in this CBA and the evaluation method.</w:t>
      </w:r>
    </w:p>
    <w:p w14:paraId="0D8A509B" w14:textId="6F2B6DD6" w:rsidR="00684D3B" w:rsidRDefault="00F265F1" w:rsidP="00021EF3">
      <w:r>
        <w:t>CBA r</w:t>
      </w:r>
      <w:r w:rsidR="00684D3B">
        <w:t xml:space="preserve">esults are presented for both BCAP and LHVF in aggregate given </w:t>
      </w:r>
      <w:r w:rsidR="009272CF">
        <w:t xml:space="preserve">the econometric modelling did not </w:t>
      </w:r>
      <w:r w:rsidR="00FE6DEF">
        <w:t xml:space="preserve">yield </w:t>
      </w:r>
      <w:r>
        <w:t>markedly different results between the two programs for key treatment effects.</w:t>
      </w:r>
    </w:p>
    <w:p w14:paraId="5096AAF3" w14:textId="45DBCD7B" w:rsidR="0044307F" w:rsidRDefault="0044307F" w:rsidP="00021EF3">
      <w:r>
        <w:t>All benefits and costs are presented in net present value (NPV) terms</w:t>
      </w:r>
      <w:r w:rsidR="00703B42">
        <w:t>. H</w:t>
      </w:r>
      <w:r>
        <w:t>istorical costs and benefits</w:t>
      </w:r>
      <w:r w:rsidR="00703B42">
        <w:t xml:space="preserve"> are</w:t>
      </w:r>
      <w:r>
        <w:t xml:space="preserve"> inflated </w:t>
      </w:r>
      <w:r w:rsidR="00814CFA">
        <w:t>to</w:t>
      </w:r>
      <w:r>
        <w:t xml:space="preserve"> 2024 </w:t>
      </w:r>
      <w:r w:rsidR="00930371">
        <w:t>dollars</w:t>
      </w:r>
      <w:r>
        <w:t xml:space="preserve"> </w:t>
      </w:r>
      <w:r w:rsidR="00703B42">
        <w:t xml:space="preserve">using </w:t>
      </w:r>
      <w:r w:rsidR="00991EAC">
        <w:t xml:space="preserve">consumer price </w:t>
      </w:r>
      <w:r w:rsidR="00FE1080">
        <w:t>index</w:t>
      </w:r>
      <w:r w:rsidR="00991EAC">
        <w:t xml:space="preserve"> (</w:t>
      </w:r>
      <w:r w:rsidR="00703B42">
        <w:t>CPI</w:t>
      </w:r>
      <w:r w:rsidR="00991EAC">
        <w:t>)</w:t>
      </w:r>
      <w:r w:rsidR="00703B42">
        <w:t xml:space="preserve"> over the relevant period. F</w:t>
      </w:r>
      <w:r w:rsidR="00814CFA">
        <w:t xml:space="preserve">uture costs and benefits </w:t>
      </w:r>
      <w:r w:rsidR="0027762C">
        <w:t xml:space="preserve">are </w:t>
      </w:r>
      <w:r w:rsidR="00814CFA">
        <w:t>discounted using a real discount rate of 7</w:t>
      </w:r>
      <w:r w:rsidR="002F340B">
        <w:t xml:space="preserve"> per cent</w:t>
      </w:r>
      <w:r w:rsidR="00703B42">
        <w:t xml:space="preserve"> as per </w:t>
      </w:r>
      <w:r w:rsidR="00686D46">
        <w:t>Department of Treasury and Finance (</w:t>
      </w:r>
      <w:r w:rsidR="00703B42">
        <w:t>DTF</w:t>
      </w:r>
      <w:r w:rsidR="00686D46">
        <w:t>)</w:t>
      </w:r>
      <w:r w:rsidR="00703B42">
        <w:t xml:space="preserve"> guidance for benefits which are more easily translated into monetary terms (e.g., producer surplus, labour surplus).</w:t>
      </w:r>
      <w:r w:rsidR="00E86729">
        <w:rPr>
          <w:rStyle w:val="EndnoteReference"/>
        </w:rPr>
        <w:endnoteReference w:id="31"/>
      </w:r>
    </w:p>
    <w:p w14:paraId="30C1C6B1" w14:textId="0170EF61" w:rsidR="00AE1227" w:rsidRDefault="00AE1227" w:rsidP="00021EF3">
      <w:pPr>
        <w:pStyle w:val="CaptionTable"/>
      </w:pPr>
      <w:bookmarkStart w:id="412" w:name="_Ref174017678"/>
      <w:r>
        <w:t>: CBA framework</w:t>
      </w:r>
      <w:bookmarkEnd w:id="412"/>
      <w:r w:rsidR="00792D18">
        <w:t>.</w:t>
      </w:r>
    </w:p>
    <w:tbl>
      <w:tblPr>
        <w:tblStyle w:val="Deloittetable"/>
        <w:tblW w:w="9102" w:type="dxa"/>
        <w:tblLook w:val="04A0" w:firstRow="1" w:lastRow="0" w:firstColumn="1" w:lastColumn="0" w:noHBand="0" w:noVBand="1"/>
      </w:tblPr>
      <w:tblGrid>
        <w:gridCol w:w="6086"/>
        <w:gridCol w:w="3016"/>
      </w:tblGrid>
      <w:tr w:rsidR="00DC573D" w14:paraId="7A03ACD7" w14:textId="77777777" w:rsidTr="00DC573D">
        <w:trPr>
          <w:cnfStyle w:val="100000000000" w:firstRow="1" w:lastRow="0" w:firstColumn="0" w:lastColumn="0" w:oddVBand="0" w:evenVBand="0" w:oddHBand="0" w:evenHBand="0" w:firstRowFirstColumn="0" w:firstRowLastColumn="0" w:lastRowFirstColumn="0" w:lastRowLastColumn="0"/>
          <w:trHeight w:val="273"/>
          <w:tblHeader/>
        </w:trPr>
        <w:tc>
          <w:tcPr>
            <w:tcW w:w="6086" w:type="dxa"/>
          </w:tcPr>
          <w:p w14:paraId="13E39E22" w14:textId="77777777" w:rsidR="00DC573D" w:rsidRPr="00144137" w:rsidRDefault="00DC573D" w:rsidP="00021EF3">
            <w:pPr>
              <w:spacing w:beforeLines="20" w:before="48" w:afterLines="20" w:after="48"/>
              <w:rPr>
                <w:b/>
              </w:rPr>
            </w:pPr>
            <w:r w:rsidRPr="00144137">
              <w:rPr>
                <w:b/>
              </w:rPr>
              <w:t>Measure</w:t>
            </w:r>
          </w:p>
        </w:tc>
        <w:tc>
          <w:tcPr>
            <w:tcW w:w="3016" w:type="dxa"/>
            <w:vAlign w:val="center"/>
          </w:tcPr>
          <w:p w14:paraId="1E36301B" w14:textId="75785FC9" w:rsidR="00DC573D" w:rsidRPr="00204645" w:rsidRDefault="00DC573D" w:rsidP="00021EF3">
            <w:pPr>
              <w:spacing w:beforeLines="20" w:before="48" w:afterLines="20" w:after="48"/>
              <w:rPr>
                <w:b/>
              </w:rPr>
            </w:pPr>
            <w:r>
              <w:rPr>
                <w:b/>
              </w:rPr>
              <w:t>Evaluation</w:t>
            </w:r>
          </w:p>
        </w:tc>
      </w:tr>
      <w:tr w:rsidR="00DC573D" w14:paraId="5A2A2C28" w14:textId="77777777" w:rsidTr="00DC573D">
        <w:trPr>
          <w:trHeight w:val="287"/>
        </w:trPr>
        <w:tc>
          <w:tcPr>
            <w:tcW w:w="6086" w:type="dxa"/>
            <w:shd w:val="clear" w:color="auto" w:fill="DFF0F9" w:themeFill="accent3" w:themeFillTint="33"/>
          </w:tcPr>
          <w:p w14:paraId="7A0AA013" w14:textId="05F416D8" w:rsidR="00DC573D" w:rsidRPr="00144137" w:rsidRDefault="00DC573D" w:rsidP="00021EF3">
            <w:pPr>
              <w:spacing w:beforeLines="20" w:before="48" w:afterLines="20" w:after="48"/>
              <w:rPr>
                <w:b/>
              </w:rPr>
            </w:pPr>
            <w:r>
              <w:rPr>
                <w:b/>
              </w:rPr>
              <w:t>Benefits</w:t>
            </w:r>
          </w:p>
        </w:tc>
        <w:tc>
          <w:tcPr>
            <w:tcW w:w="3016" w:type="dxa"/>
            <w:shd w:val="clear" w:color="auto" w:fill="DFF0F9" w:themeFill="accent3" w:themeFillTint="33"/>
            <w:vAlign w:val="center"/>
          </w:tcPr>
          <w:p w14:paraId="04ABEF5E" w14:textId="77777777" w:rsidR="00DC573D" w:rsidRPr="00AF335B" w:rsidRDefault="00DC573D" w:rsidP="00021EF3">
            <w:pPr>
              <w:spacing w:beforeLines="20" w:before="48" w:afterLines="20" w:after="48"/>
            </w:pPr>
          </w:p>
        </w:tc>
      </w:tr>
      <w:tr w:rsidR="00DC573D" w14:paraId="11E7FAB7" w14:textId="77777777" w:rsidTr="00DC573D">
        <w:trPr>
          <w:trHeight w:val="273"/>
        </w:trPr>
        <w:tc>
          <w:tcPr>
            <w:tcW w:w="6086" w:type="dxa"/>
          </w:tcPr>
          <w:p w14:paraId="1EECE0A9" w14:textId="015E68A2" w:rsidR="00DC573D" w:rsidRDefault="00DC573D" w:rsidP="00021EF3">
            <w:pPr>
              <w:spacing w:beforeLines="20" w:before="48" w:afterLines="20" w:after="48"/>
            </w:pPr>
            <w:r>
              <w:t>Business survival</w:t>
            </w:r>
          </w:p>
        </w:tc>
        <w:tc>
          <w:tcPr>
            <w:tcW w:w="3016" w:type="dxa"/>
            <w:vAlign w:val="center"/>
          </w:tcPr>
          <w:p w14:paraId="00737CFA" w14:textId="417784C4" w:rsidR="00DC573D" w:rsidRDefault="00DC573D" w:rsidP="00021EF3">
            <w:pPr>
              <w:spacing w:beforeLines="20" w:before="48" w:afterLines="20" w:after="48"/>
            </w:pPr>
            <w:r>
              <w:t>Monetised</w:t>
            </w:r>
          </w:p>
        </w:tc>
      </w:tr>
      <w:tr w:rsidR="00DC573D" w14:paraId="6E0DA09C" w14:textId="77777777" w:rsidTr="00DC573D">
        <w:trPr>
          <w:trHeight w:val="287"/>
        </w:trPr>
        <w:tc>
          <w:tcPr>
            <w:tcW w:w="6086" w:type="dxa"/>
          </w:tcPr>
          <w:p w14:paraId="0B89ED3D" w14:textId="2DF6C3C6" w:rsidR="00DC573D" w:rsidRDefault="00CE74CB" w:rsidP="00021EF3">
            <w:pPr>
              <w:spacing w:beforeLines="20" w:before="48" w:afterLines="20" w:after="48"/>
            </w:pPr>
            <w:r>
              <w:t>Employment benefits (increased hours worked)</w:t>
            </w:r>
          </w:p>
        </w:tc>
        <w:tc>
          <w:tcPr>
            <w:tcW w:w="3016" w:type="dxa"/>
            <w:vAlign w:val="center"/>
          </w:tcPr>
          <w:p w14:paraId="455EFDD3" w14:textId="43420101" w:rsidR="00DC573D" w:rsidRDefault="00DC573D" w:rsidP="00021EF3">
            <w:pPr>
              <w:spacing w:beforeLines="20" w:before="48" w:afterLines="20" w:after="48"/>
            </w:pPr>
            <w:r>
              <w:t>Monetised</w:t>
            </w:r>
          </w:p>
        </w:tc>
      </w:tr>
      <w:tr w:rsidR="0027762C" w14:paraId="33D54825" w14:textId="77777777" w:rsidTr="00DC573D">
        <w:trPr>
          <w:trHeight w:val="287"/>
        </w:trPr>
        <w:tc>
          <w:tcPr>
            <w:tcW w:w="6086" w:type="dxa"/>
          </w:tcPr>
          <w:p w14:paraId="4253B4D1" w14:textId="05BF08EB" w:rsidR="0027762C" w:rsidRDefault="0027762C" w:rsidP="00021EF3">
            <w:pPr>
              <w:spacing w:beforeLines="20" w:before="48" w:afterLines="20" w:after="48"/>
            </w:pPr>
            <w:r>
              <w:t>Grant payments</w:t>
            </w:r>
          </w:p>
        </w:tc>
        <w:tc>
          <w:tcPr>
            <w:tcW w:w="3016" w:type="dxa"/>
            <w:vAlign w:val="center"/>
          </w:tcPr>
          <w:p w14:paraId="204C8D4B" w14:textId="7BA43188" w:rsidR="0027762C" w:rsidRDefault="00E43538" w:rsidP="00021EF3">
            <w:pPr>
              <w:spacing w:beforeLines="20" w:before="48" w:afterLines="20" w:after="48"/>
            </w:pPr>
            <w:r>
              <w:t>Monetised</w:t>
            </w:r>
          </w:p>
        </w:tc>
      </w:tr>
      <w:tr w:rsidR="00DC573D" w14:paraId="1C90135A" w14:textId="77777777" w:rsidTr="00DC573D">
        <w:trPr>
          <w:trHeight w:val="287"/>
        </w:trPr>
        <w:tc>
          <w:tcPr>
            <w:tcW w:w="6086" w:type="dxa"/>
          </w:tcPr>
          <w:p w14:paraId="1BD76A79" w14:textId="226DC24E" w:rsidR="00DC573D" w:rsidRDefault="00DC573D" w:rsidP="00021EF3">
            <w:pPr>
              <w:spacing w:beforeLines="20" w:before="48" w:afterLines="20" w:after="48"/>
            </w:pPr>
            <w:r>
              <w:t>Wellbeing benefits</w:t>
            </w:r>
          </w:p>
        </w:tc>
        <w:tc>
          <w:tcPr>
            <w:tcW w:w="3016" w:type="dxa"/>
            <w:vAlign w:val="center"/>
          </w:tcPr>
          <w:p w14:paraId="321C69B7" w14:textId="65ABA56E" w:rsidR="00DC573D" w:rsidRDefault="00DC573D" w:rsidP="00021EF3">
            <w:pPr>
              <w:spacing w:beforeLines="20" w:before="48" w:afterLines="20" w:after="48"/>
            </w:pPr>
            <w:r>
              <w:t>Qualitative</w:t>
            </w:r>
          </w:p>
        </w:tc>
      </w:tr>
      <w:tr w:rsidR="00DC573D" w14:paraId="45E28084" w14:textId="77777777" w:rsidTr="00DC573D">
        <w:trPr>
          <w:trHeight w:val="287"/>
        </w:trPr>
        <w:tc>
          <w:tcPr>
            <w:tcW w:w="6086" w:type="dxa"/>
          </w:tcPr>
          <w:p w14:paraId="08F9F121" w14:textId="4D513EAD" w:rsidR="00DC573D" w:rsidRDefault="00DC573D" w:rsidP="00021EF3">
            <w:pPr>
              <w:spacing w:beforeLines="20" w:before="48" w:afterLines="20" w:after="48"/>
            </w:pPr>
            <w:r>
              <w:t>Business confidence</w:t>
            </w:r>
          </w:p>
        </w:tc>
        <w:tc>
          <w:tcPr>
            <w:tcW w:w="3016" w:type="dxa"/>
            <w:vAlign w:val="center"/>
          </w:tcPr>
          <w:p w14:paraId="77A426C6" w14:textId="3A8337A7" w:rsidR="00DC573D" w:rsidRDefault="00DC573D" w:rsidP="00021EF3">
            <w:pPr>
              <w:spacing w:beforeLines="20" w:before="48" w:afterLines="20" w:after="48"/>
            </w:pPr>
            <w:r>
              <w:t>Qualitative</w:t>
            </w:r>
          </w:p>
        </w:tc>
      </w:tr>
      <w:tr w:rsidR="00DC573D" w14:paraId="4AA1F8C4" w14:textId="77777777" w:rsidTr="00DC573D">
        <w:trPr>
          <w:trHeight w:val="273"/>
        </w:trPr>
        <w:tc>
          <w:tcPr>
            <w:tcW w:w="6086" w:type="dxa"/>
          </w:tcPr>
          <w:p w14:paraId="2D0C8A6A" w14:textId="1460EB9C" w:rsidR="00DC573D" w:rsidRDefault="00DC573D" w:rsidP="00021EF3">
            <w:pPr>
              <w:spacing w:beforeLines="20" w:before="48" w:afterLines="20" w:after="48"/>
            </w:pPr>
            <w:r>
              <w:t>Cost coverage</w:t>
            </w:r>
          </w:p>
        </w:tc>
        <w:tc>
          <w:tcPr>
            <w:tcW w:w="3016" w:type="dxa"/>
            <w:vAlign w:val="center"/>
          </w:tcPr>
          <w:p w14:paraId="5526BE20" w14:textId="5AC30234" w:rsidR="00DC573D" w:rsidRDefault="00DC573D" w:rsidP="00021EF3">
            <w:pPr>
              <w:spacing w:beforeLines="20" w:before="48" w:afterLines="20" w:after="48"/>
            </w:pPr>
            <w:r>
              <w:t>Qualitative</w:t>
            </w:r>
          </w:p>
        </w:tc>
      </w:tr>
      <w:tr w:rsidR="00DC573D" w14:paraId="4813E7C6" w14:textId="77777777" w:rsidTr="00DC573D">
        <w:trPr>
          <w:trHeight w:val="287"/>
        </w:trPr>
        <w:tc>
          <w:tcPr>
            <w:tcW w:w="6086" w:type="dxa"/>
            <w:shd w:val="clear" w:color="auto" w:fill="DFF0F9" w:themeFill="accent3" w:themeFillTint="33"/>
          </w:tcPr>
          <w:p w14:paraId="5E431A3E" w14:textId="5AC44B05" w:rsidR="00DC573D" w:rsidRPr="00144137" w:rsidRDefault="00DC573D" w:rsidP="00021EF3">
            <w:pPr>
              <w:spacing w:beforeLines="20" w:before="48" w:afterLines="20" w:after="48"/>
              <w:rPr>
                <w:b/>
              </w:rPr>
            </w:pPr>
            <w:r>
              <w:rPr>
                <w:b/>
              </w:rPr>
              <w:t>Costs</w:t>
            </w:r>
          </w:p>
        </w:tc>
        <w:tc>
          <w:tcPr>
            <w:tcW w:w="3016" w:type="dxa"/>
            <w:shd w:val="clear" w:color="auto" w:fill="DFF0F9" w:themeFill="accent3" w:themeFillTint="33"/>
            <w:vAlign w:val="center"/>
          </w:tcPr>
          <w:p w14:paraId="4F529F5A" w14:textId="77777777" w:rsidR="00DC573D" w:rsidRPr="00571CBE" w:rsidRDefault="00DC573D" w:rsidP="00021EF3">
            <w:pPr>
              <w:spacing w:beforeLines="20" w:before="48" w:afterLines="20" w:after="48"/>
            </w:pPr>
          </w:p>
        </w:tc>
      </w:tr>
      <w:tr w:rsidR="00DC573D" w14:paraId="711A5A02" w14:textId="77777777" w:rsidTr="00DC573D">
        <w:trPr>
          <w:trHeight w:val="287"/>
        </w:trPr>
        <w:tc>
          <w:tcPr>
            <w:tcW w:w="6086" w:type="dxa"/>
          </w:tcPr>
          <w:p w14:paraId="3EAF6BC0" w14:textId="6CB27CA2" w:rsidR="00DC573D" w:rsidRDefault="000C3972" w:rsidP="00021EF3">
            <w:pPr>
              <w:spacing w:beforeLines="20" w:before="48" w:afterLines="20" w:after="48"/>
            </w:pPr>
            <w:r>
              <w:t>Resourcing and administrative costs</w:t>
            </w:r>
          </w:p>
        </w:tc>
        <w:tc>
          <w:tcPr>
            <w:tcW w:w="3016" w:type="dxa"/>
            <w:vAlign w:val="center"/>
          </w:tcPr>
          <w:p w14:paraId="6AC56FE7" w14:textId="2D064E28" w:rsidR="00DC573D" w:rsidRDefault="00A1401E" w:rsidP="00021EF3">
            <w:pPr>
              <w:spacing w:beforeLines="20" w:before="48" w:afterLines="20" w:after="48"/>
            </w:pPr>
            <w:r>
              <w:t>Monetised</w:t>
            </w:r>
          </w:p>
        </w:tc>
      </w:tr>
      <w:tr w:rsidR="00DC573D" w14:paraId="5655793D" w14:textId="77777777" w:rsidTr="00DC573D">
        <w:trPr>
          <w:trHeight w:val="273"/>
        </w:trPr>
        <w:tc>
          <w:tcPr>
            <w:tcW w:w="6086" w:type="dxa"/>
          </w:tcPr>
          <w:p w14:paraId="1AFC048D" w14:textId="77075C93" w:rsidR="00DC573D" w:rsidRDefault="00CD0A47" w:rsidP="00021EF3">
            <w:pPr>
              <w:spacing w:beforeLines="20" w:before="48" w:afterLines="20" w:after="48"/>
            </w:pPr>
            <w:r>
              <w:t>Marginal excess burden of taxation</w:t>
            </w:r>
          </w:p>
        </w:tc>
        <w:tc>
          <w:tcPr>
            <w:tcW w:w="3016" w:type="dxa"/>
            <w:vAlign w:val="center"/>
          </w:tcPr>
          <w:p w14:paraId="51475895" w14:textId="4DEF1721" w:rsidR="00DC573D" w:rsidRDefault="00A1401E" w:rsidP="00021EF3">
            <w:pPr>
              <w:spacing w:beforeLines="20" w:before="48" w:afterLines="20" w:after="48"/>
            </w:pPr>
            <w:r>
              <w:t>Monetised</w:t>
            </w:r>
          </w:p>
        </w:tc>
      </w:tr>
      <w:tr w:rsidR="0027762C" w14:paraId="3307F941" w14:textId="77777777" w:rsidTr="00DC573D">
        <w:trPr>
          <w:trHeight w:val="273"/>
        </w:trPr>
        <w:tc>
          <w:tcPr>
            <w:tcW w:w="6086" w:type="dxa"/>
          </w:tcPr>
          <w:p w14:paraId="5E11A5D8" w14:textId="0F7E5A2F" w:rsidR="0027762C" w:rsidRDefault="0027762C" w:rsidP="00021EF3">
            <w:pPr>
              <w:spacing w:beforeLines="20" w:before="48" w:afterLines="20" w:after="48"/>
            </w:pPr>
            <w:r>
              <w:t>Grant payments</w:t>
            </w:r>
          </w:p>
        </w:tc>
        <w:tc>
          <w:tcPr>
            <w:tcW w:w="3016" w:type="dxa"/>
            <w:vAlign w:val="center"/>
          </w:tcPr>
          <w:p w14:paraId="66144780" w14:textId="5574AB19" w:rsidR="0027762C" w:rsidRDefault="00E43538" w:rsidP="00021EF3">
            <w:pPr>
              <w:spacing w:beforeLines="20" w:before="48" w:afterLines="20" w:after="48"/>
            </w:pPr>
            <w:r>
              <w:t>Monetised</w:t>
            </w:r>
          </w:p>
        </w:tc>
      </w:tr>
    </w:tbl>
    <w:p w14:paraId="2880FE6D" w14:textId="429705D0" w:rsidR="00446D64" w:rsidRDefault="00254A2F" w:rsidP="00021EF3">
      <w:pPr>
        <w:pStyle w:val="Source"/>
      </w:pPr>
      <w:r>
        <w:t>Source: Deloitte Access Economics</w:t>
      </w:r>
      <w:r w:rsidR="00A73764">
        <w:t>.</w:t>
      </w:r>
    </w:p>
    <w:p w14:paraId="455B0706" w14:textId="0D68C8DE" w:rsidR="00D81769" w:rsidRDefault="00110041" w:rsidP="00021EF3">
      <w:pPr>
        <w:pStyle w:val="Heading3un-numbered"/>
      </w:pPr>
      <w:bookmarkStart w:id="413" w:name="_Toc174118161"/>
      <w:bookmarkStart w:id="414" w:name="_Toc176516280"/>
      <w:r>
        <w:t>Business survival</w:t>
      </w:r>
      <w:bookmarkEnd w:id="413"/>
      <w:bookmarkEnd w:id="414"/>
    </w:p>
    <w:p w14:paraId="528F91ED" w14:textId="6D3D8ACC" w:rsidR="00110041" w:rsidRDefault="006B7D46" w:rsidP="00021EF3">
      <w:pPr>
        <w:pStyle w:val="NoSpacing"/>
      </w:pPr>
      <w:r>
        <w:t xml:space="preserve">Benefits related to business survival were </w:t>
      </w:r>
      <w:r w:rsidR="00313165">
        <w:t>modelled</w:t>
      </w:r>
      <w:r w:rsidR="00226BF1">
        <w:t xml:space="preserve"> </w:t>
      </w:r>
      <w:r w:rsidR="00201DAA">
        <w:t xml:space="preserve">based on regression outputs which </w:t>
      </w:r>
      <w:r w:rsidR="00313165">
        <w:t>estimate the effect of the grants on survival rates in 2021 and 2022</w:t>
      </w:r>
      <w:r w:rsidR="00023784">
        <w:t xml:space="preserve"> (see </w:t>
      </w:r>
      <w:r w:rsidR="00023784">
        <w:fldChar w:fldCharType="begin"/>
      </w:r>
      <w:r w:rsidR="00023784">
        <w:instrText xml:space="preserve"> REF _Ref172634402 \r \h </w:instrText>
      </w:r>
      <w:r w:rsidR="00021EF3">
        <w:instrText xml:space="preserve"> \* MERGEFORMAT </w:instrText>
      </w:r>
      <w:r w:rsidR="00023784">
        <w:fldChar w:fldCharType="separate"/>
      </w:r>
      <w:r w:rsidR="0016271C">
        <w:t>Appendix A</w:t>
      </w:r>
      <w:r w:rsidR="00023784">
        <w:fldChar w:fldCharType="end"/>
      </w:r>
      <w:r w:rsidR="00023784">
        <w:t xml:space="preserve"> </w:t>
      </w:r>
      <w:r w:rsidR="000B0097">
        <w:t xml:space="preserve">and </w:t>
      </w:r>
      <w:r w:rsidR="000B0097">
        <w:fldChar w:fldCharType="begin"/>
      </w:r>
      <w:r w:rsidR="000B0097">
        <w:instrText xml:space="preserve"> REF _Ref174097460 \r \h </w:instrText>
      </w:r>
      <w:r w:rsidR="00021EF3">
        <w:instrText xml:space="preserve"> \* MERGEFORMAT </w:instrText>
      </w:r>
      <w:r w:rsidR="000B0097">
        <w:fldChar w:fldCharType="separate"/>
      </w:r>
      <w:r w:rsidR="0016271C">
        <w:t>Table A.5</w:t>
      </w:r>
      <w:r w:rsidR="000B0097">
        <w:fldChar w:fldCharType="end"/>
      </w:r>
      <w:r w:rsidR="000B0097">
        <w:t xml:space="preserve"> </w:t>
      </w:r>
      <w:r w:rsidR="00023784">
        <w:t>for</w:t>
      </w:r>
      <w:r w:rsidR="000B0097">
        <w:t xml:space="preserve"> </w:t>
      </w:r>
      <w:r w:rsidR="00D1629D">
        <w:t>description</w:t>
      </w:r>
      <w:r w:rsidR="00023784">
        <w:t xml:space="preserve"> </w:t>
      </w:r>
      <w:r w:rsidR="000B0097">
        <w:t xml:space="preserve">and outputs </w:t>
      </w:r>
      <w:r w:rsidR="00023784">
        <w:t>of the regression analysis).</w:t>
      </w:r>
      <w:r w:rsidR="00BA74A0">
        <w:t xml:space="preserve"> This analysis was used to estimate the number of grant recipients that survived in the project case relative to the base case.</w:t>
      </w:r>
      <w:r w:rsidR="00D1629D">
        <w:t xml:space="preserve"> </w:t>
      </w:r>
      <w:r w:rsidR="008B03DB">
        <w:t xml:space="preserve">In particular, the number of businesses </w:t>
      </w:r>
      <w:r w:rsidR="00E148E9">
        <w:t xml:space="preserve">that </w:t>
      </w:r>
      <w:r w:rsidR="008B03DB">
        <w:t xml:space="preserve">survived in the project case was estimated by applying </w:t>
      </w:r>
      <w:r w:rsidR="002417B9">
        <w:t xml:space="preserve">the </w:t>
      </w:r>
      <w:r w:rsidR="00A108A3">
        <w:t xml:space="preserve">observed </w:t>
      </w:r>
      <w:r w:rsidR="00E7547B">
        <w:t>survival rate for</w:t>
      </w:r>
      <w:r w:rsidR="00A874D4">
        <w:t xml:space="preserve"> all Victorian businesses in addition </w:t>
      </w:r>
      <w:r w:rsidR="001C76D5">
        <w:t xml:space="preserve">to the estimated </w:t>
      </w:r>
      <w:r w:rsidR="001C76D5">
        <w:lastRenderedPageBreak/>
        <w:t>effect of grant receival on survival.</w:t>
      </w:r>
      <w:r w:rsidR="006C2938">
        <w:t xml:space="preserve"> The base case survival rate was estimated based </w:t>
      </w:r>
      <w:r w:rsidR="00477CC5">
        <w:t xml:space="preserve">the observed survival rate for all Victorian </w:t>
      </w:r>
      <w:r w:rsidR="00A108A3">
        <w:t>business</w:t>
      </w:r>
      <w:r w:rsidR="00477CC5">
        <w:t>.</w:t>
      </w:r>
    </w:p>
    <w:p w14:paraId="4708D984" w14:textId="6CF07E17" w:rsidR="00A108A3" w:rsidRDefault="00B3424B" w:rsidP="00021EF3">
      <w:r>
        <w:t xml:space="preserve">This provided estimates of the number of businesses within each industry which </w:t>
      </w:r>
      <w:r w:rsidR="00762749">
        <w:t xml:space="preserve">would not have </w:t>
      </w:r>
      <w:r w:rsidR="001A534F">
        <w:t xml:space="preserve">survived in </w:t>
      </w:r>
      <w:r w:rsidR="00616643">
        <w:t>the base case</w:t>
      </w:r>
      <w:r w:rsidR="001F004A">
        <w:t xml:space="preserve">, with the monetary benefit quantified being the </w:t>
      </w:r>
      <w:r w:rsidR="00BD31CB">
        <w:t>gross operating surplus (GOS)</w:t>
      </w:r>
      <w:r w:rsidR="003308AE">
        <w:t xml:space="preserve"> (or producer surplus)</w:t>
      </w:r>
      <w:r w:rsidR="00BD31CB">
        <w:t xml:space="preserve"> </w:t>
      </w:r>
      <w:r w:rsidR="00946CEE">
        <w:t>that these businesses received over the relevant period.</w:t>
      </w:r>
    </w:p>
    <w:p w14:paraId="03C5AE12" w14:textId="5C71AD11" w:rsidR="0023098B" w:rsidRDefault="0023098B" w:rsidP="00021EF3">
      <w:r>
        <w:t xml:space="preserve">GOS per business was estimated </w:t>
      </w:r>
      <w:r w:rsidR="00410195">
        <w:t xml:space="preserve">by combining an assumption of average revenue per business </w:t>
      </w:r>
      <w:r w:rsidR="009262AE">
        <w:t xml:space="preserve">(based on ABS </w:t>
      </w:r>
      <w:r w:rsidR="00485294">
        <w:t>Australian Industry data</w:t>
      </w:r>
      <w:r w:rsidR="009262AE">
        <w:t xml:space="preserve"> and ABS Counts of Australian Business</w:t>
      </w:r>
      <w:r w:rsidR="00E809D0">
        <w:t>es data</w:t>
      </w:r>
      <w:r w:rsidR="009262AE">
        <w:t>)</w:t>
      </w:r>
      <w:r w:rsidR="00D31404">
        <w:t xml:space="preserve"> and </w:t>
      </w:r>
      <w:r w:rsidR="00095936">
        <w:t>a ratio of GOS to revenue (based on ABS 2021-2</w:t>
      </w:r>
      <w:r w:rsidR="008C7376">
        <w:t>2</w:t>
      </w:r>
      <w:r w:rsidR="00095936">
        <w:t xml:space="preserve"> Input-Output tables).</w:t>
      </w:r>
      <w:r w:rsidR="00FA65E5">
        <w:t xml:space="preserve"> This was then aggregated </w:t>
      </w:r>
      <w:r w:rsidR="00216D1D">
        <w:t xml:space="preserve">over all businesses </w:t>
      </w:r>
      <w:r w:rsidR="00E148E9">
        <w:t xml:space="preserve">that </w:t>
      </w:r>
      <w:r w:rsidR="00216D1D">
        <w:t>survived relative to the base case in each year to determine the aggregate benefit.</w:t>
      </w:r>
    </w:p>
    <w:p w14:paraId="0BAED513" w14:textId="63002CC9" w:rsidR="00EE764D" w:rsidRDefault="00EE764D" w:rsidP="00021EF3">
      <w:pPr>
        <w:pStyle w:val="Heading3un-numbered"/>
      </w:pPr>
      <w:bookmarkStart w:id="415" w:name="_Toc174118162"/>
      <w:bookmarkStart w:id="416" w:name="_Toc176516281"/>
      <w:r>
        <w:t>Increased hours worked</w:t>
      </w:r>
      <w:bookmarkEnd w:id="415"/>
      <w:bookmarkEnd w:id="416"/>
    </w:p>
    <w:p w14:paraId="65A993B3" w14:textId="1A8A414C" w:rsidR="00BF5763" w:rsidRDefault="00B062B9" w:rsidP="00021EF3">
      <w:r>
        <w:t>Employment benefits were estimated as the labour surplus associated with increased hours worked attribut</w:t>
      </w:r>
      <w:r w:rsidR="00A42A94">
        <w:t>able</w:t>
      </w:r>
      <w:r>
        <w:t xml:space="preserve"> to the programs.</w:t>
      </w:r>
      <w:r w:rsidR="00A42A94">
        <w:t xml:space="preserve"> The increase in hours worked relative to a base case was estimated in 2021 </w:t>
      </w:r>
      <w:r w:rsidR="00FD4A3E">
        <w:t xml:space="preserve">through jurisdictional comparison where NSW was </w:t>
      </w:r>
      <w:r w:rsidR="00BF5763">
        <w:t xml:space="preserve">used as a counterfactual. NSW was selected as the most comparable state to Victoria in terms of </w:t>
      </w:r>
      <w:r w:rsidR="006226F7">
        <w:t xml:space="preserve">population, GSP, COVID-19 impacts and </w:t>
      </w:r>
      <w:r w:rsidR="00896B54">
        <w:t>government policy during the period.</w:t>
      </w:r>
      <w:r w:rsidR="006C6C0A">
        <w:t xml:space="preserve"> While econometric analysis in relation to hours worked was undertaken (see </w:t>
      </w:r>
      <w:r w:rsidR="006C6C0A">
        <w:fldChar w:fldCharType="begin"/>
      </w:r>
      <w:r w:rsidR="006C6C0A">
        <w:instrText xml:space="preserve"> REF _Ref172634402 \r \h </w:instrText>
      </w:r>
      <w:r w:rsidR="00021EF3">
        <w:instrText xml:space="preserve"> \* MERGEFORMAT </w:instrText>
      </w:r>
      <w:r w:rsidR="006C6C0A">
        <w:fldChar w:fldCharType="separate"/>
      </w:r>
      <w:r w:rsidR="0016271C">
        <w:t>Appendix A</w:t>
      </w:r>
      <w:r w:rsidR="006C6C0A">
        <w:fldChar w:fldCharType="end"/>
      </w:r>
      <w:r w:rsidR="00DF0E8E">
        <w:t xml:space="preserve"> and </w:t>
      </w:r>
      <w:r w:rsidR="00DF0E8E">
        <w:fldChar w:fldCharType="begin"/>
      </w:r>
      <w:r w:rsidR="00DF0E8E">
        <w:instrText xml:space="preserve"> REF _Ref174098036 \r \h </w:instrText>
      </w:r>
      <w:r w:rsidR="00021EF3">
        <w:instrText xml:space="preserve"> \* MERGEFORMAT </w:instrText>
      </w:r>
      <w:r w:rsidR="00DF0E8E">
        <w:fldChar w:fldCharType="separate"/>
      </w:r>
      <w:r w:rsidR="0016271C">
        <w:t>Table A.8</w:t>
      </w:r>
      <w:r w:rsidR="00DF0E8E">
        <w:fldChar w:fldCharType="end"/>
      </w:r>
      <w:r w:rsidR="006C6C0A">
        <w:t>), it did not yield results that could be applied in th</w:t>
      </w:r>
      <w:r w:rsidR="008C7376">
        <w:t>e</w:t>
      </w:r>
      <w:r w:rsidR="00DE5EE1">
        <w:t xml:space="preserve"> CBA.</w:t>
      </w:r>
    </w:p>
    <w:p w14:paraId="793AE25F" w14:textId="44F7BBE1" w:rsidR="00932413" w:rsidRDefault="00932413" w:rsidP="00021EF3">
      <w:r>
        <w:t>In particular,</w:t>
      </w:r>
      <w:r w:rsidR="003A0789">
        <w:t xml:space="preserve"> </w:t>
      </w:r>
      <w:r w:rsidR="00924426">
        <w:t xml:space="preserve">the change </w:t>
      </w:r>
      <w:r w:rsidR="003A0789">
        <w:t>in hours worked in</w:t>
      </w:r>
      <w:r w:rsidR="005F54BD">
        <w:t xml:space="preserve"> NSW </w:t>
      </w:r>
      <w:r w:rsidR="00924426">
        <w:t>between 2019 and 2021 (in percentage terms)</w:t>
      </w:r>
      <w:r w:rsidR="005F54BD">
        <w:t xml:space="preserve"> in</w:t>
      </w:r>
      <w:r w:rsidR="003A0789">
        <w:t xml:space="preserve"> </w:t>
      </w:r>
      <w:r w:rsidR="007A3041">
        <w:t xml:space="preserve">key treated </w:t>
      </w:r>
      <w:r w:rsidR="00CE74CB">
        <w:t xml:space="preserve">industries </w:t>
      </w:r>
      <w:r w:rsidR="007A3041">
        <w:t xml:space="preserve">was applied to 2019 hours worked in Victoria to estimate counterfactual or base case hours worked in Victoria. </w:t>
      </w:r>
      <w:r w:rsidR="00FB441C">
        <w:t xml:space="preserve">This was then compared with actual (project case) hours worked in Victoria to determine the </w:t>
      </w:r>
      <w:r w:rsidR="00924426">
        <w:t xml:space="preserve">difference </w:t>
      </w:r>
      <w:r w:rsidR="00FB441C">
        <w:t>in hours worked in these key industries.</w:t>
      </w:r>
      <w:r w:rsidR="008C7376">
        <w:t xml:space="preserve"> </w:t>
      </w:r>
      <w:r w:rsidR="00E55E60">
        <w:t xml:space="preserve">This analysis was only undertaken for businesses </w:t>
      </w:r>
      <w:r w:rsidR="00E148E9">
        <w:t xml:space="preserve">that </w:t>
      </w:r>
      <w:r w:rsidR="00E55E60">
        <w:t xml:space="preserve">were ‘intensely’ treated </w:t>
      </w:r>
      <w:r w:rsidR="00F55490">
        <w:t>where it would be more likely to observe an effect.</w:t>
      </w:r>
      <w:r w:rsidR="001B16BA">
        <w:t xml:space="preserve"> </w:t>
      </w:r>
      <w:r w:rsidR="001B16BA" w:rsidRPr="002B32B2">
        <w:t xml:space="preserve">Data on hours worked was sourced from </w:t>
      </w:r>
      <w:r w:rsidR="005E2EB5" w:rsidRPr="00051913">
        <w:t>ABS Labour Force Detailed</w:t>
      </w:r>
      <w:r w:rsidR="001B16BA" w:rsidRPr="002B32B2">
        <w:t>.</w:t>
      </w:r>
      <w:r w:rsidR="00F55490">
        <w:t xml:space="preserve"> This analysis is detailed in </w:t>
      </w:r>
      <w:r w:rsidR="00F55490">
        <w:rPr>
          <w:highlight w:val="yellow"/>
        </w:rPr>
        <w:fldChar w:fldCharType="begin"/>
      </w:r>
      <w:r w:rsidR="00F55490">
        <w:instrText xml:space="preserve"> REF _Ref172634402 \r \h </w:instrText>
      </w:r>
      <w:r w:rsidR="00021EF3">
        <w:rPr>
          <w:highlight w:val="yellow"/>
        </w:rPr>
        <w:instrText xml:space="preserve"> \* MERGEFORMAT </w:instrText>
      </w:r>
      <w:r w:rsidR="00F55490">
        <w:rPr>
          <w:highlight w:val="yellow"/>
        </w:rPr>
      </w:r>
      <w:r w:rsidR="00F55490">
        <w:rPr>
          <w:highlight w:val="yellow"/>
        </w:rPr>
        <w:fldChar w:fldCharType="separate"/>
      </w:r>
      <w:r w:rsidR="0016271C">
        <w:t>Appendix A</w:t>
      </w:r>
      <w:r w:rsidR="00F55490">
        <w:rPr>
          <w:highlight w:val="yellow"/>
        </w:rPr>
        <w:fldChar w:fldCharType="end"/>
      </w:r>
      <w:r w:rsidR="00F55490">
        <w:t>.</w:t>
      </w:r>
    </w:p>
    <w:p w14:paraId="4B52A448" w14:textId="76C565AE" w:rsidR="0070110C" w:rsidRDefault="00F3435C" w:rsidP="00021EF3">
      <w:r>
        <w:t xml:space="preserve">Assumptions of average </w:t>
      </w:r>
      <w:r w:rsidR="0040511A">
        <w:t>hourly wage by industry (based on ABS Average Weekly Earnings) were then applied to these additional hours to estimate the</w:t>
      </w:r>
      <w:r w:rsidR="00F46D58">
        <w:t xml:space="preserve"> increased in wages paid</w:t>
      </w:r>
      <w:r w:rsidR="00B11C2C">
        <w:t xml:space="preserve">. </w:t>
      </w:r>
      <w:r w:rsidR="0070110C">
        <w:t>The</w:t>
      </w:r>
      <w:r w:rsidR="00993891">
        <w:t xml:space="preserve"> opportunity cost of forgone </w:t>
      </w:r>
      <w:r w:rsidR="004252CA">
        <w:t xml:space="preserve">time was </w:t>
      </w:r>
      <w:r w:rsidR="0070110C">
        <w:t>also</w:t>
      </w:r>
      <w:r w:rsidR="00296050">
        <w:t xml:space="preserve"> applied (</w:t>
      </w:r>
      <w:r w:rsidR="002218F0">
        <w:t xml:space="preserve">assumed to be equivalent to the minimum wage) </w:t>
      </w:r>
      <w:r w:rsidR="00E75E13">
        <w:t>to estima</w:t>
      </w:r>
      <w:r w:rsidR="0070110C">
        <w:t>te the labour surplus benefit.</w:t>
      </w:r>
    </w:p>
    <w:p w14:paraId="7DB072BC" w14:textId="734A34C6" w:rsidR="00E407BB" w:rsidRDefault="005E609F" w:rsidP="00021EF3">
      <w:r>
        <w:t xml:space="preserve">Other benefits which are considered qualitatively and based on analysis of survey data and secondary data </w:t>
      </w:r>
      <w:r w:rsidR="00EB3814">
        <w:t>are</w:t>
      </w:r>
      <w:r w:rsidR="00DB2364">
        <w:t xml:space="preserve"> detailed in Section </w:t>
      </w:r>
      <w:r w:rsidR="00DB2364">
        <w:fldChar w:fldCharType="begin"/>
      </w:r>
      <w:r w:rsidR="00DB2364">
        <w:instrText xml:space="preserve"> REF _Ref174019679 \r \h </w:instrText>
      </w:r>
      <w:r w:rsidR="00021EF3">
        <w:instrText xml:space="preserve"> \* MERGEFORMAT </w:instrText>
      </w:r>
      <w:r w:rsidR="00DB2364">
        <w:fldChar w:fldCharType="separate"/>
      </w:r>
      <w:r w:rsidR="0016271C">
        <w:t>2.3</w:t>
      </w:r>
      <w:r w:rsidR="00DB2364">
        <w:fldChar w:fldCharType="end"/>
      </w:r>
      <w:r w:rsidR="00DB2364">
        <w:t xml:space="preserve"> and </w:t>
      </w:r>
      <w:r w:rsidR="00DB2364">
        <w:fldChar w:fldCharType="begin"/>
      </w:r>
      <w:r w:rsidR="00DB2364">
        <w:instrText xml:space="preserve"> REF _Ref172634402 \r \h </w:instrText>
      </w:r>
      <w:r w:rsidR="00021EF3">
        <w:instrText xml:space="preserve"> \* MERGEFORMAT </w:instrText>
      </w:r>
      <w:r w:rsidR="00DB2364">
        <w:fldChar w:fldCharType="separate"/>
      </w:r>
      <w:r w:rsidR="0016271C">
        <w:t>Appendix A</w:t>
      </w:r>
      <w:r w:rsidR="00DB2364">
        <w:fldChar w:fldCharType="end"/>
      </w:r>
      <w:r w:rsidR="00DB2364">
        <w:t>.</w:t>
      </w:r>
    </w:p>
    <w:p w14:paraId="6B44DD7B" w14:textId="1F202F64" w:rsidR="00446D64" w:rsidRDefault="00446D64" w:rsidP="00021EF3">
      <w:pPr>
        <w:pStyle w:val="Heading3un-numbered"/>
      </w:pPr>
      <w:bookmarkStart w:id="417" w:name="_Toc174118163"/>
      <w:bookmarkStart w:id="418" w:name="_Toc176516282"/>
      <w:r>
        <w:t>Resourcing and administrative costs</w:t>
      </w:r>
      <w:bookmarkEnd w:id="417"/>
      <w:bookmarkEnd w:id="418"/>
    </w:p>
    <w:p w14:paraId="54BBFB0B" w14:textId="5692528F" w:rsidR="00446D64" w:rsidRDefault="00785CF6" w:rsidP="00021EF3">
      <w:r>
        <w:t xml:space="preserve">Resourcing and administrative costs </w:t>
      </w:r>
      <w:r w:rsidR="003D6016">
        <w:t>associated with delivering the programs</w:t>
      </w:r>
      <w:r w:rsidR="00765774">
        <w:t xml:space="preserve"> are included as a cost in the CBA. This relates to the </w:t>
      </w:r>
      <w:r w:rsidR="00FB1CBF">
        <w:t>salary and employment costs for all VPS staff involved in program delivery as well as other administrative expenses.</w:t>
      </w:r>
      <w:r w:rsidR="00874FB6">
        <w:t xml:space="preserve"> Data on </w:t>
      </w:r>
      <w:r w:rsidR="000C7F03">
        <w:t>the resourcing and administrative costs associated with the programs was provided by the Department.</w:t>
      </w:r>
    </w:p>
    <w:p w14:paraId="09895269" w14:textId="77777777" w:rsidR="007F3FB4" w:rsidRDefault="007F3FB4" w:rsidP="00021EF3">
      <w:pPr>
        <w:pStyle w:val="Heading3un-numbered"/>
      </w:pPr>
      <w:bookmarkStart w:id="419" w:name="_Toc176516283"/>
      <w:r>
        <w:t>Interest payments</w:t>
      </w:r>
      <w:bookmarkEnd w:id="419"/>
    </w:p>
    <w:p w14:paraId="301164A4" w14:textId="7CAC400B" w:rsidR="007F3FB4" w:rsidRDefault="007F3FB4" w:rsidP="00021EF3">
      <w:r>
        <w:t xml:space="preserve">In acknowledgement </w:t>
      </w:r>
      <w:r w:rsidR="009232B1">
        <w:t>of the likelihood</w:t>
      </w:r>
      <w:r>
        <w:t xml:space="preserve"> that the Victorian Government borrowed money to fund </w:t>
      </w:r>
      <w:r w:rsidR="00947C1C">
        <w:t>BCAP and LHVF</w:t>
      </w:r>
      <w:r>
        <w:t xml:space="preserve">, the cost of interest associated with borrowing to fund BCAP and LHVF is also considered as part of the CBA. For simplicity, it is assumed that annual interest payments are equal to the cost of long-term government debt in 2021 as measured by </w:t>
      </w:r>
      <w:r w:rsidR="00F171A4">
        <w:t>10</w:t>
      </w:r>
      <w:r>
        <w:t>-year government bond rates. It is assumed that equal payments are made over a period of 10 years</w:t>
      </w:r>
      <w:r w:rsidR="000F2BAA">
        <w:t xml:space="preserve"> and that these payments are funded by taxation in the corresponding year. </w:t>
      </w:r>
    </w:p>
    <w:p w14:paraId="3B3BFC8E" w14:textId="30A63DFC" w:rsidR="000C7F03" w:rsidRDefault="0035159F" w:rsidP="00021EF3">
      <w:pPr>
        <w:pStyle w:val="Heading3un-numbered"/>
      </w:pPr>
      <w:bookmarkStart w:id="420" w:name="_Toc174118164"/>
      <w:bookmarkStart w:id="421" w:name="_Toc176516284"/>
      <w:r>
        <w:t>Marginal excess burden of taxation</w:t>
      </w:r>
      <w:bookmarkEnd w:id="420"/>
      <w:bookmarkEnd w:id="421"/>
    </w:p>
    <w:p w14:paraId="545DB079" w14:textId="3AE7F47C" w:rsidR="00E72605" w:rsidRDefault="005A2D54" w:rsidP="00021EF3">
      <w:r>
        <w:t>While the costs of the grants themselves are</w:t>
      </w:r>
      <w:r w:rsidR="001946CD">
        <w:t xml:space="preserve"> exactly</w:t>
      </w:r>
      <w:r>
        <w:t xml:space="preserve"> offset by the </w:t>
      </w:r>
      <w:r w:rsidR="001946CD">
        <w:t>benefit to business</w:t>
      </w:r>
      <w:r w:rsidR="00992219">
        <w:t xml:space="preserve"> </w:t>
      </w:r>
      <w:r w:rsidR="00D92F57">
        <w:t>in receiving them,</w:t>
      </w:r>
      <w:r w:rsidR="00992219" w:rsidDel="00D92F57">
        <w:t xml:space="preserve"> </w:t>
      </w:r>
      <w:r w:rsidR="00992219">
        <w:t xml:space="preserve">it is important to consider the marginal excess burden of taxation </w:t>
      </w:r>
      <w:r w:rsidR="00AD39AE">
        <w:t xml:space="preserve">(deadweight loss) associated with </w:t>
      </w:r>
      <w:r w:rsidR="00060064">
        <w:t>raising money</w:t>
      </w:r>
      <w:r w:rsidR="00D500D4">
        <w:t xml:space="preserve"> via taxes</w:t>
      </w:r>
      <w:r w:rsidR="00060064">
        <w:t xml:space="preserve"> to </w:t>
      </w:r>
      <w:r w:rsidR="00F65C14">
        <w:t>finance government expenditure</w:t>
      </w:r>
      <w:r w:rsidR="006C2698">
        <w:t>.</w:t>
      </w:r>
      <w:r w:rsidR="00FE721D">
        <w:t xml:space="preserve"> </w:t>
      </w:r>
      <w:r w:rsidR="00E72605">
        <w:t xml:space="preserve">The marginal excess burden of taxation considers the loss of welfare for every dollar of tax raised. </w:t>
      </w:r>
      <w:r w:rsidR="00FE721D">
        <w:t>This is</w:t>
      </w:r>
      <w:r w:rsidR="00502895">
        <w:t xml:space="preserve"> particularly </w:t>
      </w:r>
      <w:r w:rsidR="00FE721D">
        <w:t xml:space="preserve">relevant </w:t>
      </w:r>
      <w:r w:rsidR="007A04BC">
        <w:t>w</w:t>
      </w:r>
      <w:r w:rsidR="00502895">
        <w:t xml:space="preserve">hen the expenditure is of </w:t>
      </w:r>
      <w:r w:rsidR="00CF6F7E">
        <w:t xml:space="preserve">the scale of these </w:t>
      </w:r>
      <w:r w:rsidR="0054789F">
        <w:t>programs,</w:t>
      </w:r>
      <w:r w:rsidR="00CF6F7E">
        <w:t xml:space="preserve"> and it is unlikely this </w:t>
      </w:r>
      <w:r w:rsidR="007803C4">
        <w:t xml:space="preserve">level </w:t>
      </w:r>
      <w:r w:rsidR="003C6304">
        <w:t xml:space="preserve">of </w:t>
      </w:r>
      <w:r w:rsidR="00CF6F7E">
        <w:t>spending would have occurred elsewhere in the economy in the base case.</w:t>
      </w:r>
    </w:p>
    <w:p w14:paraId="1D730F65" w14:textId="6E88FF8E" w:rsidR="00F77507" w:rsidRPr="0035159F" w:rsidRDefault="00CE0676" w:rsidP="00021EF3">
      <w:r>
        <w:t>T</w:t>
      </w:r>
      <w:r w:rsidR="00422C0A">
        <w:t>he marginal excess burden of taxation associated with these programs</w:t>
      </w:r>
      <w:r>
        <w:t xml:space="preserve"> is </w:t>
      </w:r>
      <w:r w:rsidR="00F25700">
        <w:t xml:space="preserve">assumed </w:t>
      </w:r>
      <w:r>
        <w:t xml:space="preserve">to </w:t>
      </w:r>
      <w:r w:rsidR="0022456C">
        <w:t xml:space="preserve">be </w:t>
      </w:r>
      <w:r w:rsidR="00F25700">
        <w:t>24.5</w:t>
      </w:r>
      <w:r w:rsidR="0022456C">
        <w:t xml:space="preserve"> cents per dollar</w:t>
      </w:r>
      <w:r w:rsidR="00F25700">
        <w:t>, which reflects the midpoint of</w:t>
      </w:r>
      <w:r w:rsidR="007F3E92">
        <w:t xml:space="preserve"> estimates </w:t>
      </w:r>
      <w:r w:rsidR="00C237F0">
        <w:t>for the marginal excess burden of land tax (8</w:t>
      </w:r>
      <w:r w:rsidR="00D82B07">
        <w:t xml:space="preserve"> per cent</w:t>
      </w:r>
      <w:r w:rsidR="00C237F0">
        <w:t>) and payroll tax (41</w:t>
      </w:r>
      <w:r w:rsidR="00D82B07">
        <w:t xml:space="preserve"> per cent</w:t>
      </w:r>
      <w:r w:rsidR="00C237F0">
        <w:t>) in Australia based on</w:t>
      </w:r>
      <w:r w:rsidR="003D4737" w:rsidRPr="00051913">
        <w:t xml:space="preserve"> the Henry Tax Review.</w:t>
      </w:r>
      <w:r w:rsidR="0079461A" w:rsidRPr="00051913">
        <w:rPr>
          <w:rStyle w:val="EndnoteReference"/>
        </w:rPr>
        <w:endnoteReference w:id="32"/>
      </w:r>
      <w:r w:rsidR="00751101">
        <w:t xml:space="preserve"> This </w:t>
      </w:r>
      <w:r w:rsidR="00652BCC">
        <w:t>align</w:t>
      </w:r>
      <w:r w:rsidR="00D8284A">
        <w:t xml:space="preserve">s with the Victorian Government’s 2023-24 COVID Debt Repayment Plan </w:t>
      </w:r>
      <w:r w:rsidR="00432FD4">
        <w:t xml:space="preserve">which notes </w:t>
      </w:r>
      <w:r w:rsidR="00000599">
        <w:t>changes to both payroll tax and land tax as key mechanisms for funding COVID-19 debt repayment.</w:t>
      </w:r>
      <w:r w:rsidR="00A71C94">
        <w:rPr>
          <w:rStyle w:val="EndnoteReference"/>
        </w:rPr>
        <w:endnoteReference w:id="33"/>
      </w:r>
      <w:r w:rsidR="0074233B">
        <w:t xml:space="preserve"> </w:t>
      </w:r>
      <w:r w:rsidR="00075043">
        <w:t xml:space="preserve"> The core assumption of 24.5</w:t>
      </w:r>
      <w:r w:rsidR="00D82B07">
        <w:t xml:space="preserve"> per cent</w:t>
      </w:r>
      <w:r w:rsidR="00075043">
        <w:t xml:space="preserve"> also aligns with </w:t>
      </w:r>
      <w:r w:rsidR="00CA2D4E" w:rsidRPr="00CA2D4E">
        <w:t>estimate</w:t>
      </w:r>
      <w:r w:rsidR="00CA2D4E">
        <w:t>s from Campbell (1997)</w:t>
      </w:r>
      <w:r w:rsidR="00CA2D4E" w:rsidRPr="00CA2D4E">
        <w:t xml:space="preserve"> that the marginal tax burden for Australia was around 25 per cent of general taxation revenue</w:t>
      </w:r>
      <w:r w:rsidR="00CA2D4E">
        <w:t>.</w:t>
      </w:r>
      <w:r w:rsidR="00CA2D4E">
        <w:rPr>
          <w:rStyle w:val="EndnoteReference"/>
        </w:rPr>
        <w:endnoteReference w:id="34"/>
      </w:r>
      <w:r w:rsidR="00CA2D4E">
        <w:t xml:space="preserve"> </w:t>
      </w:r>
      <w:r w:rsidR="0074233B">
        <w:t xml:space="preserve">Sensitivity analysis </w:t>
      </w:r>
      <w:r w:rsidR="00642D38">
        <w:t xml:space="preserve">based on this assumption is also presented </w:t>
      </w:r>
      <w:r w:rsidR="00931503">
        <w:t xml:space="preserve">below </w:t>
      </w:r>
      <w:r w:rsidR="00642D38">
        <w:t xml:space="preserve">to reflect </w:t>
      </w:r>
      <w:r w:rsidR="00816E60">
        <w:t>there are a range of differing estimates of the marginal excess burden of taxation in Australia.</w:t>
      </w:r>
    </w:p>
    <w:p w14:paraId="03DB33D9" w14:textId="5F13CF88" w:rsidR="00153A0B" w:rsidRDefault="00394C5B" w:rsidP="00021EF3">
      <w:r>
        <w:t>Given in all likelihood</w:t>
      </w:r>
      <w:r w:rsidR="000B57CD">
        <w:t xml:space="preserve"> </w:t>
      </w:r>
      <w:r w:rsidR="004A64E4">
        <w:t>BCAP and LHVF was funded through new state borrow</w:t>
      </w:r>
      <w:r w:rsidR="007F3FB4">
        <w:t>ing</w:t>
      </w:r>
      <w:r w:rsidR="00C603E5">
        <w:t xml:space="preserve">, </w:t>
      </w:r>
      <w:r w:rsidR="006B58A0">
        <w:t xml:space="preserve">the revenue to </w:t>
      </w:r>
      <w:r w:rsidR="000E3613">
        <w:t>repay th</w:t>
      </w:r>
      <w:r w:rsidR="007F3FB4">
        <w:t>is</w:t>
      </w:r>
      <w:r w:rsidR="000E3613">
        <w:t xml:space="preserve"> debt would be raised over </w:t>
      </w:r>
      <w:r w:rsidR="00662A3F">
        <w:t xml:space="preserve">time. </w:t>
      </w:r>
      <w:r w:rsidR="00B95D4A">
        <w:t>I</w:t>
      </w:r>
      <w:r w:rsidR="002E5944">
        <w:t xml:space="preserve">t is assumed </w:t>
      </w:r>
      <w:r w:rsidR="00C603E5">
        <w:t xml:space="preserve">that </w:t>
      </w:r>
      <w:r w:rsidR="002E5944">
        <w:t xml:space="preserve">the marginal excess burdens are incurred over a period of </w:t>
      </w:r>
      <w:r w:rsidR="00F171A4">
        <w:t xml:space="preserve">10 </w:t>
      </w:r>
      <w:r w:rsidR="002E5944">
        <w:t>years from 2021 onward, reflecting a likely debt repayment period.</w:t>
      </w:r>
    </w:p>
    <w:p w14:paraId="52F0BC90" w14:textId="03A73605" w:rsidR="007F1AF5" w:rsidRDefault="007F1AF5" w:rsidP="00021EF3">
      <w:pPr>
        <w:pStyle w:val="Heading3un-numbered"/>
      </w:pPr>
      <w:r>
        <w:t>Grant payments</w:t>
      </w:r>
    </w:p>
    <w:p w14:paraId="03E4E480" w14:textId="708DFD10" w:rsidR="00DC5724" w:rsidRDefault="007F1AF5" w:rsidP="00021EF3">
      <w:r>
        <w:t>The grant payments have</w:t>
      </w:r>
      <w:r w:rsidR="00E3080E">
        <w:t xml:space="preserve"> been included as both a cost and a benefit </w:t>
      </w:r>
      <w:r w:rsidR="00FF284A">
        <w:t>in the CBA</w:t>
      </w:r>
      <w:r w:rsidR="00953433">
        <w:t xml:space="preserve">. </w:t>
      </w:r>
      <w:r w:rsidR="0080562E">
        <w:t>On the cost side, t</w:t>
      </w:r>
      <w:r w:rsidR="00D14E28">
        <w:t>his reflects that</w:t>
      </w:r>
      <w:r w:rsidR="00BC117A">
        <w:t xml:space="preserve"> </w:t>
      </w:r>
      <w:r w:rsidR="006C4AE9">
        <w:t>there is an opportunity cost</w:t>
      </w:r>
      <w:r w:rsidR="0080562E">
        <w:t xml:space="preserve"> associated with the grant funding not being invested elsewhere in the economy.</w:t>
      </w:r>
      <w:r w:rsidR="00F244DA">
        <w:t xml:space="preserve"> </w:t>
      </w:r>
      <w:r w:rsidR="00F244DA">
        <w:lastRenderedPageBreak/>
        <w:t>On the benefit side, the grant payment is assumed to have benefits to the participant</w:t>
      </w:r>
      <w:r w:rsidR="00B547DD">
        <w:t xml:space="preserve"> equal to the size of the payment</w:t>
      </w:r>
      <w:r w:rsidR="003F0B2C">
        <w:t xml:space="preserve"> (i.e.,</w:t>
      </w:r>
      <w:r w:rsidR="003A25F7">
        <w:t xml:space="preserve"> it is a cash injection they would not have received in the base case</w:t>
      </w:r>
      <w:r w:rsidR="00152D89">
        <w:t xml:space="preserve"> with limited to no conditions on</w:t>
      </w:r>
      <w:r w:rsidR="008205F7">
        <w:t xml:space="preserve"> </w:t>
      </w:r>
      <w:r w:rsidR="00152D89">
        <w:t>usage</w:t>
      </w:r>
      <w:r w:rsidR="003A25F7">
        <w:t>)</w:t>
      </w:r>
      <w:r w:rsidR="00152D89">
        <w:t>.</w:t>
      </w:r>
      <w:r w:rsidR="00152D89">
        <w:rPr>
          <w:rStyle w:val="EndnoteReference"/>
        </w:rPr>
        <w:endnoteReference w:id="35"/>
      </w:r>
    </w:p>
    <w:p w14:paraId="2E97BFEA" w14:textId="7077D8D0" w:rsidR="00953433" w:rsidRDefault="00953433" w:rsidP="00021EF3">
      <w:r>
        <w:t xml:space="preserve">Given the costs of the grant payments made by government </w:t>
      </w:r>
      <w:r w:rsidR="00A07334">
        <w:t>are</w:t>
      </w:r>
      <w:r>
        <w:t xml:space="preserve"> equal to the benefits received by businesses, </w:t>
      </w:r>
      <w:r w:rsidR="00F34B1B">
        <w:t xml:space="preserve">the inclusion of grant payments in the CBA has a net zero impact on the total </w:t>
      </w:r>
      <w:r w:rsidR="00834B6B">
        <w:t xml:space="preserve">estimated </w:t>
      </w:r>
      <w:r w:rsidR="00F34B1B">
        <w:t>net benefits</w:t>
      </w:r>
      <w:r w:rsidR="00834B6B">
        <w:t xml:space="preserve"> of the programs.</w:t>
      </w:r>
    </w:p>
    <w:p w14:paraId="315BA153" w14:textId="57A4F800" w:rsidR="00446D64" w:rsidRDefault="0091511D" w:rsidP="00021EF3">
      <w:pPr>
        <w:pStyle w:val="Heading3un-numbered"/>
      </w:pPr>
      <w:bookmarkStart w:id="422" w:name="_Toc174118165"/>
      <w:bookmarkStart w:id="423" w:name="_Toc176516285"/>
      <w:r>
        <w:t>Results</w:t>
      </w:r>
      <w:bookmarkEnd w:id="422"/>
      <w:bookmarkEnd w:id="423"/>
    </w:p>
    <w:p w14:paraId="558CFB4D" w14:textId="77777777" w:rsidR="008968A5" w:rsidRDefault="008968A5" w:rsidP="00021EF3">
      <w:r w:rsidRPr="008968A5">
        <w:t>In the CBA, the net return (benefits over costs) is expressed in the form of a ratio, referred to as the benefit-cost ratio (BCR). A BCR greater than one indicates that the net benefits related to the program are greater than the net costs (or for every $1 of government spending, a return greater than $1 is achieved). The reverse is true for a BCR of less than one.</w:t>
      </w:r>
    </w:p>
    <w:p w14:paraId="7004CDDC" w14:textId="00D78532" w:rsidR="004C77D2" w:rsidRDefault="0056550C" w:rsidP="00021EF3">
      <w:r>
        <w:fldChar w:fldCharType="begin"/>
      </w:r>
      <w:r>
        <w:instrText xml:space="preserve"> REF _Ref174022062 \r \h </w:instrText>
      </w:r>
      <w:r w:rsidR="00021EF3">
        <w:instrText xml:space="preserve"> \* MERGEFORMAT </w:instrText>
      </w:r>
      <w:r>
        <w:fldChar w:fldCharType="separate"/>
      </w:r>
      <w:r w:rsidR="0016271C">
        <w:t>Table 2.5</w:t>
      </w:r>
      <w:r>
        <w:fldChar w:fldCharType="end"/>
      </w:r>
      <w:r>
        <w:t xml:space="preserve"> displays the results </w:t>
      </w:r>
      <w:r w:rsidR="003C09D0">
        <w:t xml:space="preserve">of the model under the </w:t>
      </w:r>
      <w:r w:rsidR="000D70FB">
        <w:t>core</w:t>
      </w:r>
      <w:r w:rsidR="003C09D0">
        <w:t xml:space="preserve"> scenario where </w:t>
      </w:r>
      <w:r w:rsidR="0015701F">
        <w:t>benefits persist until 2022 and a conservative scenario where benefits only accrue in 2021</w:t>
      </w:r>
      <w:r w:rsidR="004C77D2">
        <w:t xml:space="preserve"> (see below for a discussion of the timeframe of benefits)</w:t>
      </w:r>
      <w:r w:rsidR="0015701F">
        <w:t>.</w:t>
      </w:r>
      <w:r w:rsidR="00E576C1">
        <w:t xml:space="preserve"> </w:t>
      </w:r>
    </w:p>
    <w:p w14:paraId="27317D97" w14:textId="2822D2BB" w:rsidR="004C77D2" w:rsidRPr="000E1382" w:rsidRDefault="00E576C1" w:rsidP="00021EF3">
      <w:pPr>
        <w:rPr>
          <w:b/>
          <w:bCs/>
        </w:rPr>
      </w:pPr>
      <w:r>
        <w:t xml:space="preserve">Under the </w:t>
      </w:r>
      <w:r w:rsidR="000D70FB">
        <w:t>core</w:t>
      </w:r>
      <w:r>
        <w:t xml:space="preserve"> scenario, total</w:t>
      </w:r>
      <w:r w:rsidR="004C77D2">
        <w:t xml:space="preserve"> NPV</w:t>
      </w:r>
      <w:r>
        <w:t xml:space="preserve"> benefits are equivalent to $</w:t>
      </w:r>
      <w:r w:rsidR="00240A79">
        <w:t>9,540</w:t>
      </w:r>
      <w:r>
        <w:t xml:space="preserve"> million</w:t>
      </w:r>
      <w:r w:rsidR="00240A79">
        <w:t>. Excluding transfer payments, the</w:t>
      </w:r>
      <w:r w:rsidR="004C77D2">
        <w:t xml:space="preserve"> majority of </w:t>
      </w:r>
      <w:r w:rsidR="00240A79">
        <w:t>these benefits</w:t>
      </w:r>
      <w:r w:rsidR="004C77D2">
        <w:t xml:space="preserve"> are attributable to business survival ($1,716 million).</w:t>
      </w:r>
      <w:r w:rsidR="000E1382">
        <w:t xml:space="preserve"> </w:t>
      </w:r>
      <w:r w:rsidR="004C77D2">
        <w:t>Comparing total NPV benefits to total costs of $</w:t>
      </w:r>
      <w:r w:rsidR="004A48C2">
        <w:t>9,538</w:t>
      </w:r>
      <w:r w:rsidR="004C77D2">
        <w:t xml:space="preserve">, </w:t>
      </w:r>
      <w:r w:rsidR="004C77D2" w:rsidRPr="000E1382">
        <w:rPr>
          <w:b/>
          <w:bCs/>
        </w:rPr>
        <w:t>this yields a BCR of 1.</w:t>
      </w:r>
      <w:r w:rsidR="004A48C2">
        <w:rPr>
          <w:b/>
          <w:bCs/>
        </w:rPr>
        <w:t>00</w:t>
      </w:r>
      <w:r w:rsidR="004C77D2" w:rsidRPr="000E1382">
        <w:rPr>
          <w:b/>
          <w:bCs/>
        </w:rPr>
        <w:t xml:space="preserve"> in the </w:t>
      </w:r>
      <w:r w:rsidR="000D70FB">
        <w:rPr>
          <w:b/>
          <w:bCs/>
        </w:rPr>
        <w:t>core</w:t>
      </w:r>
      <w:r w:rsidR="004C77D2" w:rsidRPr="000E1382">
        <w:rPr>
          <w:b/>
          <w:bCs/>
        </w:rPr>
        <w:t xml:space="preserve"> scenario</w:t>
      </w:r>
      <w:r w:rsidR="00100611" w:rsidRPr="000E1382">
        <w:rPr>
          <w:b/>
          <w:bCs/>
        </w:rPr>
        <w:t>, suggesting the programs delivered a return to government investment</w:t>
      </w:r>
      <w:r w:rsidR="000E1382" w:rsidRPr="000E1382">
        <w:rPr>
          <w:b/>
          <w:bCs/>
        </w:rPr>
        <w:t xml:space="preserve"> and delivered net benefit to the Victorian economy</w:t>
      </w:r>
      <w:r w:rsidR="00C77B88">
        <w:rPr>
          <w:b/>
          <w:bCs/>
        </w:rPr>
        <w:t xml:space="preserve"> </w:t>
      </w:r>
      <w:r w:rsidR="00C77B88" w:rsidRPr="00553F80">
        <w:rPr>
          <w:b/>
          <w:bCs/>
        </w:rPr>
        <w:t>($</w:t>
      </w:r>
      <w:r w:rsidR="00553F80" w:rsidRPr="00553F80">
        <w:rPr>
          <w:b/>
          <w:bCs/>
        </w:rPr>
        <w:t>2 million NPV).</w:t>
      </w:r>
    </w:p>
    <w:p w14:paraId="2BC95F18" w14:textId="3591C24F" w:rsidR="00787E50" w:rsidRPr="00F77F1E" w:rsidRDefault="00787E50" w:rsidP="00021EF3">
      <w:r w:rsidRPr="00F77F1E">
        <w:t>Under the more conservative scenario where benefits do not persist beyond the period of grant receival (2021)</w:t>
      </w:r>
      <w:r w:rsidR="001533DD" w:rsidRPr="00F77F1E">
        <w:t>, the BCR is lower at 0.89, reflecting lower business survival</w:t>
      </w:r>
      <w:r w:rsidR="001533DD">
        <w:t xml:space="preserve"> </w:t>
      </w:r>
      <w:r w:rsidR="00F2767E">
        <w:t>benefits</w:t>
      </w:r>
      <w:r w:rsidR="001533DD" w:rsidRPr="00F77F1E">
        <w:t xml:space="preserve"> </w:t>
      </w:r>
      <w:r w:rsidR="009C27CC" w:rsidRPr="00F77F1E">
        <w:t>at $687 million.</w:t>
      </w:r>
    </w:p>
    <w:p w14:paraId="3A5C1D5E" w14:textId="36BAE531" w:rsidR="003A1479" w:rsidRDefault="003A1479" w:rsidP="00021EF3">
      <w:pPr>
        <w:pStyle w:val="CaptionTable"/>
      </w:pPr>
      <w:bookmarkStart w:id="424" w:name="_Ref174022062"/>
      <w:r>
        <w:t xml:space="preserve">: CBA </w:t>
      </w:r>
      <w:r w:rsidR="00714C75">
        <w:t>results</w:t>
      </w:r>
      <w:bookmarkEnd w:id="424"/>
      <w:r w:rsidR="00D81961">
        <w:t xml:space="preserve">, NPV 2024 dollar </w:t>
      </w:r>
      <w:r w:rsidR="00D500D4">
        <w:t>terms</w:t>
      </w:r>
      <w:r w:rsidR="00792D18">
        <w:t>.</w:t>
      </w:r>
      <w:r w:rsidR="00B10B96">
        <w:rPr>
          <w:rStyle w:val="FootnoteReference"/>
        </w:rPr>
        <w:footnoteReference w:id="6"/>
      </w:r>
    </w:p>
    <w:tbl>
      <w:tblPr>
        <w:tblStyle w:val="Deloittetable"/>
        <w:tblW w:w="5000" w:type="pct"/>
        <w:tblLook w:val="04A0" w:firstRow="1" w:lastRow="0" w:firstColumn="1" w:lastColumn="0" w:noHBand="0" w:noVBand="1"/>
      </w:tblPr>
      <w:tblGrid>
        <w:gridCol w:w="2976"/>
        <w:gridCol w:w="3026"/>
        <w:gridCol w:w="3024"/>
      </w:tblGrid>
      <w:tr w:rsidR="00541D5B" w14:paraId="69B3D814" w14:textId="044C9BF3" w:rsidTr="007F3E00">
        <w:trPr>
          <w:cnfStyle w:val="100000000000" w:firstRow="1" w:lastRow="0" w:firstColumn="0" w:lastColumn="0" w:oddVBand="0" w:evenVBand="0" w:oddHBand="0" w:evenHBand="0" w:firstRowFirstColumn="0" w:firstRowLastColumn="0" w:lastRowFirstColumn="0" w:lastRowLastColumn="0"/>
          <w:trHeight w:val="273"/>
          <w:tblHeader/>
        </w:trPr>
        <w:tc>
          <w:tcPr>
            <w:tcW w:w="1649" w:type="pct"/>
          </w:tcPr>
          <w:p w14:paraId="7ADF7AB5" w14:textId="64751BDF" w:rsidR="00541D5B" w:rsidRPr="00144137" w:rsidRDefault="00714C75" w:rsidP="00021EF3">
            <w:pPr>
              <w:spacing w:beforeLines="20" w:before="48" w:afterLines="20" w:after="48"/>
              <w:ind w:left="0"/>
              <w:rPr>
                <w:b/>
              </w:rPr>
            </w:pPr>
            <w:r>
              <w:rPr>
                <w:b/>
              </w:rPr>
              <w:t>CBA results</w:t>
            </w:r>
          </w:p>
        </w:tc>
        <w:tc>
          <w:tcPr>
            <w:tcW w:w="1676" w:type="pct"/>
          </w:tcPr>
          <w:p w14:paraId="6A73709B" w14:textId="7EC7B801" w:rsidR="00541D5B" w:rsidRPr="00204645" w:rsidRDefault="000D70FB" w:rsidP="00021EF3">
            <w:pPr>
              <w:spacing w:beforeLines="20" w:before="48" w:afterLines="20" w:after="48"/>
              <w:rPr>
                <w:b/>
              </w:rPr>
            </w:pPr>
            <w:r>
              <w:rPr>
                <w:b/>
              </w:rPr>
              <w:t xml:space="preserve">Core </w:t>
            </w:r>
            <w:r w:rsidR="00541D5B">
              <w:rPr>
                <w:b/>
              </w:rPr>
              <w:t>scenario</w:t>
            </w:r>
            <w:r w:rsidR="003837F5">
              <w:rPr>
                <w:b/>
              </w:rPr>
              <w:t xml:space="preserve"> (benefits </w:t>
            </w:r>
            <w:r w:rsidR="00E576C1">
              <w:rPr>
                <w:b/>
              </w:rPr>
              <w:t xml:space="preserve">to </w:t>
            </w:r>
            <w:r w:rsidR="003837F5">
              <w:rPr>
                <w:b/>
              </w:rPr>
              <w:t>2022)</w:t>
            </w:r>
          </w:p>
        </w:tc>
        <w:tc>
          <w:tcPr>
            <w:tcW w:w="1675" w:type="pct"/>
          </w:tcPr>
          <w:p w14:paraId="0A077C6B" w14:textId="788FC321" w:rsidR="00541D5B" w:rsidRDefault="007D203A" w:rsidP="00021EF3">
            <w:pPr>
              <w:spacing w:beforeLines="20" w:before="48" w:afterLines="20" w:after="48"/>
              <w:rPr>
                <w:b/>
              </w:rPr>
            </w:pPr>
            <w:r>
              <w:rPr>
                <w:b/>
              </w:rPr>
              <w:t>Benefits do not persist (benefits to 2021)</w:t>
            </w:r>
          </w:p>
        </w:tc>
      </w:tr>
      <w:tr w:rsidR="00541D5B" w14:paraId="388B1647" w14:textId="35A99DC0" w:rsidTr="00FA32C2">
        <w:trPr>
          <w:trHeight w:val="287"/>
        </w:trPr>
        <w:tc>
          <w:tcPr>
            <w:tcW w:w="1649" w:type="pct"/>
            <w:shd w:val="clear" w:color="auto" w:fill="DFF0F9" w:themeFill="accent3" w:themeFillTint="33"/>
          </w:tcPr>
          <w:p w14:paraId="33755514" w14:textId="477A336E" w:rsidR="00541D5B" w:rsidRPr="00144137" w:rsidRDefault="00541D5B" w:rsidP="00021EF3">
            <w:pPr>
              <w:spacing w:beforeLines="20" w:before="48" w:afterLines="20" w:after="48"/>
              <w:rPr>
                <w:b/>
              </w:rPr>
            </w:pPr>
            <w:r>
              <w:rPr>
                <w:b/>
              </w:rPr>
              <w:t>Benefits</w:t>
            </w:r>
            <w:r w:rsidR="00FA32C2">
              <w:rPr>
                <w:b/>
              </w:rPr>
              <w:t xml:space="preserve"> (NPV, $ million)</w:t>
            </w:r>
          </w:p>
        </w:tc>
        <w:tc>
          <w:tcPr>
            <w:tcW w:w="1676" w:type="pct"/>
            <w:shd w:val="clear" w:color="auto" w:fill="DFF0F9" w:themeFill="accent3" w:themeFillTint="33"/>
            <w:vAlign w:val="center"/>
          </w:tcPr>
          <w:p w14:paraId="374DA3A1" w14:textId="77777777" w:rsidR="00541D5B" w:rsidRPr="00AF335B" w:rsidRDefault="00541D5B" w:rsidP="00021EF3">
            <w:pPr>
              <w:spacing w:beforeLines="20" w:before="48" w:afterLines="20" w:after="48"/>
            </w:pPr>
          </w:p>
        </w:tc>
        <w:tc>
          <w:tcPr>
            <w:tcW w:w="1675" w:type="pct"/>
            <w:shd w:val="clear" w:color="auto" w:fill="DFF0F9" w:themeFill="accent3" w:themeFillTint="33"/>
          </w:tcPr>
          <w:p w14:paraId="47159362" w14:textId="77777777" w:rsidR="00541D5B" w:rsidRPr="00AF335B" w:rsidRDefault="00541D5B" w:rsidP="00021EF3">
            <w:pPr>
              <w:spacing w:beforeLines="20" w:before="48" w:afterLines="20" w:after="48"/>
            </w:pPr>
          </w:p>
        </w:tc>
      </w:tr>
      <w:tr w:rsidR="00541D5B" w14:paraId="210DB90B" w14:textId="0867D52C" w:rsidTr="00FA32C2">
        <w:trPr>
          <w:trHeight w:val="273"/>
        </w:trPr>
        <w:tc>
          <w:tcPr>
            <w:tcW w:w="1649" w:type="pct"/>
          </w:tcPr>
          <w:p w14:paraId="4AE283E0" w14:textId="77777777" w:rsidR="00541D5B" w:rsidRDefault="00541D5B" w:rsidP="00021EF3">
            <w:pPr>
              <w:spacing w:beforeLines="20" w:before="48" w:afterLines="20" w:after="48"/>
            </w:pPr>
            <w:r>
              <w:t>Business survival</w:t>
            </w:r>
          </w:p>
        </w:tc>
        <w:tc>
          <w:tcPr>
            <w:tcW w:w="1676" w:type="pct"/>
            <w:vAlign w:val="center"/>
          </w:tcPr>
          <w:p w14:paraId="6EE9F94C" w14:textId="6195A1A6" w:rsidR="00541D5B" w:rsidRDefault="003F263F" w:rsidP="00021EF3">
            <w:pPr>
              <w:spacing w:beforeLines="20" w:before="48" w:afterLines="20" w:after="48"/>
            </w:pPr>
            <w:r>
              <w:t>1,716</w:t>
            </w:r>
          </w:p>
        </w:tc>
        <w:tc>
          <w:tcPr>
            <w:tcW w:w="1675" w:type="pct"/>
          </w:tcPr>
          <w:p w14:paraId="12699DA1" w14:textId="20EED0B3" w:rsidR="00541D5B" w:rsidRDefault="003B5B84" w:rsidP="00021EF3">
            <w:pPr>
              <w:spacing w:beforeLines="20" w:before="48" w:afterLines="20" w:after="48"/>
            </w:pPr>
            <w:r>
              <w:t>6</w:t>
            </w:r>
            <w:r w:rsidR="00CD749B">
              <w:t>87</w:t>
            </w:r>
          </w:p>
        </w:tc>
      </w:tr>
      <w:tr w:rsidR="00541D5B" w14:paraId="38268B95" w14:textId="6135C1D5" w:rsidTr="00FA32C2">
        <w:trPr>
          <w:trHeight w:val="287"/>
        </w:trPr>
        <w:tc>
          <w:tcPr>
            <w:tcW w:w="1649" w:type="pct"/>
          </w:tcPr>
          <w:p w14:paraId="2680AC25" w14:textId="77777777" w:rsidR="00541D5B" w:rsidRDefault="00541D5B" w:rsidP="00021EF3">
            <w:pPr>
              <w:spacing w:beforeLines="20" w:before="48" w:afterLines="20" w:after="48"/>
            </w:pPr>
            <w:r>
              <w:t>Increased hours worked</w:t>
            </w:r>
          </w:p>
        </w:tc>
        <w:tc>
          <w:tcPr>
            <w:tcW w:w="1676" w:type="pct"/>
            <w:vAlign w:val="center"/>
          </w:tcPr>
          <w:p w14:paraId="3158D66B" w14:textId="7CE1DC66" w:rsidR="00541D5B" w:rsidRDefault="003F263F" w:rsidP="00021EF3">
            <w:pPr>
              <w:spacing w:beforeLines="20" w:before="48" w:afterLines="20" w:after="48"/>
            </w:pPr>
            <w:r>
              <w:t>553</w:t>
            </w:r>
          </w:p>
        </w:tc>
        <w:tc>
          <w:tcPr>
            <w:tcW w:w="1675" w:type="pct"/>
          </w:tcPr>
          <w:p w14:paraId="6659E1EB" w14:textId="36BFB281" w:rsidR="00541D5B" w:rsidRDefault="005B5FC8" w:rsidP="00021EF3">
            <w:pPr>
              <w:spacing w:beforeLines="20" w:before="48" w:afterLines="20" w:after="48"/>
            </w:pPr>
            <w:r>
              <w:t>553</w:t>
            </w:r>
          </w:p>
        </w:tc>
      </w:tr>
      <w:tr w:rsidR="00A02EE2" w14:paraId="174A90C3" w14:textId="77777777" w:rsidTr="00FA32C2">
        <w:trPr>
          <w:trHeight w:val="287"/>
        </w:trPr>
        <w:tc>
          <w:tcPr>
            <w:tcW w:w="1649" w:type="pct"/>
          </w:tcPr>
          <w:p w14:paraId="33C76E60" w14:textId="0BEA410A" w:rsidR="00772D98" w:rsidRDefault="00772D98" w:rsidP="00021EF3">
            <w:pPr>
              <w:spacing w:beforeLines="20" w:before="48" w:afterLines="20" w:after="48"/>
            </w:pPr>
            <w:r>
              <w:t>Grant payments</w:t>
            </w:r>
          </w:p>
        </w:tc>
        <w:tc>
          <w:tcPr>
            <w:tcW w:w="1676" w:type="pct"/>
            <w:vAlign w:val="center"/>
          </w:tcPr>
          <w:p w14:paraId="04E2272E" w14:textId="603DD896" w:rsidR="00772D98" w:rsidRDefault="008A75F3" w:rsidP="00021EF3">
            <w:pPr>
              <w:spacing w:beforeLines="20" w:before="48" w:afterLines="20" w:after="48"/>
            </w:pPr>
            <w:r>
              <w:t>7,270</w:t>
            </w:r>
          </w:p>
        </w:tc>
        <w:tc>
          <w:tcPr>
            <w:tcW w:w="1675" w:type="pct"/>
          </w:tcPr>
          <w:p w14:paraId="7305BC11" w14:textId="172B4058" w:rsidR="00772D98" w:rsidRDefault="008A75F3" w:rsidP="00021EF3">
            <w:pPr>
              <w:spacing w:beforeLines="20" w:before="48" w:afterLines="20" w:after="48"/>
            </w:pPr>
            <w:r>
              <w:t>7,270</w:t>
            </w:r>
          </w:p>
        </w:tc>
      </w:tr>
      <w:tr w:rsidR="00587269" w14:paraId="25F9B4D0" w14:textId="77777777" w:rsidTr="00FA32C2">
        <w:trPr>
          <w:trHeight w:val="287"/>
        </w:trPr>
        <w:tc>
          <w:tcPr>
            <w:tcW w:w="1649" w:type="pct"/>
          </w:tcPr>
          <w:p w14:paraId="596135EC" w14:textId="6A2580E4" w:rsidR="00587269" w:rsidRPr="00746F49" w:rsidRDefault="00587269" w:rsidP="00021EF3">
            <w:pPr>
              <w:spacing w:beforeLines="20" w:before="48" w:afterLines="20" w:after="48"/>
              <w:rPr>
                <w:b/>
                <w:bCs/>
              </w:rPr>
            </w:pPr>
            <w:r w:rsidRPr="00746F49">
              <w:rPr>
                <w:b/>
                <w:bCs/>
              </w:rPr>
              <w:t>Total benefits</w:t>
            </w:r>
          </w:p>
        </w:tc>
        <w:tc>
          <w:tcPr>
            <w:tcW w:w="1676" w:type="pct"/>
            <w:vAlign w:val="center"/>
          </w:tcPr>
          <w:p w14:paraId="015E7BA6" w14:textId="262927AF" w:rsidR="00587269" w:rsidRPr="00746F49" w:rsidRDefault="00774E34" w:rsidP="00021EF3">
            <w:pPr>
              <w:spacing w:beforeLines="20" w:before="48" w:afterLines="20" w:after="48"/>
              <w:rPr>
                <w:b/>
                <w:bCs/>
              </w:rPr>
            </w:pPr>
            <w:r>
              <w:rPr>
                <w:b/>
                <w:bCs/>
              </w:rPr>
              <w:t>9,540</w:t>
            </w:r>
          </w:p>
        </w:tc>
        <w:tc>
          <w:tcPr>
            <w:tcW w:w="1675" w:type="pct"/>
          </w:tcPr>
          <w:p w14:paraId="20BA4BC6" w14:textId="13E43D24" w:rsidR="00587269" w:rsidRPr="00746F49" w:rsidRDefault="00240A79" w:rsidP="00021EF3">
            <w:pPr>
              <w:spacing w:beforeLines="20" w:before="48" w:afterLines="20" w:after="48"/>
              <w:rPr>
                <w:b/>
                <w:bCs/>
              </w:rPr>
            </w:pPr>
            <w:r>
              <w:rPr>
                <w:b/>
                <w:bCs/>
              </w:rPr>
              <w:t>8,511</w:t>
            </w:r>
          </w:p>
        </w:tc>
      </w:tr>
      <w:tr w:rsidR="00541D5B" w14:paraId="439207DA" w14:textId="37ED23E8" w:rsidTr="00FA32C2">
        <w:trPr>
          <w:trHeight w:val="287"/>
        </w:trPr>
        <w:tc>
          <w:tcPr>
            <w:tcW w:w="1649" w:type="pct"/>
            <w:shd w:val="clear" w:color="auto" w:fill="DFF0F9" w:themeFill="accent3" w:themeFillTint="33"/>
          </w:tcPr>
          <w:p w14:paraId="2517AF0C" w14:textId="1E939EE0" w:rsidR="00541D5B" w:rsidRPr="00144137" w:rsidRDefault="00541D5B" w:rsidP="00021EF3">
            <w:pPr>
              <w:spacing w:beforeLines="20" w:before="48" w:afterLines="20" w:after="48"/>
              <w:rPr>
                <w:b/>
              </w:rPr>
            </w:pPr>
            <w:r>
              <w:rPr>
                <w:b/>
              </w:rPr>
              <w:t>Costs</w:t>
            </w:r>
            <w:r w:rsidR="00FA32C2">
              <w:rPr>
                <w:b/>
              </w:rPr>
              <w:t xml:space="preserve"> (NPV, $ million)</w:t>
            </w:r>
          </w:p>
        </w:tc>
        <w:tc>
          <w:tcPr>
            <w:tcW w:w="1676" w:type="pct"/>
            <w:shd w:val="clear" w:color="auto" w:fill="DFF0F9" w:themeFill="accent3" w:themeFillTint="33"/>
            <w:vAlign w:val="center"/>
          </w:tcPr>
          <w:p w14:paraId="18A3160F" w14:textId="77777777" w:rsidR="00541D5B" w:rsidRPr="00571CBE" w:rsidRDefault="00541D5B" w:rsidP="00021EF3">
            <w:pPr>
              <w:spacing w:beforeLines="20" w:before="48" w:afterLines="20" w:after="48"/>
            </w:pPr>
          </w:p>
        </w:tc>
        <w:tc>
          <w:tcPr>
            <w:tcW w:w="1675" w:type="pct"/>
            <w:shd w:val="clear" w:color="auto" w:fill="DFF0F9" w:themeFill="accent3" w:themeFillTint="33"/>
          </w:tcPr>
          <w:p w14:paraId="1F873B7F" w14:textId="77777777" w:rsidR="00541D5B" w:rsidRPr="00571CBE" w:rsidRDefault="00541D5B" w:rsidP="00021EF3">
            <w:pPr>
              <w:spacing w:beforeLines="20" w:before="48" w:afterLines="20" w:after="48"/>
            </w:pPr>
          </w:p>
        </w:tc>
      </w:tr>
      <w:tr w:rsidR="00541D5B" w14:paraId="4CCEF646" w14:textId="62EBF7DC" w:rsidTr="00E50687">
        <w:trPr>
          <w:trHeight w:val="287"/>
        </w:trPr>
        <w:tc>
          <w:tcPr>
            <w:tcW w:w="0" w:type="pct"/>
          </w:tcPr>
          <w:p w14:paraId="54441E32" w14:textId="77777777" w:rsidR="00541D5B" w:rsidRDefault="00541D5B" w:rsidP="00021EF3">
            <w:pPr>
              <w:spacing w:beforeLines="20" w:before="48" w:afterLines="20" w:after="48"/>
            </w:pPr>
            <w:r>
              <w:t>Resourcing and administrative costs</w:t>
            </w:r>
          </w:p>
        </w:tc>
        <w:tc>
          <w:tcPr>
            <w:tcW w:w="0" w:type="pct"/>
            <w:vAlign w:val="center"/>
          </w:tcPr>
          <w:p w14:paraId="5447427F" w14:textId="261EE6B0" w:rsidR="00541D5B" w:rsidRDefault="00714C75" w:rsidP="00021EF3">
            <w:pPr>
              <w:spacing w:beforeLines="20" w:before="48" w:afterLines="20" w:after="48"/>
            </w:pPr>
            <w:r>
              <w:t>42</w:t>
            </w:r>
          </w:p>
        </w:tc>
        <w:tc>
          <w:tcPr>
            <w:tcW w:w="0" w:type="pct"/>
            <w:vAlign w:val="center"/>
          </w:tcPr>
          <w:p w14:paraId="11908DD0" w14:textId="360A5C61" w:rsidR="00541D5B" w:rsidRDefault="00714C75" w:rsidP="00021EF3">
            <w:pPr>
              <w:spacing w:beforeLines="20" w:before="48" w:afterLines="20" w:after="48"/>
            </w:pPr>
            <w:r>
              <w:t>42</w:t>
            </w:r>
          </w:p>
        </w:tc>
      </w:tr>
      <w:tr w:rsidR="00541D5B" w14:paraId="7EC2CEA7" w14:textId="72DDB652" w:rsidTr="00E50687">
        <w:trPr>
          <w:trHeight w:val="273"/>
        </w:trPr>
        <w:tc>
          <w:tcPr>
            <w:tcW w:w="0" w:type="pct"/>
          </w:tcPr>
          <w:p w14:paraId="3ACACA19" w14:textId="77777777" w:rsidR="00541D5B" w:rsidRDefault="00541D5B" w:rsidP="00021EF3">
            <w:pPr>
              <w:spacing w:beforeLines="20" w:before="48" w:afterLines="20" w:after="48"/>
            </w:pPr>
            <w:r>
              <w:t>Marginal excess burden of taxation</w:t>
            </w:r>
          </w:p>
        </w:tc>
        <w:tc>
          <w:tcPr>
            <w:tcW w:w="0" w:type="pct"/>
            <w:vAlign w:val="center"/>
          </w:tcPr>
          <w:p w14:paraId="10B805CA" w14:textId="4686C7F6" w:rsidR="00541D5B" w:rsidRDefault="00836AD9" w:rsidP="00021EF3">
            <w:pPr>
              <w:spacing w:beforeLines="20" w:before="48" w:afterLines="20" w:after="48"/>
            </w:pPr>
            <w:r>
              <w:t>1,387</w:t>
            </w:r>
          </w:p>
        </w:tc>
        <w:tc>
          <w:tcPr>
            <w:tcW w:w="0" w:type="pct"/>
            <w:vAlign w:val="center"/>
          </w:tcPr>
          <w:p w14:paraId="3EA855EF" w14:textId="3BB1F039" w:rsidR="00541D5B" w:rsidRDefault="00836AD9" w:rsidP="00021EF3">
            <w:pPr>
              <w:spacing w:beforeLines="20" w:before="48" w:afterLines="20" w:after="48"/>
            </w:pPr>
            <w:r>
              <w:t>1,387</w:t>
            </w:r>
          </w:p>
        </w:tc>
      </w:tr>
      <w:tr w:rsidR="00075043" w14:paraId="003EC283" w14:textId="77777777">
        <w:trPr>
          <w:trHeight w:val="273"/>
        </w:trPr>
        <w:tc>
          <w:tcPr>
            <w:tcW w:w="1649" w:type="pct"/>
          </w:tcPr>
          <w:p w14:paraId="20EBD6A4" w14:textId="3EC5F012" w:rsidR="008B77E8" w:rsidRDefault="008B77E8" w:rsidP="00021EF3">
            <w:pPr>
              <w:spacing w:beforeLines="20" w:before="48" w:afterLines="20" w:after="48"/>
            </w:pPr>
            <w:r>
              <w:t>Interest payments</w:t>
            </w:r>
          </w:p>
        </w:tc>
        <w:tc>
          <w:tcPr>
            <w:tcW w:w="1676" w:type="pct"/>
            <w:vAlign w:val="center"/>
          </w:tcPr>
          <w:p w14:paraId="12962666" w14:textId="1ABE0120" w:rsidR="008B77E8" w:rsidRDefault="007724D5" w:rsidP="00021EF3">
            <w:pPr>
              <w:spacing w:beforeLines="20" w:before="48" w:afterLines="20" w:after="48"/>
            </w:pPr>
            <w:r>
              <w:t>838</w:t>
            </w:r>
          </w:p>
        </w:tc>
        <w:tc>
          <w:tcPr>
            <w:tcW w:w="1675" w:type="pct"/>
            <w:vAlign w:val="center"/>
          </w:tcPr>
          <w:p w14:paraId="254BE236" w14:textId="6A4843C3" w:rsidR="008B77E8" w:rsidRDefault="00367D88" w:rsidP="00021EF3">
            <w:pPr>
              <w:spacing w:beforeLines="20" w:before="48" w:afterLines="20" w:after="48"/>
            </w:pPr>
            <w:r>
              <w:t>838</w:t>
            </w:r>
          </w:p>
        </w:tc>
      </w:tr>
      <w:tr w:rsidR="00075043" w14:paraId="7C4DBFD2" w14:textId="77777777">
        <w:trPr>
          <w:trHeight w:val="273"/>
        </w:trPr>
        <w:tc>
          <w:tcPr>
            <w:tcW w:w="1649" w:type="pct"/>
          </w:tcPr>
          <w:p w14:paraId="2C570DCB" w14:textId="452C5377" w:rsidR="00772D98" w:rsidRDefault="00772D98" w:rsidP="00021EF3">
            <w:pPr>
              <w:spacing w:beforeLines="20" w:before="48" w:afterLines="20" w:after="48"/>
            </w:pPr>
            <w:r>
              <w:t>Grant payments</w:t>
            </w:r>
          </w:p>
        </w:tc>
        <w:tc>
          <w:tcPr>
            <w:tcW w:w="1676" w:type="pct"/>
            <w:vAlign w:val="center"/>
          </w:tcPr>
          <w:p w14:paraId="22B8DEF8" w14:textId="2736D734" w:rsidR="00772D98" w:rsidRDefault="008A75F3" w:rsidP="00021EF3">
            <w:pPr>
              <w:spacing w:beforeLines="20" w:before="48" w:afterLines="20" w:after="48"/>
            </w:pPr>
            <w:r>
              <w:t>7,270</w:t>
            </w:r>
          </w:p>
        </w:tc>
        <w:tc>
          <w:tcPr>
            <w:tcW w:w="1675" w:type="pct"/>
            <w:vAlign w:val="center"/>
          </w:tcPr>
          <w:p w14:paraId="294E88BE" w14:textId="24AFCB97" w:rsidR="00772D98" w:rsidRDefault="008A75F3" w:rsidP="00021EF3">
            <w:pPr>
              <w:spacing w:beforeLines="20" w:before="48" w:afterLines="20" w:after="48"/>
            </w:pPr>
            <w:r>
              <w:t>7,270</w:t>
            </w:r>
          </w:p>
        </w:tc>
      </w:tr>
      <w:tr w:rsidR="00671108" w14:paraId="0E9D2F4A" w14:textId="77777777" w:rsidTr="00E50687">
        <w:trPr>
          <w:trHeight w:val="273"/>
        </w:trPr>
        <w:tc>
          <w:tcPr>
            <w:tcW w:w="0" w:type="pct"/>
          </w:tcPr>
          <w:p w14:paraId="1D2A0554" w14:textId="3B84788D" w:rsidR="00671108" w:rsidRPr="00746F49" w:rsidRDefault="00671108" w:rsidP="00021EF3">
            <w:pPr>
              <w:spacing w:beforeLines="20" w:before="48" w:afterLines="20" w:after="48"/>
              <w:rPr>
                <w:b/>
                <w:bCs/>
              </w:rPr>
            </w:pPr>
            <w:r w:rsidRPr="00746F49">
              <w:rPr>
                <w:b/>
                <w:bCs/>
              </w:rPr>
              <w:t>Total cost</w:t>
            </w:r>
          </w:p>
        </w:tc>
        <w:tc>
          <w:tcPr>
            <w:tcW w:w="0" w:type="pct"/>
            <w:vAlign w:val="center"/>
          </w:tcPr>
          <w:p w14:paraId="701B319E" w14:textId="34599BF7" w:rsidR="00671108" w:rsidRPr="00746F49" w:rsidRDefault="00367D88" w:rsidP="00021EF3">
            <w:pPr>
              <w:spacing w:beforeLines="20" w:before="48" w:afterLines="20" w:after="48"/>
              <w:rPr>
                <w:b/>
                <w:bCs/>
              </w:rPr>
            </w:pPr>
            <w:r>
              <w:rPr>
                <w:b/>
                <w:bCs/>
              </w:rPr>
              <w:t>9,538</w:t>
            </w:r>
          </w:p>
        </w:tc>
        <w:tc>
          <w:tcPr>
            <w:tcW w:w="0" w:type="pct"/>
            <w:vAlign w:val="center"/>
          </w:tcPr>
          <w:p w14:paraId="5E4B6CE3" w14:textId="6CC123BA" w:rsidR="00671108" w:rsidRPr="00746F49" w:rsidRDefault="00367D88" w:rsidP="00021EF3">
            <w:pPr>
              <w:spacing w:beforeLines="20" w:before="48" w:afterLines="20" w:after="48"/>
              <w:rPr>
                <w:b/>
                <w:bCs/>
              </w:rPr>
            </w:pPr>
            <w:r>
              <w:rPr>
                <w:b/>
                <w:bCs/>
              </w:rPr>
              <w:t>9,538</w:t>
            </w:r>
          </w:p>
        </w:tc>
      </w:tr>
      <w:tr w:rsidR="00671108" w14:paraId="6DCEF427" w14:textId="77777777" w:rsidTr="00746F49">
        <w:trPr>
          <w:trHeight w:val="273"/>
        </w:trPr>
        <w:tc>
          <w:tcPr>
            <w:tcW w:w="1649" w:type="pct"/>
            <w:shd w:val="clear" w:color="auto" w:fill="D9D9D9" w:themeFill="background1" w:themeFillShade="D9"/>
          </w:tcPr>
          <w:p w14:paraId="6CB2EB0A" w14:textId="0842E99C" w:rsidR="00671108" w:rsidRPr="00746F49" w:rsidRDefault="00671108" w:rsidP="00021EF3">
            <w:pPr>
              <w:spacing w:beforeLines="20" w:before="48" w:afterLines="20" w:after="48"/>
              <w:rPr>
                <w:b/>
                <w:bCs/>
              </w:rPr>
            </w:pPr>
            <w:r w:rsidRPr="00746F49">
              <w:rPr>
                <w:b/>
                <w:bCs/>
              </w:rPr>
              <w:t>BCR</w:t>
            </w:r>
          </w:p>
        </w:tc>
        <w:tc>
          <w:tcPr>
            <w:tcW w:w="1676" w:type="pct"/>
            <w:shd w:val="clear" w:color="auto" w:fill="D9D9D9" w:themeFill="background1" w:themeFillShade="D9"/>
            <w:vAlign w:val="center"/>
          </w:tcPr>
          <w:p w14:paraId="26EFCD87" w14:textId="48847DF9" w:rsidR="00671108" w:rsidRPr="00746F49" w:rsidRDefault="00671108" w:rsidP="00021EF3">
            <w:pPr>
              <w:spacing w:beforeLines="20" w:before="48" w:afterLines="20" w:after="48"/>
              <w:rPr>
                <w:b/>
                <w:bCs/>
              </w:rPr>
            </w:pPr>
            <w:r w:rsidRPr="00746F49">
              <w:rPr>
                <w:b/>
                <w:bCs/>
              </w:rPr>
              <w:t>1.</w:t>
            </w:r>
            <w:r w:rsidR="00D42F72">
              <w:rPr>
                <w:b/>
                <w:bCs/>
              </w:rPr>
              <w:t>00</w:t>
            </w:r>
          </w:p>
        </w:tc>
        <w:tc>
          <w:tcPr>
            <w:tcW w:w="1675" w:type="pct"/>
            <w:shd w:val="clear" w:color="auto" w:fill="D9D9D9" w:themeFill="background1" w:themeFillShade="D9"/>
          </w:tcPr>
          <w:p w14:paraId="58AC874A" w14:textId="1DE18669" w:rsidR="00671108" w:rsidRPr="00746F49" w:rsidRDefault="00671108" w:rsidP="00021EF3">
            <w:pPr>
              <w:spacing w:beforeLines="20" w:before="48" w:afterLines="20" w:after="48"/>
              <w:rPr>
                <w:b/>
                <w:bCs/>
              </w:rPr>
            </w:pPr>
            <w:r w:rsidRPr="00746F49">
              <w:rPr>
                <w:b/>
                <w:bCs/>
              </w:rPr>
              <w:t>0.</w:t>
            </w:r>
            <w:r w:rsidR="002433C2">
              <w:rPr>
                <w:b/>
                <w:bCs/>
              </w:rPr>
              <w:t>89</w:t>
            </w:r>
          </w:p>
        </w:tc>
      </w:tr>
    </w:tbl>
    <w:p w14:paraId="127EC652" w14:textId="22BA8437" w:rsidR="003A1479" w:rsidRDefault="003A1479" w:rsidP="00021EF3">
      <w:pPr>
        <w:pStyle w:val="Source"/>
      </w:pPr>
      <w:r>
        <w:t>Source: Deloitte Access Economics</w:t>
      </w:r>
      <w:r w:rsidR="00792D18">
        <w:t>.</w:t>
      </w:r>
    </w:p>
    <w:p w14:paraId="7DDCF20C" w14:textId="281AF3AA" w:rsidR="0091511D" w:rsidRDefault="002E4B70" w:rsidP="00021EF3">
      <w:pPr>
        <w:pStyle w:val="Heading3un-numbered"/>
      </w:pPr>
      <w:bookmarkStart w:id="425" w:name="_Toc174118166"/>
      <w:bookmarkStart w:id="426" w:name="_Toc176516286"/>
      <w:r>
        <w:t>B</w:t>
      </w:r>
      <w:r w:rsidR="00EC4E2A">
        <w:t>enefit persistence</w:t>
      </w:r>
      <w:bookmarkEnd w:id="425"/>
      <w:bookmarkEnd w:id="426"/>
    </w:p>
    <w:p w14:paraId="77C7967E" w14:textId="6FEE3286" w:rsidR="00EC4E2A" w:rsidRDefault="00575613" w:rsidP="00021EF3">
      <w:r>
        <w:t xml:space="preserve">While it would be </w:t>
      </w:r>
      <w:r w:rsidR="00B2270A">
        <w:t>expected</w:t>
      </w:r>
      <w:r>
        <w:t xml:space="preserve"> that benefits would be delivered over the period for </w:t>
      </w:r>
      <w:r w:rsidR="00B2270A">
        <w:t>which</w:t>
      </w:r>
      <w:r>
        <w:t xml:space="preserve"> grants were largely delivered (2021), there is inherent uncertainty as to the extent to which these benefits persisted beyond the payment period (i.e., into 2022 and beyond).</w:t>
      </w:r>
      <w:r w:rsidR="001E0E45">
        <w:t xml:space="preserve"> The CBA results are sensitive to any change</w:t>
      </w:r>
      <w:r w:rsidR="00BE4BF3">
        <w:t>s</w:t>
      </w:r>
      <w:r w:rsidR="001E0E45">
        <w:t xml:space="preserve"> in the assumed </w:t>
      </w:r>
      <w:r w:rsidR="002E4B70">
        <w:t>persistence of benefits.</w:t>
      </w:r>
      <w:r>
        <w:t xml:space="preserve"> </w:t>
      </w:r>
    </w:p>
    <w:p w14:paraId="75853BE1" w14:textId="591371D2" w:rsidR="00B2270A" w:rsidRDefault="002E4B70" w:rsidP="00021EF3">
      <w:r>
        <w:lastRenderedPageBreak/>
        <w:t>It</w:t>
      </w:r>
      <w:r w:rsidR="004C5CDB">
        <w:t xml:space="preserve"> is reasonable to </w:t>
      </w:r>
      <w:r w:rsidR="005556FA">
        <w:t xml:space="preserve">assume </w:t>
      </w:r>
      <w:r w:rsidR="004C5CDB">
        <w:t xml:space="preserve">there is some persistence </w:t>
      </w:r>
      <w:r w:rsidR="005556FA">
        <w:t xml:space="preserve">of benefit beyond the immediate receipt of grant funding </w:t>
      </w:r>
      <w:r w:rsidR="004C5CDB">
        <w:t>particularly in relation to business survival benefits</w:t>
      </w:r>
      <w:r w:rsidR="005556FA">
        <w:t>. I</w:t>
      </w:r>
      <w:r w:rsidR="004C5CDB">
        <w:t xml:space="preserve">f a business </w:t>
      </w:r>
      <w:r w:rsidR="007228BF">
        <w:t>would have failed in the base case, they would not be operating and generating profit during and beyond the grant period.</w:t>
      </w:r>
    </w:p>
    <w:p w14:paraId="33C7C766" w14:textId="671D8CFA" w:rsidR="007228BF" w:rsidRDefault="007228BF" w:rsidP="00021EF3">
      <w:r>
        <w:t xml:space="preserve">Further, the regression analysis </w:t>
      </w:r>
      <w:r w:rsidR="004E24A5">
        <w:t xml:space="preserve">which examined the impact of the grants on business survival showed a positive effect in both 2021 and 2022, suggesting the grants had an impact on survival in 2022. The business survey also asked the extent to which benefits persisted beyond the COVID-19 pandemic period (i.e., beyond 2021), with the majority </w:t>
      </w:r>
      <w:r w:rsidR="006C64D6">
        <w:t>of respondents who indicated the</w:t>
      </w:r>
      <w:r w:rsidR="00A702FC">
        <w:t>re</w:t>
      </w:r>
      <w:r w:rsidR="006C64D6">
        <w:t xml:space="preserve"> was some persistence reporting </w:t>
      </w:r>
      <w:r w:rsidR="00355C6B">
        <w:t>that it</w:t>
      </w:r>
      <w:r w:rsidR="006C64D6">
        <w:t xml:space="preserve"> was less than a year </w:t>
      </w:r>
      <w:r w:rsidR="00513FA4">
        <w:t>(</w:t>
      </w:r>
      <w:r w:rsidR="006C64D6">
        <w:t xml:space="preserve">see </w:t>
      </w:r>
      <w:r w:rsidR="006C64D6">
        <w:fldChar w:fldCharType="begin"/>
      </w:r>
      <w:r w:rsidR="006C64D6">
        <w:instrText xml:space="preserve"> REF _Ref173255391 \r \h </w:instrText>
      </w:r>
      <w:r w:rsidR="00021EF3">
        <w:instrText xml:space="preserve"> \* MERGEFORMAT </w:instrText>
      </w:r>
      <w:r w:rsidR="006C64D6">
        <w:fldChar w:fldCharType="separate"/>
      </w:r>
      <w:r w:rsidR="0016271C">
        <w:t>Appendix E</w:t>
      </w:r>
      <w:r w:rsidR="006C64D6">
        <w:fldChar w:fldCharType="end"/>
      </w:r>
      <w:r w:rsidR="006C64D6">
        <w:t>). Based on this analysis,</w:t>
      </w:r>
      <w:r w:rsidR="00C61B95">
        <w:t xml:space="preserve"> in the </w:t>
      </w:r>
      <w:r w:rsidR="000D70FB" w:rsidRPr="001F605A">
        <w:t>core</w:t>
      </w:r>
      <w:r w:rsidR="00C61B95" w:rsidRPr="001F605A">
        <w:t xml:space="preserve"> scenario</w:t>
      </w:r>
      <w:r w:rsidR="006C64D6" w:rsidRPr="001F605A">
        <w:t xml:space="preserve"> </w:t>
      </w:r>
      <w:r w:rsidR="00CD1891" w:rsidRPr="001F605A">
        <w:t>survival benefits were assumed to persist into 2022</w:t>
      </w:r>
      <w:r w:rsidR="00C04D81">
        <w:t>,</w:t>
      </w:r>
      <w:r w:rsidR="00CD1891" w:rsidRPr="001F605A">
        <w:t xml:space="preserve"> </w:t>
      </w:r>
      <w:r w:rsidR="009535BD" w:rsidRPr="001F605A">
        <w:t>but not 2023 and beyond. A unique estimate of the impact</w:t>
      </w:r>
      <w:r w:rsidR="009535BD">
        <w:t xml:space="preserve"> on survival in 2021 and 2022 based on regression analysis was applied.</w:t>
      </w:r>
    </w:p>
    <w:p w14:paraId="1E0E7489" w14:textId="6300BAAE" w:rsidR="009535BD" w:rsidRDefault="007A14D0" w:rsidP="00021EF3">
      <w:r>
        <w:t xml:space="preserve">In both scenarios, labour surplus benefits were </w:t>
      </w:r>
      <w:r w:rsidR="004A59B5">
        <w:t xml:space="preserve">only modelled for 2021. This reflects that the grants were </w:t>
      </w:r>
      <w:r w:rsidR="00806F83">
        <w:t xml:space="preserve">generally intended to provide </w:t>
      </w:r>
      <w:r w:rsidR="003476E9">
        <w:t>immediate</w:t>
      </w:r>
      <w:r w:rsidR="00806F83">
        <w:t xml:space="preserve"> support during and around periods of restriction </w:t>
      </w:r>
      <w:r w:rsidR="002B5C49">
        <w:t>(i.e., in 2021) to cover cost</w:t>
      </w:r>
      <w:r w:rsidR="008F621E">
        <w:t>,</w:t>
      </w:r>
      <w:r w:rsidR="002B5C49">
        <w:t xml:space="preserve"> pay wages</w:t>
      </w:r>
      <w:r w:rsidR="008F621E">
        <w:t xml:space="preserve"> and stay operational</w:t>
      </w:r>
      <w:r w:rsidR="002B5C49">
        <w:t xml:space="preserve"> (</w:t>
      </w:r>
      <w:r w:rsidR="00271D0C">
        <w:t xml:space="preserve">and </w:t>
      </w:r>
      <w:r w:rsidR="002B5C49">
        <w:t>increasing hours worked).</w:t>
      </w:r>
      <w:r w:rsidR="006C5FDD">
        <w:t xml:space="preserve"> Further, </w:t>
      </w:r>
      <w:r w:rsidR="00D17C8E">
        <w:t>labour</w:t>
      </w:r>
      <w:r w:rsidR="006C5FDD">
        <w:t xml:space="preserve"> market dynamics were markedly different</w:t>
      </w:r>
      <w:r w:rsidR="0034021A">
        <w:t xml:space="preserve"> and unusual</w:t>
      </w:r>
      <w:r w:rsidR="006C5FDD">
        <w:t xml:space="preserve"> in 2022 making it difficult to infer a relationship with the grants.</w:t>
      </w:r>
    </w:p>
    <w:p w14:paraId="471EA248" w14:textId="6A76863E" w:rsidR="006C5FDD" w:rsidRDefault="006C5FDD" w:rsidP="00021EF3">
      <w:pPr>
        <w:pStyle w:val="Heading3un-numbered"/>
      </w:pPr>
      <w:bookmarkStart w:id="427" w:name="_Toc174118167"/>
      <w:bookmarkStart w:id="428" w:name="_Toc176516287"/>
      <w:r>
        <w:t>Assessment of value for money</w:t>
      </w:r>
      <w:bookmarkEnd w:id="427"/>
      <w:bookmarkEnd w:id="428"/>
    </w:p>
    <w:p w14:paraId="50D0C50C" w14:textId="3A227306" w:rsidR="006C5FDD" w:rsidRDefault="00CA15DB" w:rsidP="00021EF3">
      <w:r>
        <w:t xml:space="preserve">These results indicate that the </w:t>
      </w:r>
      <w:r w:rsidR="00C3635A">
        <w:t>programs delivered value to the Victorian community as measured through both business survival benefits and employment benefits</w:t>
      </w:r>
      <w:r w:rsidR="005C68DA">
        <w:t>, notwi</w:t>
      </w:r>
      <w:r w:rsidR="001F3F84">
        <w:t>th</w:t>
      </w:r>
      <w:r w:rsidR="005C68DA">
        <w:t xml:space="preserve">standing the </w:t>
      </w:r>
      <w:r w:rsidR="00F81CE3">
        <w:t>noted impact of providing BCAP grants to non-employing businesses</w:t>
      </w:r>
      <w:r w:rsidR="00C3635A">
        <w:t xml:space="preserve">. From a value for money perspective, the </w:t>
      </w:r>
      <w:r w:rsidR="000D70FB">
        <w:t>core</w:t>
      </w:r>
      <w:r w:rsidR="00C3635A">
        <w:t xml:space="preserve"> scenario suggests that the programs delivered </w:t>
      </w:r>
      <w:r w:rsidR="007B3713">
        <w:t>a return to the Victorian economy</w:t>
      </w:r>
      <w:r w:rsidR="00C3635A">
        <w:t xml:space="preserve"> in that the estimated benefits outweighed the economic costs of delivering the program</w:t>
      </w:r>
      <w:r w:rsidR="00CF201E">
        <w:t xml:space="preserve"> in NPV terms</w:t>
      </w:r>
      <w:r w:rsidR="00C3635A">
        <w:t>.</w:t>
      </w:r>
    </w:p>
    <w:p w14:paraId="2C18FDA1" w14:textId="73B64D67" w:rsidR="00C3635A" w:rsidRPr="006C5FDD" w:rsidRDefault="00E50B9A" w:rsidP="00021EF3">
      <w:r>
        <w:t xml:space="preserve">Further, </w:t>
      </w:r>
      <w:r w:rsidR="007B3713">
        <w:t xml:space="preserve">as </w:t>
      </w:r>
      <w:r w:rsidR="00EA443C">
        <w:t xml:space="preserve">indicated above, </w:t>
      </w:r>
      <w:r>
        <w:t xml:space="preserve">there </w:t>
      </w:r>
      <w:r w:rsidR="00EA443C">
        <w:t>were probably</w:t>
      </w:r>
      <w:r w:rsidR="00A74421" w:rsidDel="00AA5CC9">
        <w:t xml:space="preserve"> </w:t>
      </w:r>
      <w:r>
        <w:t xml:space="preserve">broader economic </w:t>
      </w:r>
      <w:r w:rsidR="00EA443C">
        <w:t>impacts</w:t>
      </w:r>
      <w:r>
        <w:t xml:space="preserve"> resulting from the program </w:t>
      </w:r>
      <w:r w:rsidR="00A74421">
        <w:t xml:space="preserve">that </w:t>
      </w:r>
      <w:r w:rsidR="007B3713">
        <w:t>could not</w:t>
      </w:r>
      <w:r w:rsidR="00A74421">
        <w:t xml:space="preserve"> </w:t>
      </w:r>
      <w:r w:rsidR="006846EC">
        <w:t xml:space="preserve">be </w:t>
      </w:r>
      <w:r w:rsidR="00A74421">
        <w:t>quantified through</w:t>
      </w:r>
      <w:r w:rsidR="00271D0C">
        <w:t xml:space="preserve"> the</w:t>
      </w:r>
      <w:r w:rsidR="00A74421">
        <w:t xml:space="preserve"> CBA, which considers only the direct effects of the intervention. These outcomes are explored </w:t>
      </w:r>
      <w:r w:rsidR="0061491B">
        <w:t xml:space="preserve">in Section </w:t>
      </w:r>
      <w:r w:rsidR="0061491B">
        <w:fldChar w:fldCharType="begin"/>
      </w:r>
      <w:r w:rsidR="0061491B">
        <w:instrText xml:space="preserve"> REF _Ref174023533 \r \h </w:instrText>
      </w:r>
      <w:r w:rsidR="00021EF3">
        <w:instrText xml:space="preserve"> \* MERGEFORMAT </w:instrText>
      </w:r>
      <w:r w:rsidR="0061491B">
        <w:fldChar w:fldCharType="separate"/>
      </w:r>
      <w:r w:rsidR="0016271C">
        <w:t>2.3</w:t>
      </w:r>
      <w:r w:rsidR="0061491B">
        <w:fldChar w:fldCharType="end"/>
      </w:r>
      <w:r w:rsidR="0061491B">
        <w:t xml:space="preserve"> and </w:t>
      </w:r>
      <w:r w:rsidR="0034704F">
        <w:t xml:space="preserve">further </w:t>
      </w:r>
      <w:r w:rsidR="007F6BEC">
        <w:t xml:space="preserve">add to </w:t>
      </w:r>
      <w:r w:rsidR="0034704F">
        <w:t>the argument that these programs delivered significant value to the Victorian economy and community.</w:t>
      </w:r>
    </w:p>
    <w:p w14:paraId="448850BD" w14:textId="30AD0042" w:rsidR="00553F80" w:rsidRDefault="00553F80" w:rsidP="00021EF3">
      <w:pPr>
        <w:pStyle w:val="Heading3un-numbered"/>
      </w:pPr>
      <w:bookmarkStart w:id="429" w:name="_Toc176516288"/>
      <w:r>
        <w:t>Sensitivity analysis – Marginal excess burden of taxation</w:t>
      </w:r>
      <w:bookmarkEnd w:id="429"/>
    </w:p>
    <w:p w14:paraId="695C3259" w14:textId="25A14236" w:rsidR="00553F80" w:rsidRPr="00553F80" w:rsidRDefault="00553F80" w:rsidP="00021EF3">
      <w:r>
        <w:t xml:space="preserve">Given the </w:t>
      </w:r>
      <w:r w:rsidR="00F24F37">
        <w:t>uncertainty</w:t>
      </w:r>
      <w:r>
        <w:t xml:space="preserve"> related to the marginal excess burden of taxation, sensitivity analysis was undertaken </w:t>
      </w:r>
      <w:r w:rsidR="00F24F37">
        <w:t>where the lower bound was set to be equivalent to the estimate for land tax (8%) and the upper bound set to the estimate for payroll tax (41%).</w:t>
      </w:r>
      <w:r w:rsidR="00277170">
        <w:t xml:space="preserve"> The </w:t>
      </w:r>
      <w:r w:rsidR="007669EA">
        <w:t>results of this analysis in terms of BCR are presented below:</w:t>
      </w:r>
    </w:p>
    <w:p w14:paraId="44D1C5D9" w14:textId="617CEE91" w:rsidR="007669EA" w:rsidRDefault="007669EA" w:rsidP="00021EF3">
      <w:pPr>
        <w:pStyle w:val="CaptionTable"/>
      </w:pPr>
      <w:r>
        <w:t xml:space="preserve">: </w:t>
      </w:r>
      <w:r w:rsidR="00725451">
        <w:t>Sensitivity analysis</w:t>
      </w:r>
      <w:r w:rsidR="00792D18">
        <w:t>.</w:t>
      </w:r>
    </w:p>
    <w:tbl>
      <w:tblPr>
        <w:tblStyle w:val="Deloittetable"/>
        <w:tblW w:w="5000" w:type="pct"/>
        <w:tblLook w:val="04A0" w:firstRow="1" w:lastRow="0" w:firstColumn="1" w:lastColumn="0" w:noHBand="0" w:noVBand="1"/>
      </w:tblPr>
      <w:tblGrid>
        <w:gridCol w:w="2976"/>
        <w:gridCol w:w="3026"/>
        <w:gridCol w:w="3024"/>
      </w:tblGrid>
      <w:tr w:rsidR="007669EA" w14:paraId="10AE50A3" w14:textId="77777777">
        <w:trPr>
          <w:cnfStyle w:val="100000000000" w:firstRow="1" w:lastRow="0" w:firstColumn="0" w:lastColumn="0" w:oddVBand="0" w:evenVBand="0" w:oddHBand="0" w:evenHBand="0" w:firstRowFirstColumn="0" w:firstRowLastColumn="0" w:lastRowFirstColumn="0" w:lastRowLastColumn="0"/>
          <w:trHeight w:val="273"/>
          <w:tblHeader/>
        </w:trPr>
        <w:tc>
          <w:tcPr>
            <w:tcW w:w="1649" w:type="pct"/>
          </w:tcPr>
          <w:p w14:paraId="3E9FE0C3" w14:textId="77777777" w:rsidR="007669EA" w:rsidRPr="00144137" w:rsidRDefault="007669EA" w:rsidP="00021EF3">
            <w:pPr>
              <w:spacing w:beforeLines="20" w:before="48" w:afterLines="20" w:after="48"/>
              <w:ind w:left="0"/>
              <w:rPr>
                <w:b/>
              </w:rPr>
            </w:pPr>
            <w:r>
              <w:rPr>
                <w:b/>
              </w:rPr>
              <w:t>CBA results</w:t>
            </w:r>
          </w:p>
        </w:tc>
        <w:tc>
          <w:tcPr>
            <w:tcW w:w="1676" w:type="pct"/>
            <w:vAlign w:val="center"/>
          </w:tcPr>
          <w:p w14:paraId="167E64E5" w14:textId="77777777" w:rsidR="007669EA" w:rsidRPr="00204645" w:rsidRDefault="007669EA" w:rsidP="00021EF3">
            <w:pPr>
              <w:spacing w:beforeLines="20" w:before="48" w:afterLines="20" w:after="48"/>
              <w:rPr>
                <w:b/>
              </w:rPr>
            </w:pPr>
            <w:r>
              <w:rPr>
                <w:b/>
              </w:rPr>
              <w:t>Core scenario (benefits to 2022)</w:t>
            </w:r>
          </w:p>
        </w:tc>
        <w:tc>
          <w:tcPr>
            <w:tcW w:w="1675" w:type="pct"/>
          </w:tcPr>
          <w:p w14:paraId="09F166AF" w14:textId="77777777" w:rsidR="007669EA" w:rsidRDefault="007669EA" w:rsidP="00021EF3">
            <w:pPr>
              <w:spacing w:beforeLines="20" w:before="48" w:afterLines="20" w:after="48"/>
              <w:rPr>
                <w:b/>
              </w:rPr>
            </w:pPr>
            <w:r>
              <w:rPr>
                <w:b/>
              </w:rPr>
              <w:t>Benefits do not persist (benefits to 2021)</w:t>
            </w:r>
          </w:p>
        </w:tc>
      </w:tr>
      <w:tr w:rsidR="007669EA" w14:paraId="44F6C9F3" w14:textId="77777777" w:rsidTr="00E50687">
        <w:trPr>
          <w:trHeight w:val="273"/>
        </w:trPr>
        <w:tc>
          <w:tcPr>
            <w:tcW w:w="0" w:type="pct"/>
          </w:tcPr>
          <w:p w14:paraId="796EFDD3" w14:textId="47FA83F9" w:rsidR="007669EA" w:rsidRDefault="00725451" w:rsidP="00021EF3">
            <w:pPr>
              <w:spacing w:beforeLines="20" w:before="48" w:afterLines="20" w:after="48"/>
            </w:pPr>
            <w:r>
              <w:t>Low marginal excess burden (8%)</w:t>
            </w:r>
          </w:p>
        </w:tc>
        <w:tc>
          <w:tcPr>
            <w:tcW w:w="0" w:type="pct"/>
            <w:vAlign w:val="center"/>
          </w:tcPr>
          <w:p w14:paraId="320C890E" w14:textId="53681332" w:rsidR="007669EA" w:rsidRDefault="00781191" w:rsidP="00021EF3">
            <w:pPr>
              <w:spacing w:beforeLines="20" w:before="48" w:afterLines="20" w:after="48"/>
            </w:pPr>
            <w:r>
              <w:t>1.11</w:t>
            </w:r>
          </w:p>
        </w:tc>
        <w:tc>
          <w:tcPr>
            <w:tcW w:w="0" w:type="pct"/>
            <w:vAlign w:val="center"/>
          </w:tcPr>
          <w:p w14:paraId="25F2AC3D" w14:textId="390988EB" w:rsidR="007669EA" w:rsidRDefault="00781191" w:rsidP="00021EF3">
            <w:pPr>
              <w:spacing w:beforeLines="20" w:before="48" w:afterLines="20" w:after="48"/>
            </w:pPr>
            <w:r>
              <w:t>0.99</w:t>
            </w:r>
          </w:p>
        </w:tc>
      </w:tr>
      <w:tr w:rsidR="007669EA" w14:paraId="7519074D" w14:textId="77777777" w:rsidTr="00E50687">
        <w:trPr>
          <w:trHeight w:val="287"/>
        </w:trPr>
        <w:tc>
          <w:tcPr>
            <w:tcW w:w="0" w:type="pct"/>
          </w:tcPr>
          <w:p w14:paraId="7B1B6802" w14:textId="07C4F569" w:rsidR="007669EA" w:rsidRDefault="00725451" w:rsidP="00021EF3">
            <w:pPr>
              <w:spacing w:beforeLines="20" w:before="48" w:afterLines="20" w:after="48"/>
            </w:pPr>
            <w:r>
              <w:t>Midpoint marginal excess burden (24.5%)</w:t>
            </w:r>
          </w:p>
        </w:tc>
        <w:tc>
          <w:tcPr>
            <w:tcW w:w="0" w:type="pct"/>
            <w:vAlign w:val="center"/>
          </w:tcPr>
          <w:p w14:paraId="65721B98" w14:textId="76796F8E" w:rsidR="007669EA" w:rsidRDefault="00781191" w:rsidP="00021EF3">
            <w:pPr>
              <w:spacing w:beforeLines="20" w:before="48" w:afterLines="20" w:after="48"/>
            </w:pPr>
            <w:r>
              <w:t>1.00</w:t>
            </w:r>
          </w:p>
        </w:tc>
        <w:tc>
          <w:tcPr>
            <w:tcW w:w="0" w:type="pct"/>
            <w:vAlign w:val="center"/>
          </w:tcPr>
          <w:p w14:paraId="6599949F" w14:textId="2BA4B132" w:rsidR="007669EA" w:rsidRDefault="00781191" w:rsidP="00021EF3">
            <w:pPr>
              <w:spacing w:beforeLines="20" w:before="48" w:afterLines="20" w:after="48"/>
            </w:pPr>
            <w:r>
              <w:t>0.89</w:t>
            </w:r>
          </w:p>
        </w:tc>
      </w:tr>
      <w:tr w:rsidR="007669EA" w14:paraId="6D02ADAC" w14:textId="77777777" w:rsidTr="00E50687">
        <w:trPr>
          <w:trHeight w:val="287"/>
        </w:trPr>
        <w:tc>
          <w:tcPr>
            <w:tcW w:w="0" w:type="pct"/>
          </w:tcPr>
          <w:p w14:paraId="7F73764B" w14:textId="0EEC7C7D" w:rsidR="007669EA" w:rsidRDefault="00725451" w:rsidP="00021EF3">
            <w:pPr>
              <w:spacing w:beforeLines="20" w:before="48" w:afterLines="20" w:after="48"/>
            </w:pPr>
            <w:r>
              <w:t>High marginal excess burden (41%)</w:t>
            </w:r>
          </w:p>
        </w:tc>
        <w:tc>
          <w:tcPr>
            <w:tcW w:w="0" w:type="pct"/>
            <w:vAlign w:val="center"/>
          </w:tcPr>
          <w:p w14:paraId="0B8E06D9" w14:textId="3B7707A4" w:rsidR="007669EA" w:rsidRDefault="00781191" w:rsidP="00021EF3">
            <w:pPr>
              <w:spacing w:beforeLines="20" w:before="48" w:afterLines="20" w:after="48"/>
            </w:pPr>
            <w:r>
              <w:t>0.91</w:t>
            </w:r>
          </w:p>
        </w:tc>
        <w:tc>
          <w:tcPr>
            <w:tcW w:w="0" w:type="pct"/>
            <w:vAlign w:val="center"/>
          </w:tcPr>
          <w:p w14:paraId="62A96003" w14:textId="56D0E9D6" w:rsidR="007669EA" w:rsidRDefault="00781191" w:rsidP="00021EF3">
            <w:pPr>
              <w:spacing w:beforeLines="20" w:before="48" w:afterLines="20" w:after="48"/>
            </w:pPr>
            <w:r>
              <w:t>0.81</w:t>
            </w:r>
          </w:p>
        </w:tc>
      </w:tr>
    </w:tbl>
    <w:p w14:paraId="6B077464" w14:textId="42FDB2B1" w:rsidR="007669EA" w:rsidRDefault="007669EA" w:rsidP="00021EF3">
      <w:pPr>
        <w:pStyle w:val="Source"/>
      </w:pPr>
      <w:r>
        <w:t>Source: Deloitte Access Economics</w:t>
      </w:r>
      <w:r w:rsidR="00792D18">
        <w:t>.</w:t>
      </w:r>
    </w:p>
    <w:p w14:paraId="4E4DF0FA" w14:textId="2200069D" w:rsidR="00137AB7" w:rsidRDefault="00137AB7" w:rsidP="00021EF3">
      <w:pPr>
        <w:pStyle w:val="Heading3un-numbered"/>
      </w:pPr>
      <w:bookmarkStart w:id="430" w:name="_Toc176516289"/>
      <w:r>
        <w:t>Limitations and assumptions</w:t>
      </w:r>
      <w:bookmarkEnd w:id="430"/>
    </w:p>
    <w:p w14:paraId="2F8B3F96" w14:textId="62969858" w:rsidR="00206C7A" w:rsidRPr="00206C7A" w:rsidRDefault="00FE07E2" w:rsidP="00021EF3">
      <w:r>
        <w:t xml:space="preserve">Some important </w:t>
      </w:r>
      <w:r w:rsidR="00AC181B">
        <w:t>limitations of this analysis are</w:t>
      </w:r>
      <w:r w:rsidR="008D0BF2">
        <w:t>:</w:t>
      </w:r>
    </w:p>
    <w:p w14:paraId="0C13189D" w14:textId="33C45404" w:rsidR="00206C7A" w:rsidRPr="00206C7A" w:rsidRDefault="00AE2D32" w:rsidP="00021EF3">
      <w:pPr>
        <w:pStyle w:val="ListBullet"/>
      </w:pPr>
      <w:r>
        <w:t xml:space="preserve">Key assumptions related to </w:t>
      </w:r>
      <w:r w:rsidR="00967579">
        <w:t xml:space="preserve">the </w:t>
      </w:r>
      <w:r w:rsidR="00F2767E">
        <w:t>effect of grant receival on</w:t>
      </w:r>
      <w:r w:rsidR="00967579">
        <w:t xml:space="preserve"> survival rate</w:t>
      </w:r>
      <w:r w:rsidR="00F2767E">
        <w:t>s</w:t>
      </w:r>
      <w:r w:rsidR="00967579">
        <w:t xml:space="preserve"> and hours worked were subject to the limitations of the underlying analysis as explored in </w:t>
      </w:r>
      <w:r w:rsidR="00967579">
        <w:fldChar w:fldCharType="begin"/>
      </w:r>
      <w:r w:rsidR="00967579">
        <w:instrText xml:space="preserve"> REF _Ref172634402 \r \h </w:instrText>
      </w:r>
      <w:r w:rsidR="00021EF3">
        <w:instrText xml:space="preserve"> \* MERGEFORMAT </w:instrText>
      </w:r>
      <w:r w:rsidR="00967579">
        <w:fldChar w:fldCharType="separate"/>
      </w:r>
      <w:r w:rsidR="0016271C">
        <w:t>Appendix A</w:t>
      </w:r>
      <w:r w:rsidR="00967579">
        <w:fldChar w:fldCharType="end"/>
      </w:r>
      <w:r w:rsidR="00967579">
        <w:t xml:space="preserve">. </w:t>
      </w:r>
    </w:p>
    <w:p w14:paraId="53A3FE93" w14:textId="465F604E" w:rsidR="00206C7A" w:rsidRPr="00206C7A" w:rsidRDefault="009529D8" w:rsidP="00021EF3">
      <w:pPr>
        <w:pStyle w:val="ListBullet"/>
      </w:pPr>
      <w:r>
        <w:t xml:space="preserve">Estimates of increased producer surplus associated with survival </w:t>
      </w:r>
      <w:r w:rsidR="00DE47D9">
        <w:t>assume</w:t>
      </w:r>
      <w:r>
        <w:t xml:space="preserve"> that business revenue </w:t>
      </w:r>
      <w:r w:rsidR="007A1F45">
        <w:t>and GOS shares</w:t>
      </w:r>
      <w:r>
        <w:t xml:space="preserve"> for surviving grant recipients </w:t>
      </w:r>
      <w:r w:rsidR="003D0640">
        <w:t>were</w:t>
      </w:r>
      <w:r>
        <w:t xml:space="preserve"> equal to the average of their industry </w:t>
      </w:r>
      <w:r w:rsidR="00CE73A2">
        <w:t>over the relevant period.</w:t>
      </w:r>
    </w:p>
    <w:p w14:paraId="556A2870" w14:textId="0C33B9E8" w:rsidR="00206C7A" w:rsidRPr="00206C7A" w:rsidRDefault="0068592E" w:rsidP="00021EF3">
      <w:pPr>
        <w:pStyle w:val="ListBullet"/>
      </w:pPr>
      <w:r>
        <w:t>T</w:t>
      </w:r>
      <w:r w:rsidR="00206C7A" w:rsidRPr="00206C7A">
        <w:t xml:space="preserve">he full range of benefits of the program were not able to be fully considered due to more general data limitations. </w:t>
      </w:r>
      <w:r w:rsidR="00DE47D9">
        <w:t>T</w:t>
      </w:r>
      <w:r w:rsidR="00242F31">
        <w:t xml:space="preserve">his included </w:t>
      </w:r>
      <w:r w:rsidR="00671424">
        <w:t>wellbeing</w:t>
      </w:r>
      <w:r w:rsidR="00C04D81">
        <w:t>-</w:t>
      </w:r>
      <w:r w:rsidR="00671424">
        <w:t xml:space="preserve">related </w:t>
      </w:r>
      <w:r w:rsidR="00242F31">
        <w:t xml:space="preserve">benefits </w:t>
      </w:r>
      <w:r w:rsidR="00671424">
        <w:t xml:space="preserve">and </w:t>
      </w:r>
      <w:r w:rsidR="00530F9E">
        <w:t>any broader economic impacts beyond business survival and hours worked.</w:t>
      </w:r>
    </w:p>
    <w:p w14:paraId="07309385" w14:textId="4428DD6F" w:rsidR="0063110F" w:rsidRPr="00553F80" w:rsidRDefault="00206C7A" w:rsidP="00021EF3">
      <w:pPr>
        <w:pStyle w:val="ListBullet"/>
      </w:pPr>
      <w:r w:rsidRPr="00206C7A">
        <w:t>Similarly, it was not possible to model the full array of costs associated with the pro</w:t>
      </w:r>
      <w:r w:rsidR="00530F9E">
        <w:t>grams</w:t>
      </w:r>
      <w:r w:rsidRPr="00206C7A">
        <w:t xml:space="preserve">. There </w:t>
      </w:r>
      <w:r w:rsidR="00A272C5">
        <w:t>are</w:t>
      </w:r>
      <w:r w:rsidRPr="00206C7A">
        <w:t xml:space="preserve"> likely additional costs to </w:t>
      </w:r>
      <w:r w:rsidR="00530F9E">
        <w:t>businesses</w:t>
      </w:r>
      <w:r w:rsidRPr="00206C7A">
        <w:t xml:space="preserve"> associated with the opportunity cost of time required to </w:t>
      </w:r>
      <w:r w:rsidR="00530F9E">
        <w:t>apply for</w:t>
      </w:r>
      <w:r w:rsidRPr="00206C7A">
        <w:t xml:space="preserve"> the </w:t>
      </w:r>
      <w:r w:rsidR="00530F9E">
        <w:t>grants</w:t>
      </w:r>
      <w:r w:rsidRPr="00206C7A">
        <w:t>, however it was not feasible to model this.</w:t>
      </w:r>
    </w:p>
    <w:p w14:paraId="071C262F" w14:textId="5DFFC869" w:rsidR="00F74098" w:rsidRPr="00E72CC8" w:rsidRDefault="00F74098" w:rsidP="00021EF3">
      <w:pPr>
        <w:pStyle w:val="Heading3SEQs"/>
      </w:pPr>
      <w:bookmarkStart w:id="431" w:name="_Ref173939167"/>
      <w:bookmarkStart w:id="432" w:name="_Toc174118168"/>
      <w:bookmarkStart w:id="433" w:name="_Toc176516290"/>
      <w:r w:rsidRPr="00F00EDA">
        <w:lastRenderedPageBreak/>
        <w:t>SEQ</w:t>
      </w:r>
      <w:r>
        <w:t xml:space="preserve"> 14</w:t>
      </w:r>
      <w:r w:rsidRPr="009A3D80">
        <w:t>:</w:t>
      </w:r>
      <w:r w:rsidRPr="00E72CC8">
        <w:t xml:space="preserve"> </w:t>
      </w:r>
      <w:r w:rsidRPr="00893EB3">
        <w:rPr>
          <w:b w:val="0"/>
        </w:rPr>
        <w:t>How did the cost of delivery compare to other similar grant programs?</w:t>
      </w:r>
      <w:bookmarkEnd w:id="431"/>
      <w:bookmarkEnd w:id="432"/>
      <w:bookmarkEnd w:id="433"/>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493E4C" w14:paraId="7AD9F4C6"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03FC2311" w14:textId="049CE064" w:rsidR="00493E4C" w:rsidRPr="00A04FF8" w:rsidRDefault="00493E4C" w:rsidP="00021EF3">
            <w:pPr>
              <w:spacing w:after="0"/>
              <w:rPr>
                <w:b/>
                <w:bCs/>
              </w:rPr>
            </w:pPr>
            <w:r w:rsidRPr="00A04FF8">
              <w:rPr>
                <w:b/>
                <w:bCs/>
                <w:color w:val="62B5E5" w:themeColor="accent3"/>
              </w:rPr>
              <w:t xml:space="preserve">Finding </w:t>
            </w:r>
            <w:r>
              <w:rPr>
                <w:b/>
                <w:bCs/>
                <w:color w:val="62B5E5" w:themeColor="accent3"/>
              </w:rPr>
              <w:t>1</w:t>
            </w:r>
            <w:r w:rsidR="00051913">
              <w:rPr>
                <w:b/>
                <w:bCs/>
                <w:color w:val="62B5E5" w:themeColor="accent3"/>
              </w:rPr>
              <w:t>4</w:t>
            </w:r>
            <w:r w:rsidRPr="00A04FF8">
              <w:rPr>
                <w:b/>
                <w:bCs/>
                <w:color w:val="62B5E5" w:themeColor="accent3"/>
              </w:rPr>
              <w:t>: </w:t>
            </w:r>
            <w:r w:rsidR="001C6AA4" w:rsidRPr="001C6AA4">
              <w:rPr>
                <w:b/>
                <w:bCs/>
              </w:rPr>
              <w:t xml:space="preserve">The combined LHVF and BCAP grant programs </w:t>
            </w:r>
            <w:r w:rsidR="0079609F" w:rsidRPr="0079609F">
              <w:rPr>
                <w:b/>
                <w:bCs/>
              </w:rPr>
              <w:t>outlaid similar expenditure</w:t>
            </w:r>
            <w:r w:rsidR="001C6AA4" w:rsidRPr="001C6AA4">
              <w:rPr>
                <w:b/>
                <w:bCs/>
              </w:rPr>
              <w:t xml:space="preserve"> to </w:t>
            </w:r>
            <w:r w:rsidR="0079609F" w:rsidRPr="0079609F">
              <w:rPr>
                <w:b/>
                <w:bCs/>
              </w:rPr>
              <w:t>comparable</w:t>
            </w:r>
            <w:r w:rsidR="001C6AA4" w:rsidRPr="001C6AA4">
              <w:rPr>
                <w:b/>
                <w:bCs/>
              </w:rPr>
              <w:t xml:space="preserve"> programs</w:t>
            </w:r>
            <w:r w:rsidR="0079609F" w:rsidRPr="0079609F">
              <w:rPr>
                <w:b/>
                <w:bCs/>
              </w:rPr>
              <w:t xml:space="preserve"> in NSW, which is</w:t>
            </w:r>
            <w:r w:rsidR="001C6AA4" w:rsidRPr="001C6AA4">
              <w:rPr>
                <w:b/>
                <w:bCs/>
              </w:rPr>
              <w:t xml:space="preserve"> the </w:t>
            </w:r>
            <w:r w:rsidR="0079609F" w:rsidRPr="0079609F">
              <w:rPr>
                <w:b/>
                <w:bCs/>
              </w:rPr>
              <w:t>most relevant comparator</w:t>
            </w:r>
            <w:r w:rsidR="001C6AA4" w:rsidRPr="001C6AA4">
              <w:rPr>
                <w:b/>
                <w:bCs/>
              </w:rPr>
              <w:t>.</w:t>
            </w:r>
          </w:p>
        </w:tc>
      </w:tr>
    </w:tbl>
    <w:p w14:paraId="19C4D71D" w14:textId="77777777" w:rsidR="001471D0" w:rsidRDefault="001E3BF7" w:rsidP="00021EF3">
      <w:pPr>
        <w:spacing w:before="160"/>
      </w:pPr>
      <w:r>
        <w:t xml:space="preserve">Both the Victorian Government and NSW Government </w:t>
      </w:r>
      <w:r w:rsidR="00D2091F">
        <w:t>delivered</w:t>
      </w:r>
      <w:r w:rsidR="008C6D13">
        <w:t xml:space="preserve"> various business support programs during the COVID-19 pandemic including the Business Support Fund, Business Hardship Fund and Small Business COVID Hardship Fund for Victoria, and the Small Business Support grant, 2021 COVID-19 Business Grant and COVID-19 Micro-Business Grant for NSW. </w:t>
      </w:r>
    </w:p>
    <w:p w14:paraId="00AB0DC8" w14:textId="1F6B6AFF" w:rsidR="006050B0" w:rsidRDefault="00D2091F" w:rsidP="00021EF3">
      <w:pPr>
        <w:spacing w:before="160"/>
      </w:pPr>
      <w:r>
        <w:t>I</w:t>
      </w:r>
      <w:r w:rsidR="001D58C4">
        <w:t xml:space="preserve">n Victoria, BCAP and LHVF combined formed the largest </w:t>
      </w:r>
      <w:r w:rsidR="00E27D67">
        <w:t xml:space="preserve">business support grant </w:t>
      </w:r>
      <w:r w:rsidR="001D58C4">
        <w:t>program</w:t>
      </w:r>
      <w:r w:rsidR="007C425E">
        <w:t xml:space="preserve"> of the state</w:t>
      </w:r>
      <w:r w:rsidR="001D58C4">
        <w:t>, costing $</w:t>
      </w:r>
      <w:r w:rsidR="00DC2F46">
        <w:t>6.30 billion (1.25 per cent of GSP)</w:t>
      </w:r>
      <w:r w:rsidR="00CE32DE">
        <w:t xml:space="preserve">. </w:t>
      </w:r>
      <w:r w:rsidR="00832D7A">
        <w:t>In NSW</w:t>
      </w:r>
      <w:r w:rsidR="00BA571A">
        <w:t xml:space="preserve">, the largest </w:t>
      </w:r>
      <w:r w:rsidR="000942F9">
        <w:t>business support</w:t>
      </w:r>
      <w:r w:rsidR="00BA571A">
        <w:t xml:space="preserve"> program, the </w:t>
      </w:r>
      <w:proofErr w:type="spellStart"/>
      <w:r w:rsidR="00BA571A">
        <w:t>JobSaver</w:t>
      </w:r>
      <w:proofErr w:type="spellEnd"/>
      <w:r w:rsidR="00BA571A">
        <w:t xml:space="preserve"> wage subsidy, cost more</w:t>
      </w:r>
      <w:r w:rsidR="0003154D">
        <w:t xml:space="preserve"> </w:t>
      </w:r>
      <w:r w:rsidR="0025172E">
        <w:t>in absolute terms ($7.15</w:t>
      </w:r>
      <w:r w:rsidR="003718A0">
        <w:t xml:space="preserve"> billion)</w:t>
      </w:r>
      <w:r w:rsidR="006050B0">
        <w:t>, t</w:t>
      </w:r>
      <w:r w:rsidR="00033244">
        <w:t>hough</w:t>
      </w:r>
      <w:r w:rsidR="008D3CE9">
        <w:t xml:space="preserve"> slightly less relative to GSP (1.06 per cent) than BCAP and LHVF</w:t>
      </w:r>
      <w:r w:rsidR="006050B0">
        <w:t>.</w:t>
      </w:r>
    </w:p>
    <w:p w14:paraId="63718150" w14:textId="1049BA9F" w:rsidR="001E3BF7" w:rsidRDefault="006050B0" w:rsidP="00021EF3">
      <w:pPr>
        <w:spacing w:before="160"/>
      </w:pPr>
      <w:r>
        <w:t>W</w:t>
      </w:r>
      <w:r w:rsidR="008D3CE9">
        <w:t xml:space="preserve">hen combined with other key business grants delivered </w:t>
      </w:r>
      <w:r w:rsidR="00101737">
        <w:t>around a similar time period (2021)</w:t>
      </w:r>
      <w:r w:rsidR="008D3CE9">
        <w:t xml:space="preserve">, both states spent similar amounts, with NSW spending approximately </w:t>
      </w:r>
      <w:r w:rsidR="00E52BF8">
        <w:t>1.53 per cent of GSP ($9.59 billion) and Victoria spending 1.51 per cent of GSP ($7.60 billion).</w:t>
      </w:r>
      <w:r w:rsidR="0029462D">
        <w:t xml:space="preserve"> </w:t>
      </w:r>
      <w:r w:rsidR="00507805">
        <w:t>It is noted that both</w:t>
      </w:r>
      <w:r w:rsidR="00005037">
        <w:t xml:space="preserve"> jurisdictions</w:t>
      </w:r>
      <w:r w:rsidR="00140EA3">
        <w:t xml:space="preserve"> also provided business support through other programs </w:t>
      </w:r>
      <w:r w:rsidR="00DF7096">
        <w:t xml:space="preserve">that did not </w:t>
      </w:r>
      <w:r w:rsidR="00507805">
        <w:t xml:space="preserve">directly seek to cover business costs, such as </w:t>
      </w:r>
      <w:r w:rsidR="00675DDF">
        <w:t xml:space="preserve">Working for Victoria, the Visitor Economy </w:t>
      </w:r>
      <w:r w:rsidR="000E61C6">
        <w:t xml:space="preserve">Recovery and Reform Plan and Melbourne City Funds in Victoria </w:t>
      </w:r>
      <w:r w:rsidR="007550ED">
        <w:t xml:space="preserve">or the </w:t>
      </w:r>
      <w:r w:rsidR="001B0B7A">
        <w:t xml:space="preserve">Alfresco Restart Rebate and </w:t>
      </w:r>
      <w:r w:rsidR="007550ED">
        <w:t xml:space="preserve">Dine and Discover Vouchers </w:t>
      </w:r>
      <w:r w:rsidR="001B0B7A">
        <w:t>in NSW.</w:t>
      </w:r>
      <w:r w:rsidR="000E61C6">
        <w:t xml:space="preserve"> </w:t>
      </w:r>
    </w:p>
    <w:p w14:paraId="26F36360" w14:textId="6B5200B1" w:rsidR="00AC070D" w:rsidRDefault="0088044D" w:rsidP="00021EF3">
      <w:r>
        <w:t>Though</w:t>
      </w:r>
      <w:r w:rsidR="009E25E1">
        <w:t xml:space="preserve"> </w:t>
      </w:r>
      <w:r w:rsidR="00C15060">
        <w:t>Victoria and NSW</w:t>
      </w:r>
      <w:r>
        <w:t xml:space="preserve"> spent </w:t>
      </w:r>
      <w:r w:rsidR="00116D0B">
        <w:t>similarly</w:t>
      </w:r>
      <w:r w:rsidR="009E25E1">
        <w:t xml:space="preserve">, this expenditure </w:t>
      </w:r>
      <w:r w:rsidR="009511CE">
        <w:t>was</w:t>
      </w:r>
      <w:r w:rsidR="009E25E1">
        <w:t xml:space="preserve"> significantly more than </w:t>
      </w:r>
      <w:r w:rsidR="00D9785F">
        <w:t xml:space="preserve">that spent </w:t>
      </w:r>
      <w:r w:rsidR="00822851">
        <w:t xml:space="preserve">by other Australian state and territory governments </w:t>
      </w:r>
      <w:r w:rsidR="008B067B">
        <w:t>to support businesses during the COVID-19 pandemic</w:t>
      </w:r>
      <w:r w:rsidR="00116D0B">
        <w:t xml:space="preserve">. In </w:t>
      </w:r>
      <w:r w:rsidR="00594E56">
        <w:t>absolute</w:t>
      </w:r>
      <w:r w:rsidR="00116D0B">
        <w:t xml:space="preserve"> aggregate spending terms, this </w:t>
      </w:r>
      <w:r w:rsidR="00B40827">
        <w:t>is</w:t>
      </w:r>
      <w:r w:rsidR="00116D0B">
        <w:t xml:space="preserve"> expected since </w:t>
      </w:r>
      <w:r w:rsidR="00D9785F">
        <w:t>Victoria and NSW</w:t>
      </w:r>
      <w:r w:rsidR="00116D0B">
        <w:t xml:space="preserve"> are larger </w:t>
      </w:r>
      <w:r w:rsidR="00591482">
        <w:t>states</w:t>
      </w:r>
      <w:r w:rsidR="00594E56">
        <w:t xml:space="preserve"> </w:t>
      </w:r>
      <w:r w:rsidR="00116D0B">
        <w:t xml:space="preserve">and </w:t>
      </w:r>
      <w:r w:rsidR="00594E56">
        <w:t xml:space="preserve">have </w:t>
      </w:r>
      <w:r w:rsidR="00E37072">
        <w:t xml:space="preserve">more businesses. For example, Victoria </w:t>
      </w:r>
      <w:r w:rsidR="00B917F5">
        <w:t xml:space="preserve">had a total of </w:t>
      </w:r>
      <w:r w:rsidR="00EC3008">
        <w:t>660,</w:t>
      </w:r>
      <w:r w:rsidR="007F357E">
        <w:t>214 businesses in 2019-20</w:t>
      </w:r>
      <w:r w:rsidR="004E5499">
        <w:t xml:space="preserve"> and spen</w:t>
      </w:r>
      <w:r w:rsidR="00591482">
        <w:t>t</w:t>
      </w:r>
      <w:r w:rsidR="004E5499">
        <w:t xml:space="preserve"> $6.3 billion on </w:t>
      </w:r>
      <w:r w:rsidR="00501FC4">
        <w:t>its</w:t>
      </w:r>
      <w:r w:rsidR="004E5499">
        <w:t xml:space="preserve"> largest </w:t>
      </w:r>
      <w:r w:rsidR="00501FC4">
        <w:t>COVID-19 business support grant</w:t>
      </w:r>
      <w:r w:rsidR="004E5499">
        <w:t xml:space="preserve"> program, compared to</w:t>
      </w:r>
      <w:r w:rsidR="007F357E">
        <w:t xml:space="preserve"> NSW </w:t>
      </w:r>
      <w:r w:rsidR="004E5499">
        <w:t xml:space="preserve">who </w:t>
      </w:r>
      <w:r w:rsidR="007F357E">
        <w:t>had 820,375 businesses</w:t>
      </w:r>
      <w:r w:rsidR="00EC3008">
        <w:t xml:space="preserve"> </w:t>
      </w:r>
      <w:r w:rsidR="00EE57A2">
        <w:t xml:space="preserve">and </w:t>
      </w:r>
      <w:r w:rsidR="00A418F5">
        <w:t xml:space="preserve">spent $7.15 billion on their largest program, </w:t>
      </w:r>
      <w:r w:rsidR="00EE57A2">
        <w:t xml:space="preserve">QLD </w:t>
      </w:r>
      <w:r w:rsidR="00A418F5">
        <w:t xml:space="preserve">who </w:t>
      </w:r>
      <w:r w:rsidR="00E6654A">
        <w:t xml:space="preserve">had a </w:t>
      </w:r>
      <w:r w:rsidR="00A418F5">
        <w:t xml:space="preserve">smaller </w:t>
      </w:r>
      <w:r w:rsidR="00E6654A">
        <w:t>total of 464,990 businesse</w:t>
      </w:r>
      <w:r w:rsidR="00A418F5">
        <w:t xml:space="preserve">s and therefore spent less at </w:t>
      </w:r>
      <w:r w:rsidR="000003AF">
        <w:t>$3</w:t>
      </w:r>
      <w:r w:rsidR="00DF5C2E">
        <w:t>16.6 million on their largest program</w:t>
      </w:r>
      <w:r w:rsidR="00501FC4">
        <w:t>.</w:t>
      </w:r>
      <w:r w:rsidR="00DF5C2E">
        <w:t xml:space="preserve"> and the ACT who only had </w:t>
      </w:r>
      <w:r w:rsidR="00591482">
        <w:t>30,858 businesses in 2019-20 and spent $325.6 million</w:t>
      </w:r>
      <w:r w:rsidR="00501FC4">
        <w:t>, though slightly higher than QLD</w:t>
      </w:r>
      <w:r w:rsidR="00E6654A">
        <w:t>.</w:t>
      </w:r>
      <w:r w:rsidR="00087420">
        <w:rPr>
          <w:rStyle w:val="EndnoteReference"/>
        </w:rPr>
        <w:endnoteReference w:id="36"/>
      </w:r>
      <w:r w:rsidR="00E6654A">
        <w:t xml:space="preserve"> </w:t>
      </w:r>
    </w:p>
    <w:p w14:paraId="6ED60914" w14:textId="301AE0AE" w:rsidR="002D2C73" w:rsidRDefault="00AC070D" w:rsidP="00021EF3">
      <w:r>
        <w:t>However, even as a proportion of GSP</w:t>
      </w:r>
      <w:r w:rsidR="00556686">
        <w:t xml:space="preserve">, </w:t>
      </w:r>
      <w:r w:rsidR="008235A6">
        <w:t xml:space="preserve">accounting for differences between states with respect to the number of businesses, population and level of economic activity, </w:t>
      </w:r>
      <w:r w:rsidR="00556686">
        <w:t xml:space="preserve">grant programs </w:t>
      </w:r>
      <w:r w:rsidR="008235A6">
        <w:t xml:space="preserve">in other jurisdictions cost </w:t>
      </w:r>
      <w:r w:rsidR="00D513A3">
        <w:t>l</w:t>
      </w:r>
      <w:r w:rsidR="00085863">
        <w:t xml:space="preserve">ess than that in Victoria and NSW, ranging </w:t>
      </w:r>
      <w:r w:rsidR="00556686">
        <w:t>between 0.03 per cent of GSP and 0.72 per cent of GSP</w:t>
      </w:r>
      <w:r w:rsidR="00B917F5">
        <w:t xml:space="preserve">. Further detail on </w:t>
      </w:r>
      <w:r w:rsidR="00FC2537">
        <w:t>business support programs in other Australian states and territories is outlined in</w:t>
      </w:r>
      <w:r w:rsidR="00B917F5">
        <w:t xml:space="preserve"> </w:t>
      </w:r>
      <w:r w:rsidR="007A02C1" w:rsidRPr="00494F99">
        <w:t>Appendix</w:t>
      </w:r>
      <w:r w:rsidR="00D02589" w:rsidRPr="00494F99">
        <w:t xml:space="preserve"> </w:t>
      </w:r>
      <w:r w:rsidR="00972F2A" w:rsidRPr="00494F99">
        <w:fldChar w:fldCharType="begin"/>
      </w:r>
      <w:r w:rsidR="00972F2A" w:rsidRPr="00494F99">
        <w:instrText xml:space="preserve"> REF _Ref170829337 \r \h  \* MERGEFORMAT </w:instrText>
      </w:r>
      <w:r w:rsidR="00972F2A" w:rsidRPr="00494F99">
        <w:fldChar w:fldCharType="separate"/>
      </w:r>
      <w:r w:rsidR="0016271C">
        <w:t>Table C.3</w:t>
      </w:r>
      <w:r w:rsidR="00972F2A" w:rsidRPr="00494F99">
        <w:fldChar w:fldCharType="end"/>
      </w:r>
      <w:r w:rsidR="00DC50D5">
        <w:t>.</w:t>
      </w:r>
      <w:r w:rsidR="0026627F">
        <w:t xml:space="preserve"> </w:t>
      </w:r>
    </w:p>
    <w:p w14:paraId="737887C2" w14:textId="4A3E0F5D" w:rsidR="007243AD" w:rsidRDefault="008235A6" w:rsidP="00021EF3">
      <w:r>
        <w:t>Yet</w:t>
      </w:r>
      <w:r w:rsidR="009511CE">
        <w:t xml:space="preserve">, this </w:t>
      </w:r>
      <w:r w:rsidR="00717316">
        <w:t xml:space="preserve">was to be expected given the extensive impacts and restrictions in Victoria (and to a lesser extent NSW) compared to other jurisdictions. </w:t>
      </w:r>
      <w:r w:rsidR="007243AD">
        <w:t>Victorian businesses were subject</w:t>
      </w:r>
      <w:r w:rsidR="003E6AA5">
        <w:t xml:space="preserve"> to</w:t>
      </w:r>
      <w:r w:rsidR="008266F5">
        <w:t xml:space="preserve"> 262 days under intensive public health restrictions</w:t>
      </w:r>
      <w:r w:rsidR="0099402A">
        <w:t xml:space="preserve"> </w:t>
      </w:r>
      <w:r w:rsidR="007243AD">
        <w:t xml:space="preserve">and prolonged unexpected business closure </w:t>
      </w:r>
      <w:r w:rsidR="0099402A">
        <w:t>across 2020 and 2021</w:t>
      </w:r>
      <w:r w:rsidR="007243AD">
        <w:t>,</w:t>
      </w:r>
      <w:r w:rsidR="00D74149">
        <w:t xml:space="preserve"> with </w:t>
      </w:r>
      <w:r w:rsidR="00C54EC8">
        <w:t xml:space="preserve">43 of these days </w:t>
      </w:r>
      <w:r w:rsidR="00D34EFD">
        <w:t xml:space="preserve">under nationwide intensive public health restrictions and </w:t>
      </w:r>
      <w:r w:rsidR="004F4C77">
        <w:t>219</w:t>
      </w:r>
      <w:r w:rsidR="00D74149">
        <w:t xml:space="preserve"> </w:t>
      </w:r>
      <w:r w:rsidR="00485726">
        <w:t>additional</w:t>
      </w:r>
      <w:r w:rsidR="00D74149">
        <w:t xml:space="preserve"> days </w:t>
      </w:r>
      <w:r w:rsidR="00485726">
        <w:t>under Victorian-</w:t>
      </w:r>
      <w:r w:rsidR="004F4C77">
        <w:t xml:space="preserve">specific </w:t>
      </w:r>
      <w:r w:rsidR="00485726">
        <w:t>restrictions</w:t>
      </w:r>
      <w:r w:rsidR="00D74149">
        <w:t>.</w:t>
      </w:r>
      <w:r w:rsidR="00590B25">
        <w:rPr>
          <w:rStyle w:val="EndnoteReference"/>
        </w:rPr>
        <w:endnoteReference w:id="37"/>
      </w:r>
      <w:r w:rsidR="00590B25">
        <w:t xml:space="preserve"> </w:t>
      </w:r>
      <w:r w:rsidR="00D74149">
        <w:t>As discussed in Finding 1, this would have impacted ca</w:t>
      </w:r>
      <w:r w:rsidR="007243AD">
        <w:t>sh</w:t>
      </w:r>
      <w:r w:rsidR="008302DE">
        <w:t xml:space="preserve"> </w:t>
      </w:r>
      <w:r w:rsidR="007243AD">
        <w:t xml:space="preserve">flow, revenue and costs significantly. </w:t>
      </w:r>
      <w:r w:rsidR="004F4C77">
        <w:t>Comparatively, NSW spent</w:t>
      </w:r>
      <w:r w:rsidR="00EA4DBF">
        <w:t xml:space="preserve"> fewer days under intensive public health restrictions</w:t>
      </w:r>
      <w:r w:rsidR="00D34EFD">
        <w:t xml:space="preserve">, with only </w:t>
      </w:r>
      <w:r w:rsidR="00485726">
        <w:t>107 additional days under state-specific restrictions</w:t>
      </w:r>
      <w:r w:rsidR="00711162">
        <w:t>, while other jurisdictions spent even less time under intensive public health restrictions</w:t>
      </w:r>
      <w:r w:rsidR="007F4C23">
        <w:t xml:space="preserve"> at 63 days for the </w:t>
      </w:r>
      <w:r w:rsidR="00923B0F">
        <w:t>ACT</w:t>
      </w:r>
      <w:r w:rsidR="00DC1A73">
        <w:t>,</w:t>
      </w:r>
      <w:r w:rsidR="007F4C23">
        <w:t xml:space="preserve"> </w:t>
      </w:r>
      <w:r w:rsidR="00CE6480">
        <w:t xml:space="preserve">20 days for </w:t>
      </w:r>
      <w:r w:rsidR="00FD5D9A">
        <w:t>QLD</w:t>
      </w:r>
      <w:r w:rsidR="00CE6480">
        <w:t xml:space="preserve"> </w:t>
      </w:r>
      <w:r w:rsidR="00923B0F">
        <w:t>and 13 days for WA</w:t>
      </w:r>
      <w:r w:rsidR="00DC1A73">
        <w:t>.</w:t>
      </w:r>
      <w:r w:rsidR="00DC1A73">
        <w:rPr>
          <w:rStyle w:val="EndnoteReference"/>
        </w:rPr>
        <w:endnoteReference w:id="38"/>
      </w:r>
    </w:p>
    <w:p w14:paraId="4E6B37D1" w14:textId="77777777" w:rsidR="00334720" w:rsidRDefault="00334720" w:rsidP="00021EF3">
      <w:pPr>
        <w:rPr>
          <w:rFonts w:eastAsiaTheme="majorEastAsia" w:cstheme="majorBidi"/>
          <w:b/>
          <w:bCs/>
          <w:color w:val="62B5E5" w:themeColor="accent3"/>
          <w:sz w:val="22"/>
          <w:szCs w:val="26"/>
        </w:rPr>
      </w:pPr>
      <w:r>
        <w:br w:type="page"/>
      </w:r>
    </w:p>
    <w:p w14:paraId="22D29C2D" w14:textId="1D1E21F2" w:rsidR="00CD15B5" w:rsidRDefault="00CD15B5" w:rsidP="00021EF3">
      <w:pPr>
        <w:pStyle w:val="Heading2"/>
      </w:pPr>
      <w:bookmarkStart w:id="434" w:name="_Toc173244972"/>
      <w:bookmarkStart w:id="435" w:name="_Ref173763633"/>
      <w:bookmarkStart w:id="436" w:name="_Toc176516291"/>
      <w:r>
        <w:lastRenderedPageBreak/>
        <w:t>Lessons learned</w:t>
      </w:r>
      <w:bookmarkEnd w:id="434"/>
      <w:bookmarkEnd w:id="435"/>
      <w:bookmarkEnd w:id="436"/>
    </w:p>
    <w:p w14:paraId="726989AA" w14:textId="3A77AE50" w:rsidR="00CD15B5" w:rsidRPr="00E72CC8" w:rsidRDefault="005361B8" w:rsidP="00021EF3">
      <w:pPr>
        <w:pStyle w:val="Heading3SEQs"/>
      </w:pPr>
      <w:bookmarkStart w:id="437" w:name="_Ref173939202"/>
      <w:bookmarkStart w:id="438" w:name="_Toc174118170"/>
      <w:bookmarkStart w:id="439" w:name="_Toc176516292"/>
      <w:r w:rsidRPr="00A04FF8">
        <w:t xml:space="preserve">SEQ 5: </w:t>
      </w:r>
      <w:r w:rsidRPr="00893EB3">
        <w:rPr>
          <w:b w:val="0"/>
        </w:rPr>
        <w:t>What has the Department learned in relation to its role in supporting businesses under emergency circumstances?</w:t>
      </w:r>
      <w:r w:rsidR="00B43675">
        <w:br/>
      </w:r>
      <w:r w:rsidR="00CD15B5" w:rsidRPr="00E72CC8">
        <w:t xml:space="preserve">SEQ 6: </w:t>
      </w:r>
      <w:r w:rsidR="00CD15B5" w:rsidRPr="00893EB3">
        <w:rPr>
          <w:b w:val="0"/>
        </w:rPr>
        <w:t>What are the continuous improvement opportunities identified relating to grant design and implementation?</w:t>
      </w:r>
      <w:bookmarkEnd w:id="437"/>
      <w:bookmarkEnd w:id="438"/>
      <w:bookmarkEnd w:id="439"/>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CD15B5" w14:paraId="24FACB7E"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55D34494" w14:textId="0494008B" w:rsidR="00CD15B5" w:rsidRPr="00A04FF8" w:rsidRDefault="00CD15B5" w:rsidP="00021EF3">
            <w:pPr>
              <w:spacing w:after="0"/>
              <w:rPr>
                <w:b/>
                <w:bCs/>
              </w:rPr>
            </w:pPr>
            <w:r w:rsidRPr="00A04FF8">
              <w:rPr>
                <w:b/>
                <w:bCs/>
                <w:color w:val="62B5E5" w:themeColor="accent3"/>
              </w:rPr>
              <w:t xml:space="preserve">Finding </w:t>
            </w:r>
            <w:r>
              <w:rPr>
                <w:b/>
                <w:bCs/>
                <w:color w:val="62B5E5" w:themeColor="accent3"/>
              </w:rPr>
              <w:t>1</w:t>
            </w:r>
            <w:r w:rsidR="00E542FA">
              <w:rPr>
                <w:b/>
                <w:bCs/>
                <w:color w:val="62B5E5" w:themeColor="accent3"/>
              </w:rPr>
              <w:t>5</w:t>
            </w:r>
            <w:r w:rsidRPr="00A04FF8">
              <w:rPr>
                <w:b/>
                <w:bCs/>
                <w:color w:val="62B5E5" w:themeColor="accent3"/>
              </w:rPr>
              <w:t>: </w:t>
            </w:r>
            <w:r w:rsidRPr="00EA661F">
              <w:rPr>
                <w:b/>
                <w:bCs/>
              </w:rPr>
              <w:t>Lessons learned include the importance of facilitating appropriate data sharing and in establishing effective automation of key processes (e.g., eligibility checks).</w:t>
            </w:r>
          </w:p>
        </w:tc>
      </w:tr>
    </w:tbl>
    <w:p w14:paraId="445D5F90" w14:textId="0FA5ED70" w:rsidR="00CD15B5" w:rsidRPr="00B7322B" w:rsidRDefault="00CD15B5" w:rsidP="00021EF3">
      <w:pPr>
        <w:spacing w:before="160"/>
      </w:pPr>
      <w:r w:rsidRPr="00955FA3">
        <w:t>A number of lessons learned were identified through the delivery of the grants programs that should be considered as part of future programs, including:</w:t>
      </w:r>
    </w:p>
    <w:p w14:paraId="3B3B1AA3" w14:textId="4151F4DC" w:rsidR="008139BD" w:rsidRPr="008147BE" w:rsidRDefault="002C0992" w:rsidP="00021EF3">
      <w:pPr>
        <w:pStyle w:val="ListBullet"/>
      </w:pPr>
      <w:r w:rsidRPr="002C0992">
        <w:t>information sharing across government bodies, including state and federal governments</w:t>
      </w:r>
      <w:r w:rsidR="00F30D47">
        <w:t>.</w:t>
      </w:r>
    </w:p>
    <w:p w14:paraId="617FEC7A" w14:textId="68E59071" w:rsidR="008139BD" w:rsidRPr="008147BE" w:rsidRDefault="002C0992" w:rsidP="00021EF3">
      <w:pPr>
        <w:pStyle w:val="ListBullet"/>
      </w:pPr>
      <w:r w:rsidRPr="002C0992">
        <w:t>automation in relation to key grant processes</w:t>
      </w:r>
      <w:r w:rsidR="00F30D47">
        <w:t>.</w:t>
      </w:r>
    </w:p>
    <w:p w14:paraId="058A81C7" w14:textId="3999A79D" w:rsidR="002C0992" w:rsidRPr="002C0992" w:rsidRDefault="002C0992" w:rsidP="00021EF3">
      <w:pPr>
        <w:pStyle w:val="ListBullet"/>
      </w:pPr>
      <w:r w:rsidRPr="002C0992">
        <w:t>ongoing and consistent communication to grant applicants and recipients.</w:t>
      </w:r>
    </w:p>
    <w:p w14:paraId="3FFAB73F" w14:textId="77777777" w:rsidR="002C0992" w:rsidRDefault="00CD15B5" w:rsidP="00021EF3">
      <w:pPr>
        <w:pStyle w:val="Heading3un-numbered"/>
      </w:pPr>
      <w:bookmarkStart w:id="440" w:name="_Toc173308311"/>
      <w:bookmarkStart w:id="441" w:name="_Toc173344733"/>
      <w:bookmarkStart w:id="442" w:name="_Toc173344960"/>
      <w:bookmarkStart w:id="443" w:name="_Toc173915915"/>
      <w:bookmarkStart w:id="444" w:name="_Toc174118171"/>
      <w:bookmarkStart w:id="445" w:name="_Toc176516293"/>
      <w:r w:rsidRPr="004A234F">
        <w:t>Information sharing across government bodies, including state and federal governments</w:t>
      </w:r>
      <w:bookmarkEnd w:id="440"/>
      <w:bookmarkEnd w:id="441"/>
      <w:bookmarkEnd w:id="442"/>
      <w:bookmarkEnd w:id="443"/>
      <w:bookmarkEnd w:id="444"/>
      <w:bookmarkEnd w:id="445"/>
    </w:p>
    <w:p w14:paraId="4D27F965" w14:textId="38CD7D41" w:rsidR="00CD15B5" w:rsidRPr="008147BE" w:rsidRDefault="00CD15B5" w:rsidP="00021EF3">
      <w:r>
        <w:t xml:space="preserve">the importance of information sharing became apparent throughout the delivery of the programs, particularly in relation key datasets that would support robust eligibility criteria and checks. A number of stakeholders commented on the challenges related to data and information sharing, and in particular that the lack of access to </w:t>
      </w:r>
      <w:r w:rsidRPr="00A904B8">
        <w:t xml:space="preserve">ATO single touch payroll and income statement data to discern an eligibility </w:t>
      </w:r>
      <w:r>
        <w:t>significantly limited the ability to apply an eligibility measure related to actual or potential business income (</w:t>
      </w:r>
      <w:r w:rsidRPr="00494F99">
        <w:t xml:space="preserve">see </w:t>
      </w:r>
      <w:r w:rsidR="00972F2A" w:rsidRPr="00494F99">
        <w:t>Finding 7</w:t>
      </w:r>
      <w:r w:rsidRPr="00494F99">
        <w:t>).</w:t>
      </w:r>
      <w:r>
        <w:t xml:space="preserve"> However, the Department was able to establish ongoing data sharing practices in relation to other key data sets</w:t>
      </w:r>
      <w:r w:rsidR="00F30D47">
        <w:t>,</w:t>
      </w:r>
      <w:r>
        <w:t xml:space="preserve"> such as ABR and WorkSafe payroll data (</w:t>
      </w:r>
      <w:r w:rsidRPr="00494F99">
        <w:t xml:space="preserve">see </w:t>
      </w:r>
      <w:r w:rsidR="003125B4" w:rsidRPr="00494F99">
        <w:t>Finding 4</w:t>
      </w:r>
      <w:r w:rsidRPr="00494F99">
        <w:t>).</w:t>
      </w:r>
      <w:r>
        <w:t xml:space="preserve"> Future grants programs should build on this and consider the </w:t>
      </w:r>
      <w:r w:rsidR="00A4138E">
        <w:t>immense value of</w:t>
      </w:r>
      <w:r>
        <w:t xml:space="preserve"> information sharing between government bodies, </w:t>
      </w:r>
      <w:r w:rsidR="00390B10">
        <w:t>e.g.,</w:t>
      </w:r>
      <w:r>
        <w:t xml:space="preserve"> streamlined and effective information sharing </w:t>
      </w:r>
      <w:r w:rsidR="00390B10">
        <w:t>would</w:t>
      </w:r>
      <w:r>
        <w:t xml:space="preserve"> support the determination of criteria and overall program delivery.</w:t>
      </w:r>
    </w:p>
    <w:p w14:paraId="2F893037" w14:textId="77777777" w:rsidR="002C0992" w:rsidRDefault="00CD15B5" w:rsidP="00021EF3">
      <w:pPr>
        <w:pStyle w:val="Heading3un-numbered"/>
      </w:pPr>
      <w:bookmarkStart w:id="446" w:name="_Toc173308312"/>
      <w:bookmarkStart w:id="447" w:name="_Toc173344734"/>
      <w:bookmarkStart w:id="448" w:name="_Toc173344961"/>
      <w:bookmarkStart w:id="449" w:name="_Toc173915916"/>
      <w:bookmarkStart w:id="450" w:name="_Toc174118172"/>
      <w:bookmarkStart w:id="451" w:name="_Toc176516294"/>
      <w:r w:rsidRPr="00BD798D">
        <w:t>Automation in relation to key grant processes</w:t>
      </w:r>
      <w:bookmarkEnd w:id="446"/>
      <w:bookmarkEnd w:id="447"/>
      <w:bookmarkEnd w:id="448"/>
      <w:bookmarkEnd w:id="449"/>
      <w:bookmarkEnd w:id="450"/>
      <w:bookmarkEnd w:id="451"/>
    </w:p>
    <w:p w14:paraId="1197689E" w14:textId="5C9FA6F1" w:rsidR="00CD15B5" w:rsidRPr="00B7322B" w:rsidRDefault="002C0992" w:rsidP="00021EF3">
      <w:r>
        <w:t>T</w:t>
      </w:r>
      <w:r w:rsidR="00CD15B5">
        <w:t xml:space="preserve">he programs relied on automation of key processes to ensure timely and accurate delivery, where historically a number of key grants processes were manual. The benefits of automation were evident from an efficiency standpoint but also highlighted the importance of ensuring key checks and integrity measures were built into any automated processes. In the context of BCAP and LHVF, this </w:t>
      </w:r>
      <w:r w:rsidR="00C170B1">
        <w:t>included a number of key processes as outlined in Finding 3</w:t>
      </w:r>
      <w:r w:rsidR="00CD15B5">
        <w:t xml:space="preserve">. </w:t>
      </w:r>
      <w:r w:rsidR="00FB777B">
        <w:t>Furth</w:t>
      </w:r>
      <w:r w:rsidR="00E86E4C">
        <w:t xml:space="preserve">er, Departmental staff acknowledged that automation also supported in the freeing up </w:t>
      </w:r>
      <w:r w:rsidR="006C7DFF">
        <w:t xml:space="preserve">of staff </w:t>
      </w:r>
      <w:r w:rsidR="008218D7">
        <w:t>capacity</w:t>
      </w:r>
      <w:r w:rsidR="006C7DFF">
        <w:t xml:space="preserve"> to focus on more complex processes or those requiring additional validation.</w:t>
      </w:r>
      <w:r w:rsidR="00FB777B">
        <w:t xml:space="preserve"> </w:t>
      </w:r>
      <w:r w:rsidR="00CD15B5">
        <w:t>Future grants programs should leverage these learnings and processes related to automation.</w:t>
      </w:r>
      <w:r w:rsidR="002A09E0">
        <w:t xml:space="preserve"> </w:t>
      </w:r>
      <w:r w:rsidR="00500F92">
        <w:t xml:space="preserve">The programs would have likely also benefitted from an automated </w:t>
      </w:r>
      <w:r w:rsidR="00522BB1">
        <w:t xml:space="preserve">appeal or review process for </w:t>
      </w:r>
      <w:r w:rsidR="003769FC">
        <w:t xml:space="preserve">businesses </w:t>
      </w:r>
      <w:r w:rsidR="00E148E9">
        <w:t xml:space="preserve">that </w:t>
      </w:r>
      <w:r w:rsidR="003769FC">
        <w:t xml:space="preserve">were incorrectly assessed due to </w:t>
      </w:r>
      <w:r w:rsidR="005F2258">
        <w:t>common and identifiable</w:t>
      </w:r>
      <w:r w:rsidR="003769FC">
        <w:t xml:space="preserve"> data </w:t>
      </w:r>
      <w:r w:rsidR="00031194">
        <w:t>issues</w:t>
      </w:r>
      <w:r w:rsidR="00777760">
        <w:t xml:space="preserve"> (such as incorrectly specified industry classifications in the ABR data)</w:t>
      </w:r>
      <w:r w:rsidR="00031194">
        <w:t xml:space="preserve">. </w:t>
      </w:r>
      <w:r w:rsidR="00777760">
        <w:t xml:space="preserve">Future programs could consider developing automated review processes for resolving </w:t>
      </w:r>
      <w:r w:rsidR="009367A3">
        <w:t>common issues</w:t>
      </w:r>
      <w:r w:rsidR="00EC37F3">
        <w:t xml:space="preserve"> (such as incorrect industry classification). </w:t>
      </w:r>
    </w:p>
    <w:p w14:paraId="16D3120B" w14:textId="77777777" w:rsidR="002C0992" w:rsidRDefault="00CD15B5" w:rsidP="00021EF3">
      <w:pPr>
        <w:pStyle w:val="Heading3un-numbered"/>
      </w:pPr>
      <w:bookmarkStart w:id="452" w:name="_Toc173308313"/>
      <w:bookmarkStart w:id="453" w:name="_Toc173344735"/>
      <w:bookmarkStart w:id="454" w:name="_Toc173344962"/>
      <w:bookmarkStart w:id="455" w:name="_Toc173915917"/>
      <w:bookmarkStart w:id="456" w:name="_Toc174118173"/>
      <w:bookmarkStart w:id="457" w:name="_Toc176516295"/>
      <w:r>
        <w:t>O</w:t>
      </w:r>
      <w:r w:rsidRPr="0059091C">
        <w:t>ngoing and consistent communication to grant applicants and recipients</w:t>
      </w:r>
      <w:bookmarkEnd w:id="452"/>
      <w:bookmarkEnd w:id="453"/>
      <w:bookmarkEnd w:id="454"/>
      <w:bookmarkEnd w:id="455"/>
      <w:bookmarkEnd w:id="456"/>
      <w:bookmarkEnd w:id="457"/>
    </w:p>
    <w:p w14:paraId="78952F77" w14:textId="0D5695D9" w:rsidR="00CD15B5" w:rsidRDefault="00CD15B5" w:rsidP="00021EF3">
      <w:r>
        <w:t xml:space="preserve">Businesses were informed of any follow-up grant rounds they may have been eligible for as well as any key developments in relation to their grant application, including acceptance, denial or any payments made. However, some businesses indicated that they were </w:t>
      </w:r>
      <w:r w:rsidR="00FB6D1F">
        <w:t xml:space="preserve">negatively </w:t>
      </w:r>
      <w:r>
        <w:t xml:space="preserve">impacted by limited or irregular communication, </w:t>
      </w:r>
      <w:r w:rsidR="00FC78A8">
        <w:t xml:space="preserve">which </w:t>
      </w:r>
      <w:r>
        <w:t>caused a degree of uncertainty and stress</w:t>
      </w:r>
      <w:r w:rsidR="00FC78A8">
        <w:t xml:space="preserve"> while awaiting </w:t>
      </w:r>
      <w:r w:rsidR="005F1D5A">
        <w:t xml:space="preserve">notification of </w:t>
      </w:r>
      <w:r w:rsidR="00FC78A8">
        <w:t>their application</w:t>
      </w:r>
      <w:r w:rsidR="005F1D5A">
        <w:t>’s outcome</w:t>
      </w:r>
      <w:r>
        <w:t xml:space="preserve">. </w:t>
      </w:r>
      <w:r w:rsidR="00606DAF">
        <w:t xml:space="preserve">Some businesses also indicated that greater communication and follow up in how the business was progressing during closure would have </w:t>
      </w:r>
      <w:r w:rsidR="0029684D">
        <w:t xml:space="preserve">further supported businesses in feeling heard and supported </w:t>
      </w:r>
      <w:r w:rsidR="00424084">
        <w:t xml:space="preserve">and ensured businesses were using the grants as intended. </w:t>
      </w:r>
      <w:r>
        <w:t xml:space="preserve">This highlights the importance of ongoing and clear communication, particularly in relation to emergency </w:t>
      </w:r>
      <w:r w:rsidR="002F6964">
        <w:t>support provision</w:t>
      </w:r>
      <w:r>
        <w:t xml:space="preserve">. Some businesses also reported a lack of clarity as to what grants or grant </w:t>
      </w:r>
      <w:r w:rsidR="00F30D47">
        <w:t>amounts,</w:t>
      </w:r>
      <w:r>
        <w:t xml:space="preserve"> they were eligible for</w:t>
      </w:r>
      <w:r w:rsidR="00CF2ADA">
        <w:t>,</w:t>
      </w:r>
      <w:r>
        <w:t xml:space="preserve"> due to the nature of the eligibility criteria, which further highlights the need for clear and ongoing communication.</w:t>
      </w:r>
    </w:p>
    <w:tbl>
      <w:tblPr>
        <w:tblStyle w:val="TableGrid"/>
        <w:tblW w:w="0" w:type="auto"/>
        <w:shd w:val="clear" w:color="auto" w:fill="DFF0F9" w:themeFill="accent3" w:themeFillTint="33"/>
        <w:tblCellMar>
          <w:top w:w="113" w:type="dxa"/>
          <w:left w:w="113" w:type="dxa"/>
          <w:bottom w:w="113" w:type="dxa"/>
          <w:right w:w="113" w:type="dxa"/>
        </w:tblCellMar>
        <w:tblLook w:val="04A0" w:firstRow="1" w:lastRow="0" w:firstColumn="1" w:lastColumn="0" w:noHBand="0" w:noVBand="1"/>
      </w:tblPr>
      <w:tblGrid>
        <w:gridCol w:w="9016"/>
      </w:tblGrid>
      <w:tr w:rsidR="00CD15B5" w14:paraId="69736B46"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62B5E5" w:themeColor="accent3"/>
              <w:left w:val="single" w:sz="4" w:space="0" w:color="62B5E5" w:themeColor="accent3"/>
              <w:bottom w:val="single" w:sz="4" w:space="0" w:color="62B5E5" w:themeColor="accent3"/>
              <w:right w:val="single" w:sz="4" w:space="0" w:color="62B5E5" w:themeColor="accent3"/>
            </w:tcBorders>
            <w:shd w:val="clear" w:color="auto" w:fill="DFF0F9" w:themeFill="accent3" w:themeFillTint="33"/>
          </w:tcPr>
          <w:p w14:paraId="0E4ADFAB" w14:textId="3CE57936" w:rsidR="00CD15B5" w:rsidRPr="00A04FF8" w:rsidRDefault="00CD15B5" w:rsidP="00021EF3">
            <w:pPr>
              <w:spacing w:after="0"/>
              <w:rPr>
                <w:b/>
                <w:bCs/>
              </w:rPr>
            </w:pPr>
            <w:r w:rsidRPr="00A04FF8">
              <w:rPr>
                <w:b/>
                <w:bCs/>
                <w:color w:val="62B5E5" w:themeColor="accent3"/>
              </w:rPr>
              <w:t xml:space="preserve">Finding </w:t>
            </w:r>
            <w:r>
              <w:rPr>
                <w:b/>
                <w:bCs/>
                <w:color w:val="62B5E5" w:themeColor="accent3"/>
              </w:rPr>
              <w:t>1</w:t>
            </w:r>
            <w:r w:rsidR="00E542FA">
              <w:rPr>
                <w:b/>
                <w:bCs/>
                <w:color w:val="62B5E5" w:themeColor="accent3"/>
              </w:rPr>
              <w:t>6</w:t>
            </w:r>
            <w:r w:rsidRPr="00A04FF8">
              <w:rPr>
                <w:b/>
                <w:bCs/>
                <w:color w:val="62B5E5" w:themeColor="accent3"/>
              </w:rPr>
              <w:t>: </w:t>
            </w:r>
            <w:r w:rsidRPr="00216751">
              <w:rPr>
                <w:b/>
                <w:bCs/>
              </w:rPr>
              <w:t>A framework for monitoring and evaluation should be embedded during the design stage of a program to support future evaluation and accountability.</w:t>
            </w:r>
          </w:p>
        </w:tc>
      </w:tr>
    </w:tbl>
    <w:p w14:paraId="0BE75990" w14:textId="0B066314" w:rsidR="00CD15B5" w:rsidRPr="00A60594" w:rsidRDefault="002E1D3B" w:rsidP="00021EF3">
      <w:pPr>
        <w:spacing w:before="160"/>
      </w:pPr>
      <w:r>
        <w:t xml:space="preserve">Monitoring and </w:t>
      </w:r>
      <w:r w:rsidR="00CD15B5">
        <w:t xml:space="preserve">evaluation </w:t>
      </w:r>
      <w:proofErr w:type="gramStart"/>
      <w:r>
        <w:t>is</w:t>
      </w:r>
      <w:proofErr w:type="gramEnd"/>
      <w:r w:rsidR="00CD15B5">
        <w:t xml:space="preserve"> an important aspect of any program and the policy </w:t>
      </w:r>
      <w:r w:rsidR="002C0992">
        <w:t>lifecycle</w:t>
      </w:r>
      <w:r w:rsidR="00CD15B5">
        <w:t xml:space="preserve">, </w:t>
      </w:r>
      <w:r>
        <w:t>and as such</w:t>
      </w:r>
      <w:r w:rsidR="00CD15B5">
        <w:t xml:space="preserve"> a framework for monitoring and evaluation should embedded during the design stage of any program or intervention. </w:t>
      </w:r>
      <w:r w:rsidR="004E120D">
        <w:t>L</w:t>
      </w:r>
      <w:r w:rsidR="00CD15B5" w:rsidRPr="00A60594">
        <w:t xml:space="preserve">imited consideration for monitoring and evaluation across the life of the grant programs </w:t>
      </w:r>
      <w:r w:rsidR="00CD15B5">
        <w:t xml:space="preserve">was evident and ultimately </w:t>
      </w:r>
      <w:r w:rsidR="00CD15B5" w:rsidRPr="00A60594">
        <w:t>created limitations for this evaluation, including:</w:t>
      </w:r>
    </w:p>
    <w:p w14:paraId="4563A9D3" w14:textId="2B10FB77" w:rsidR="00CD15B5" w:rsidRDefault="00CD15B5" w:rsidP="00021EF3">
      <w:pPr>
        <w:pStyle w:val="ListBullet"/>
      </w:pPr>
      <w:r w:rsidRPr="00A60594">
        <w:t xml:space="preserve">the extent of data captured throughout the program relating </w:t>
      </w:r>
      <w:r>
        <w:t xml:space="preserve">to </w:t>
      </w:r>
      <w:r w:rsidRPr="00A60594">
        <w:t>outcomes</w:t>
      </w:r>
      <w:r>
        <w:t>, limiting the availability of secondary data informing assessment of program effectiveness</w:t>
      </w:r>
      <w:r w:rsidR="00F30D47">
        <w:t>.</w:t>
      </w:r>
    </w:p>
    <w:p w14:paraId="1B76EC8E" w14:textId="37F3D886" w:rsidR="00CD15B5" w:rsidRPr="00A60594" w:rsidRDefault="00CD15B5" w:rsidP="00021EF3">
      <w:pPr>
        <w:pStyle w:val="ListBullet"/>
      </w:pPr>
      <w:r w:rsidRPr="00A60594">
        <w:lastRenderedPageBreak/>
        <w:t>the elapsed time between the intervention and evaluation</w:t>
      </w:r>
      <w:r w:rsidR="007D636D">
        <w:t xml:space="preserve"> </w:t>
      </w:r>
      <w:r w:rsidRPr="00A60594">
        <w:t>impact</w:t>
      </w:r>
      <w:r w:rsidR="003D2A20">
        <w:t>ing</w:t>
      </w:r>
      <w:r w:rsidRPr="00A60594">
        <w:t xml:space="preserve"> </w:t>
      </w:r>
      <w:r w:rsidR="003D2A20">
        <w:t xml:space="preserve">on stakeholder accessibility </w:t>
      </w:r>
      <w:r w:rsidR="003C7FF5">
        <w:t>(due to staff turnover)</w:t>
      </w:r>
      <w:r w:rsidR="003D2A20">
        <w:t xml:space="preserve"> or </w:t>
      </w:r>
      <w:r w:rsidRPr="00A60594">
        <w:t>the ability of stakeholders to recall activities and associated</w:t>
      </w:r>
      <w:r w:rsidR="003D2A20">
        <w:t xml:space="preserve"> outcomes, </w:t>
      </w:r>
      <w:r>
        <w:t>which limited the assessment of program implementation and effectiveness based on primary data</w:t>
      </w:r>
      <w:r w:rsidR="00F30D47">
        <w:t>.</w:t>
      </w:r>
    </w:p>
    <w:p w14:paraId="3C5DC274" w14:textId="77777777" w:rsidR="00CD15B5" w:rsidRPr="00A60594" w:rsidRDefault="00CD15B5" w:rsidP="00021EF3">
      <w:pPr>
        <w:pStyle w:val="ListBullet"/>
      </w:pPr>
      <w:r w:rsidRPr="00A60594">
        <w:t>the compressed evaluation timeframes impacted the ability to acquire the necessary data for economic evaluation</w:t>
      </w:r>
      <w:r>
        <w:t>, in particular ABS BLADE data.</w:t>
      </w:r>
    </w:p>
    <w:p w14:paraId="7622F2D5" w14:textId="1EEF45E3" w:rsidR="00CD15B5" w:rsidRPr="00CD15B5" w:rsidRDefault="00CD15B5" w:rsidP="00021EF3">
      <w:r w:rsidRPr="00A60594">
        <w:t xml:space="preserve">By planning for what data needs to be collected against the programs' intended objective and outcomes, progress could be </w:t>
      </w:r>
      <w:proofErr w:type="gramStart"/>
      <w:r w:rsidRPr="00A60594">
        <w:t>monitored</w:t>
      </w:r>
      <w:proofErr w:type="gramEnd"/>
      <w:r w:rsidRPr="00A60594">
        <w:t xml:space="preserve"> and a more comprehensive evaluation be undertaken.</w:t>
      </w:r>
      <w:r>
        <w:t xml:space="preserve"> </w:t>
      </w:r>
      <w:r w:rsidRPr="00A60594">
        <w:t>This process should be undertaken even if program design and implementation is compressed.</w:t>
      </w:r>
    </w:p>
    <w:p w14:paraId="5E6E7917" w14:textId="39B01807" w:rsidR="00FB328E" w:rsidRDefault="00467B67" w:rsidP="00021EF3">
      <w:r>
        <w:t>Noting evaluation timeframes are not always possible to predict, f</w:t>
      </w:r>
      <w:r w:rsidR="00FB328E">
        <w:t>uture evaluations of comparable programs should also consider sufficient lead time to enable access to microdata sets (e.g., the ABS’ BLADE)</w:t>
      </w:r>
      <w:r w:rsidR="001F36AA">
        <w:t>,</w:t>
      </w:r>
      <w:r w:rsidR="00FB328E">
        <w:t xml:space="preserve"> which would enable the more robust determination of a control group and allow for more sophisticated analysis of outcomes.</w:t>
      </w:r>
    </w:p>
    <w:p w14:paraId="4E99798B" w14:textId="7CF9966B" w:rsidR="00BE44EB" w:rsidRPr="00CD15B5" w:rsidRDefault="00BE44EB" w:rsidP="00021EF3">
      <w:r>
        <w:t xml:space="preserve">Future evaluation would also be supported by more systematic documentation of </w:t>
      </w:r>
      <w:r w:rsidR="00635568">
        <w:t>decision-making</w:t>
      </w:r>
      <w:r>
        <w:t xml:space="preserve"> processes and </w:t>
      </w:r>
      <w:r w:rsidR="004665F9">
        <w:t>program design, including grant amounts. There was limited information as to how the grant amounts were determined across the relevant rounds</w:t>
      </w:r>
      <w:r w:rsidR="001F4FC7">
        <w:t xml:space="preserve">, which impacted on the extent to which this evaluation could consider whether they were appropriately determined. </w:t>
      </w:r>
      <w:r w:rsidR="003B621D">
        <w:t xml:space="preserve">More consistent documentation of key program design features and the underpinning rationale </w:t>
      </w:r>
      <w:r w:rsidR="0055016E">
        <w:t>would support both evaluation and future design of programs.</w:t>
      </w:r>
    </w:p>
    <w:p w14:paraId="0DA57639" w14:textId="022D33FE" w:rsidR="008961F2" w:rsidRPr="00977117" w:rsidRDefault="008961F2" w:rsidP="00021EF3">
      <w:pPr>
        <w:pStyle w:val="Heading1"/>
      </w:pPr>
      <w:bookmarkStart w:id="458" w:name="_Ref172897200"/>
      <w:bookmarkStart w:id="459" w:name="_Toc173244973"/>
      <w:bookmarkStart w:id="460" w:name="_Toc176516296"/>
      <w:r w:rsidRPr="00977117">
        <w:lastRenderedPageBreak/>
        <w:t>Recommendations</w:t>
      </w:r>
      <w:bookmarkEnd w:id="458"/>
      <w:bookmarkEnd w:id="459"/>
      <w:bookmarkEnd w:id="460"/>
    </w:p>
    <w:p w14:paraId="24547854" w14:textId="0D64B386" w:rsidR="006911A2" w:rsidRDefault="006911A2" w:rsidP="00021EF3">
      <w:pPr>
        <w:pStyle w:val="Heading3un-numbered"/>
      </w:pPr>
      <w:bookmarkStart w:id="461" w:name="_Toc173915919"/>
      <w:bookmarkStart w:id="462" w:name="_Toc174118175"/>
      <w:bookmarkStart w:id="463" w:name="_Toc176516297"/>
      <w:r>
        <w:rPr>
          <w:color w:val="62B5E5" w:themeColor="accent3"/>
        </w:rPr>
        <w:t>Recommendation 1:</w:t>
      </w:r>
      <w:r w:rsidRPr="00A04FF8">
        <w:rPr>
          <w:color w:val="62B5E5" w:themeColor="accent3"/>
        </w:rPr>
        <w:t> </w:t>
      </w:r>
      <w:bookmarkEnd w:id="461"/>
      <w:r w:rsidR="00311FEE">
        <w:t xml:space="preserve">Ensure Victoria’s emergency preparedness plans consider </w:t>
      </w:r>
      <w:r w:rsidR="004A7286">
        <w:t>business support</w:t>
      </w:r>
      <w:r w:rsidR="004466F6">
        <w:t xml:space="preserve"> needs</w:t>
      </w:r>
      <w:bookmarkEnd w:id="462"/>
      <w:bookmarkEnd w:id="463"/>
    </w:p>
    <w:p w14:paraId="16F2B2A6" w14:textId="6B47C44A" w:rsidR="00165289" w:rsidRDefault="00307D32" w:rsidP="00021EF3">
      <w:r>
        <w:t xml:space="preserve">The Department and Victorian Government more broadly </w:t>
      </w:r>
      <w:r w:rsidR="006C68A9">
        <w:t xml:space="preserve">should </w:t>
      </w:r>
      <w:r w:rsidR="004C708E">
        <w:t xml:space="preserve">ensure that pandemic and emergency response guidelines </w:t>
      </w:r>
      <w:r w:rsidR="00742748">
        <w:t>are cognisant of</w:t>
      </w:r>
      <w:r w:rsidR="004E7DB3">
        <w:t>,</w:t>
      </w:r>
      <w:r w:rsidR="00742748">
        <w:t xml:space="preserve"> and </w:t>
      </w:r>
      <w:r w:rsidR="002A0CEB">
        <w:t>appropriately consider</w:t>
      </w:r>
      <w:r w:rsidR="004E7DB3">
        <w:t>,</w:t>
      </w:r>
      <w:r w:rsidR="002A0CEB">
        <w:t xml:space="preserve"> the </w:t>
      </w:r>
      <w:r w:rsidR="004B760D">
        <w:t>impact on</w:t>
      </w:r>
      <w:r w:rsidR="002A0CEB">
        <w:t xml:space="preserve"> Victorian businesses</w:t>
      </w:r>
      <w:r w:rsidR="00165289">
        <w:t xml:space="preserve"> during periods of major disruption.</w:t>
      </w:r>
      <w:r w:rsidR="00D10332">
        <w:t xml:space="preserve"> </w:t>
      </w:r>
      <w:r w:rsidR="00A57A8B">
        <w:t>If there is a pandemic or equivalent crisis in future, there should be clear steps and gui</w:t>
      </w:r>
      <w:r w:rsidR="0037076A">
        <w:t xml:space="preserve">delines </w:t>
      </w:r>
      <w:r w:rsidR="00B6172E">
        <w:t>as to</w:t>
      </w:r>
      <w:r w:rsidR="0037076A">
        <w:t xml:space="preserve"> the specific approach</w:t>
      </w:r>
      <w:r w:rsidR="00D10332">
        <w:t>, including in relation to determining the appropriate intervention type</w:t>
      </w:r>
      <w:r w:rsidR="00B6172E">
        <w:t xml:space="preserve">s, </w:t>
      </w:r>
      <w:r w:rsidR="0034403B">
        <w:t>and the necessary processes</w:t>
      </w:r>
      <w:r w:rsidR="00097C40">
        <w:t>, systems</w:t>
      </w:r>
      <w:r w:rsidR="0034403B">
        <w:t xml:space="preserve"> and design features to </w:t>
      </w:r>
      <w:r w:rsidR="00B05D45">
        <w:t>associated with each.</w:t>
      </w:r>
      <w:r w:rsidR="00097C40">
        <w:t xml:space="preserve"> This could also include a basic framework for determining eligibility criteria.</w:t>
      </w:r>
    </w:p>
    <w:p w14:paraId="23CCFF75" w14:textId="4328A5B1" w:rsidR="004A7286" w:rsidRDefault="00410BF9" w:rsidP="00021EF3">
      <w:r>
        <w:t>Though</w:t>
      </w:r>
      <w:r w:rsidR="00816EDE">
        <w:t xml:space="preserve"> </w:t>
      </w:r>
      <w:r w:rsidR="00B8664D">
        <w:t xml:space="preserve">a pandemic-specific response is the responsibility of </w:t>
      </w:r>
      <w:r w:rsidR="00202F56">
        <w:t xml:space="preserve">the Commonwealth </w:t>
      </w:r>
      <w:r w:rsidR="00EA2BDA">
        <w:t>G</w:t>
      </w:r>
      <w:r w:rsidR="00202F56">
        <w:t>overnment</w:t>
      </w:r>
      <w:r w:rsidR="000E6BE2">
        <w:t>,</w:t>
      </w:r>
      <w:r w:rsidR="00202F56">
        <w:t xml:space="preserve"> </w:t>
      </w:r>
      <w:r w:rsidR="00E90BC5">
        <w:t xml:space="preserve">the </w:t>
      </w:r>
      <w:r w:rsidR="000E6BE2">
        <w:t>Victorian Government should advocate</w:t>
      </w:r>
      <w:r w:rsidR="00E90BC5">
        <w:t xml:space="preserve"> </w:t>
      </w:r>
      <w:r w:rsidR="00344DB8">
        <w:t xml:space="preserve">for </w:t>
      </w:r>
      <w:r w:rsidR="00F41C0A">
        <w:t>such</w:t>
      </w:r>
      <w:r>
        <w:t xml:space="preserve"> disaster re</w:t>
      </w:r>
      <w:r w:rsidR="00F41C0A">
        <w:t xml:space="preserve">sponse and recovery arrangements. </w:t>
      </w:r>
      <w:r w:rsidR="00EF3BB2">
        <w:t>At a state level,</w:t>
      </w:r>
      <w:r w:rsidR="00F41C0A">
        <w:t xml:space="preserve"> </w:t>
      </w:r>
      <w:r w:rsidR="00947BAD">
        <w:t>t</w:t>
      </w:r>
      <w:r w:rsidR="004A7286">
        <w:t xml:space="preserve">hese considerations could </w:t>
      </w:r>
      <w:r w:rsidR="009B2280">
        <w:t>also</w:t>
      </w:r>
      <w:r w:rsidR="004A7286">
        <w:t xml:space="preserve"> be built into </w:t>
      </w:r>
      <w:r w:rsidR="002E63C4">
        <w:t>the framework detailed in the existing Victorian State Emergency Management Plan</w:t>
      </w:r>
      <w:r w:rsidR="00CD0E4F">
        <w:t xml:space="preserve"> for state-related disasters</w:t>
      </w:r>
      <w:r w:rsidR="003F05A7">
        <w:t>.</w:t>
      </w:r>
      <w:r w:rsidR="002E63C4">
        <w:rPr>
          <w:rStyle w:val="EndnoteReference"/>
        </w:rPr>
        <w:endnoteReference w:id="39"/>
      </w:r>
      <w:r w:rsidR="00947BAD">
        <w:t xml:space="preserve"> </w:t>
      </w:r>
      <w:r w:rsidR="005376E6">
        <w:t>G</w:t>
      </w:r>
      <w:r w:rsidR="00DE3725">
        <w:t>rant administration activities including</w:t>
      </w:r>
      <w:r w:rsidR="00CD0E4F">
        <w:t xml:space="preserve"> grant guidelines </w:t>
      </w:r>
      <w:r w:rsidR="004C6B1E">
        <w:t xml:space="preserve">and compliance frameworks </w:t>
      </w:r>
      <w:r w:rsidR="005376E6">
        <w:t>that are</w:t>
      </w:r>
      <w:r w:rsidR="002F7A68">
        <w:t xml:space="preserve"> part of the Department’s </w:t>
      </w:r>
      <w:r w:rsidR="002F7A68">
        <w:rPr>
          <w:lang w:val="en-US"/>
        </w:rPr>
        <w:t>c</w:t>
      </w:r>
      <w:r w:rsidR="002F7A68" w:rsidRPr="002F7A68">
        <w:rPr>
          <w:lang w:val="en-US"/>
        </w:rPr>
        <w:t>ore emergency relief and recovery offerings</w:t>
      </w:r>
      <w:r w:rsidR="004C6B1E">
        <w:t xml:space="preserve"> </w:t>
      </w:r>
      <w:r w:rsidR="001004CE">
        <w:t>have been updated since the COVID-19 pandemic</w:t>
      </w:r>
      <w:r w:rsidR="005376E6">
        <w:t>. However</w:t>
      </w:r>
      <w:r w:rsidR="001004CE">
        <w:t xml:space="preserve">, </w:t>
      </w:r>
      <w:r w:rsidR="00A00F9A">
        <w:t xml:space="preserve">these only </w:t>
      </w:r>
      <w:r w:rsidR="00AE682B">
        <w:t>directly appl</w:t>
      </w:r>
      <w:r w:rsidR="005376E6">
        <w:t>y</w:t>
      </w:r>
      <w:r w:rsidR="00AE682B">
        <w:t xml:space="preserve"> to earthquakes, floods, windstorms, fires and other natural events</w:t>
      </w:r>
      <w:r w:rsidR="000E4F9D">
        <w:t>,</w:t>
      </w:r>
      <w:r w:rsidR="00B465C6">
        <w:t xml:space="preserve"> where </w:t>
      </w:r>
      <w:r w:rsidR="00B465C6" w:rsidRPr="00B465C6">
        <w:rPr>
          <w:lang w:val="en-US"/>
        </w:rPr>
        <w:t>Disaster Recovery Funding Arrangement</w:t>
      </w:r>
      <w:r w:rsidR="00B465C6">
        <w:t>s with the Commonwealth are in place</w:t>
      </w:r>
      <w:r w:rsidR="005376E6">
        <w:t>, and public health emergencies such as epidemics are</w:t>
      </w:r>
      <w:r w:rsidR="00B465C6">
        <w:t xml:space="preserve"> not </w:t>
      </w:r>
      <w:r w:rsidR="005376E6">
        <w:t>directly included.</w:t>
      </w:r>
      <w:r w:rsidR="005376E6">
        <w:rPr>
          <w:rStyle w:val="FootnoteReference"/>
        </w:rPr>
        <w:footnoteReference w:id="7"/>
      </w:r>
      <w:r w:rsidR="007A3036">
        <w:t xml:space="preserve"> </w:t>
      </w:r>
      <w:r w:rsidR="00B10F79">
        <w:t xml:space="preserve">While these could be expanded to </w:t>
      </w:r>
      <w:r w:rsidR="00EC3932">
        <w:t>cover</w:t>
      </w:r>
      <w:r w:rsidR="00B10F79">
        <w:t xml:space="preserve"> epidemics, </w:t>
      </w:r>
      <w:r w:rsidR="00E72FAD">
        <w:t>plagues and contaminations</w:t>
      </w:r>
      <w:r w:rsidR="00B10F79">
        <w:t xml:space="preserve">, </w:t>
      </w:r>
      <w:r w:rsidR="00F4632A">
        <w:t>g</w:t>
      </w:r>
      <w:r w:rsidR="007A3036">
        <w:t xml:space="preserve">iven differing </w:t>
      </w:r>
      <w:r w:rsidR="00AB40AE">
        <w:t xml:space="preserve">breadth and type of </w:t>
      </w:r>
      <w:r w:rsidR="007A3036">
        <w:t>impacts on businesses between natural disasters and public health emergencies,</w:t>
      </w:r>
      <w:r w:rsidR="005B1DD7">
        <w:rPr>
          <w:rStyle w:val="EndnoteReference"/>
        </w:rPr>
        <w:endnoteReference w:id="40"/>
      </w:r>
      <w:r w:rsidR="007A3036">
        <w:t xml:space="preserve"> consideration should </w:t>
      </w:r>
      <w:r w:rsidR="00F4632A">
        <w:t xml:space="preserve">also </w:t>
      </w:r>
      <w:r w:rsidR="007A3036">
        <w:t xml:space="preserve">be given to specific </w:t>
      </w:r>
      <w:r w:rsidR="00801739">
        <w:t>guidelines</w:t>
      </w:r>
      <w:r w:rsidR="00BE63AC">
        <w:t xml:space="preserve"> for </w:t>
      </w:r>
      <w:r w:rsidR="00ED6B8C">
        <w:t>business support initiatives in</w:t>
      </w:r>
      <w:r w:rsidR="00BE63AC">
        <w:t xml:space="preserve"> </w:t>
      </w:r>
      <w:r w:rsidR="006F57C2">
        <w:t xml:space="preserve">public health </w:t>
      </w:r>
      <w:r w:rsidR="003940F6">
        <w:t>or equivalent emergencies.</w:t>
      </w:r>
      <w:r w:rsidR="009B2280">
        <w:t xml:space="preserve"> These</w:t>
      </w:r>
      <w:r w:rsidR="00321679">
        <w:t xml:space="preserve"> activities and guidelines should consider key learnings from recent COVID-19 business and citizen support programs.</w:t>
      </w:r>
    </w:p>
    <w:p w14:paraId="70CEB69C" w14:textId="5CFDEDA3" w:rsidR="004A7286" w:rsidRDefault="004A7286" w:rsidP="00021EF3">
      <w:pPr>
        <w:pStyle w:val="Heading3un-numbered"/>
      </w:pPr>
      <w:bookmarkStart w:id="464" w:name="_Toc174118176"/>
      <w:bookmarkStart w:id="465" w:name="_Toc176516298"/>
      <w:r>
        <w:rPr>
          <w:color w:val="62B5E5" w:themeColor="accent3"/>
        </w:rPr>
        <w:t xml:space="preserve">Recommendation </w:t>
      </w:r>
      <w:r w:rsidR="00714FE8">
        <w:rPr>
          <w:color w:val="62B5E5" w:themeColor="accent3"/>
        </w:rPr>
        <w:t>2</w:t>
      </w:r>
      <w:r>
        <w:rPr>
          <w:color w:val="62B5E5" w:themeColor="accent3"/>
        </w:rPr>
        <w:t>:</w:t>
      </w:r>
      <w:r w:rsidRPr="00A04FF8">
        <w:rPr>
          <w:color w:val="62B5E5" w:themeColor="accent3"/>
        </w:rPr>
        <w:t> </w:t>
      </w:r>
      <w:r>
        <w:t xml:space="preserve">Ensure </w:t>
      </w:r>
      <w:r w:rsidR="00CC4964">
        <w:t xml:space="preserve">data sharing arrangements are </w:t>
      </w:r>
      <w:r w:rsidR="00225EAC">
        <w:t>appropriately in place</w:t>
      </w:r>
      <w:r w:rsidR="005370D0">
        <w:t xml:space="preserve"> to ensure seamless </w:t>
      </w:r>
      <w:r w:rsidR="009A42DD">
        <w:t xml:space="preserve">data sharing and </w:t>
      </w:r>
      <w:r w:rsidR="005370D0">
        <w:t>rollout of business support</w:t>
      </w:r>
      <w:bookmarkEnd w:id="464"/>
      <w:r w:rsidR="009A42DD">
        <w:t xml:space="preserve"> when needed</w:t>
      </w:r>
      <w:bookmarkEnd w:id="465"/>
    </w:p>
    <w:p w14:paraId="175717CC" w14:textId="43C6FB09" w:rsidR="00D86BCA" w:rsidRDefault="00CC4964" w:rsidP="00021EF3">
      <w:r>
        <w:t xml:space="preserve">The Department should ensure that necessary data sharing arrangements </w:t>
      </w:r>
      <w:r w:rsidR="00895EA3">
        <w:t xml:space="preserve">have been </w:t>
      </w:r>
      <w:r w:rsidR="00EC1B44">
        <w:t>prepared</w:t>
      </w:r>
      <w:r w:rsidR="00895EA3">
        <w:t xml:space="preserve"> and are ready to be </w:t>
      </w:r>
      <w:r w:rsidR="00635568">
        <w:t>activated in</w:t>
      </w:r>
      <w:r>
        <w:t xml:space="preserve"> the event of emergency and </w:t>
      </w:r>
      <w:r w:rsidR="00CA4457">
        <w:t>subsequent</w:t>
      </w:r>
      <w:r w:rsidR="00C207CE">
        <w:t xml:space="preserve"> </w:t>
      </w:r>
      <w:r w:rsidR="00814B6D">
        <w:t>disruption</w:t>
      </w:r>
      <w:r>
        <w:t xml:space="preserve"> </w:t>
      </w:r>
      <w:r w:rsidR="001938C6">
        <w:t xml:space="preserve">there can be </w:t>
      </w:r>
      <w:r w:rsidR="00CB52AD">
        <w:t xml:space="preserve">a seamless rollout of </w:t>
      </w:r>
      <w:r w:rsidR="00A7281F">
        <w:t>government supports</w:t>
      </w:r>
      <w:r w:rsidR="005A29F6">
        <w:t xml:space="preserve"> for business</w:t>
      </w:r>
      <w:r w:rsidR="0069070A">
        <w:t xml:space="preserve">, including through the implementation of </w:t>
      </w:r>
      <w:r w:rsidR="008305BA">
        <w:t xml:space="preserve">key criteria and systems necessary </w:t>
      </w:r>
      <w:r w:rsidR="00492309">
        <w:t>for overall efficiency (e.g., eligibility criteria).</w:t>
      </w:r>
      <w:r w:rsidR="00825BF1">
        <w:t xml:space="preserve"> </w:t>
      </w:r>
      <w:r w:rsidR="00615F2B">
        <w:t xml:space="preserve">While not necessarily required on an ongoing basis, preparations and agreements should be made in advance so that data can be </w:t>
      </w:r>
      <w:r w:rsidR="00D86BCA">
        <w:t xml:space="preserve">readily shared if the need arises. </w:t>
      </w:r>
    </w:p>
    <w:p w14:paraId="4540779B" w14:textId="142F34FF" w:rsidR="004A7286" w:rsidRDefault="00825BF1" w:rsidP="00021EF3">
      <w:r>
        <w:t xml:space="preserve">The Department could identify what data sources are likely to be necessary </w:t>
      </w:r>
      <w:r w:rsidR="00DE123E">
        <w:t xml:space="preserve">for future emergency response programs and ensure that data sharing arrangements </w:t>
      </w:r>
      <w:r w:rsidR="00310705">
        <w:t xml:space="preserve">are serviceable in future and, to the extent possible, </w:t>
      </w:r>
      <w:r w:rsidR="00E34EAB">
        <w:t>facilitate additional arrangements</w:t>
      </w:r>
      <w:r w:rsidR="007B54A8">
        <w:t xml:space="preserve"> as needed.</w:t>
      </w:r>
      <w:r w:rsidR="003C5D51">
        <w:t xml:space="preserve"> For example, the data sharing arrangements the Department </w:t>
      </w:r>
      <w:r w:rsidR="00D210C9">
        <w:t>developed with WorkSafe would ideally be leveraged in future programs as needed.</w:t>
      </w:r>
    </w:p>
    <w:p w14:paraId="663F9CC9" w14:textId="34A23E7C" w:rsidR="007B54A8" w:rsidRDefault="00A00CF9" w:rsidP="00021EF3">
      <w:r>
        <w:t>These preparations should align with the Victorian Public Sector Data Sharing Policy.</w:t>
      </w:r>
      <w:r>
        <w:rPr>
          <w:rStyle w:val="EndnoteReference"/>
        </w:rPr>
        <w:endnoteReference w:id="41"/>
      </w:r>
      <w:r>
        <w:t xml:space="preserve"> </w:t>
      </w:r>
      <w:r w:rsidR="007B54A8">
        <w:t xml:space="preserve">Consideration would likely need to be given to </w:t>
      </w:r>
      <w:r w:rsidR="00735A7C">
        <w:t>the approach to data</w:t>
      </w:r>
      <w:r w:rsidR="00883482">
        <w:t xml:space="preserve"> sharing arrangements separately for local, state and federal government bodies.</w:t>
      </w:r>
      <w:r w:rsidR="00404527">
        <w:t xml:space="preserve"> For example, </w:t>
      </w:r>
      <w:r w:rsidR="002665A0">
        <w:t>while it is understood that some progress has been made already</w:t>
      </w:r>
      <w:r w:rsidR="00404527">
        <w:t xml:space="preserve">, </w:t>
      </w:r>
      <w:r w:rsidR="0000626C">
        <w:t xml:space="preserve">extensions to data sharing arrangements </w:t>
      </w:r>
      <w:r w:rsidR="00B338D0">
        <w:t xml:space="preserve">established </w:t>
      </w:r>
      <w:r w:rsidR="0000626C">
        <w:t>with the ATO</w:t>
      </w:r>
      <w:r w:rsidR="00B338D0">
        <w:t xml:space="preserve"> in 2021 </w:t>
      </w:r>
      <w:r w:rsidR="00942BA7">
        <w:t xml:space="preserve">for a subset of COVID-19 business support grant programs should </w:t>
      </w:r>
      <w:r w:rsidR="002665A0">
        <w:t xml:space="preserve">continue to </w:t>
      </w:r>
      <w:r w:rsidR="00942BA7">
        <w:t>be explored</w:t>
      </w:r>
      <w:r w:rsidR="00B338D0">
        <w:t xml:space="preserve"> as part of future emergency management</w:t>
      </w:r>
      <w:r w:rsidR="00942BA7">
        <w:t xml:space="preserve"> preparations.</w:t>
      </w:r>
    </w:p>
    <w:p w14:paraId="1919F086" w14:textId="482CF9DA" w:rsidR="001550AB" w:rsidRPr="007C6665" w:rsidRDefault="001550AB" w:rsidP="00021EF3">
      <w:pPr>
        <w:pStyle w:val="Heading3un-numbered"/>
      </w:pPr>
      <w:bookmarkStart w:id="466" w:name="_Toc173915921"/>
      <w:bookmarkStart w:id="467" w:name="_Toc174118177"/>
      <w:bookmarkStart w:id="468" w:name="_Toc176516299"/>
      <w:r>
        <w:rPr>
          <w:color w:val="62B5E5" w:themeColor="accent3"/>
        </w:rPr>
        <w:t>Recommendation 3:</w:t>
      </w:r>
      <w:r w:rsidRPr="00A04FF8">
        <w:rPr>
          <w:color w:val="62B5E5" w:themeColor="accent3"/>
        </w:rPr>
        <w:t> </w:t>
      </w:r>
      <w:r w:rsidR="00254920">
        <w:t>Ensure</w:t>
      </w:r>
      <w:r>
        <w:t xml:space="preserve"> standards for monitoring and evaluation </w:t>
      </w:r>
      <w:r w:rsidR="00254920">
        <w:t>are</w:t>
      </w:r>
      <w:r>
        <w:t xml:space="preserve"> applied as part of any future </w:t>
      </w:r>
      <w:r w:rsidR="00254920">
        <w:t>emergency response</w:t>
      </w:r>
      <w:r>
        <w:t xml:space="preserve"> </w:t>
      </w:r>
      <w:r w:rsidRPr="00B91B06">
        <w:t>program</w:t>
      </w:r>
      <w:bookmarkEnd w:id="466"/>
      <w:bookmarkEnd w:id="467"/>
      <w:bookmarkEnd w:id="468"/>
    </w:p>
    <w:p w14:paraId="5C0B33BE" w14:textId="25140A14" w:rsidR="00803B41" w:rsidRPr="00307D32" w:rsidRDefault="001550AB" w:rsidP="00021EF3">
      <w:r>
        <w:t>Given the importance of monitoring and evaluation,</w:t>
      </w:r>
      <w:r w:rsidRPr="00A60594">
        <w:t xml:space="preserve"> </w:t>
      </w:r>
      <w:r>
        <w:t xml:space="preserve">a framework for monitoring and evaluation should be embedded at the inception phase of future </w:t>
      </w:r>
      <w:r w:rsidR="00457C01">
        <w:t>emergency</w:t>
      </w:r>
      <w:r>
        <w:t xml:space="preserve"> response programs. Program design in </w:t>
      </w:r>
      <w:r w:rsidR="00457C01">
        <w:t xml:space="preserve">emergency </w:t>
      </w:r>
      <w:r>
        <w:t xml:space="preserve">response settings can often be undertaken under compressed timeframes, hence upfront investment in </w:t>
      </w:r>
      <w:r w:rsidR="00457C01">
        <w:t>ensuring adherence to appropriate</w:t>
      </w:r>
      <w:r>
        <w:t xml:space="preserve"> standards for monitoring and evaluation </w:t>
      </w:r>
      <w:r w:rsidR="00457C01">
        <w:t>is required</w:t>
      </w:r>
      <w:r w:rsidR="00AA4CFF">
        <w:t>.</w:t>
      </w:r>
      <w:r w:rsidR="00E94849">
        <w:t xml:space="preserve"> </w:t>
      </w:r>
      <w:r w:rsidR="00457C01">
        <w:t xml:space="preserve">This should include consideration of </w:t>
      </w:r>
      <w:r>
        <w:t>the types of data that would need to be collected to support future evaluation in the context of a business support program</w:t>
      </w:r>
      <w:r w:rsidR="00A04FB0">
        <w:t xml:space="preserve"> (e.g., data related to typical business outcomes)</w:t>
      </w:r>
      <w:r>
        <w:t xml:space="preserve">, and the viable methods for obtaining this data. This could be </w:t>
      </w:r>
      <w:r w:rsidR="00CB4988">
        <w:t>integrated within the Department</w:t>
      </w:r>
      <w:r w:rsidR="007D331C">
        <w:t>’</w:t>
      </w:r>
      <w:r w:rsidR="00CB4988">
        <w:t xml:space="preserve">s existing </w:t>
      </w:r>
      <w:r w:rsidR="00E37712">
        <w:t xml:space="preserve">monitoring evaluation </w:t>
      </w:r>
      <w:r w:rsidR="007D70DF">
        <w:t>guidelines</w:t>
      </w:r>
      <w:r w:rsidR="00E37712">
        <w:t>.</w:t>
      </w:r>
    </w:p>
    <w:p w14:paraId="2615DCD4" w14:textId="6D96C923" w:rsidR="00BE25D1" w:rsidRDefault="00BE25D1" w:rsidP="00021EF3">
      <w:pPr>
        <w:pStyle w:val="Appendixhead1"/>
      </w:pPr>
      <w:bookmarkStart w:id="469" w:name="_Ref172634402"/>
      <w:bookmarkStart w:id="470" w:name="_Toc173244974"/>
      <w:bookmarkStart w:id="471" w:name="_Ref173249538"/>
      <w:bookmarkStart w:id="472" w:name="_Ref173252884"/>
      <w:bookmarkStart w:id="473" w:name="_Ref173253471"/>
      <w:bookmarkStart w:id="474" w:name="_Ref173253591"/>
      <w:bookmarkStart w:id="475" w:name="_Ref173253654"/>
      <w:bookmarkStart w:id="476" w:name="_Ref173254690"/>
      <w:bookmarkStart w:id="477" w:name="_Ref173255617"/>
      <w:bookmarkStart w:id="478" w:name="_Ref173307564"/>
      <w:bookmarkStart w:id="479" w:name="_Ref173334514"/>
      <w:bookmarkStart w:id="480" w:name="_Toc176516300"/>
      <w:bookmarkEnd w:id="279"/>
      <w:r>
        <w:lastRenderedPageBreak/>
        <w:t>Economic analysis</w:t>
      </w:r>
      <w:bookmarkEnd w:id="469"/>
      <w:bookmarkEnd w:id="470"/>
      <w:bookmarkEnd w:id="471"/>
      <w:bookmarkEnd w:id="472"/>
      <w:bookmarkEnd w:id="473"/>
      <w:bookmarkEnd w:id="474"/>
      <w:bookmarkEnd w:id="475"/>
      <w:bookmarkEnd w:id="476"/>
      <w:bookmarkEnd w:id="477"/>
      <w:bookmarkEnd w:id="478"/>
      <w:bookmarkEnd w:id="479"/>
      <w:bookmarkEnd w:id="480"/>
    </w:p>
    <w:p w14:paraId="776F8D17" w14:textId="69C06A85" w:rsidR="00BB1B87" w:rsidRDefault="00BB1B87" w:rsidP="00021EF3">
      <w:bookmarkStart w:id="481" w:name="_Toc173244881"/>
      <w:bookmarkStart w:id="482" w:name="_Toc173245891"/>
      <w:bookmarkStart w:id="483" w:name="_Toc173245981"/>
      <w:bookmarkEnd w:id="481"/>
      <w:bookmarkEnd w:id="482"/>
      <w:bookmarkEnd w:id="483"/>
      <w:r>
        <w:t xml:space="preserve">The economic analysis in this </w:t>
      </w:r>
      <w:r w:rsidR="00DC4BE1">
        <w:t xml:space="preserve">evaluation used a variety of publicly available data sets in addition to data provided by the </w:t>
      </w:r>
      <w:r w:rsidR="003D78BF">
        <w:t>D</w:t>
      </w:r>
      <w:r w:rsidR="00DC4BE1">
        <w:t>epartment to estimate the impact of the BCAP and LHVF grants on the Victorian economy.</w:t>
      </w:r>
    </w:p>
    <w:p w14:paraId="6FBE5996" w14:textId="79A789BD" w:rsidR="005D2134" w:rsidRDefault="00025B99" w:rsidP="00021EF3">
      <w:pPr>
        <w:pStyle w:val="Appendixhead2"/>
        <w:rPr>
          <w:rStyle w:val="Heading2Char"/>
        </w:rPr>
      </w:pPr>
      <w:bookmarkStart w:id="484" w:name="_Toc173915923"/>
      <w:bookmarkStart w:id="485" w:name="_Toc174118179"/>
      <w:bookmarkStart w:id="486" w:name="_Toc176516301"/>
      <w:r w:rsidRPr="00BD2AFC">
        <w:rPr>
          <w:rStyle w:val="Heading2Char"/>
          <w:b/>
        </w:rPr>
        <w:t>Business survival</w:t>
      </w:r>
      <w:bookmarkEnd w:id="484"/>
      <w:bookmarkEnd w:id="485"/>
      <w:bookmarkEnd w:id="486"/>
    </w:p>
    <w:p w14:paraId="2DAD7C1D" w14:textId="0F280749" w:rsidR="00BA062A" w:rsidRDefault="00BA062A" w:rsidP="00021EF3">
      <w:r>
        <w:t>T</w:t>
      </w:r>
      <w:r w:rsidRPr="00025B99">
        <w:t xml:space="preserve">he impact on business survival was assessed based on business level regression analysis using </w:t>
      </w:r>
      <w:r w:rsidR="00223189">
        <w:t xml:space="preserve">ABR </w:t>
      </w:r>
      <w:r w:rsidRPr="00025B99">
        <w:t xml:space="preserve">data, ASIC insolvency data and the grants database. The analysis compared insolvency </w:t>
      </w:r>
      <w:r>
        <w:t xml:space="preserve">and business exit </w:t>
      </w:r>
      <w:r w:rsidRPr="00025B99">
        <w:t xml:space="preserve">outcomes for treated and non-treated businesses. This was supported by </w:t>
      </w:r>
      <w:r w:rsidR="008971B6">
        <w:t xml:space="preserve">a </w:t>
      </w:r>
      <w:r w:rsidRPr="00025B99">
        <w:t>jurisdictional comparison based on the ASIC insolvency data as well as data from the business survey.</w:t>
      </w:r>
    </w:p>
    <w:p w14:paraId="260202B6" w14:textId="62669B77" w:rsidR="00367614" w:rsidRDefault="00BA062A" w:rsidP="00021EF3">
      <w:r>
        <w:t>In this analysis</w:t>
      </w:r>
      <w:r w:rsidR="008971B6">
        <w:t>,</w:t>
      </w:r>
      <w:r>
        <w:t xml:space="preserve"> business survival </w:t>
      </w:r>
      <w:r w:rsidR="008971B6">
        <w:t>was</w:t>
      </w:r>
      <w:r w:rsidR="00C66373">
        <w:t xml:space="preserve"> measured </w:t>
      </w:r>
      <w:r w:rsidR="00C3416F">
        <w:t>against two metrics</w:t>
      </w:r>
      <w:r w:rsidR="007C6BBB">
        <w:t xml:space="preserve">: </w:t>
      </w:r>
      <w:r w:rsidR="0089456D">
        <w:t xml:space="preserve">business insolvency and </w:t>
      </w:r>
      <w:r w:rsidR="00A4115F">
        <w:t xml:space="preserve">ABN cancellation. </w:t>
      </w:r>
      <w:r w:rsidR="00DB30A4">
        <w:t>Analysis was done on business insolvency rates, as defined by series 1 appointments in the AS</w:t>
      </w:r>
      <w:r w:rsidR="00BB51B9">
        <w:t xml:space="preserve">IC insolvencies dataset </w:t>
      </w:r>
      <w:r w:rsidR="00DB30A4">
        <w:t>(the first time a company become</w:t>
      </w:r>
      <w:r w:rsidR="007C6BBB">
        <w:t>s</w:t>
      </w:r>
      <w:r w:rsidR="00DB30A4">
        <w:t xml:space="preserve"> insolvent). </w:t>
      </w:r>
      <w:r w:rsidR="0033404D">
        <w:t xml:space="preserve">Insolvency occurs when a business </w:t>
      </w:r>
      <w:r w:rsidR="00A7723C">
        <w:t xml:space="preserve">is unable to service their debts or pay creditors. </w:t>
      </w:r>
      <w:r w:rsidR="00BF4C9E">
        <w:t>Some insolvent businesses are able to restructure their liabilities and continue operation, while many unprofitable businesses may wind up without becoming insolvent.</w:t>
      </w:r>
      <w:r w:rsidR="001F452C">
        <w:t xml:space="preserve"> </w:t>
      </w:r>
      <w:r w:rsidR="00367614">
        <w:t>When a business ceases operation</w:t>
      </w:r>
      <w:r w:rsidR="00FD30B2">
        <w:t>,</w:t>
      </w:r>
      <w:r w:rsidR="00367614">
        <w:t xml:space="preserve"> they will cancel their ABN registration</w:t>
      </w:r>
      <w:r w:rsidR="001D6F05">
        <w:t xml:space="preserve">. </w:t>
      </w:r>
      <w:r w:rsidR="0040495D">
        <w:t>As such, t</w:t>
      </w:r>
      <w:r w:rsidR="001D6F05">
        <w:t xml:space="preserve">his </w:t>
      </w:r>
      <w:r w:rsidR="0070161C">
        <w:t>was</w:t>
      </w:r>
      <w:r w:rsidR="001D6F05">
        <w:t xml:space="preserve"> used as a</w:t>
      </w:r>
      <w:r w:rsidR="002E6CAC">
        <w:t>n</w:t>
      </w:r>
      <w:r w:rsidR="001D6F05">
        <w:t xml:space="preserve"> indicator for business exit</w:t>
      </w:r>
      <w:r w:rsidR="006F1806">
        <w:t>. ABN cancellation</w:t>
      </w:r>
      <w:r w:rsidR="00FD30B2">
        <w:t>,</w:t>
      </w:r>
      <w:r w:rsidR="006F1806">
        <w:t xml:space="preserve"> </w:t>
      </w:r>
      <w:r w:rsidR="0070161C">
        <w:t>however</w:t>
      </w:r>
      <w:r w:rsidR="00FD30B2">
        <w:t>,</w:t>
      </w:r>
      <w:r w:rsidR="0070161C">
        <w:t xml:space="preserve"> </w:t>
      </w:r>
      <w:r w:rsidR="006F1806">
        <w:t xml:space="preserve">may also capture the impacts </w:t>
      </w:r>
      <w:r w:rsidR="0070161C">
        <w:t xml:space="preserve">of </w:t>
      </w:r>
      <w:r w:rsidR="0078480B">
        <w:t>changes in complex business structures</w:t>
      </w:r>
      <w:r w:rsidR="001F452C">
        <w:t>.</w:t>
      </w:r>
      <w:r w:rsidR="0078480B">
        <w:t xml:space="preserve"> </w:t>
      </w:r>
    </w:p>
    <w:p w14:paraId="2FA30AFD" w14:textId="6D1077E6" w:rsidR="00E564CB" w:rsidRDefault="003E3568" w:rsidP="00021EF3">
      <w:r>
        <w:t xml:space="preserve">The </w:t>
      </w:r>
      <w:r w:rsidR="00AD7D55">
        <w:t>regression</w:t>
      </w:r>
      <w:r>
        <w:t xml:space="preserve"> analysis of business survival was restricted </w:t>
      </w:r>
      <w:r w:rsidR="0042130B">
        <w:t xml:space="preserve">to companies, </w:t>
      </w:r>
      <w:r w:rsidR="00C77BA1">
        <w:t xml:space="preserve">a definition which excludes sole traders. </w:t>
      </w:r>
      <w:r w:rsidR="00E564CB">
        <w:t>The exclusion of sole traders</w:t>
      </w:r>
      <w:r w:rsidR="00C76215">
        <w:t xml:space="preserve"> </w:t>
      </w:r>
      <w:r w:rsidR="0088314E">
        <w:t>was</w:t>
      </w:r>
      <w:r w:rsidR="00C76215">
        <w:t xml:space="preserve"> </w:t>
      </w:r>
      <w:r w:rsidR="00E564CB">
        <w:t>for the following reasons:</w:t>
      </w:r>
    </w:p>
    <w:p w14:paraId="1DA950A0" w14:textId="53354481" w:rsidR="00E564CB" w:rsidRDefault="00744FC1" w:rsidP="00021EF3">
      <w:pPr>
        <w:pStyle w:val="ListBullet"/>
      </w:pPr>
      <w:r>
        <w:t xml:space="preserve">sole traders do not </w:t>
      </w:r>
      <w:r w:rsidR="00A26550">
        <w:t>benefit from the protections of insolvency and are personally responsible for debts acquired by their business</w:t>
      </w:r>
      <w:r w:rsidR="00E564CB">
        <w:t>, meaning they must either honour the debts of their business or declare personal bankruptcy</w:t>
      </w:r>
      <w:r w:rsidR="00FD30B2">
        <w:t>.</w:t>
      </w:r>
    </w:p>
    <w:p w14:paraId="2B4F48C3" w14:textId="3D66072C" w:rsidR="00E564CB" w:rsidRDefault="00716BC5" w:rsidP="00021EF3">
      <w:pPr>
        <w:pStyle w:val="ListBullet"/>
      </w:pPr>
      <w:r>
        <w:t xml:space="preserve">entry and exit dynamics </w:t>
      </w:r>
      <w:r w:rsidR="0088314E">
        <w:t xml:space="preserve">of sole traders are </w:t>
      </w:r>
      <w:r>
        <w:t xml:space="preserve">influenced by both the health </w:t>
      </w:r>
      <w:r w:rsidR="00FD30B2">
        <w:t xml:space="preserve">of </w:t>
      </w:r>
      <w:r>
        <w:t>their business and the state of the labour market</w:t>
      </w:r>
      <w:r w:rsidR="00880A4D">
        <w:t xml:space="preserve">, since sole traders may choose to become employees, </w:t>
      </w:r>
      <w:r w:rsidR="00772C64">
        <w:t>potentially biasing estimates</w:t>
      </w:r>
      <w:r w:rsidR="009C21EA">
        <w:t>.</w:t>
      </w:r>
    </w:p>
    <w:p w14:paraId="26A885DE" w14:textId="0FF48B82" w:rsidR="00AF6FCD" w:rsidRDefault="000929E8" w:rsidP="00021EF3">
      <w:pPr>
        <w:pStyle w:val="ListBullet"/>
      </w:pPr>
      <w:r>
        <w:t xml:space="preserve">this </w:t>
      </w:r>
      <w:r w:rsidR="00ED3C02">
        <w:t>evaluation</w:t>
      </w:r>
      <w:r w:rsidR="00654859">
        <w:t xml:space="preserve"> </w:t>
      </w:r>
      <w:r w:rsidR="002672CB">
        <w:t>did</w:t>
      </w:r>
      <w:r w:rsidR="00614590">
        <w:t xml:space="preserve"> not have the ability to identify turnover of a business, or </w:t>
      </w:r>
      <w:r w:rsidR="00B44109">
        <w:t>whether</w:t>
      </w:r>
      <w:r w:rsidR="00614590">
        <w:t xml:space="preserve"> a particular ABN </w:t>
      </w:r>
      <w:r w:rsidR="00B44109">
        <w:t>was</w:t>
      </w:r>
      <w:r w:rsidR="00614590">
        <w:t xml:space="preserve"> a </w:t>
      </w:r>
      <w:r w:rsidR="000726E9">
        <w:t>sole traders’ main source of income, which limits the effectiveness of analysis on sole traders</w:t>
      </w:r>
      <w:r w:rsidR="009C21EA">
        <w:t>.</w:t>
      </w:r>
    </w:p>
    <w:p w14:paraId="28D1BEB1" w14:textId="70DB61BA" w:rsidR="00E564CB" w:rsidRDefault="00E564CB" w:rsidP="00021EF3">
      <w:pPr>
        <w:pStyle w:val="ListBullet"/>
      </w:pPr>
      <w:r>
        <w:t>personal bankruptcy statistics are not made publicly available</w:t>
      </w:r>
      <w:r w:rsidR="00AD7D55">
        <w:t>.</w:t>
      </w:r>
    </w:p>
    <w:p w14:paraId="6E1F69BC" w14:textId="70EDDAF9" w:rsidR="00152269" w:rsidRDefault="00152269" w:rsidP="00021EF3">
      <w:r>
        <w:t>In order to undertake the analysis</w:t>
      </w:r>
      <w:r w:rsidR="00E564CB">
        <w:t>,</w:t>
      </w:r>
      <w:r>
        <w:t xml:space="preserve"> program data provided by the </w:t>
      </w:r>
      <w:r w:rsidR="00E564CB">
        <w:t>D</w:t>
      </w:r>
      <w:r>
        <w:t xml:space="preserve">epartment was merged with data from the </w:t>
      </w:r>
      <w:r w:rsidR="00E71366">
        <w:t>ABR</w:t>
      </w:r>
      <w:r w:rsidR="00E564CB">
        <w:t xml:space="preserve"> (also provided by the Department)</w:t>
      </w:r>
      <w:r>
        <w:t xml:space="preserve">, by matching ABNs. Insolvencies data published by ASIC was then merged </w:t>
      </w:r>
      <w:r w:rsidR="00167A9D">
        <w:t>with this by</w:t>
      </w:r>
      <w:r>
        <w:t xml:space="preserve"> matching ACNs. </w:t>
      </w:r>
    </w:p>
    <w:p w14:paraId="46285399" w14:textId="0137EF9C" w:rsidR="00152269" w:rsidRDefault="00152269" w:rsidP="00021EF3">
      <w:r>
        <w:t>Th</w:t>
      </w:r>
      <w:r w:rsidR="00167A9D">
        <w:t xml:space="preserve">is data </w:t>
      </w:r>
      <w:r>
        <w:t xml:space="preserve">was then restricted to businesses </w:t>
      </w:r>
      <w:r w:rsidR="00167A9D">
        <w:t>whose</w:t>
      </w:r>
      <w:r>
        <w:t xml:space="preserve"> main business address </w:t>
      </w:r>
      <w:r w:rsidR="00994DB2">
        <w:t xml:space="preserve">was </w:t>
      </w:r>
      <w:r>
        <w:t xml:space="preserve">located in Victoria on the ABR. This decision was made as </w:t>
      </w:r>
      <w:r w:rsidR="00167A9D">
        <w:t>the</w:t>
      </w:r>
      <w:r>
        <w:t xml:space="preserve"> impact of COVID-19 and the associated public health restrictions on the economies of other states was significantly different to the impact on Victoria. Additionally, as discussed in Appendix </w:t>
      </w:r>
      <w:r>
        <w:fldChar w:fldCharType="begin"/>
      </w:r>
      <w:r>
        <w:instrText xml:space="preserve"> REF _Ref173415390 \r \h </w:instrText>
      </w:r>
      <w:r w:rsidR="00BD2AFC">
        <w:instrText xml:space="preserve"> \* MERGEFORMAT </w:instrText>
      </w:r>
      <w:r>
        <w:fldChar w:fldCharType="separate"/>
      </w:r>
      <w:r w:rsidR="0016271C">
        <w:t>C.2</w:t>
      </w:r>
      <w:r>
        <w:fldChar w:fldCharType="end"/>
      </w:r>
      <w:r w:rsidR="00994DB2">
        <w:t>,</w:t>
      </w:r>
      <w:r>
        <w:t xml:space="preserve"> other states provided grants to businesses through a variety of mechanisms. Given that other states targeted similar sectors to Victoria</w:t>
      </w:r>
      <w:r w:rsidR="004E60E9">
        <w:t>,</w:t>
      </w:r>
      <w:r>
        <w:t xml:space="preserve"> an analysis on insolvency rates or business survival would be at risk of suffering from omitted variable bias. Assuming that business grants reduced insolvencies and business exits in other states, including </w:t>
      </w:r>
      <w:r w:rsidR="004E60E9">
        <w:t xml:space="preserve">such </w:t>
      </w:r>
      <w:r>
        <w:t>data in the analysis would negatively bias the estimates generated</w:t>
      </w:r>
      <w:r w:rsidR="004E60E9">
        <w:t xml:space="preserve"> for Victoria</w:t>
      </w:r>
      <w:r>
        <w:t xml:space="preserve">. </w:t>
      </w:r>
      <w:r w:rsidR="00FC4AC7">
        <w:t xml:space="preserve"> </w:t>
      </w:r>
    </w:p>
    <w:p w14:paraId="4010DE2D" w14:textId="3CAE570D" w:rsidR="009742B9" w:rsidRDefault="001A73C8" w:rsidP="00021EF3">
      <w:r>
        <w:t xml:space="preserve">This </w:t>
      </w:r>
      <w:r w:rsidR="00492FDC">
        <w:t>restriction of the data was</w:t>
      </w:r>
      <w:r w:rsidR="00FD31EE">
        <w:t xml:space="preserve"> seen to be the best approach as it ensures the closest counterfactuals and ensures that all businesses in the analysis have some level of operation in Victoria. </w:t>
      </w:r>
      <w:r w:rsidR="00492FDC">
        <w:t>However, there are some limitations to this approach, including</w:t>
      </w:r>
      <w:r w:rsidR="009B432A">
        <w:t xml:space="preserve"> that:</w:t>
      </w:r>
    </w:p>
    <w:p w14:paraId="73DB2221" w14:textId="1E8B61CE" w:rsidR="009B432A" w:rsidRDefault="009B432A" w:rsidP="00021EF3">
      <w:pPr>
        <w:pStyle w:val="ListBullet"/>
      </w:pPr>
      <w:r>
        <w:t>it would</w:t>
      </w:r>
      <w:r w:rsidR="001A73C8">
        <w:t xml:space="preserve"> omit some </w:t>
      </w:r>
      <w:r w:rsidR="00DE3EF7">
        <w:t xml:space="preserve">businesses </w:t>
      </w:r>
      <w:r w:rsidR="003469AD">
        <w:t xml:space="preserve">that </w:t>
      </w:r>
      <w:r w:rsidR="00DE3EF7">
        <w:t xml:space="preserve">did receive grants </w:t>
      </w:r>
      <w:r w:rsidR="00DD501C">
        <w:t>as a part of BCAP and LHVF</w:t>
      </w:r>
      <w:r w:rsidR="0087663D">
        <w:t xml:space="preserve"> but </w:t>
      </w:r>
      <w:r>
        <w:t>were</w:t>
      </w:r>
      <w:r w:rsidR="0087663D">
        <w:t xml:space="preserve"> registered as having their main business location in another </w:t>
      </w:r>
      <w:r w:rsidR="001C4C53">
        <w:t>state</w:t>
      </w:r>
      <w:r w:rsidR="00EB6ADB">
        <w:t>.</w:t>
      </w:r>
    </w:p>
    <w:p w14:paraId="4F94D7FA" w14:textId="2E634F98" w:rsidR="001A73C8" w:rsidRDefault="002452B1" w:rsidP="00021EF3">
      <w:pPr>
        <w:pStyle w:val="ListBullet"/>
      </w:pPr>
      <w:r>
        <w:t>i</w:t>
      </w:r>
      <w:r w:rsidR="009B432A">
        <w:t>t may have also failed</w:t>
      </w:r>
      <w:r w:rsidR="001C4C53">
        <w:t xml:space="preserve"> to exclude national businesses registered as being located in Victoria, but operat</w:t>
      </w:r>
      <w:r>
        <w:t>ing</w:t>
      </w:r>
      <w:r w:rsidR="001C4C53">
        <w:t xml:space="preserve"> in, and receiv</w:t>
      </w:r>
      <w:r>
        <w:t>ing</w:t>
      </w:r>
      <w:r w:rsidR="001C4C53">
        <w:t xml:space="preserve"> grants from</w:t>
      </w:r>
      <w:r w:rsidR="00EB6ADB">
        <w:t>,</w:t>
      </w:r>
      <w:r w:rsidR="001C4C53">
        <w:t xml:space="preserve"> another jurisdiction. </w:t>
      </w:r>
    </w:p>
    <w:p w14:paraId="6E0C008F" w14:textId="759D5C01" w:rsidR="004A5CF7" w:rsidRDefault="004A5CF7" w:rsidP="00021EF3">
      <w:pPr>
        <w:pStyle w:val="ListBullet"/>
        <w:numPr>
          <w:ilvl w:val="0"/>
          <w:numId w:val="0"/>
        </w:numPr>
      </w:pPr>
      <w:r>
        <w:t xml:space="preserve">While it is </w:t>
      </w:r>
      <w:r w:rsidR="006D0381">
        <w:t>possible</w:t>
      </w:r>
      <w:r>
        <w:t xml:space="preserve"> that </w:t>
      </w:r>
      <w:r w:rsidR="00F12BD7">
        <w:t xml:space="preserve">the regression analysis does not control for all </w:t>
      </w:r>
      <w:r w:rsidR="006D0381">
        <w:t xml:space="preserve">variables which may impact business survival </w:t>
      </w:r>
      <w:r w:rsidR="009A30BC">
        <w:t xml:space="preserve">of grant recipients, </w:t>
      </w:r>
      <w:r w:rsidR="00F1728E">
        <w:t xml:space="preserve">the analysis provides </w:t>
      </w:r>
      <w:r w:rsidR="00E55631">
        <w:t>estimates</w:t>
      </w:r>
      <w:r w:rsidR="00F1728E">
        <w:t xml:space="preserve"> of the unique impact</w:t>
      </w:r>
      <w:r w:rsidR="00AA4714">
        <w:t xml:space="preserve"> of BCAP</w:t>
      </w:r>
      <w:r w:rsidR="00D0550F">
        <w:t>/</w:t>
      </w:r>
      <w:r w:rsidR="00AA4714">
        <w:t>LHVF</w:t>
      </w:r>
      <w:r w:rsidR="00F12BD7">
        <w:t xml:space="preserve"> </w:t>
      </w:r>
      <w:r w:rsidR="00D0550F">
        <w:t>o</w:t>
      </w:r>
      <w:r w:rsidR="00E55631">
        <w:t>n</w:t>
      </w:r>
      <w:r w:rsidR="00D0550F">
        <w:t xml:space="preserve"> business survival</w:t>
      </w:r>
      <w:r w:rsidR="00E55631">
        <w:t>.</w:t>
      </w:r>
    </w:p>
    <w:p w14:paraId="483CC4DE" w14:textId="6951F649" w:rsidR="0049438A" w:rsidRDefault="0049438A" w:rsidP="00021EF3">
      <w:pPr>
        <w:pStyle w:val="Heading3un-numbered"/>
      </w:pPr>
      <w:bookmarkStart w:id="487" w:name="_Toc173915924"/>
      <w:bookmarkStart w:id="488" w:name="_Toc174118180"/>
      <w:bookmarkStart w:id="489" w:name="_Toc176516302"/>
      <w:r>
        <w:t>Insolvency analysis</w:t>
      </w:r>
      <w:bookmarkEnd w:id="487"/>
      <w:bookmarkEnd w:id="488"/>
      <w:bookmarkEnd w:id="489"/>
    </w:p>
    <w:p w14:paraId="141BE9A1" w14:textId="518B8A04" w:rsidR="00152269" w:rsidRDefault="00152269" w:rsidP="00021EF3">
      <w:r>
        <w:t xml:space="preserve">A series of regressions were run on the individual business level data. In </w:t>
      </w:r>
      <w:r w:rsidR="002452B1">
        <w:t xml:space="preserve">this </w:t>
      </w:r>
      <w:r>
        <w:t>analysis</w:t>
      </w:r>
      <w:r w:rsidR="00EB6ADB">
        <w:t>,</w:t>
      </w:r>
      <w:r>
        <w:t xml:space="preserve"> a business </w:t>
      </w:r>
      <w:r w:rsidR="002452B1">
        <w:t xml:space="preserve">was </w:t>
      </w:r>
      <w:r>
        <w:t>identified as insolvent if they appear</w:t>
      </w:r>
      <w:r w:rsidR="002452B1">
        <w:t>ed</w:t>
      </w:r>
      <w:r>
        <w:t xml:space="preserve"> in the ASIC series 1 data as published on 26 June 2024. This date was chosen as 2022 and 2023 experience</w:t>
      </w:r>
      <w:r w:rsidR="001318A3">
        <w:t>d</w:t>
      </w:r>
      <w:r>
        <w:t xml:space="preserve"> historically low insolvencies, </w:t>
      </w:r>
      <w:r w:rsidR="00BB2CBC">
        <w:t xml:space="preserve">which would limit the power of potential analysis. </w:t>
      </w:r>
      <w:r w:rsidDel="00BB2CBC">
        <w:t xml:space="preserve"> </w:t>
      </w:r>
    </w:p>
    <w:p w14:paraId="0DDE7F30" w14:textId="2AD625E5" w:rsidR="00152269" w:rsidRDefault="00152269" w:rsidP="00021EF3">
      <w:r>
        <w:lastRenderedPageBreak/>
        <w:t xml:space="preserve">The most basic regression </w:t>
      </w:r>
      <w:r w:rsidR="00F618A0">
        <w:t xml:space="preserve">was </w:t>
      </w:r>
      <w:r>
        <w:t xml:space="preserve">a linear specification </w:t>
      </w:r>
      <w:r w:rsidR="00C34520">
        <w:t xml:space="preserve">which </w:t>
      </w:r>
      <w:r>
        <w:t>include</w:t>
      </w:r>
      <w:r w:rsidR="00F618A0">
        <w:t>d</w:t>
      </w:r>
      <w:r>
        <w:t xml:space="preserve"> dumm</w:t>
      </w:r>
      <w:r w:rsidR="005729E6">
        <w:t>y variables</w:t>
      </w:r>
      <w:r>
        <w:t xml:space="preserve"> </w:t>
      </w:r>
      <w:r w:rsidR="00F618A0">
        <w:t>indicating</w:t>
      </w:r>
      <w:r>
        <w:t xml:space="preserve"> grant receipt</w:t>
      </w:r>
      <w:r w:rsidR="005729E6">
        <w:t xml:space="preserve"> under each program</w:t>
      </w:r>
      <w:r>
        <w:t>. It also include</w:t>
      </w:r>
      <w:r w:rsidR="00F618A0">
        <w:t xml:space="preserve">d </w:t>
      </w:r>
      <w:r>
        <w:t xml:space="preserve">fixed effects for </w:t>
      </w:r>
      <w:r w:rsidR="00F618A0">
        <w:t>i</w:t>
      </w:r>
      <w:r>
        <w:t xml:space="preserve">ndustry group (ANZSIC 3) and a dummy variable to indicate </w:t>
      </w:r>
      <w:r w:rsidR="005729E6">
        <w:t xml:space="preserve">whether </w:t>
      </w:r>
      <w:r>
        <w:t xml:space="preserve">the business </w:t>
      </w:r>
      <w:r w:rsidR="00F618A0">
        <w:t xml:space="preserve">was </w:t>
      </w:r>
      <w:r>
        <w:t>located in Metro Melbourne</w:t>
      </w:r>
      <w:r w:rsidR="006C127A">
        <w:t>.</w:t>
      </w:r>
      <w:r w:rsidR="006C127A">
        <w:rPr>
          <w:rStyle w:val="FootnoteReference"/>
        </w:rPr>
        <w:footnoteReference w:id="8"/>
      </w:r>
      <w:r>
        <w:t xml:space="preserve"> </w:t>
      </w:r>
    </w:p>
    <w:p w14:paraId="2BC202AB" w14:textId="77777777" w:rsidR="00152269" w:rsidRPr="003C2C95" w:rsidRDefault="00152269" w:rsidP="00021EF3">
      <w:pPr>
        <w:rPr>
          <w:rFonts w:eastAsiaTheme="minorEastAsia"/>
          <w:color w:val="000000" w:themeColor="text1"/>
          <w:kern w:val="24"/>
        </w:rPr>
      </w:pPr>
      <m:oMathPara>
        <m:oMath>
          <m:r>
            <w:rPr>
              <w:rFonts w:ascii="Cambria Math" w:hAnsi="Cambria Math"/>
              <w:color w:val="000000" w:themeColor="text1"/>
              <w:kern w:val="24"/>
            </w:rPr>
            <m:t>Insolven</m:t>
          </m:r>
          <m:sSub>
            <m:sSubPr>
              <m:ctrlPr>
                <w:rPr>
                  <w:rFonts w:ascii="Cambria Math" w:hAnsi="Cambria Math"/>
                  <w:i/>
                  <w:color w:val="000000" w:themeColor="text1"/>
                  <w:kern w:val="24"/>
                </w:rPr>
              </m:ctrlPr>
            </m:sSubPr>
            <m:e>
              <m:r>
                <w:rPr>
                  <w:rFonts w:ascii="Cambria Math" w:hAnsi="Cambria Math"/>
                  <w:color w:val="000000" w:themeColor="text1"/>
                  <w:kern w:val="24"/>
                </w:rPr>
                <m:t>t</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0</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1</m:t>
              </m:r>
            </m:sub>
          </m:sSub>
          <m:r>
            <w:rPr>
              <w:rFonts w:ascii="Cambria Math" w:hAnsi="Cambria Math"/>
              <w:color w:val="000000" w:themeColor="text1"/>
              <w:kern w:val="24"/>
            </w:rPr>
            <m:t>BCA</m:t>
          </m:r>
          <m:sSub>
            <m:sSubPr>
              <m:ctrlPr>
                <w:rPr>
                  <w:rFonts w:ascii="Cambria Math" w:hAnsi="Cambria Math"/>
                  <w:i/>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2</m:t>
              </m:r>
            </m:sub>
          </m:sSub>
          <m:r>
            <w:rPr>
              <w:rFonts w:ascii="Cambria Math" w:hAnsi="Cambria Math"/>
              <w:color w:val="000000" w:themeColor="text1"/>
              <w:kern w:val="24"/>
            </w:rPr>
            <m:t>LHV</m:t>
          </m:r>
          <m:sSub>
            <m:sSubPr>
              <m:ctrlPr>
                <w:rPr>
                  <w:rFonts w:ascii="Cambria Math" w:hAnsi="Cambria Math"/>
                  <w:i/>
                  <w:color w:val="000000" w:themeColor="text1"/>
                  <w:kern w:val="24"/>
                </w:rPr>
              </m:ctrlPr>
            </m:sSubPr>
            <m:e>
              <m:r>
                <w:rPr>
                  <w:rFonts w:ascii="Cambria Math" w:hAnsi="Cambria Math"/>
                  <w:color w:val="000000" w:themeColor="text1"/>
                  <w:kern w:val="24"/>
                </w:rPr>
                <m:t>F</m:t>
              </m:r>
            </m:e>
            <m:sub>
              <m:r>
                <w:rPr>
                  <w:rFonts w:ascii="Cambria Math" w:hAnsi="Cambria Math"/>
                  <w:color w:val="000000" w:themeColor="text1"/>
                  <w:kern w:val="24"/>
                </w:rPr>
                <m:t>i</m:t>
              </m:r>
            </m:sub>
          </m:sSub>
          <m:r>
            <w:rPr>
              <w:rFonts w:ascii="Cambria Math" w:hAnsi="Cambria Math"/>
              <w:color w:val="000000" w:themeColor="text1"/>
              <w:kern w:val="24"/>
            </w:rPr>
            <m:t xml:space="preserve">+ </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3</m:t>
              </m:r>
            </m:sub>
          </m:sSub>
          <m:r>
            <w:rPr>
              <w:rFonts w:ascii="Cambria Math" w:hAnsi="Cambria Math"/>
              <w:color w:val="000000" w:themeColor="text1"/>
              <w:kern w:val="24"/>
            </w:rPr>
            <m:t xml:space="preserve">ANZSIC </m:t>
          </m:r>
          <m:sSub>
            <m:sSubPr>
              <m:ctrlPr>
                <w:rPr>
                  <w:rFonts w:ascii="Cambria Math" w:hAnsi="Cambria Math"/>
                  <w:i/>
                  <w:color w:val="000000" w:themeColor="text1"/>
                  <w:kern w:val="24"/>
                </w:rPr>
              </m:ctrlPr>
            </m:sSubPr>
            <m:e>
              <m:r>
                <w:rPr>
                  <w:rFonts w:ascii="Cambria Math" w:hAnsi="Cambria Math"/>
                  <w:color w:val="000000" w:themeColor="text1"/>
                  <w:kern w:val="24"/>
                </w:rPr>
                <m:t>3</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4</m:t>
              </m:r>
            </m:sub>
          </m:sSub>
          <m:r>
            <w:rPr>
              <w:rFonts w:ascii="Cambria Math" w:hAnsi="Cambria Math"/>
              <w:color w:val="000000" w:themeColor="text1"/>
              <w:kern w:val="24"/>
            </w:rPr>
            <m:t>Metr</m:t>
          </m:r>
          <m:sSub>
            <m:sSubPr>
              <m:ctrlPr>
                <w:rPr>
                  <w:rFonts w:ascii="Cambria Math" w:hAnsi="Cambria Math"/>
                  <w:i/>
                  <w:color w:val="000000" w:themeColor="text1"/>
                  <w:kern w:val="24"/>
                </w:rPr>
              </m:ctrlPr>
            </m:sSubPr>
            <m:e>
              <m:r>
                <w:rPr>
                  <w:rFonts w:ascii="Cambria Math" w:hAnsi="Cambria Math"/>
                  <w:color w:val="000000" w:themeColor="text1"/>
                  <w:kern w:val="24"/>
                </w:rPr>
                <m:t>o</m:t>
              </m:r>
            </m:e>
            <m:sub>
              <m:r>
                <w:rPr>
                  <w:rFonts w:ascii="Cambria Math" w:hAnsi="Cambria Math"/>
                  <w:color w:val="000000" w:themeColor="text1"/>
                  <w:kern w:val="24"/>
                </w:rPr>
                <m:t>i</m:t>
              </m:r>
            </m:sub>
          </m:sSub>
          <m:d>
            <m:dPr>
              <m:ctrlPr>
                <w:rPr>
                  <w:rFonts w:ascii="Cambria Math" w:eastAsiaTheme="minorEastAsia" w:hAnsi="Cambria Math"/>
                  <w:i/>
                  <w:color w:val="000000" w:themeColor="text1"/>
                  <w:kern w:val="24"/>
                </w:rPr>
              </m:ctrlPr>
            </m:dPr>
            <m:e>
              <m:r>
                <w:rPr>
                  <w:rFonts w:ascii="Cambria Math" w:eastAsiaTheme="minorEastAsia" w:hAnsi="Cambria Math"/>
                  <w:color w:val="000000" w:themeColor="text1"/>
                  <w:kern w:val="24"/>
                </w:rPr>
                <m:t>1</m:t>
              </m:r>
            </m:e>
          </m:d>
        </m:oMath>
      </m:oMathPara>
    </w:p>
    <w:p w14:paraId="4CED36BB" w14:textId="747881A7" w:rsidR="00152269" w:rsidRDefault="00152269" w:rsidP="00021EF3">
      <w:r>
        <w:t>This specification was then repeated with a logit specification</w:t>
      </w:r>
      <w:r w:rsidR="002E6CAC">
        <w:t>:</w:t>
      </w:r>
    </w:p>
    <w:p w14:paraId="43599141" w14:textId="77777777" w:rsidR="00152269" w:rsidRPr="003C2C95" w:rsidRDefault="00152269" w:rsidP="00021EF3">
      <w:pPr>
        <w:rPr>
          <w:rFonts w:eastAsiaTheme="minorEastAsia"/>
          <w:color w:val="000000" w:themeColor="text1"/>
          <w:kern w:val="24"/>
        </w:rPr>
      </w:pPr>
      <m:oMathPara>
        <m:oMath>
          <m:r>
            <w:rPr>
              <w:rFonts w:ascii="Cambria Math" w:hAnsi="Cambria Math"/>
              <w:color w:val="000000" w:themeColor="text1"/>
              <w:kern w:val="24"/>
            </w:rPr>
            <m:t>Insolven</m:t>
          </m:r>
          <m:sSub>
            <m:sSubPr>
              <m:ctrlPr>
                <w:rPr>
                  <w:rFonts w:ascii="Cambria Math" w:hAnsi="Cambria Math"/>
                  <w:i/>
                  <w:color w:val="000000" w:themeColor="text1"/>
                  <w:kern w:val="24"/>
                </w:rPr>
              </m:ctrlPr>
            </m:sSubPr>
            <m:e>
              <m:r>
                <w:rPr>
                  <w:rFonts w:ascii="Cambria Math" w:hAnsi="Cambria Math"/>
                  <w:color w:val="000000" w:themeColor="text1"/>
                  <w:kern w:val="24"/>
                </w:rPr>
                <m:t>t</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0</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1</m:t>
              </m:r>
            </m:sub>
          </m:sSub>
          <m:r>
            <w:rPr>
              <w:rFonts w:ascii="Cambria Math" w:hAnsi="Cambria Math"/>
              <w:color w:val="000000" w:themeColor="text1"/>
              <w:kern w:val="24"/>
            </w:rPr>
            <m:t>BCA</m:t>
          </m:r>
          <m:sSub>
            <m:sSubPr>
              <m:ctrlPr>
                <w:rPr>
                  <w:rFonts w:ascii="Cambria Math" w:hAnsi="Cambria Math"/>
                  <w:i/>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2</m:t>
              </m:r>
            </m:sub>
          </m:sSub>
          <m:r>
            <w:rPr>
              <w:rFonts w:ascii="Cambria Math" w:hAnsi="Cambria Math"/>
              <w:color w:val="000000" w:themeColor="text1"/>
              <w:kern w:val="24"/>
            </w:rPr>
            <m:t>LHV</m:t>
          </m:r>
          <m:sSub>
            <m:sSubPr>
              <m:ctrlPr>
                <w:rPr>
                  <w:rFonts w:ascii="Cambria Math" w:hAnsi="Cambria Math"/>
                  <w:i/>
                  <w:color w:val="000000" w:themeColor="text1"/>
                  <w:kern w:val="24"/>
                </w:rPr>
              </m:ctrlPr>
            </m:sSubPr>
            <m:e>
              <m:r>
                <w:rPr>
                  <w:rFonts w:ascii="Cambria Math" w:hAnsi="Cambria Math"/>
                  <w:color w:val="000000" w:themeColor="text1"/>
                  <w:kern w:val="24"/>
                </w:rPr>
                <m:t>F</m:t>
              </m:r>
            </m:e>
            <m:sub>
              <m:r>
                <w:rPr>
                  <w:rFonts w:ascii="Cambria Math" w:hAnsi="Cambria Math"/>
                  <w:color w:val="000000" w:themeColor="text1"/>
                  <w:kern w:val="24"/>
                </w:rPr>
                <m:t>i</m:t>
              </m:r>
            </m:sub>
          </m:sSub>
          <m:r>
            <w:rPr>
              <w:rFonts w:ascii="Cambria Math" w:hAnsi="Cambria Math"/>
              <w:color w:val="000000" w:themeColor="text1"/>
              <w:kern w:val="24"/>
            </w:rPr>
            <m:t xml:space="preserve">+ </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3</m:t>
              </m:r>
            </m:sub>
          </m:sSub>
          <m:r>
            <w:rPr>
              <w:rFonts w:ascii="Cambria Math" w:hAnsi="Cambria Math"/>
              <w:color w:val="000000" w:themeColor="text1"/>
              <w:kern w:val="24"/>
            </w:rPr>
            <m:t xml:space="preserve">ANZSIC </m:t>
          </m:r>
          <m:sSub>
            <m:sSubPr>
              <m:ctrlPr>
                <w:rPr>
                  <w:rFonts w:ascii="Cambria Math" w:hAnsi="Cambria Math"/>
                  <w:i/>
                  <w:color w:val="000000" w:themeColor="text1"/>
                  <w:kern w:val="24"/>
                </w:rPr>
              </m:ctrlPr>
            </m:sSubPr>
            <m:e>
              <m:r>
                <w:rPr>
                  <w:rFonts w:ascii="Cambria Math" w:hAnsi="Cambria Math"/>
                  <w:color w:val="000000" w:themeColor="text1"/>
                  <w:kern w:val="24"/>
                </w:rPr>
                <m:t>3</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4</m:t>
              </m:r>
            </m:sub>
          </m:sSub>
          <m:r>
            <w:rPr>
              <w:rFonts w:ascii="Cambria Math" w:hAnsi="Cambria Math"/>
              <w:color w:val="000000" w:themeColor="text1"/>
              <w:kern w:val="24"/>
            </w:rPr>
            <m:t>Metr</m:t>
          </m:r>
          <m:sSub>
            <m:sSubPr>
              <m:ctrlPr>
                <w:rPr>
                  <w:rFonts w:ascii="Cambria Math" w:hAnsi="Cambria Math"/>
                  <w:i/>
                  <w:color w:val="000000" w:themeColor="text1"/>
                  <w:kern w:val="24"/>
                </w:rPr>
              </m:ctrlPr>
            </m:sSubPr>
            <m:e>
              <m:r>
                <w:rPr>
                  <w:rFonts w:ascii="Cambria Math" w:hAnsi="Cambria Math"/>
                  <w:color w:val="000000" w:themeColor="text1"/>
                  <w:kern w:val="24"/>
                </w:rPr>
                <m:t>o</m:t>
              </m:r>
            </m:e>
            <m:sub>
              <m:r>
                <w:rPr>
                  <w:rFonts w:ascii="Cambria Math" w:hAnsi="Cambria Math"/>
                  <w:color w:val="000000" w:themeColor="text1"/>
                  <w:kern w:val="24"/>
                </w:rPr>
                <m:t>i</m:t>
              </m:r>
            </m:sub>
          </m:sSub>
          <m:r>
            <w:rPr>
              <w:rFonts w:ascii="Cambria Math" w:eastAsiaTheme="minorEastAsia" w:hAnsi="Cambria Math"/>
              <w:color w:val="000000" w:themeColor="text1"/>
              <w:kern w:val="24"/>
            </w:rPr>
            <m:t xml:space="preserve"> </m:t>
          </m:r>
          <m:d>
            <m:dPr>
              <m:ctrlPr>
                <w:rPr>
                  <w:rFonts w:ascii="Cambria Math" w:eastAsiaTheme="minorEastAsia" w:hAnsi="Cambria Math"/>
                  <w:i/>
                  <w:color w:val="000000" w:themeColor="text1"/>
                  <w:kern w:val="24"/>
                </w:rPr>
              </m:ctrlPr>
            </m:dPr>
            <m:e>
              <m:r>
                <w:rPr>
                  <w:rFonts w:ascii="Cambria Math" w:eastAsiaTheme="minorEastAsia" w:hAnsi="Cambria Math"/>
                  <w:color w:val="000000" w:themeColor="text1"/>
                  <w:kern w:val="24"/>
                </w:rPr>
                <m:t>2</m:t>
              </m:r>
            </m:e>
          </m:d>
        </m:oMath>
      </m:oMathPara>
    </w:p>
    <w:p w14:paraId="5E2644FA" w14:textId="73E57715" w:rsidR="00152269" w:rsidRDefault="00152269" w:rsidP="00021EF3">
      <w:r>
        <w:t xml:space="preserve">The basic model was </w:t>
      </w:r>
      <w:r w:rsidR="00F618A0">
        <w:t xml:space="preserve">also </w:t>
      </w:r>
      <w:r>
        <w:t>repeated with the addition of a dummy variable called ‘</w:t>
      </w:r>
      <w:r w:rsidR="00544EB5">
        <w:rPr>
          <w:i/>
          <w:iCs/>
        </w:rPr>
        <w:t>Above</w:t>
      </w:r>
      <w:r w:rsidR="00544EB5" w:rsidRPr="007E54F4">
        <w:rPr>
          <w:i/>
          <w:iCs/>
        </w:rPr>
        <w:t xml:space="preserve"> </w:t>
      </w:r>
      <w:r w:rsidRPr="007E54F4">
        <w:rPr>
          <w:i/>
          <w:iCs/>
        </w:rPr>
        <w:t>mean’</w:t>
      </w:r>
      <w:r w:rsidR="00F618A0">
        <w:t>. T</w:t>
      </w:r>
      <w:r>
        <w:t xml:space="preserve">his </w:t>
      </w:r>
      <w:r w:rsidR="00F618A0">
        <w:t xml:space="preserve">was </w:t>
      </w:r>
      <w:r>
        <w:t xml:space="preserve">a dummy variable which </w:t>
      </w:r>
      <w:r w:rsidR="00F618A0">
        <w:t xml:space="preserve">took </w:t>
      </w:r>
      <w:r>
        <w:t xml:space="preserve">a value of </w:t>
      </w:r>
      <w:r w:rsidR="00F618A0">
        <w:t>one</w:t>
      </w:r>
      <w:r>
        <w:t xml:space="preserve"> if the business received a grant value per employee greater than the mean within that industry in that </w:t>
      </w:r>
      <w:r w:rsidR="0020300E">
        <w:t xml:space="preserve">geographical area, as identified by ABS </w:t>
      </w:r>
      <w:r w:rsidR="006F30B9">
        <w:t>Statistical</w:t>
      </w:r>
      <w:r w:rsidR="0020300E">
        <w:t xml:space="preserve"> Area</w:t>
      </w:r>
      <w:r>
        <w:t xml:space="preserve"> </w:t>
      </w:r>
      <w:r w:rsidR="006F30B9">
        <w:t>4</w:t>
      </w:r>
      <w:r>
        <w:t xml:space="preserve"> </w:t>
      </w:r>
      <w:r w:rsidR="006F30B9">
        <w:t>(</w:t>
      </w:r>
      <w:r>
        <w:t>SA4</w:t>
      </w:r>
      <w:r w:rsidR="006F30B9">
        <w:t>)</w:t>
      </w:r>
      <w:r>
        <w:t>.</w:t>
      </w:r>
    </w:p>
    <w:p w14:paraId="7D3106E7" w14:textId="45164B8D" w:rsidR="00152269" w:rsidRPr="002E6CAC" w:rsidRDefault="00000F1D" w:rsidP="00021EF3">
      <w:pPr>
        <w:rPr>
          <w:rFonts w:eastAsiaTheme="minorEastAsia"/>
          <w:color w:val="000000" w:themeColor="text1"/>
          <w:kern w:val="24"/>
        </w:rPr>
      </w:pPr>
      <m:oMathPara>
        <m:oMathParaPr>
          <m:jc m:val="center"/>
        </m:oMathParaPr>
        <m:oMath>
          <m:r>
            <w:rPr>
              <w:rFonts w:ascii="Cambria Math" w:hAnsi="Cambria Math"/>
              <w:color w:val="000000" w:themeColor="text1"/>
              <w:kern w:val="24"/>
            </w:rPr>
            <m:t>Insolven</m:t>
          </m:r>
          <m:sSub>
            <m:sSubPr>
              <m:ctrlPr>
                <w:rPr>
                  <w:rFonts w:ascii="Cambria Math" w:hAnsi="Cambria Math"/>
                  <w:i/>
                  <w:color w:val="000000" w:themeColor="text1"/>
                  <w:kern w:val="24"/>
                </w:rPr>
              </m:ctrlPr>
            </m:sSubPr>
            <m:e>
              <m:r>
                <w:rPr>
                  <w:rFonts w:ascii="Cambria Math" w:hAnsi="Cambria Math"/>
                  <w:color w:val="000000" w:themeColor="text1"/>
                  <w:kern w:val="24"/>
                </w:rPr>
                <m:t>t</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0</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1</m:t>
              </m:r>
            </m:sub>
          </m:sSub>
          <m:r>
            <w:rPr>
              <w:rFonts w:ascii="Cambria Math" w:hAnsi="Cambria Math"/>
              <w:color w:val="000000" w:themeColor="text1"/>
              <w:kern w:val="24"/>
            </w:rPr>
            <m:t>BCA</m:t>
          </m:r>
          <m:sSub>
            <m:sSubPr>
              <m:ctrlPr>
                <w:rPr>
                  <w:rFonts w:ascii="Cambria Math" w:hAnsi="Cambria Math"/>
                  <w:i/>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2</m:t>
              </m:r>
            </m:sub>
          </m:sSub>
          <m:r>
            <w:rPr>
              <w:rFonts w:ascii="Cambria Math" w:hAnsi="Cambria Math"/>
              <w:color w:val="000000" w:themeColor="text1"/>
              <w:kern w:val="24"/>
            </w:rPr>
            <m:t>LHV</m:t>
          </m:r>
          <m:sSub>
            <m:sSubPr>
              <m:ctrlPr>
                <w:rPr>
                  <w:rFonts w:ascii="Cambria Math" w:hAnsi="Cambria Math"/>
                  <w:i/>
                  <w:color w:val="000000" w:themeColor="text1"/>
                  <w:kern w:val="24"/>
                </w:rPr>
              </m:ctrlPr>
            </m:sSubPr>
            <m:e>
              <m:r>
                <w:rPr>
                  <w:rFonts w:ascii="Cambria Math" w:hAnsi="Cambria Math"/>
                  <w:color w:val="000000" w:themeColor="text1"/>
                  <w:kern w:val="24"/>
                </w:rPr>
                <m:t>F</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3</m:t>
              </m:r>
            </m:sub>
          </m:sSub>
          <w:bookmarkStart w:id="490" w:name="_Hlk173838675"/>
          <m:r>
            <w:rPr>
              <w:rFonts w:ascii="Cambria Math" w:hAnsi="Cambria Math"/>
              <w:color w:val="000000" w:themeColor="text1"/>
              <w:kern w:val="24"/>
            </w:rPr>
            <m:t>Above</m:t>
          </m:r>
          <w:bookmarkEnd w:id="490"/>
          <m:r>
            <w:rPr>
              <w:rFonts w:ascii="Cambria Math" w:hAnsi="Cambria Math"/>
              <w:color w:val="000000" w:themeColor="text1"/>
              <w:kern w:val="24"/>
            </w:rPr>
            <m:t xml:space="preserve"> mea</m:t>
          </m:r>
          <m:sSub>
            <m:sSubPr>
              <m:ctrlPr>
                <w:rPr>
                  <w:rFonts w:ascii="Cambria Math" w:hAnsi="Cambria Math"/>
                  <w:i/>
                  <w:color w:val="000000" w:themeColor="text1"/>
                  <w:kern w:val="24"/>
                </w:rPr>
              </m:ctrlPr>
            </m:sSubPr>
            <m:e>
              <m:r>
                <w:rPr>
                  <w:rFonts w:ascii="Cambria Math" w:hAnsi="Cambria Math"/>
                  <w:color w:val="000000" w:themeColor="text1"/>
                  <w:kern w:val="24"/>
                </w:rPr>
                <m:t>n</m:t>
              </m:r>
            </m:e>
            <m:sub>
              <m:r>
                <w:rPr>
                  <w:rFonts w:ascii="Cambria Math" w:hAnsi="Cambria Math"/>
                  <w:color w:val="000000" w:themeColor="text1"/>
                  <w:kern w:val="24"/>
                </w:rPr>
                <m:t>i</m:t>
              </m:r>
            </m:sub>
          </m:sSub>
          <m:r>
            <w:rPr>
              <w:rFonts w:ascii="Cambria Math" w:hAnsi="Cambria Math"/>
              <w:color w:val="000000" w:themeColor="text1"/>
              <w:kern w:val="24"/>
            </w:rPr>
            <m:t xml:space="preserve">+ </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4</m:t>
              </m:r>
            </m:sub>
          </m:sSub>
          <m:r>
            <w:rPr>
              <w:rFonts w:ascii="Cambria Math" w:hAnsi="Cambria Math"/>
              <w:color w:val="000000" w:themeColor="text1"/>
              <w:kern w:val="24"/>
            </w:rPr>
            <m:t xml:space="preserve">ANZSIC </m:t>
          </m:r>
          <m:sSub>
            <m:sSubPr>
              <m:ctrlPr>
                <w:rPr>
                  <w:rFonts w:ascii="Cambria Math" w:hAnsi="Cambria Math"/>
                  <w:i/>
                  <w:color w:val="000000" w:themeColor="text1"/>
                  <w:kern w:val="24"/>
                </w:rPr>
              </m:ctrlPr>
            </m:sSubPr>
            <m:e>
              <m:r>
                <w:rPr>
                  <w:rFonts w:ascii="Cambria Math" w:hAnsi="Cambria Math"/>
                  <w:color w:val="000000" w:themeColor="text1"/>
                  <w:kern w:val="24"/>
                </w:rPr>
                <m:t>3</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5</m:t>
              </m:r>
            </m:sub>
          </m:sSub>
          <m:r>
            <w:rPr>
              <w:rFonts w:ascii="Cambria Math" w:hAnsi="Cambria Math"/>
              <w:color w:val="000000" w:themeColor="text1"/>
              <w:kern w:val="24"/>
            </w:rPr>
            <m:t>Metr</m:t>
          </m:r>
          <m:sSub>
            <m:sSubPr>
              <m:ctrlPr>
                <w:rPr>
                  <w:rFonts w:ascii="Cambria Math" w:hAnsi="Cambria Math"/>
                  <w:i/>
                  <w:color w:val="000000" w:themeColor="text1"/>
                  <w:kern w:val="24"/>
                </w:rPr>
              </m:ctrlPr>
            </m:sSubPr>
            <m:e>
              <m:r>
                <w:rPr>
                  <w:rFonts w:ascii="Cambria Math" w:hAnsi="Cambria Math"/>
                  <w:color w:val="000000" w:themeColor="text1"/>
                  <w:kern w:val="24"/>
                </w:rPr>
                <m:t>o</m:t>
              </m:r>
            </m:e>
            <m:sub>
              <m:r>
                <w:rPr>
                  <w:rFonts w:ascii="Cambria Math" w:hAnsi="Cambria Math"/>
                  <w:color w:val="000000" w:themeColor="text1"/>
                  <w:kern w:val="24"/>
                </w:rPr>
                <m:t>i</m:t>
              </m:r>
            </m:sub>
          </m:sSub>
          <m:r>
            <w:rPr>
              <w:rFonts w:ascii="Cambria Math" w:eastAsiaTheme="minorEastAsia" w:hAnsi="Cambria Math"/>
              <w:color w:val="000000" w:themeColor="text1"/>
              <w:kern w:val="24"/>
            </w:rPr>
            <m:t xml:space="preserve"> </m:t>
          </m:r>
          <m:d>
            <m:dPr>
              <m:ctrlPr>
                <w:rPr>
                  <w:rFonts w:ascii="Cambria Math" w:eastAsiaTheme="minorEastAsia" w:hAnsi="Cambria Math"/>
                  <w:i/>
                  <w:color w:val="000000" w:themeColor="text1"/>
                  <w:kern w:val="24"/>
                </w:rPr>
              </m:ctrlPr>
            </m:dPr>
            <m:e>
              <m:r>
                <w:rPr>
                  <w:rFonts w:ascii="Cambria Math" w:eastAsiaTheme="minorEastAsia" w:hAnsi="Cambria Math"/>
                  <w:color w:val="000000" w:themeColor="text1"/>
                  <w:kern w:val="24"/>
                </w:rPr>
                <m:t>3</m:t>
              </m:r>
            </m:e>
          </m:d>
        </m:oMath>
      </m:oMathPara>
    </w:p>
    <w:p w14:paraId="5CE2D52F" w14:textId="2AD0FD7A" w:rsidR="00152269" w:rsidRPr="00473FEE" w:rsidRDefault="00152269" w:rsidP="00021EF3">
      <w:pPr>
        <w:rPr>
          <w:rFonts w:eastAsiaTheme="minorEastAsia"/>
          <w:iCs/>
          <w:color w:val="000000" w:themeColor="text1"/>
          <w:kern w:val="24"/>
        </w:rPr>
      </w:pPr>
      <w:r>
        <w:t xml:space="preserve">This </w:t>
      </w:r>
      <w:r w:rsidR="00F618A0">
        <w:t xml:space="preserve">specification </w:t>
      </w:r>
      <w:r>
        <w:t xml:space="preserve">was then </w:t>
      </w:r>
      <w:r w:rsidR="00F618A0">
        <w:t xml:space="preserve">also </w:t>
      </w:r>
      <w:r>
        <w:t>repeated with the addition of a dummy variable called ‘</w:t>
      </w:r>
      <w:r w:rsidR="00163BFE">
        <w:rPr>
          <w:i/>
          <w:iCs/>
        </w:rPr>
        <w:t>Above</w:t>
      </w:r>
      <w:r w:rsidR="00163BFE" w:rsidRPr="007E54F4">
        <w:rPr>
          <w:i/>
          <w:iCs/>
        </w:rPr>
        <w:t xml:space="preserve"> </w:t>
      </w:r>
      <w:r>
        <w:rPr>
          <w:i/>
          <w:iCs/>
        </w:rPr>
        <w:t xml:space="preserve">one </w:t>
      </w:r>
      <w:r w:rsidR="00CB3775">
        <w:rPr>
          <w:i/>
          <w:iCs/>
        </w:rPr>
        <w:t>SD</w:t>
      </w:r>
      <w:r>
        <w:rPr>
          <w:i/>
          <w:iCs/>
        </w:rPr>
        <w:t>’</w:t>
      </w:r>
      <w:r w:rsidR="00F618A0">
        <w:t>. T</w:t>
      </w:r>
      <w:r>
        <w:t xml:space="preserve">his </w:t>
      </w:r>
      <w:r w:rsidR="00F618A0">
        <w:t xml:space="preserve">was </w:t>
      </w:r>
      <w:r>
        <w:t xml:space="preserve">a dummy variable which </w:t>
      </w:r>
      <w:r w:rsidR="00F618A0">
        <w:t xml:space="preserve">took </w:t>
      </w:r>
      <w:r>
        <w:t xml:space="preserve">a value of </w:t>
      </w:r>
      <w:r w:rsidR="00F618A0">
        <w:t>one</w:t>
      </w:r>
      <w:r>
        <w:t xml:space="preserve"> if the business received a grant value per employee greater than one standard deviation </w:t>
      </w:r>
      <w:r w:rsidR="008867B4">
        <w:t>(</w:t>
      </w:r>
      <w:r w:rsidR="00CB3775">
        <w:t>SD</w:t>
      </w:r>
      <w:r w:rsidR="008867B4">
        <w:t>)</w:t>
      </w:r>
      <w:r>
        <w:t xml:space="preserve"> above the mean within that industry in that SA4. Interaction terms were not included in this specification </w:t>
      </w:r>
      <w:r w:rsidR="00F618A0">
        <w:t xml:space="preserve">since </w:t>
      </w:r>
      <w:r>
        <w:t>being intensely treated is conditional on grant receipt.</w:t>
      </w:r>
    </w:p>
    <w:p w14:paraId="0519634A" w14:textId="125C53E9" w:rsidR="00152269" w:rsidRPr="002E6CAC" w:rsidRDefault="00000F1D" w:rsidP="00021EF3">
      <w:pPr>
        <w:rPr>
          <w:rFonts w:eastAsiaTheme="minorEastAsia"/>
          <w:color w:val="000000" w:themeColor="text1"/>
          <w:kern w:val="24"/>
        </w:rPr>
      </w:pPr>
      <m:oMathPara>
        <m:oMathParaPr>
          <m:jc m:val="center"/>
        </m:oMathParaPr>
        <m:oMath>
          <m:r>
            <w:rPr>
              <w:rFonts w:ascii="Cambria Math" w:hAnsi="Cambria Math"/>
              <w:color w:val="000000" w:themeColor="text1"/>
              <w:kern w:val="24"/>
            </w:rPr>
            <m:t>Insolven</m:t>
          </m:r>
          <m:sSub>
            <m:sSubPr>
              <m:ctrlPr>
                <w:rPr>
                  <w:rFonts w:ascii="Cambria Math" w:hAnsi="Cambria Math"/>
                  <w:i/>
                  <w:color w:val="000000" w:themeColor="text1"/>
                  <w:kern w:val="24"/>
                </w:rPr>
              </m:ctrlPr>
            </m:sSubPr>
            <m:e>
              <m:r>
                <w:rPr>
                  <w:rFonts w:ascii="Cambria Math" w:hAnsi="Cambria Math"/>
                  <w:color w:val="000000" w:themeColor="text1"/>
                  <w:kern w:val="24"/>
                </w:rPr>
                <m:t>t</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0</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1</m:t>
              </m:r>
            </m:sub>
          </m:sSub>
          <m:r>
            <w:rPr>
              <w:rFonts w:ascii="Cambria Math" w:hAnsi="Cambria Math"/>
              <w:color w:val="000000" w:themeColor="text1"/>
              <w:kern w:val="24"/>
            </w:rPr>
            <m:t>BCA</m:t>
          </m:r>
          <m:sSub>
            <m:sSubPr>
              <m:ctrlPr>
                <w:rPr>
                  <w:rFonts w:ascii="Cambria Math" w:hAnsi="Cambria Math"/>
                  <w:i/>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2</m:t>
              </m:r>
            </m:sub>
          </m:sSub>
          <m:r>
            <w:rPr>
              <w:rFonts w:ascii="Cambria Math" w:hAnsi="Cambria Math"/>
              <w:color w:val="000000" w:themeColor="text1"/>
              <w:kern w:val="24"/>
            </w:rPr>
            <m:t>LHV</m:t>
          </m:r>
          <m:sSub>
            <m:sSubPr>
              <m:ctrlPr>
                <w:rPr>
                  <w:rFonts w:ascii="Cambria Math" w:hAnsi="Cambria Math"/>
                  <w:i/>
                  <w:color w:val="000000" w:themeColor="text1"/>
                  <w:kern w:val="24"/>
                </w:rPr>
              </m:ctrlPr>
            </m:sSubPr>
            <m:e>
              <m:r>
                <w:rPr>
                  <w:rFonts w:ascii="Cambria Math" w:hAnsi="Cambria Math"/>
                  <w:color w:val="000000" w:themeColor="text1"/>
                  <w:kern w:val="24"/>
                </w:rPr>
                <m:t>F</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3</m:t>
              </m:r>
            </m:sub>
          </m:sSub>
          <m:r>
            <w:rPr>
              <w:rFonts w:ascii="Cambria Math" w:hAnsi="Cambria Math"/>
              <w:color w:val="000000" w:themeColor="text1"/>
              <w:kern w:val="24"/>
            </w:rPr>
            <m:t>Aboveone s</m:t>
          </m:r>
          <m:sSub>
            <m:sSubPr>
              <m:ctrlPr>
                <w:rPr>
                  <w:rFonts w:ascii="Cambria Math" w:hAnsi="Cambria Math"/>
                  <w:i/>
                  <w:color w:val="000000" w:themeColor="text1"/>
                  <w:kern w:val="24"/>
                </w:rPr>
              </m:ctrlPr>
            </m:sSubPr>
            <m:e>
              <m:r>
                <w:rPr>
                  <w:rFonts w:ascii="Cambria Math" w:hAnsi="Cambria Math"/>
                  <w:color w:val="000000" w:themeColor="text1"/>
                  <w:kern w:val="24"/>
                </w:rPr>
                <m:t>d</m:t>
              </m:r>
            </m:e>
            <m:sub>
              <m:r>
                <w:rPr>
                  <w:rFonts w:ascii="Cambria Math" w:hAnsi="Cambria Math"/>
                  <w:color w:val="000000" w:themeColor="text1"/>
                  <w:kern w:val="24"/>
                </w:rPr>
                <m:t>i</m:t>
              </m:r>
            </m:sub>
          </m:sSub>
          <m:r>
            <w:rPr>
              <w:rFonts w:ascii="Cambria Math" w:hAnsi="Cambria Math"/>
              <w:color w:val="000000" w:themeColor="text1"/>
              <w:kern w:val="24"/>
            </w:rPr>
            <m:t xml:space="preserve">+ </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4</m:t>
              </m:r>
            </m:sub>
          </m:sSub>
          <m:r>
            <w:rPr>
              <w:rFonts w:ascii="Cambria Math" w:hAnsi="Cambria Math"/>
              <w:color w:val="000000" w:themeColor="text1"/>
              <w:kern w:val="24"/>
            </w:rPr>
            <m:t xml:space="preserve">ANZSIC </m:t>
          </m:r>
          <m:sSub>
            <m:sSubPr>
              <m:ctrlPr>
                <w:rPr>
                  <w:rFonts w:ascii="Cambria Math" w:hAnsi="Cambria Math"/>
                  <w:i/>
                  <w:color w:val="000000" w:themeColor="text1"/>
                  <w:kern w:val="24"/>
                </w:rPr>
              </m:ctrlPr>
            </m:sSubPr>
            <m:e>
              <m:r>
                <w:rPr>
                  <w:rFonts w:ascii="Cambria Math" w:hAnsi="Cambria Math"/>
                  <w:color w:val="000000" w:themeColor="text1"/>
                  <w:kern w:val="24"/>
                </w:rPr>
                <m:t>3</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5</m:t>
              </m:r>
            </m:sub>
          </m:sSub>
          <m:r>
            <w:rPr>
              <w:rFonts w:ascii="Cambria Math" w:hAnsi="Cambria Math"/>
              <w:color w:val="000000" w:themeColor="text1"/>
              <w:kern w:val="24"/>
            </w:rPr>
            <m:t>Metr</m:t>
          </m:r>
          <m:sSub>
            <m:sSubPr>
              <m:ctrlPr>
                <w:rPr>
                  <w:rFonts w:ascii="Cambria Math" w:hAnsi="Cambria Math"/>
                  <w:i/>
                  <w:color w:val="000000" w:themeColor="text1"/>
                  <w:kern w:val="24"/>
                </w:rPr>
              </m:ctrlPr>
            </m:sSubPr>
            <m:e>
              <m:r>
                <w:rPr>
                  <w:rFonts w:ascii="Cambria Math" w:hAnsi="Cambria Math"/>
                  <w:color w:val="000000" w:themeColor="text1"/>
                  <w:kern w:val="24"/>
                </w:rPr>
                <m:t>o</m:t>
              </m:r>
            </m:e>
            <m:sub>
              <m:r>
                <w:rPr>
                  <w:rFonts w:ascii="Cambria Math" w:hAnsi="Cambria Math"/>
                  <w:color w:val="000000" w:themeColor="text1"/>
                  <w:kern w:val="24"/>
                </w:rPr>
                <m:t>i</m:t>
              </m:r>
            </m:sub>
          </m:sSub>
          <m:r>
            <w:rPr>
              <w:rFonts w:ascii="Cambria Math" w:eastAsiaTheme="minorEastAsia" w:hAnsi="Cambria Math"/>
              <w:color w:val="000000" w:themeColor="text1"/>
              <w:kern w:val="24"/>
            </w:rPr>
            <m:t xml:space="preserve">  (5)</m:t>
          </m:r>
        </m:oMath>
      </m:oMathPara>
    </w:p>
    <w:p w14:paraId="3A02C0FC" w14:textId="49E8DBD8" w:rsidR="00152269" w:rsidRDefault="00152269" w:rsidP="00021EF3">
      <w:r>
        <w:t>Specifications (3) and (5) were also run as logit regressions, noted as (4) and (6)</w:t>
      </w:r>
      <w:r w:rsidR="00EB6ADB">
        <w:t>,</w:t>
      </w:r>
      <w:r>
        <w:t xml:space="preserve"> </w:t>
      </w:r>
      <w:r w:rsidR="00FE5B71">
        <w:t>respectively.</w:t>
      </w:r>
    </w:p>
    <w:p w14:paraId="16B258BE" w14:textId="7B0BDA8C" w:rsidR="00152269" w:rsidRDefault="00152269" w:rsidP="00021EF3">
      <w:r>
        <w:t>The results of the key variables are displayed below for specifications (1)</w:t>
      </w:r>
      <w:r w:rsidR="002E6CAC">
        <w:t xml:space="preserve"> to </w:t>
      </w:r>
      <w:r>
        <w:t>(6)</w:t>
      </w:r>
      <w:r w:rsidR="002E6CAC">
        <w:t>.</w:t>
      </w:r>
    </w:p>
    <w:p w14:paraId="43956F60" w14:textId="4429BDD1" w:rsidR="00AD06A3" w:rsidRDefault="00AD06A3" w:rsidP="00021EF3">
      <w:pPr>
        <w:pStyle w:val="AppendixTableCaption"/>
      </w:pPr>
      <w:bookmarkStart w:id="491" w:name="_Ref173850491"/>
      <w:r>
        <w:t xml:space="preserve">: </w:t>
      </w:r>
      <w:r w:rsidR="008F0596">
        <w:t>Relationship between grant receipt and i</w:t>
      </w:r>
      <w:r>
        <w:t xml:space="preserve">nsolvency </w:t>
      </w:r>
      <w:r w:rsidR="00930381">
        <w:t>regression results</w:t>
      </w:r>
      <w:bookmarkEnd w:id="491"/>
      <w:r w:rsidR="00792D18">
        <w:t>.</w:t>
      </w:r>
      <w:r w:rsidR="00930381">
        <w:t xml:space="preserve"> </w:t>
      </w:r>
    </w:p>
    <w:tbl>
      <w:tblPr>
        <w:tblStyle w:val="Deloittetable"/>
        <w:tblW w:w="9046" w:type="dxa"/>
        <w:tblLook w:val="04A0" w:firstRow="1" w:lastRow="0" w:firstColumn="1" w:lastColumn="0" w:noHBand="0" w:noVBand="1"/>
      </w:tblPr>
      <w:tblGrid>
        <w:gridCol w:w="1216"/>
        <w:gridCol w:w="1305"/>
        <w:gridCol w:w="1305"/>
        <w:gridCol w:w="1305"/>
        <w:gridCol w:w="1305"/>
        <w:gridCol w:w="1305"/>
        <w:gridCol w:w="1305"/>
      </w:tblGrid>
      <w:tr w:rsidR="00152269" w14:paraId="3283FA30" w14:textId="77777777" w:rsidTr="00893EB3">
        <w:trPr>
          <w:cnfStyle w:val="100000000000" w:firstRow="1" w:lastRow="0" w:firstColumn="0" w:lastColumn="0" w:oddVBand="0" w:evenVBand="0" w:oddHBand="0" w:evenHBand="0" w:firstRowFirstColumn="0" w:firstRowLastColumn="0" w:lastRowFirstColumn="0" w:lastRowLastColumn="0"/>
          <w:trHeight w:val="345"/>
          <w:tblHeader/>
        </w:trPr>
        <w:tc>
          <w:tcPr>
            <w:tcW w:w="1216" w:type="dxa"/>
          </w:tcPr>
          <w:p w14:paraId="530338A7" w14:textId="77777777" w:rsidR="00152269" w:rsidRPr="00893EB3" w:rsidRDefault="00152269" w:rsidP="00021EF3">
            <w:pPr>
              <w:rPr>
                <w:rFonts w:cs="Arial"/>
                <w:b/>
              </w:rPr>
            </w:pPr>
            <w:r w:rsidRPr="00893EB3">
              <w:rPr>
                <w:rFonts w:cs="Arial"/>
                <w:b/>
              </w:rPr>
              <w:t>Variable</w:t>
            </w:r>
          </w:p>
        </w:tc>
        <w:tc>
          <w:tcPr>
            <w:tcW w:w="1305" w:type="dxa"/>
          </w:tcPr>
          <w:p w14:paraId="3DA15162" w14:textId="7F964D77" w:rsidR="00152269" w:rsidRPr="00893EB3" w:rsidRDefault="00152269" w:rsidP="00021EF3">
            <w:pPr>
              <w:rPr>
                <w:rFonts w:cs="Arial"/>
                <w:b/>
              </w:rPr>
            </w:pPr>
            <w:r w:rsidRPr="00893EB3">
              <w:rPr>
                <w:rFonts w:cs="Arial"/>
                <w:b/>
              </w:rPr>
              <w:t>(1)</w:t>
            </w:r>
            <w:r w:rsidR="00417DB1">
              <w:rPr>
                <w:rFonts w:cs="Arial"/>
                <w:b/>
              </w:rPr>
              <w:t xml:space="preserve"> (marginal effects)</w:t>
            </w:r>
          </w:p>
        </w:tc>
        <w:tc>
          <w:tcPr>
            <w:tcW w:w="1305" w:type="dxa"/>
          </w:tcPr>
          <w:p w14:paraId="70BBF9F6" w14:textId="3AB5BEC0" w:rsidR="00152269" w:rsidRPr="00893EB3" w:rsidRDefault="00152269" w:rsidP="00021EF3">
            <w:pPr>
              <w:rPr>
                <w:rFonts w:cs="Arial"/>
                <w:b/>
              </w:rPr>
            </w:pPr>
            <w:r w:rsidRPr="00893EB3">
              <w:rPr>
                <w:rFonts w:cs="Arial"/>
                <w:b/>
              </w:rPr>
              <w:t>(2)</w:t>
            </w:r>
            <w:r w:rsidR="00417DB1">
              <w:rPr>
                <w:rFonts w:cs="Arial"/>
                <w:b/>
              </w:rPr>
              <w:t xml:space="preserve"> (log </w:t>
            </w:r>
            <w:r w:rsidR="00F67CD6">
              <w:rPr>
                <w:rFonts w:cs="Arial"/>
                <w:b/>
              </w:rPr>
              <w:t>odds)</w:t>
            </w:r>
          </w:p>
        </w:tc>
        <w:tc>
          <w:tcPr>
            <w:tcW w:w="1305" w:type="dxa"/>
          </w:tcPr>
          <w:p w14:paraId="767138A4" w14:textId="14DBA834" w:rsidR="00152269" w:rsidRPr="00893EB3" w:rsidRDefault="00152269" w:rsidP="00021EF3">
            <w:pPr>
              <w:rPr>
                <w:rFonts w:cs="Arial"/>
                <w:b/>
              </w:rPr>
            </w:pPr>
            <w:r w:rsidRPr="00893EB3">
              <w:rPr>
                <w:rFonts w:cs="Arial"/>
                <w:b/>
              </w:rPr>
              <w:t>(3)</w:t>
            </w:r>
            <w:r w:rsidR="00940020">
              <w:rPr>
                <w:rFonts w:cs="Arial"/>
                <w:b/>
              </w:rPr>
              <w:t xml:space="preserve"> (marginal effects)</w:t>
            </w:r>
          </w:p>
        </w:tc>
        <w:tc>
          <w:tcPr>
            <w:tcW w:w="1305" w:type="dxa"/>
          </w:tcPr>
          <w:p w14:paraId="7096E988" w14:textId="00204B70" w:rsidR="00152269" w:rsidRPr="00893EB3" w:rsidRDefault="00152269" w:rsidP="00021EF3">
            <w:pPr>
              <w:rPr>
                <w:rFonts w:cs="Arial"/>
                <w:b/>
              </w:rPr>
            </w:pPr>
            <w:r w:rsidRPr="00893EB3">
              <w:rPr>
                <w:rFonts w:cs="Arial"/>
                <w:b/>
              </w:rPr>
              <w:t>(4)</w:t>
            </w:r>
            <w:r w:rsidR="00940020">
              <w:rPr>
                <w:rFonts w:cs="Arial"/>
                <w:b/>
              </w:rPr>
              <w:t xml:space="preserve"> </w:t>
            </w:r>
            <w:r w:rsidR="00D44363">
              <w:rPr>
                <w:rFonts w:cs="Arial"/>
                <w:b/>
              </w:rPr>
              <w:t>(log odds)</w:t>
            </w:r>
          </w:p>
        </w:tc>
        <w:tc>
          <w:tcPr>
            <w:tcW w:w="1305" w:type="dxa"/>
          </w:tcPr>
          <w:p w14:paraId="6889ED48" w14:textId="4A825258" w:rsidR="00152269" w:rsidRPr="00893EB3" w:rsidRDefault="00152269" w:rsidP="00021EF3">
            <w:pPr>
              <w:rPr>
                <w:rFonts w:cs="Arial"/>
                <w:b/>
              </w:rPr>
            </w:pPr>
            <w:r w:rsidRPr="00893EB3">
              <w:rPr>
                <w:rFonts w:cs="Arial"/>
                <w:b/>
              </w:rPr>
              <w:t>(5)</w:t>
            </w:r>
            <w:r w:rsidR="00D44363">
              <w:rPr>
                <w:rFonts w:cs="Arial"/>
                <w:b/>
              </w:rPr>
              <w:t xml:space="preserve"> (marginal effects)</w:t>
            </w:r>
          </w:p>
        </w:tc>
        <w:tc>
          <w:tcPr>
            <w:tcW w:w="1305" w:type="dxa"/>
          </w:tcPr>
          <w:p w14:paraId="0E60CC22" w14:textId="6B7FE1DE" w:rsidR="00152269" w:rsidRPr="00893EB3" w:rsidRDefault="00152269" w:rsidP="00021EF3">
            <w:pPr>
              <w:rPr>
                <w:rFonts w:cs="Arial"/>
                <w:b/>
              </w:rPr>
            </w:pPr>
            <w:r w:rsidRPr="00893EB3">
              <w:rPr>
                <w:rFonts w:cs="Arial"/>
                <w:b/>
              </w:rPr>
              <w:t>(6)</w:t>
            </w:r>
            <w:r w:rsidR="00D44363">
              <w:rPr>
                <w:rFonts w:cs="Arial"/>
                <w:b/>
              </w:rPr>
              <w:t xml:space="preserve"> (log odds)</w:t>
            </w:r>
          </w:p>
        </w:tc>
      </w:tr>
      <w:tr w:rsidR="00152269" w:rsidRPr="002F50BA" w14:paraId="6E16352F" w14:textId="77777777" w:rsidTr="00893EB3">
        <w:trPr>
          <w:trHeight w:val="345"/>
          <w:tblHeader/>
        </w:trPr>
        <w:tc>
          <w:tcPr>
            <w:tcW w:w="1216" w:type="dxa"/>
          </w:tcPr>
          <w:p w14:paraId="0C21C202" w14:textId="77777777" w:rsidR="00152269" w:rsidRPr="009B6F4E" w:rsidRDefault="00152269" w:rsidP="00021EF3">
            <w:pPr>
              <w:cnfStyle w:val="100000000000" w:firstRow="1" w:lastRow="0" w:firstColumn="0" w:lastColumn="0" w:oddVBand="0" w:evenVBand="0" w:oddHBand="0" w:evenHBand="0" w:firstRowFirstColumn="0" w:firstRowLastColumn="0" w:lastRowFirstColumn="0" w:lastRowLastColumn="0"/>
              <w:rPr>
                <w:rFonts w:cs="Arial"/>
              </w:rPr>
            </w:pPr>
            <w:r w:rsidRPr="009B6F4E">
              <w:rPr>
                <w:rFonts w:cs="Arial"/>
              </w:rPr>
              <w:t>Intercept</w:t>
            </w:r>
          </w:p>
        </w:tc>
        <w:tc>
          <w:tcPr>
            <w:tcW w:w="1305" w:type="dxa"/>
          </w:tcPr>
          <w:p w14:paraId="061C6D8B"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0.00075</w:t>
            </w:r>
          </w:p>
        </w:tc>
        <w:tc>
          <w:tcPr>
            <w:tcW w:w="1305" w:type="dxa"/>
          </w:tcPr>
          <w:p w14:paraId="0BA3246C" w14:textId="77777777" w:rsidR="00152269" w:rsidRPr="00893EB3" w:rsidRDefault="00152269" w:rsidP="00021EF3">
            <w:pPr>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-5.5532***</w:t>
            </w:r>
          </w:p>
        </w:tc>
        <w:tc>
          <w:tcPr>
            <w:tcW w:w="1305" w:type="dxa"/>
          </w:tcPr>
          <w:p w14:paraId="0CB8FC2F"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0.0006</w:t>
            </w:r>
          </w:p>
          <w:p w14:paraId="2FAF4C59"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p>
        </w:tc>
        <w:tc>
          <w:tcPr>
            <w:tcW w:w="1305" w:type="dxa"/>
          </w:tcPr>
          <w:p w14:paraId="7310D1CA"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-5.5552***</w:t>
            </w:r>
          </w:p>
        </w:tc>
        <w:tc>
          <w:tcPr>
            <w:tcW w:w="1305" w:type="dxa"/>
          </w:tcPr>
          <w:p w14:paraId="674D1BF4"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0.0006</w:t>
            </w:r>
          </w:p>
          <w:p w14:paraId="14365D4C"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p>
        </w:tc>
        <w:tc>
          <w:tcPr>
            <w:tcW w:w="1305" w:type="dxa"/>
          </w:tcPr>
          <w:p w14:paraId="04A5F78B"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-5.5580***</w:t>
            </w:r>
          </w:p>
        </w:tc>
      </w:tr>
      <w:tr w:rsidR="00152269" w:rsidRPr="002F50BA" w14:paraId="55825088" w14:textId="77777777" w:rsidTr="00893EB3">
        <w:trPr>
          <w:trHeight w:val="345"/>
          <w:tblHeader/>
        </w:trPr>
        <w:tc>
          <w:tcPr>
            <w:tcW w:w="1216" w:type="dxa"/>
          </w:tcPr>
          <w:p w14:paraId="650333EC" w14:textId="77777777" w:rsidR="00152269" w:rsidRPr="009B6F4E" w:rsidRDefault="00152269" w:rsidP="00021EF3">
            <w:pPr>
              <w:cnfStyle w:val="100000000000" w:firstRow="1" w:lastRow="0" w:firstColumn="0" w:lastColumn="0" w:oddVBand="0" w:evenVBand="0" w:oddHBand="0" w:evenHBand="0" w:firstRowFirstColumn="0" w:firstRowLastColumn="0" w:lastRowFirstColumn="0" w:lastRowLastColumn="0"/>
              <w:rPr>
                <w:rFonts w:cs="Arial"/>
              </w:rPr>
            </w:pPr>
            <w:r w:rsidRPr="009B6F4E">
              <w:rPr>
                <w:rFonts w:cs="Arial"/>
              </w:rPr>
              <w:t>BCAP</w:t>
            </w:r>
          </w:p>
        </w:tc>
        <w:tc>
          <w:tcPr>
            <w:tcW w:w="1305" w:type="dxa"/>
          </w:tcPr>
          <w:p w14:paraId="46EBDBA5"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0.0095***</w:t>
            </w:r>
          </w:p>
        </w:tc>
        <w:tc>
          <w:tcPr>
            <w:tcW w:w="1305" w:type="dxa"/>
          </w:tcPr>
          <w:p w14:paraId="61562CE5"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0.7160***</w:t>
            </w:r>
          </w:p>
        </w:tc>
        <w:tc>
          <w:tcPr>
            <w:tcW w:w="1305" w:type="dxa"/>
          </w:tcPr>
          <w:p w14:paraId="420532DF"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0.0111***</w:t>
            </w:r>
          </w:p>
        </w:tc>
        <w:tc>
          <w:tcPr>
            <w:tcW w:w="1305" w:type="dxa"/>
          </w:tcPr>
          <w:p w14:paraId="5C7D5B25"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0.7925***</w:t>
            </w:r>
          </w:p>
        </w:tc>
        <w:tc>
          <w:tcPr>
            <w:tcW w:w="1305" w:type="dxa"/>
          </w:tcPr>
          <w:p w14:paraId="501E74E1"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0.0102***</w:t>
            </w:r>
          </w:p>
        </w:tc>
        <w:tc>
          <w:tcPr>
            <w:tcW w:w="1305" w:type="dxa"/>
          </w:tcPr>
          <w:p w14:paraId="3B76BECB"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0.7369***</w:t>
            </w:r>
          </w:p>
        </w:tc>
      </w:tr>
      <w:tr w:rsidR="00152269" w:rsidRPr="002F50BA" w14:paraId="77A86179" w14:textId="77777777" w:rsidTr="00893EB3">
        <w:trPr>
          <w:trHeight w:val="345"/>
          <w:tblHeader/>
        </w:trPr>
        <w:tc>
          <w:tcPr>
            <w:tcW w:w="1216" w:type="dxa"/>
          </w:tcPr>
          <w:p w14:paraId="035842A2" w14:textId="77777777" w:rsidR="00152269" w:rsidRPr="009B6F4E" w:rsidRDefault="00152269" w:rsidP="00021EF3">
            <w:pPr>
              <w:cnfStyle w:val="100000000000" w:firstRow="1" w:lastRow="0" w:firstColumn="0" w:lastColumn="0" w:oddVBand="0" w:evenVBand="0" w:oddHBand="0" w:evenHBand="0" w:firstRowFirstColumn="0" w:firstRowLastColumn="0" w:lastRowFirstColumn="0" w:lastRowLastColumn="0"/>
              <w:rPr>
                <w:rFonts w:cs="Arial"/>
              </w:rPr>
            </w:pPr>
            <w:r w:rsidRPr="009B6F4E">
              <w:rPr>
                <w:rFonts w:cs="Arial"/>
              </w:rPr>
              <w:t>LHVF</w:t>
            </w:r>
          </w:p>
        </w:tc>
        <w:tc>
          <w:tcPr>
            <w:tcW w:w="1305" w:type="dxa"/>
          </w:tcPr>
          <w:p w14:paraId="6C00F06E"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0.0341***</w:t>
            </w:r>
          </w:p>
        </w:tc>
        <w:tc>
          <w:tcPr>
            <w:tcW w:w="1305" w:type="dxa"/>
          </w:tcPr>
          <w:p w14:paraId="7B1492E9"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1.2567***</w:t>
            </w:r>
          </w:p>
        </w:tc>
        <w:tc>
          <w:tcPr>
            <w:tcW w:w="1305" w:type="dxa"/>
          </w:tcPr>
          <w:p w14:paraId="5F54E4A9"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0.0400***</w:t>
            </w:r>
          </w:p>
        </w:tc>
        <w:tc>
          <w:tcPr>
            <w:tcW w:w="1305" w:type="dxa"/>
          </w:tcPr>
          <w:p w14:paraId="56D51683"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1.2753***</w:t>
            </w:r>
          </w:p>
        </w:tc>
        <w:tc>
          <w:tcPr>
            <w:tcW w:w="1305" w:type="dxa"/>
          </w:tcPr>
          <w:p w14:paraId="47CD87BD"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0.0344***</w:t>
            </w:r>
          </w:p>
          <w:p w14:paraId="32DD49EF"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p>
        </w:tc>
        <w:tc>
          <w:tcPr>
            <w:tcW w:w="1305" w:type="dxa"/>
          </w:tcPr>
          <w:p w14:paraId="6E6A1B5B"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1.2580***</w:t>
            </w:r>
          </w:p>
        </w:tc>
      </w:tr>
      <w:tr w:rsidR="00152269" w:rsidRPr="002F50BA" w14:paraId="28708F9F" w14:textId="77777777" w:rsidTr="00893EB3">
        <w:trPr>
          <w:trHeight w:val="345"/>
          <w:tblHeader/>
        </w:trPr>
        <w:tc>
          <w:tcPr>
            <w:tcW w:w="1216" w:type="dxa"/>
          </w:tcPr>
          <w:p w14:paraId="11B0630F" w14:textId="77777777" w:rsidR="00152269" w:rsidRPr="009B6F4E" w:rsidRDefault="00152269" w:rsidP="00021EF3">
            <w:pPr>
              <w:cnfStyle w:val="100000000000" w:firstRow="1" w:lastRow="0" w:firstColumn="0" w:lastColumn="0" w:oddVBand="0" w:evenVBand="0" w:oddHBand="0" w:evenHBand="0" w:firstRowFirstColumn="0" w:firstRowLastColumn="0" w:lastRowFirstColumn="0" w:lastRowLastColumn="0"/>
              <w:rPr>
                <w:rFonts w:cs="Arial"/>
              </w:rPr>
            </w:pPr>
            <w:r>
              <w:rPr>
                <w:rFonts w:cs="Arial"/>
              </w:rPr>
              <w:t>Above</w:t>
            </w:r>
            <w:r w:rsidRPr="009B6F4E">
              <w:rPr>
                <w:rFonts w:cs="Arial"/>
              </w:rPr>
              <w:t xml:space="preserve"> mean</w:t>
            </w:r>
          </w:p>
        </w:tc>
        <w:tc>
          <w:tcPr>
            <w:tcW w:w="1305" w:type="dxa"/>
          </w:tcPr>
          <w:p w14:paraId="36D4F2EB"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p>
        </w:tc>
        <w:tc>
          <w:tcPr>
            <w:tcW w:w="1305" w:type="dxa"/>
          </w:tcPr>
          <w:p w14:paraId="2277EB41"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p>
        </w:tc>
        <w:tc>
          <w:tcPr>
            <w:tcW w:w="1305" w:type="dxa"/>
          </w:tcPr>
          <w:p w14:paraId="6D88D3D5"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0.0181**</w:t>
            </w:r>
          </w:p>
          <w:p w14:paraId="35338D90"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p>
        </w:tc>
        <w:tc>
          <w:tcPr>
            <w:tcW w:w="1305" w:type="dxa"/>
          </w:tcPr>
          <w:p w14:paraId="15CA9878"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-0.3140***</w:t>
            </w:r>
          </w:p>
        </w:tc>
        <w:tc>
          <w:tcPr>
            <w:tcW w:w="1305" w:type="dxa"/>
          </w:tcPr>
          <w:p w14:paraId="1847EE31"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p>
        </w:tc>
        <w:tc>
          <w:tcPr>
            <w:tcW w:w="1305" w:type="dxa"/>
          </w:tcPr>
          <w:p w14:paraId="1A8982ED"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p>
        </w:tc>
      </w:tr>
      <w:tr w:rsidR="00152269" w:rsidRPr="002F50BA" w14:paraId="32979500" w14:textId="77777777" w:rsidTr="00893EB3">
        <w:trPr>
          <w:trHeight w:val="345"/>
          <w:tblHeader/>
        </w:trPr>
        <w:tc>
          <w:tcPr>
            <w:tcW w:w="1216" w:type="dxa"/>
          </w:tcPr>
          <w:p w14:paraId="01429238" w14:textId="2E2269C3" w:rsidR="00152269" w:rsidRPr="009B6F4E" w:rsidRDefault="00152269" w:rsidP="00021EF3">
            <w:pPr>
              <w:cnfStyle w:val="100000000000" w:firstRow="1" w:lastRow="0" w:firstColumn="0" w:lastColumn="0" w:oddVBand="0" w:evenVBand="0" w:oddHBand="0" w:evenHBand="0" w:firstRowFirstColumn="0" w:firstRowLastColumn="0" w:lastRowFirstColumn="0" w:lastRowLastColumn="0"/>
              <w:rPr>
                <w:rFonts w:cs="Arial"/>
              </w:rPr>
            </w:pPr>
            <w:r>
              <w:rPr>
                <w:rFonts w:cs="Arial"/>
              </w:rPr>
              <w:t>Above</w:t>
            </w:r>
            <w:r w:rsidRPr="009B6F4E">
              <w:rPr>
                <w:rFonts w:cs="Arial"/>
              </w:rPr>
              <w:t xml:space="preserve"> one </w:t>
            </w:r>
            <w:r w:rsidR="007F3E00">
              <w:rPr>
                <w:rFonts w:cs="Arial"/>
              </w:rPr>
              <w:t>SD</w:t>
            </w:r>
          </w:p>
        </w:tc>
        <w:tc>
          <w:tcPr>
            <w:tcW w:w="1305" w:type="dxa"/>
          </w:tcPr>
          <w:p w14:paraId="71F01E72"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p>
        </w:tc>
        <w:tc>
          <w:tcPr>
            <w:tcW w:w="1305" w:type="dxa"/>
          </w:tcPr>
          <w:p w14:paraId="23CCECC9"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p>
        </w:tc>
        <w:tc>
          <w:tcPr>
            <w:tcW w:w="1305" w:type="dxa"/>
          </w:tcPr>
          <w:p w14:paraId="07A4934B"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p>
        </w:tc>
        <w:tc>
          <w:tcPr>
            <w:tcW w:w="1305" w:type="dxa"/>
          </w:tcPr>
          <w:p w14:paraId="4FB36788"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p>
        </w:tc>
        <w:tc>
          <w:tcPr>
            <w:tcW w:w="1305" w:type="dxa"/>
          </w:tcPr>
          <w:p w14:paraId="3097AA98"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-0.0055***</w:t>
            </w:r>
          </w:p>
        </w:tc>
        <w:tc>
          <w:tcPr>
            <w:tcW w:w="1305" w:type="dxa"/>
          </w:tcPr>
          <w:p w14:paraId="4578490F" w14:textId="77777777" w:rsidR="00152269" w:rsidRPr="00893EB3" w:rsidRDefault="00152269" w:rsidP="00021EF3">
            <w:pPr>
              <w:spacing w:after="0"/>
              <w:cnfStyle w:val="100000000000" w:firstRow="1" w:lastRow="0" w:firstColumn="0" w:lastColumn="0" w:oddVBand="0" w:evenVBand="0" w:oddHBand="0" w:evenHBand="0" w:firstRowFirstColumn="0" w:firstRowLastColumn="0" w:lastRowFirstColumn="0" w:lastRowLastColumn="0"/>
              <w:rPr>
                <w:rFonts w:cs="Arial"/>
                <w:color w:val="000000"/>
                <w:szCs w:val="17"/>
              </w:rPr>
            </w:pPr>
            <w:r w:rsidRPr="00BA28B9">
              <w:rPr>
                <w:rFonts w:cs="Arial"/>
                <w:color w:val="000000"/>
                <w:szCs w:val="17"/>
              </w:rPr>
              <w:t>-0.2482***</w:t>
            </w:r>
          </w:p>
        </w:tc>
      </w:tr>
    </w:tbl>
    <w:p w14:paraId="7C3BDE96" w14:textId="6713581E" w:rsidR="00152269" w:rsidRPr="00AA7A6D" w:rsidRDefault="00704E6A" w:rsidP="00021EF3">
      <w:pPr>
        <w:pStyle w:val="Source"/>
        <w:rPr>
          <w:sz w:val="16"/>
          <w:szCs w:val="16"/>
        </w:rPr>
      </w:pPr>
      <w:r>
        <w:t>Source: Deloitte Access Economics.</w:t>
      </w:r>
      <w:r>
        <w:br/>
      </w:r>
      <w:r w:rsidR="00152269" w:rsidRPr="00AA7A6D">
        <w:t>* = p-value &lt;0.1, ** = p-value &lt;0.05, *** = p-value &lt;0.01</w:t>
      </w:r>
    </w:p>
    <w:p w14:paraId="1CD449FB" w14:textId="234E378E" w:rsidR="00152269" w:rsidRDefault="00067901" w:rsidP="00021EF3">
      <w:r>
        <w:t xml:space="preserve">Specifications (1) and (2) </w:t>
      </w:r>
      <w:r w:rsidR="00F618A0">
        <w:t>were</w:t>
      </w:r>
      <w:r>
        <w:t xml:space="preserve"> preferred specifications when evaluating insolvency, as (3) and (5) seem</w:t>
      </w:r>
      <w:r w:rsidR="00F618A0">
        <w:t>ed</w:t>
      </w:r>
      <w:r>
        <w:t xml:space="preserve"> to give contradicting results. </w:t>
      </w:r>
      <w:r w:rsidR="00152269">
        <w:t>All specifications demonstrate</w:t>
      </w:r>
      <w:r w:rsidR="00F618A0">
        <w:t>d</w:t>
      </w:r>
      <w:r w:rsidR="00152269">
        <w:t xml:space="preserve"> a significant positive relationship between the receipt of BCAP and LHVF grants and business insolvency. This result</w:t>
      </w:r>
      <w:r w:rsidR="00152269" w:rsidDel="00F618A0">
        <w:t xml:space="preserve"> </w:t>
      </w:r>
      <w:r w:rsidR="00F618A0">
        <w:t>was</w:t>
      </w:r>
      <w:r w:rsidR="00152269">
        <w:t xml:space="preserve"> unexpected, particularly given the nature of the grants, which were distributed without any restrictions on how the funds were to be spent by the recipients. There is little reason to view this relationship as causal. One would anticipate that the provision of unconditional grants would decrease the probability of insolvency for businesses. </w:t>
      </w:r>
      <w:r w:rsidR="00F618A0">
        <w:t>The BCAP and LHVF</w:t>
      </w:r>
      <w:r w:rsidR="00152269">
        <w:t xml:space="preserve"> grants were intended to provide financial support during the challenging economic environment of 2020 and 2021, enabling businesses to maintain operations.</w:t>
      </w:r>
    </w:p>
    <w:p w14:paraId="1726DD3B" w14:textId="5F89F303" w:rsidR="00152269" w:rsidRDefault="00152269" w:rsidP="00021EF3">
      <w:r>
        <w:t xml:space="preserve">The observed positive relationship between grant receipt and insolvency </w:t>
      </w:r>
      <w:r w:rsidR="00F618A0">
        <w:t>could have been</w:t>
      </w:r>
      <w:r>
        <w:t xml:space="preserve"> indicative of </w:t>
      </w:r>
      <w:r w:rsidR="00423664">
        <w:t xml:space="preserve">a </w:t>
      </w:r>
      <w:r w:rsidR="00DC4FD6">
        <w:t>selection effect</w:t>
      </w:r>
      <w:r>
        <w:t xml:space="preserve"> in the allocation of these grants. That is</w:t>
      </w:r>
      <w:r w:rsidR="00F618A0">
        <w:t>,</w:t>
      </w:r>
      <w:r>
        <w:t xml:space="preserve"> businesses </w:t>
      </w:r>
      <w:r w:rsidR="00E148E9">
        <w:t xml:space="preserve">that </w:t>
      </w:r>
      <w:r>
        <w:t xml:space="preserve">were ex ante more likely to suffer insolvencies would have been more likely to be eligible and apply for </w:t>
      </w:r>
      <w:r w:rsidR="00F618A0">
        <w:t xml:space="preserve">the </w:t>
      </w:r>
      <w:r>
        <w:t>business support grants, as opposed to more successful businesses</w:t>
      </w:r>
      <w:r w:rsidR="00F73628">
        <w:t>, preventing a direct causal comparison</w:t>
      </w:r>
      <w:r w:rsidR="00A638B8">
        <w:t xml:space="preserve"> between the treatment and control group</w:t>
      </w:r>
      <w:r>
        <w:t xml:space="preserve">. This evaluation was unable to access business level data on revenue, costs or employment, </w:t>
      </w:r>
      <w:r w:rsidR="005E159D">
        <w:t>limiting</w:t>
      </w:r>
      <w:r w:rsidDel="005E159D">
        <w:t xml:space="preserve"> </w:t>
      </w:r>
      <w:r>
        <w:t>the analysis to control for these factors which appear to have impacted selection into treatment.</w:t>
      </w:r>
    </w:p>
    <w:p w14:paraId="4901D901" w14:textId="1B85709B" w:rsidR="00152269" w:rsidRDefault="00152269" w:rsidP="00021EF3">
      <w:r>
        <w:t xml:space="preserve">Specifications </w:t>
      </w:r>
      <w:r w:rsidR="005E159D">
        <w:t>(</w:t>
      </w:r>
      <w:r>
        <w:t>3</w:t>
      </w:r>
      <w:r w:rsidR="005E159D">
        <w:t>) to (</w:t>
      </w:r>
      <w:r>
        <w:t>6</w:t>
      </w:r>
      <w:r w:rsidR="005E159D">
        <w:t>)</w:t>
      </w:r>
      <w:r>
        <w:t xml:space="preserve"> include</w:t>
      </w:r>
      <w:r w:rsidR="005E159D">
        <w:t>d</w:t>
      </w:r>
      <w:r>
        <w:t xml:space="preserve"> a measure of treatment intensity. Across these </w:t>
      </w:r>
      <w:r w:rsidR="005E159D">
        <w:t>there was</w:t>
      </w:r>
      <w:r>
        <w:t xml:space="preserve"> some evidence that a higher treatment intensity, here defined by grant value per employee, reduced the likelihood of a business becoming insolvent. </w:t>
      </w:r>
      <w:r w:rsidR="00FE5B71">
        <w:t>Specifically,</w:t>
      </w:r>
      <w:r>
        <w:t xml:space="preserve"> a business </w:t>
      </w:r>
      <w:r w:rsidR="00033BA9">
        <w:t xml:space="preserve">that </w:t>
      </w:r>
      <w:r>
        <w:t xml:space="preserve">received grants which were one </w:t>
      </w:r>
      <w:r w:rsidR="007F3E00">
        <w:t>SD</w:t>
      </w:r>
      <w:r>
        <w:t xml:space="preserve"> above the mean</w:t>
      </w:r>
      <w:r w:rsidR="005E159D">
        <w:t>,</w:t>
      </w:r>
      <w:r>
        <w:t xml:space="preserve"> within that </w:t>
      </w:r>
      <w:r>
        <w:lastRenderedPageBreak/>
        <w:t>business’s industry division and SA4</w:t>
      </w:r>
      <w:r w:rsidR="005E159D">
        <w:t>,</w:t>
      </w:r>
      <w:r>
        <w:t xml:space="preserve"> was estimated to have a 0.55 percentage point lower likelihood of becoming insolvent than a business </w:t>
      </w:r>
      <w:r w:rsidR="00033BA9">
        <w:t xml:space="preserve">that </w:t>
      </w:r>
      <w:r>
        <w:t>received a smaller grant.</w:t>
      </w:r>
    </w:p>
    <w:p w14:paraId="66EEDA85" w14:textId="69CA9161" w:rsidR="00152269" w:rsidRDefault="00152269" w:rsidP="00021EF3">
      <w:r>
        <w:t xml:space="preserve">While this </w:t>
      </w:r>
      <w:r w:rsidR="0049438A">
        <w:t xml:space="preserve">was </w:t>
      </w:r>
      <w:r>
        <w:t xml:space="preserve">significant across specifications (5) and (6), the estimated magnitude </w:t>
      </w:r>
      <w:r w:rsidR="0049438A">
        <w:t xml:space="preserve">was </w:t>
      </w:r>
      <w:r>
        <w:t>well below the estimates for BCAP and LHVF, indicating that these businesses were still more likely to become insolvent than untreated business</w:t>
      </w:r>
      <w:r w:rsidR="0049438A">
        <w:t>es</w:t>
      </w:r>
      <w:r>
        <w:t>.</w:t>
      </w:r>
    </w:p>
    <w:p w14:paraId="36761E96" w14:textId="6D1C55BA" w:rsidR="0049438A" w:rsidRDefault="001331A4" w:rsidP="00021EF3">
      <w:pPr>
        <w:pStyle w:val="Heading3un-numbered"/>
      </w:pPr>
      <w:bookmarkStart w:id="492" w:name="_Toc173915925"/>
      <w:bookmarkStart w:id="493" w:name="_Toc174118181"/>
      <w:bookmarkStart w:id="494" w:name="_Toc176516303"/>
      <w:r>
        <w:t xml:space="preserve">Insolvency and </w:t>
      </w:r>
      <w:r w:rsidR="0049438A">
        <w:t>ABN cancellatio</w:t>
      </w:r>
      <w:r>
        <w:t>n</w:t>
      </w:r>
      <w:r w:rsidR="0049438A">
        <w:t xml:space="preserve"> analysis</w:t>
      </w:r>
      <w:bookmarkEnd w:id="492"/>
      <w:bookmarkEnd w:id="493"/>
      <w:bookmarkEnd w:id="494"/>
    </w:p>
    <w:p w14:paraId="11C3F3D6" w14:textId="1A786736" w:rsidR="000252CA" w:rsidRDefault="00152269" w:rsidP="00021EF3">
      <w:r>
        <w:t>An alternate indicator of business survival is the cancellation of an ABN. ABN cancellation data, which is captured in the ABR data</w:t>
      </w:r>
      <w:r w:rsidR="00477ADC">
        <w:t xml:space="preserve">, represents a broader view of business survival than insolvencies alone, but may include a number of </w:t>
      </w:r>
      <w:r w:rsidR="00273C15">
        <w:t xml:space="preserve">ABN cancellations which do not represent businesses </w:t>
      </w:r>
      <w:r w:rsidR="003834B9">
        <w:t>failures</w:t>
      </w:r>
      <w:r w:rsidR="002E6CAC">
        <w:t>, such as:</w:t>
      </w:r>
    </w:p>
    <w:p w14:paraId="2049D517" w14:textId="30F1FB15" w:rsidR="000252CA" w:rsidRDefault="002E6CAC" w:rsidP="00021EF3">
      <w:pPr>
        <w:pStyle w:val="ListBullet"/>
      </w:pPr>
      <w:r>
        <w:t>m</w:t>
      </w:r>
      <w:r w:rsidR="00152269">
        <w:t xml:space="preserve">any businesses </w:t>
      </w:r>
      <w:r w:rsidR="00E148E9">
        <w:t xml:space="preserve">that </w:t>
      </w:r>
      <w:r w:rsidR="00152269">
        <w:t>have low or no profits will cho</w:t>
      </w:r>
      <w:r w:rsidR="001A0E03">
        <w:t>o</w:t>
      </w:r>
      <w:r w:rsidR="00152269">
        <w:t xml:space="preserve">se to wind up </w:t>
      </w:r>
      <w:proofErr w:type="gramStart"/>
      <w:r w:rsidR="00152269">
        <w:t>operations, and</w:t>
      </w:r>
      <w:proofErr w:type="gramEnd"/>
      <w:r w:rsidR="00152269">
        <w:t xml:space="preserve"> cancel their ABNs prior to becoming insolvent. </w:t>
      </w:r>
    </w:p>
    <w:p w14:paraId="716301DB" w14:textId="569C9B9D" w:rsidR="000252CA" w:rsidRDefault="00152269" w:rsidP="00021EF3">
      <w:pPr>
        <w:pStyle w:val="ListBullet"/>
      </w:pPr>
      <w:r>
        <w:t>some profitable businesses may wind up operations and cancel their ABNs</w:t>
      </w:r>
      <w:r w:rsidR="00903310">
        <w:t>.</w:t>
      </w:r>
      <w:r>
        <w:t xml:space="preserve"> </w:t>
      </w:r>
    </w:p>
    <w:p w14:paraId="3892F9F0" w14:textId="37CDF46D" w:rsidR="000252CA" w:rsidRDefault="002E6CAC" w:rsidP="00021EF3">
      <w:pPr>
        <w:pStyle w:val="ListBullet"/>
      </w:pPr>
      <w:r>
        <w:t xml:space="preserve">some profitable businesses </w:t>
      </w:r>
      <w:r w:rsidR="00152269">
        <w:t xml:space="preserve">may in fact cancel their ABNs and continue operating under a different </w:t>
      </w:r>
      <w:r w:rsidR="000252CA">
        <w:t>ABN</w:t>
      </w:r>
      <w:r w:rsidR="00152269">
        <w:t xml:space="preserve">, or as a part of an alternate business structure. </w:t>
      </w:r>
    </w:p>
    <w:p w14:paraId="74421461" w14:textId="34DB57F3" w:rsidR="00152269" w:rsidRDefault="00152269" w:rsidP="00021EF3">
      <w:pPr>
        <w:pStyle w:val="ListBullet"/>
      </w:pPr>
      <w:r>
        <w:t xml:space="preserve">some businesses </w:t>
      </w:r>
      <w:r w:rsidR="00E148E9">
        <w:t xml:space="preserve">that </w:t>
      </w:r>
      <w:r>
        <w:t xml:space="preserve">become insolvent may be able to restructure their liabilities and not cancel their ABN. </w:t>
      </w:r>
    </w:p>
    <w:p w14:paraId="2614B4F1" w14:textId="703C4CC3" w:rsidR="00152269" w:rsidRPr="00896E0D" w:rsidRDefault="00152269" w:rsidP="00021EF3">
      <w:pPr>
        <w:rPr>
          <w:i/>
          <w:iCs/>
        </w:rPr>
      </w:pPr>
      <w:r>
        <w:t>The evaluation undertook analysis based on an indicator which tracked if a business had either become insolvent or cancelled their ABN. These</w:t>
      </w:r>
      <w:r w:rsidR="0049438A">
        <w:t>,</w:t>
      </w:r>
      <w:r>
        <w:t xml:space="preserve"> being two separate indicators which reflect poor health of a </w:t>
      </w:r>
      <w:r w:rsidR="00FE5B71">
        <w:t>business</w:t>
      </w:r>
      <w:r w:rsidR="0049438A">
        <w:t>,</w:t>
      </w:r>
      <w:r w:rsidR="00FE5B71">
        <w:t xml:space="preserve"> </w:t>
      </w:r>
      <w:r>
        <w:t xml:space="preserve">are not conditional on each other. In further discussion </w:t>
      </w:r>
      <w:r w:rsidR="00646324">
        <w:t xml:space="preserve">in this report, </w:t>
      </w:r>
      <w:r>
        <w:t xml:space="preserve">this variable will be referred to as </w:t>
      </w:r>
      <w:r w:rsidR="00845DEF">
        <w:rPr>
          <w:i/>
          <w:iCs/>
        </w:rPr>
        <w:t>exited</w:t>
      </w:r>
      <w:r>
        <w:rPr>
          <w:i/>
          <w:iCs/>
        </w:rPr>
        <w:t>.</w:t>
      </w:r>
    </w:p>
    <w:p w14:paraId="5E041D45" w14:textId="0A8B1959" w:rsidR="00601CAF" w:rsidRDefault="00152269" w:rsidP="00021EF3">
      <w:r>
        <w:t>As a result of choosing this approach, sole traders were again omitted from the analysis, as they definitionally cannot become insolvent</w:t>
      </w:r>
      <w:r w:rsidR="00954015">
        <w:t xml:space="preserve"> (discussed above)</w:t>
      </w:r>
      <w:r>
        <w:t xml:space="preserve">. </w:t>
      </w:r>
    </w:p>
    <w:p w14:paraId="3834055A" w14:textId="5C32FC6C" w:rsidR="00152269" w:rsidRDefault="00152269" w:rsidP="00021EF3">
      <w:r>
        <w:t>In the following regression</w:t>
      </w:r>
      <w:r w:rsidR="00796BB2">
        <w:t>,</w:t>
      </w:r>
      <w:r>
        <w:t xml:space="preserve"> </w:t>
      </w:r>
      <w:r>
        <w:rPr>
          <w:i/>
          <w:iCs/>
        </w:rPr>
        <w:t xml:space="preserve">impacted </w:t>
      </w:r>
      <w:r>
        <w:t xml:space="preserve">is a dummy variable indicating a business </w:t>
      </w:r>
      <w:r w:rsidR="00033BA9">
        <w:t xml:space="preserve">that </w:t>
      </w:r>
      <w:r>
        <w:t xml:space="preserve">has either cancelled </w:t>
      </w:r>
      <w:r w:rsidR="00796BB2">
        <w:t xml:space="preserve">their </w:t>
      </w:r>
      <w:r>
        <w:t>ABN or become insolvent.</w:t>
      </w:r>
    </w:p>
    <w:p w14:paraId="3EBE1481" w14:textId="36214DAA" w:rsidR="00152269" w:rsidRPr="003A606A" w:rsidRDefault="00152269" w:rsidP="00021EF3">
      <w:r>
        <w:t xml:space="preserve">The most basic specification </w:t>
      </w:r>
      <w:r w:rsidR="00796BB2">
        <w:t xml:space="preserve">was </w:t>
      </w:r>
      <w:r>
        <w:t>a linear regression defined as</w:t>
      </w:r>
      <w:r w:rsidR="002E6CAC">
        <w:t>:</w:t>
      </w:r>
    </w:p>
    <w:p w14:paraId="1D25654B" w14:textId="36AD34D8" w:rsidR="00152269" w:rsidRPr="002E6CAC" w:rsidRDefault="00000F1D" w:rsidP="00021EF3">
      <w:pPr>
        <w:rPr>
          <w:rFonts w:eastAsiaTheme="minorEastAsia"/>
          <w:color w:val="000000" w:themeColor="text1"/>
          <w:kern w:val="24"/>
        </w:rPr>
      </w:pPr>
      <m:oMathPara>
        <m:oMathParaPr>
          <m:jc m:val="center"/>
        </m:oMathParaPr>
        <m:oMath>
          <m:r>
            <w:rPr>
              <w:rFonts w:ascii="Cambria Math" w:hAnsi="Cambria Math"/>
              <w:color w:val="000000" w:themeColor="text1"/>
              <w:kern w:val="24"/>
            </w:rPr>
            <m:t>exite</m:t>
          </m:r>
          <m:sSub>
            <m:sSubPr>
              <m:ctrlPr>
                <w:rPr>
                  <w:rFonts w:ascii="Cambria Math" w:hAnsi="Cambria Math"/>
                  <w:i/>
                  <w:color w:val="000000" w:themeColor="text1"/>
                  <w:kern w:val="24"/>
                </w:rPr>
              </m:ctrlPr>
            </m:sSubPr>
            <m:e>
              <m:r>
                <w:rPr>
                  <w:rFonts w:ascii="Cambria Math" w:hAnsi="Cambria Math"/>
                  <w:color w:val="000000" w:themeColor="text1"/>
                  <w:kern w:val="24"/>
                </w:rPr>
                <m:t>d</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0</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1</m:t>
              </m:r>
            </m:sub>
          </m:sSub>
          <m:r>
            <w:rPr>
              <w:rFonts w:ascii="Cambria Math" w:hAnsi="Cambria Math"/>
              <w:color w:val="000000" w:themeColor="text1"/>
              <w:kern w:val="24"/>
            </w:rPr>
            <m:t>BCA</m:t>
          </m:r>
          <m:sSub>
            <m:sSubPr>
              <m:ctrlPr>
                <w:rPr>
                  <w:rFonts w:ascii="Cambria Math" w:hAnsi="Cambria Math"/>
                  <w:i/>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2</m:t>
              </m:r>
            </m:sub>
          </m:sSub>
          <m:r>
            <w:rPr>
              <w:rFonts w:ascii="Cambria Math" w:hAnsi="Cambria Math"/>
              <w:color w:val="000000" w:themeColor="text1"/>
              <w:kern w:val="24"/>
            </w:rPr>
            <m:t>LHV</m:t>
          </m:r>
          <m:sSub>
            <m:sSubPr>
              <m:ctrlPr>
                <w:rPr>
                  <w:rFonts w:ascii="Cambria Math" w:hAnsi="Cambria Math"/>
                  <w:i/>
                  <w:color w:val="000000" w:themeColor="text1"/>
                  <w:kern w:val="24"/>
                </w:rPr>
              </m:ctrlPr>
            </m:sSubPr>
            <m:e>
              <m:r>
                <w:rPr>
                  <w:rFonts w:ascii="Cambria Math" w:hAnsi="Cambria Math"/>
                  <w:color w:val="000000" w:themeColor="text1"/>
                  <w:kern w:val="24"/>
                </w:rPr>
                <m:t>F</m:t>
              </m:r>
            </m:e>
            <m:sub>
              <m:r>
                <w:rPr>
                  <w:rFonts w:ascii="Cambria Math" w:hAnsi="Cambria Math"/>
                  <w:color w:val="000000" w:themeColor="text1"/>
                  <w:kern w:val="24"/>
                </w:rPr>
                <m:t>i</m:t>
              </m:r>
            </m:sub>
          </m:sSub>
          <m:r>
            <w:rPr>
              <w:rFonts w:ascii="Cambria Math" w:hAnsi="Cambria Math"/>
              <w:color w:val="000000" w:themeColor="text1"/>
              <w:kern w:val="24"/>
            </w:rPr>
            <m:t xml:space="preserve">+ </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3</m:t>
              </m:r>
            </m:sub>
          </m:sSub>
          <m:r>
            <w:rPr>
              <w:rFonts w:ascii="Cambria Math" w:hAnsi="Cambria Math"/>
              <w:color w:val="000000" w:themeColor="text1"/>
              <w:kern w:val="24"/>
            </w:rPr>
            <m:t xml:space="preserve">ANZSIC </m:t>
          </m:r>
          <m:sSub>
            <m:sSubPr>
              <m:ctrlPr>
                <w:rPr>
                  <w:rFonts w:ascii="Cambria Math" w:hAnsi="Cambria Math"/>
                  <w:i/>
                  <w:color w:val="000000" w:themeColor="text1"/>
                  <w:kern w:val="24"/>
                </w:rPr>
              </m:ctrlPr>
            </m:sSubPr>
            <m:e>
              <m:r>
                <w:rPr>
                  <w:rFonts w:ascii="Cambria Math" w:hAnsi="Cambria Math"/>
                  <w:color w:val="000000" w:themeColor="text1"/>
                  <w:kern w:val="24"/>
                </w:rPr>
                <m:t>3</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4</m:t>
              </m:r>
            </m:sub>
          </m:sSub>
          <m:r>
            <w:rPr>
              <w:rFonts w:ascii="Cambria Math" w:hAnsi="Cambria Math"/>
              <w:color w:val="000000" w:themeColor="text1"/>
              <w:kern w:val="24"/>
            </w:rPr>
            <m:t>Metr</m:t>
          </m:r>
          <m:sSub>
            <m:sSubPr>
              <m:ctrlPr>
                <w:rPr>
                  <w:rFonts w:ascii="Cambria Math" w:hAnsi="Cambria Math"/>
                  <w:i/>
                  <w:color w:val="000000" w:themeColor="text1"/>
                  <w:kern w:val="24"/>
                </w:rPr>
              </m:ctrlPr>
            </m:sSubPr>
            <m:e>
              <m:r>
                <w:rPr>
                  <w:rFonts w:ascii="Cambria Math" w:hAnsi="Cambria Math"/>
                  <w:color w:val="000000" w:themeColor="text1"/>
                  <w:kern w:val="24"/>
                </w:rPr>
                <m:t>o</m:t>
              </m:r>
            </m:e>
            <m:sub>
              <m:r>
                <w:rPr>
                  <w:rFonts w:ascii="Cambria Math" w:hAnsi="Cambria Math"/>
                  <w:color w:val="000000" w:themeColor="text1"/>
                  <w:kern w:val="24"/>
                </w:rPr>
                <m:t>i</m:t>
              </m:r>
            </m:sub>
          </m:sSub>
          <m:r>
            <w:rPr>
              <w:rFonts w:ascii="Cambria Math" w:eastAsiaTheme="minorEastAsia" w:hAnsi="Cambria Math"/>
              <w:color w:val="000000" w:themeColor="text1"/>
              <w:kern w:val="24"/>
            </w:rPr>
            <m:t xml:space="preserve"> (7)</m:t>
          </m:r>
        </m:oMath>
      </m:oMathPara>
    </w:p>
    <w:p w14:paraId="3EABAC36" w14:textId="2DD12440" w:rsidR="00152269" w:rsidRDefault="00152269" w:rsidP="00021EF3">
      <w:r>
        <w:t xml:space="preserve">This </w:t>
      </w:r>
      <w:r w:rsidR="002E6CAC">
        <w:t xml:space="preserve">was </w:t>
      </w:r>
      <w:r>
        <w:t>then repeated as a logit regression as specification (8).</w:t>
      </w:r>
    </w:p>
    <w:p w14:paraId="5AFA75C6" w14:textId="0D2CBBF5" w:rsidR="00152269" w:rsidRDefault="00152269" w:rsidP="00021EF3">
      <w:r>
        <w:t>Regressions of a similar specification to that outlined above were also run</w:t>
      </w:r>
      <w:r w:rsidR="002E6CAC">
        <w:t>:</w:t>
      </w:r>
    </w:p>
    <w:p w14:paraId="558504D2" w14:textId="0016B6A4" w:rsidR="00152269" w:rsidRPr="002E6CAC" w:rsidRDefault="00000F1D" w:rsidP="00021EF3">
      <w:pPr>
        <w:rPr>
          <w:rFonts w:eastAsiaTheme="minorEastAsia"/>
          <w:color w:val="000000" w:themeColor="text1"/>
          <w:kern w:val="24"/>
        </w:rPr>
      </w:pPr>
      <m:oMathPara>
        <m:oMathParaPr>
          <m:jc m:val="center"/>
        </m:oMathParaPr>
        <m:oMath>
          <m:r>
            <w:rPr>
              <w:rFonts w:ascii="Cambria Math" w:hAnsi="Cambria Math"/>
              <w:color w:val="000000" w:themeColor="text1"/>
              <w:kern w:val="24"/>
            </w:rPr>
            <m:t>exite</m:t>
          </m:r>
          <m:sSub>
            <m:sSubPr>
              <m:ctrlPr>
                <w:rPr>
                  <w:rFonts w:ascii="Cambria Math" w:hAnsi="Cambria Math"/>
                  <w:i/>
                  <w:color w:val="000000" w:themeColor="text1"/>
                  <w:kern w:val="24"/>
                </w:rPr>
              </m:ctrlPr>
            </m:sSubPr>
            <m:e>
              <m:r>
                <w:rPr>
                  <w:rFonts w:ascii="Cambria Math" w:hAnsi="Cambria Math"/>
                  <w:color w:val="000000" w:themeColor="text1"/>
                  <w:kern w:val="24"/>
                </w:rPr>
                <m:t>d</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0</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1</m:t>
              </m:r>
            </m:sub>
          </m:sSub>
          <m:r>
            <w:rPr>
              <w:rFonts w:ascii="Cambria Math" w:hAnsi="Cambria Math"/>
              <w:color w:val="000000" w:themeColor="text1"/>
              <w:kern w:val="24"/>
            </w:rPr>
            <m:t>BCA</m:t>
          </m:r>
          <m:sSub>
            <m:sSubPr>
              <m:ctrlPr>
                <w:rPr>
                  <w:rFonts w:ascii="Cambria Math" w:hAnsi="Cambria Math"/>
                  <w:i/>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2</m:t>
              </m:r>
            </m:sub>
          </m:sSub>
          <m:r>
            <w:rPr>
              <w:rFonts w:ascii="Cambria Math" w:hAnsi="Cambria Math"/>
              <w:color w:val="000000" w:themeColor="text1"/>
              <w:kern w:val="24"/>
            </w:rPr>
            <m:t>LHV</m:t>
          </m:r>
          <m:sSub>
            <m:sSubPr>
              <m:ctrlPr>
                <w:rPr>
                  <w:rFonts w:ascii="Cambria Math" w:hAnsi="Cambria Math"/>
                  <w:i/>
                  <w:color w:val="000000" w:themeColor="text1"/>
                  <w:kern w:val="24"/>
                </w:rPr>
              </m:ctrlPr>
            </m:sSubPr>
            <m:e>
              <m:r>
                <w:rPr>
                  <w:rFonts w:ascii="Cambria Math" w:hAnsi="Cambria Math"/>
                  <w:color w:val="000000" w:themeColor="text1"/>
                  <w:kern w:val="24"/>
                </w:rPr>
                <m:t>F</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3</m:t>
              </m:r>
            </m:sub>
          </m:sSub>
          <m:r>
            <w:rPr>
              <w:rFonts w:ascii="Cambria Math" w:hAnsi="Cambria Math"/>
              <w:color w:val="000000" w:themeColor="text1"/>
              <w:kern w:val="24"/>
            </w:rPr>
            <m:t>Abovemea</m:t>
          </m:r>
          <m:sSub>
            <m:sSubPr>
              <m:ctrlPr>
                <w:rPr>
                  <w:rFonts w:ascii="Cambria Math" w:hAnsi="Cambria Math"/>
                  <w:i/>
                  <w:color w:val="000000" w:themeColor="text1"/>
                  <w:kern w:val="24"/>
                </w:rPr>
              </m:ctrlPr>
            </m:sSubPr>
            <m:e>
              <m:r>
                <w:rPr>
                  <w:rFonts w:ascii="Cambria Math" w:hAnsi="Cambria Math"/>
                  <w:color w:val="000000" w:themeColor="text1"/>
                  <w:kern w:val="24"/>
                </w:rPr>
                <m:t>n</m:t>
              </m:r>
            </m:e>
            <m:sub>
              <m:r>
                <w:rPr>
                  <w:rFonts w:ascii="Cambria Math" w:hAnsi="Cambria Math"/>
                  <w:color w:val="000000" w:themeColor="text1"/>
                  <w:kern w:val="24"/>
                </w:rPr>
                <m:t>i</m:t>
              </m:r>
            </m:sub>
          </m:sSub>
          <m:r>
            <w:rPr>
              <w:rFonts w:ascii="Cambria Math" w:hAnsi="Cambria Math"/>
              <w:color w:val="000000" w:themeColor="text1"/>
              <w:kern w:val="24"/>
            </w:rPr>
            <m:t xml:space="preserve">+ </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4</m:t>
              </m:r>
            </m:sub>
          </m:sSub>
          <m:r>
            <w:rPr>
              <w:rFonts w:ascii="Cambria Math" w:hAnsi="Cambria Math"/>
              <w:color w:val="000000" w:themeColor="text1"/>
              <w:kern w:val="24"/>
            </w:rPr>
            <m:t xml:space="preserve">ANZSIC </m:t>
          </m:r>
          <m:sSub>
            <m:sSubPr>
              <m:ctrlPr>
                <w:rPr>
                  <w:rFonts w:ascii="Cambria Math" w:hAnsi="Cambria Math"/>
                  <w:i/>
                  <w:color w:val="000000" w:themeColor="text1"/>
                  <w:kern w:val="24"/>
                </w:rPr>
              </m:ctrlPr>
            </m:sSubPr>
            <m:e>
              <m:r>
                <w:rPr>
                  <w:rFonts w:ascii="Cambria Math" w:hAnsi="Cambria Math"/>
                  <w:color w:val="000000" w:themeColor="text1"/>
                  <w:kern w:val="24"/>
                </w:rPr>
                <m:t>3</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5</m:t>
              </m:r>
            </m:sub>
          </m:sSub>
          <m:r>
            <w:rPr>
              <w:rFonts w:ascii="Cambria Math" w:hAnsi="Cambria Math"/>
              <w:color w:val="000000" w:themeColor="text1"/>
              <w:kern w:val="24"/>
            </w:rPr>
            <m:t>Metr</m:t>
          </m:r>
          <m:sSub>
            <m:sSubPr>
              <m:ctrlPr>
                <w:rPr>
                  <w:rFonts w:ascii="Cambria Math" w:hAnsi="Cambria Math"/>
                  <w:i/>
                  <w:color w:val="000000" w:themeColor="text1"/>
                  <w:kern w:val="24"/>
                </w:rPr>
              </m:ctrlPr>
            </m:sSubPr>
            <m:e>
              <m:r>
                <w:rPr>
                  <w:rFonts w:ascii="Cambria Math" w:hAnsi="Cambria Math"/>
                  <w:color w:val="000000" w:themeColor="text1"/>
                  <w:kern w:val="24"/>
                </w:rPr>
                <m:t>o</m:t>
              </m:r>
            </m:e>
            <m:sub>
              <m:r>
                <w:rPr>
                  <w:rFonts w:ascii="Cambria Math" w:hAnsi="Cambria Math"/>
                  <w:color w:val="000000" w:themeColor="text1"/>
                  <w:kern w:val="24"/>
                </w:rPr>
                <m:t>i</m:t>
              </m:r>
            </m:sub>
          </m:sSub>
          <m:r>
            <w:rPr>
              <w:rFonts w:ascii="Cambria Math" w:eastAsiaTheme="minorEastAsia" w:hAnsi="Cambria Math"/>
              <w:color w:val="000000" w:themeColor="text1"/>
              <w:kern w:val="24"/>
            </w:rPr>
            <m:t xml:space="preserve"> (9)</m:t>
          </m:r>
        </m:oMath>
      </m:oMathPara>
    </w:p>
    <w:p w14:paraId="6B16C899" w14:textId="2BE199FD" w:rsidR="00152269" w:rsidRPr="002E6CAC" w:rsidRDefault="00000F1D" w:rsidP="00021EF3">
      <w:pPr>
        <w:rPr>
          <w:rFonts w:eastAsiaTheme="minorEastAsia"/>
          <w:color w:val="000000" w:themeColor="text1"/>
          <w:kern w:val="24"/>
        </w:rPr>
      </w:pPr>
      <m:oMathPara>
        <m:oMathParaPr>
          <m:jc m:val="center"/>
        </m:oMathParaPr>
        <m:oMath>
          <m:r>
            <w:rPr>
              <w:rFonts w:ascii="Cambria Math" w:hAnsi="Cambria Math"/>
              <w:color w:val="000000" w:themeColor="text1"/>
              <w:kern w:val="24"/>
            </w:rPr>
            <m:t>exite</m:t>
          </m:r>
          <m:sSub>
            <m:sSubPr>
              <m:ctrlPr>
                <w:rPr>
                  <w:rFonts w:ascii="Cambria Math" w:hAnsi="Cambria Math"/>
                  <w:i/>
                  <w:color w:val="000000" w:themeColor="text1"/>
                  <w:kern w:val="24"/>
                </w:rPr>
              </m:ctrlPr>
            </m:sSubPr>
            <m:e>
              <m:r>
                <w:rPr>
                  <w:rFonts w:ascii="Cambria Math" w:hAnsi="Cambria Math"/>
                  <w:color w:val="000000" w:themeColor="text1"/>
                  <w:kern w:val="24"/>
                </w:rPr>
                <m:t>d</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0</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1</m:t>
              </m:r>
            </m:sub>
          </m:sSub>
          <m:r>
            <w:rPr>
              <w:rFonts w:ascii="Cambria Math" w:hAnsi="Cambria Math"/>
              <w:color w:val="000000" w:themeColor="text1"/>
              <w:kern w:val="24"/>
            </w:rPr>
            <m:t>BCA</m:t>
          </m:r>
          <m:sSub>
            <m:sSubPr>
              <m:ctrlPr>
                <w:rPr>
                  <w:rFonts w:ascii="Cambria Math" w:hAnsi="Cambria Math"/>
                  <w:i/>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2</m:t>
              </m:r>
            </m:sub>
          </m:sSub>
          <m:r>
            <w:rPr>
              <w:rFonts w:ascii="Cambria Math" w:hAnsi="Cambria Math"/>
              <w:color w:val="000000" w:themeColor="text1"/>
              <w:kern w:val="24"/>
            </w:rPr>
            <m:t>LHV</m:t>
          </m:r>
          <m:sSub>
            <m:sSubPr>
              <m:ctrlPr>
                <w:rPr>
                  <w:rFonts w:ascii="Cambria Math" w:hAnsi="Cambria Math"/>
                  <w:i/>
                  <w:color w:val="000000" w:themeColor="text1"/>
                  <w:kern w:val="24"/>
                </w:rPr>
              </m:ctrlPr>
            </m:sSubPr>
            <m:e>
              <m:r>
                <w:rPr>
                  <w:rFonts w:ascii="Cambria Math" w:hAnsi="Cambria Math"/>
                  <w:color w:val="000000" w:themeColor="text1"/>
                  <w:kern w:val="24"/>
                </w:rPr>
                <m:t>F</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3</m:t>
              </m:r>
            </m:sub>
          </m:sSub>
          <m:r>
            <w:rPr>
              <w:rFonts w:ascii="Cambria Math" w:hAnsi="Cambria Math"/>
              <w:color w:val="000000" w:themeColor="text1"/>
              <w:kern w:val="24"/>
            </w:rPr>
            <m:t>Aboveone s</m:t>
          </m:r>
          <m:sSub>
            <m:sSubPr>
              <m:ctrlPr>
                <w:rPr>
                  <w:rFonts w:ascii="Cambria Math" w:hAnsi="Cambria Math"/>
                  <w:i/>
                  <w:color w:val="000000" w:themeColor="text1"/>
                  <w:kern w:val="24"/>
                </w:rPr>
              </m:ctrlPr>
            </m:sSubPr>
            <m:e>
              <m:r>
                <w:rPr>
                  <w:rFonts w:ascii="Cambria Math" w:hAnsi="Cambria Math"/>
                  <w:color w:val="000000" w:themeColor="text1"/>
                  <w:kern w:val="24"/>
                </w:rPr>
                <m:t>d</m:t>
              </m:r>
            </m:e>
            <m:sub>
              <m:r>
                <w:rPr>
                  <w:rFonts w:ascii="Cambria Math" w:hAnsi="Cambria Math"/>
                  <w:color w:val="000000" w:themeColor="text1"/>
                  <w:kern w:val="24"/>
                </w:rPr>
                <m:t>i</m:t>
              </m:r>
            </m:sub>
          </m:sSub>
          <m:r>
            <w:rPr>
              <w:rFonts w:ascii="Cambria Math" w:hAnsi="Cambria Math"/>
              <w:color w:val="000000" w:themeColor="text1"/>
              <w:kern w:val="24"/>
            </w:rPr>
            <m:t xml:space="preserve">+ </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4</m:t>
              </m:r>
            </m:sub>
          </m:sSub>
          <m:r>
            <w:rPr>
              <w:rFonts w:ascii="Cambria Math" w:hAnsi="Cambria Math"/>
              <w:color w:val="000000" w:themeColor="text1"/>
              <w:kern w:val="24"/>
            </w:rPr>
            <m:t xml:space="preserve">ANZSIC </m:t>
          </m:r>
          <m:sSub>
            <m:sSubPr>
              <m:ctrlPr>
                <w:rPr>
                  <w:rFonts w:ascii="Cambria Math" w:hAnsi="Cambria Math"/>
                  <w:i/>
                  <w:color w:val="000000" w:themeColor="text1"/>
                  <w:kern w:val="24"/>
                </w:rPr>
              </m:ctrlPr>
            </m:sSubPr>
            <m:e>
              <m:r>
                <w:rPr>
                  <w:rFonts w:ascii="Cambria Math" w:hAnsi="Cambria Math"/>
                  <w:color w:val="000000" w:themeColor="text1"/>
                  <w:kern w:val="24"/>
                </w:rPr>
                <m:t>3</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5</m:t>
              </m:r>
            </m:sub>
          </m:sSub>
          <m:r>
            <w:rPr>
              <w:rFonts w:ascii="Cambria Math" w:hAnsi="Cambria Math"/>
              <w:color w:val="000000" w:themeColor="text1"/>
              <w:kern w:val="24"/>
            </w:rPr>
            <m:t>Metr</m:t>
          </m:r>
          <m:sSub>
            <m:sSubPr>
              <m:ctrlPr>
                <w:rPr>
                  <w:rFonts w:ascii="Cambria Math" w:hAnsi="Cambria Math"/>
                  <w:i/>
                  <w:color w:val="000000" w:themeColor="text1"/>
                  <w:kern w:val="24"/>
                </w:rPr>
              </m:ctrlPr>
            </m:sSubPr>
            <m:e>
              <m:r>
                <w:rPr>
                  <w:rFonts w:ascii="Cambria Math" w:hAnsi="Cambria Math"/>
                  <w:color w:val="000000" w:themeColor="text1"/>
                  <w:kern w:val="24"/>
                </w:rPr>
                <m:t>o</m:t>
              </m:r>
            </m:e>
            <m:sub>
              <m:r>
                <w:rPr>
                  <w:rFonts w:ascii="Cambria Math" w:hAnsi="Cambria Math"/>
                  <w:color w:val="000000" w:themeColor="text1"/>
                  <w:kern w:val="24"/>
                </w:rPr>
                <m:t>i</m:t>
              </m:r>
            </m:sub>
          </m:sSub>
          <m:r>
            <w:rPr>
              <w:rFonts w:ascii="Cambria Math" w:eastAsiaTheme="minorEastAsia" w:hAnsi="Cambria Math"/>
              <w:color w:val="000000" w:themeColor="text1"/>
              <w:kern w:val="24"/>
            </w:rPr>
            <m:t xml:space="preserve"> (11)</m:t>
          </m:r>
        </m:oMath>
      </m:oMathPara>
    </w:p>
    <w:p w14:paraId="641A8D64" w14:textId="2EFE8B49" w:rsidR="00152269" w:rsidRDefault="002E6CAC" w:rsidP="00021EF3">
      <w:r>
        <w:t>These</w:t>
      </w:r>
      <w:r w:rsidR="00152269">
        <w:t xml:space="preserve"> were also run as logit models as specifications (10) and (12).</w:t>
      </w:r>
    </w:p>
    <w:p w14:paraId="1EDA8DBF" w14:textId="73CC4FE4" w:rsidR="00152269" w:rsidRDefault="00152269" w:rsidP="00021EF3">
      <w:r>
        <w:t>The results of the key variables are displayed below for regressions (7)</w:t>
      </w:r>
      <w:r w:rsidR="002E6CAC">
        <w:t xml:space="preserve"> to </w:t>
      </w:r>
      <w:r>
        <w:t>(12)</w:t>
      </w:r>
      <w:r w:rsidR="002E6CAC">
        <w:t>.</w:t>
      </w:r>
    </w:p>
    <w:p w14:paraId="0EA00A41" w14:textId="0901A6D5" w:rsidR="008F0596" w:rsidRDefault="008F0596" w:rsidP="00021EF3">
      <w:pPr>
        <w:pStyle w:val="AppendixTableCaption"/>
      </w:pPr>
      <w:r>
        <w:t>: Relationship between grant receipt and business exit regression results</w:t>
      </w:r>
      <w:r w:rsidR="00792D18">
        <w:t>.</w:t>
      </w:r>
      <w:r>
        <w:t xml:space="preserve"> </w:t>
      </w:r>
    </w:p>
    <w:tbl>
      <w:tblPr>
        <w:tblStyle w:val="Deloittetable"/>
        <w:tblW w:w="0" w:type="auto"/>
        <w:tblLook w:val="04A0" w:firstRow="1" w:lastRow="0" w:firstColumn="1" w:lastColumn="0" w:noHBand="0" w:noVBand="1"/>
      </w:tblPr>
      <w:tblGrid>
        <w:gridCol w:w="1274"/>
        <w:gridCol w:w="1275"/>
        <w:gridCol w:w="1281"/>
        <w:gridCol w:w="1317"/>
        <w:gridCol w:w="1277"/>
        <w:gridCol w:w="1324"/>
        <w:gridCol w:w="1278"/>
      </w:tblGrid>
      <w:tr w:rsidR="00152269" w14:paraId="20362508" w14:textId="77777777" w:rsidTr="00893EB3">
        <w:trPr>
          <w:cnfStyle w:val="100000000000" w:firstRow="1" w:lastRow="0" w:firstColumn="0" w:lastColumn="0" w:oddVBand="0" w:evenVBand="0" w:oddHBand="0" w:evenHBand="0" w:firstRowFirstColumn="0" w:firstRowLastColumn="0" w:lastRowFirstColumn="0" w:lastRowLastColumn="0"/>
          <w:trHeight w:val="340"/>
          <w:tblHeader/>
        </w:trPr>
        <w:tc>
          <w:tcPr>
            <w:tcW w:w="0" w:type="dxa"/>
          </w:tcPr>
          <w:p w14:paraId="417CADE1" w14:textId="77777777" w:rsidR="00152269" w:rsidRPr="00893EB3" w:rsidRDefault="00152269" w:rsidP="00021EF3">
            <w:pPr>
              <w:rPr>
                <w:rFonts w:cs="Arial"/>
                <w:b/>
                <w:szCs w:val="17"/>
              </w:rPr>
            </w:pPr>
            <w:r w:rsidRPr="00893EB3">
              <w:rPr>
                <w:rFonts w:cs="Arial"/>
                <w:b/>
                <w:szCs w:val="17"/>
              </w:rPr>
              <w:t>Variable</w:t>
            </w:r>
          </w:p>
        </w:tc>
        <w:tc>
          <w:tcPr>
            <w:tcW w:w="0" w:type="dxa"/>
          </w:tcPr>
          <w:p w14:paraId="6727743E" w14:textId="3158C7D4" w:rsidR="00152269" w:rsidRPr="00893EB3" w:rsidRDefault="00152269" w:rsidP="00021EF3">
            <w:pPr>
              <w:rPr>
                <w:rFonts w:cs="Arial"/>
                <w:b/>
                <w:szCs w:val="17"/>
              </w:rPr>
            </w:pPr>
            <w:r w:rsidRPr="00893EB3">
              <w:rPr>
                <w:rFonts w:cs="Arial"/>
                <w:b/>
                <w:szCs w:val="17"/>
              </w:rPr>
              <w:t>(7)</w:t>
            </w:r>
            <w:r w:rsidR="00D44363">
              <w:rPr>
                <w:rFonts w:cs="Arial"/>
                <w:b/>
                <w:szCs w:val="17"/>
              </w:rPr>
              <w:t xml:space="preserve"> (marginal effects)</w:t>
            </w:r>
          </w:p>
        </w:tc>
        <w:tc>
          <w:tcPr>
            <w:tcW w:w="0" w:type="dxa"/>
          </w:tcPr>
          <w:p w14:paraId="6FA350C0" w14:textId="40565E08" w:rsidR="00152269" w:rsidRPr="00893EB3" w:rsidRDefault="00152269" w:rsidP="00021EF3">
            <w:pPr>
              <w:rPr>
                <w:rFonts w:cs="Arial"/>
                <w:b/>
                <w:szCs w:val="17"/>
              </w:rPr>
            </w:pPr>
            <w:r w:rsidRPr="00893EB3">
              <w:rPr>
                <w:rFonts w:cs="Arial"/>
                <w:b/>
                <w:szCs w:val="17"/>
              </w:rPr>
              <w:t>(8)</w:t>
            </w:r>
            <w:r w:rsidR="00D44363">
              <w:rPr>
                <w:rFonts w:cs="Arial"/>
                <w:b/>
                <w:szCs w:val="17"/>
              </w:rPr>
              <w:t xml:space="preserve"> (log odds)</w:t>
            </w:r>
          </w:p>
        </w:tc>
        <w:tc>
          <w:tcPr>
            <w:tcW w:w="0" w:type="dxa"/>
          </w:tcPr>
          <w:p w14:paraId="675DDAF8" w14:textId="2B1871EB" w:rsidR="00152269" w:rsidRPr="00893EB3" w:rsidRDefault="00152269" w:rsidP="00021EF3">
            <w:pPr>
              <w:rPr>
                <w:rFonts w:cs="Arial"/>
                <w:b/>
                <w:szCs w:val="17"/>
              </w:rPr>
            </w:pPr>
            <w:r w:rsidRPr="00893EB3">
              <w:rPr>
                <w:rFonts w:cs="Arial"/>
                <w:b/>
                <w:szCs w:val="17"/>
              </w:rPr>
              <w:t>(9)</w:t>
            </w:r>
            <w:r w:rsidR="00D44363">
              <w:rPr>
                <w:rFonts w:cs="Arial"/>
                <w:b/>
                <w:szCs w:val="17"/>
              </w:rPr>
              <w:t xml:space="preserve"> (marginal effects)</w:t>
            </w:r>
          </w:p>
        </w:tc>
        <w:tc>
          <w:tcPr>
            <w:tcW w:w="0" w:type="dxa"/>
          </w:tcPr>
          <w:p w14:paraId="16A65ACD" w14:textId="5CBEBAA5" w:rsidR="00152269" w:rsidRPr="00893EB3" w:rsidRDefault="00152269" w:rsidP="00021EF3">
            <w:pPr>
              <w:rPr>
                <w:rFonts w:cs="Arial"/>
                <w:b/>
                <w:szCs w:val="17"/>
              </w:rPr>
            </w:pPr>
            <w:r w:rsidRPr="00893EB3">
              <w:rPr>
                <w:rFonts w:cs="Arial"/>
                <w:b/>
                <w:szCs w:val="17"/>
              </w:rPr>
              <w:t>(10)</w:t>
            </w:r>
            <w:r w:rsidR="00D44363">
              <w:rPr>
                <w:rFonts w:cs="Arial"/>
                <w:b/>
                <w:szCs w:val="17"/>
              </w:rPr>
              <w:t xml:space="preserve"> (log odds)</w:t>
            </w:r>
          </w:p>
        </w:tc>
        <w:tc>
          <w:tcPr>
            <w:tcW w:w="0" w:type="dxa"/>
          </w:tcPr>
          <w:p w14:paraId="06F623DF" w14:textId="5B642D04" w:rsidR="00152269" w:rsidRPr="00893EB3" w:rsidRDefault="00152269" w:rsidP="00021EF3">
            <w:pPr>
              <w:rPr>
                <w:rFonts w:cs="Arial"/>
                <w:b/>
                <w:szCs w:val="17"/>
              </w:rPr>
            </w:pPr>
            <w:r w:rsidRPr="00893EB3">
              <w:rPr>
                <w:rFonts w:cs="Arial"/>
                <w:b/>
                <w:szCs w:val="17"/>
              </w:rPr>
              <w:t>(11)</w:t>
            </w:r>
            <w:r w:rsidR="00D44363">
              <w:rPr>
                <w:rFonts w:cs="Arial"/>
                <w:b/>
                <w:szCs w:val="17"/>
              </w:rPr>
              <w:t xml:space="preserve"> (marginal effects)</w:t>
            </w:r>
          </w:p>
        </w:tc>
        <w:tc>
          <w:tcPr>
            <w:tcW w:w="0" w:type="dxa"/>
          </w:tcPr>
          <w:p w14:paraId="2BCADABC" w14:textId="26C22EE6" w:rsidR="00152269" w:rsidRPr="00893EB3" w:rsidRDefault="00152269" w:rsidP="00021EF3">
            <w:pPr>
              <w:rPr>
                <w:rFonts w:cs="Arial"/>
                <w:b/>
                <w:szCs w:val="17"/>
              </w:rPr>
            </w:pPr>
            <w:r w:rsidRPr="00893EB3">
              <w:rPr>
                <w:rFonts w:cs="Arial"/>
                <w:b/>
                <w:szCs w:val="17"/>
              </w:rPr>
              <w:t>(12)</w:t>
            </w:r>
            <w:r w:rsidR="00D44363">
              <w:rPr>
                <w:rFonts w:cs="Arial"/>
                <w:b/>
                <w:szCs w:val="17"/>
              </w:rPr>
              <w:t xml:space="preserve"> (log odds)</w:t>
            </w:r>
          </w:p>
        </w:tc>
      </w:tr>
      <w:tr w:rsidR="00152269" w:rsidRPr="002F50BA" w14:paraId="6DDE6012" w14:textId="77777777">
        <w:trPr>
          <w:trHeight w:val="340"/>
        </w:trPr>
        <w:tc>
          <w:tcPr>
            <w:tcW w:w="1274" w:type="dxa"/>
          </w:tcPr>
          <w:p w14:paraId="5837695D" w14:textId="77777777" w:rsidR="00152269" w:rsidRPr="00893EB3" w:rsidRDefault="00152269" w:rsidP="00021EF3">
            <w:pPr>
              <w:rPr>
                <w:rFonts w:cs="Arial"/>
                <w:szCs w:val="17"/>
              </w:rPr>
            </w:pPr>
            <w:r w:rsidRPr="00BA28B9">
              <w:rPr>
                <w:rFonts w:cs="Arial"/>
                <w:szCs w:val="17"/>
              </w:rPr>
              <w:t>Intercept</w:t>
            </w:r>
          </w:p>
        </w:tc>
        <w:tc>
          <w:tcPr>
            <w:tcW w:w="1275" w:type="dxa"/>
          </w:tcPr>
          <w:p w14:paraId="60D1FD3C" w14:textId="77777777" w:rsidR="00152269" w:rsidRPr="00893EB3" w:rsidRDefault="00152269" w:rsidP="00021EF3">
            <w:pPr>
              <w:spacing w:after="0"/>
              <w:rPr>
                <w:rFonts w:cs="Arial"/>
                <w:color w:val="000000"/>
                <w:szCs w:val="17"/>
              </w:rPr>
            </w:pPr>
            <w:r w:rsidRPr="00BA28B9">
              <w:rPr>
                <w:szCs w:val="17"/>
              </w:rPr>
              <w:t>0.1504***</w:t>
            </w:r>
          </w:p>
        </w:tc>
        <w:tc>
          <w:tcPr>
            <w:tcW w:w="1281" w:type="dxa"/>
          </w:tcPr>
          <w:p w14:paraId="72ECC893" w14:textId="77777777" w:rsidR="00152269" w:rsidRPr="00893EB3" w:rsidRDefault="00152269" w:rsidP="00021EF3">
            <w:pPr>
              <w:spacing w:after="0"/>
              <w:rPr>
                <w:szCs w:val="17"/>
              </w:rPr>
            </w:pPr>
            <w:r w:rsidRPr="00BA28B9">
              <w:rPr>
                <w:szCs w:val="17"/>
              </w:rPr>
              <w:t>-1.7623***</w:t>
            </w:r>
          </w:p>
        </w:tc>
        <w:tc>
          <w:tcPr>
            <w:tcW w:w="1317" w:type="dxa"/>
          </w:tcPr>
          <w:p w14:paraId="00D7B12F" w14:textId="77777777" w:rsidR="00152269" w:rsidRPr="00893EB3" w:rsidRDefault="00152269" w:rsidP="00021EF3">
            <w:pPr>
              <w:spacing w:after="0"/>
              <w:rPr>
                <w:szCs w:val="17"/>
              </w:rPr>
            </w:pPr>
            <w:r w:rsidRPr="00BA28B9">
              <w:rPr>
                <w:szCs w:val="17"/>
              </w:rPr>
              <w:t>0.1502***</w:t>
            </w:r>
          </w:p>
        </w:tc>
        <w:tc>
          <w:tcPr>
            <w:tcW w:w="1277" w:type="dxa"/>
          </w:tcPr>
          <w:p w14:paraId="6DB4FC43" w14:textId="77777777" w:rsidR="00152269" w:rsidRPr="00893EB3" w:rsidRDefault="00152269" w:rsidP="00021EF3">
            <w:pPr>
              <w:spacing w:after="0"/>
              <w:rPr>
                <w:szCs w:val="17"/>
              </w:rPr>
            </w:pPr>
            <w:r w:rsidRPr="00BA28B9">
              <w:rPr>
                <w:szCs w:val="17"/>
              </w:rPr>
              <w:t>-1.7643***</w:t>
            </w:r>
          </w:p>
        </w:tc>
        <w:tc>
          <w:tcPr>
            <w:tcW w:w="1324" w:type="dxa"/>
          </w:tcPr>
          <w:p w14:paraId="533E8C47" w14:textId="77777777" w:rsidR="00152269" w:rsidRPr="00893EB3" w:rsidRDefault="00152269" w:rsidP="00021EF3">
            <w:pPr>
              <w:spacing w:after="0"/>
              <w:rPr>
                <w:szCs w:val="17"/>
              </w:rPr>
            </w:pPr>
            <w:r w:rsidRPr="00BA28B9">
              <w:rPr>
                <w:szCs w:val="17"/>
              </w:rPr>
              <w:t>0.1500***</w:t>
            </w:r>
          </w:p>
        </w:tc>
        <w:tc>
          <w:tcPr>
            <w:tcW w:w="1278" w:type="dxa"/>
          </w:tcPr>
          <w:p w14:paraId="2198616D" w14:textId="77777777" w:rsidR="00152269" w:rsidRPr="00893EB3" w:rsidRDefault="00152269" w:rsidP="00021EF3">
            <w:pPr>
              <w:spacing w:after="0"/>
              <w:rPr>
                <w:szCs w:val="17"/>
              </w:rPr>
            </w:pPr>
            <w:r w:rsidRPr="00BA28B9">
              <w:rPr>
                <w:szCs w:val="17"/>
              </w:rPr>
              <w:t>-1.7650***</w:t>
            </w:r>
          </w:p>
        </w:tc>
      </w:tr>
      <w:tr w:rsidR="00152269" w:rsidRPr="002F50BA" w14:paraId="3C901A60" w14:textId="77777777">
        <w:trPr>
          <w:trHeight w:val="340"/>
        </w:trPr>
        <w:tc>
          <w:tcPr>
            <w:tcW w:w="1274" w:type="dxa"/>
          </w:tcPr>
          <w:p w14:paraId="07188BB4" w14:textId="77777777" w:rsidR="00152269" w:rsidRPr="00893EB3" w:rsidRDefault="00152269" w:rsidP="00021EF3">
            <w:pPr>
              <w:rPr>
                <w:rFonts w:cs="Arial"/>
                <w:szCs w:val="17"/>
              </w:rPr>
            </w:pPr>
            <w:r w:rsidRPr="00BA28B9">
              <w:rPr>
                <w:rFonts w:cs="Arial"/>
                <w:szCs w:val="17"/>
              </w:rPr>
              <w:t>BCAP</w:t>
            </w:r>
          </w:p>
        </w:tc>
        <w:tc>
          <w:tcPr>
            <w:tcW w:w="1275" w:type="dxa"/>
          </w:tcPr>
          <w:p w14:paraId="53B420ED" w14:textId="77777777" w:rsidR="00152269" w:rsidRPr="00893EB3" w:rsidRDefault="00152269" w:rsidP="00021EF3">
            <w:pPr>
              <w:spacing w:after="0"/>
              <w:rPr>
                <w:rFonts w:cs="Arial"/>
                <w:color w:val="000000"/>
                <w:szCs w:val="17"/>
              </w:rPr>
            </w:pPr>
            <w:r w:rsidRPr="00BA28B9">
              <w:rPr>
                <w:szCs w:val="17"/>
              </w:rPr>
              <w:t>-0.0856***</w:t>
            </w:r>
          </w:p>
        </w:tc>
        <w:tc>
          <w:tcPr>
            <w:tcW w:w="1281" w:type="dxa"/>
          </w:tcPr>
          <w:p w14:paraId="40600834" w14:textId="77777777" w:rsidR="00152269" w:rsidRPr="00893EB3" w:rsidRDefault="00152269" w:rsidP="00021EF3">
            <w:pPr>
              <w:spacing w:after="0"/>
              <w:rPr>
                <w:szCs w:val="17"/>
              </w:rPr>
            </w:pPr>
            <w:r w:rsidRPr="00BA28B9">
              <w:rPr>
                <w:szCs w:val="17"/>
              </w:rPr>
              <w:t>-0.8628***</w:t>
            </w:r>
          </w:p>
        </w:tc>
        <w:tc>
          <w:tcPr>
            <w:tcW w:w="1317" w:type="dxa"/>
          </w:tcPr>
          <w:p w14:paraId="3F278024" w14:textId="77777777" w:rsidR="00152269" w:rsidRPr="00893EB3" w:rsidRDefault="00152269" w:rsidP="00021EF3">
            <w:pPr>
              <w:spacing w:after="0"/>
              <w:rPr>
                <w:szCs w:val="17"/>
              </w:rPr>
            </w:pPr>
            <w:r w:rsidRPr="00BA28B9">
              <w:rPr>
                <w:szCs w:val="17"/>
              </w:rPr>
              <w:t>-0.0811***</w:t>
            </w:r>
          </w:p>
        </w:tc>
        <w:tc>
          <w:tcPr>
            <w:tcW w:w="1277" w:type="dxa"/>
          </w:tcPr>
          <w:p w14:paraId="696BC954" w14:textId="77777777" w:rsidR="00152269" w:rsidRPr="00893EB3" w:rsidRDefault="00152269" w:rsidP="00021EF3">
            <w:pPr>
              <w:spacing w:after="0"/>
              <w:rPr>
                <w:szCs w:val="17"/>
              </w:rPr>
            </w:pPr>
            <w:r w:rsidRPr="00BA28B9">
              <w:rPr>
                <w:szCs w:val="17"/>
              </w:rPr>
              <w:t>-0.8135***</w:t>
            </w:r>
          </w:p>
        </w:tc>
        <w:tc>
          <w:tcPr>
            <w:tcW w:w="1324" w:type="dxa"/>
          </w:tcPr>
          <w:p w14:paraId="67179D11" w14:textId="77777777" w:rsidR="00152269" w:rsidRPr="00893EB3" w:rsidRDefault="00152269" w:rsidP="00021EF3">
            <w:pPr>
              <w:spacing w:after="0"/>
              <w:rPr>
                <w:szCs w:val="17"/>
              </w:rPr>
            </w:pPr>
            <w:r w:rsidRPr="00BA28B9">
              <w:rPr>
                <w:szCs w:val="17"/>
              </w:rPr>
              <w:t>-0.0839***</w:t>
            </w:r>
          </w:p>
        </w:tc>
        <w:tc>
          <w:tcPr>
            <w:tcW w:w="1278" w:type="dxa"/>
          </w:tcPr>
          <w:p w14:paraId="0FF17131" w14:textId="77777777" w:rsidR="00152269" w:rsidRPr="00893EB3" w:rsidRDefault="00152269" w:rsidP="00021EF3">
            <w:pPr>
              <w:spacing w:after="0"/>
              <w:rPr>
                <w:szCs w:val="17"/>
              </w:rPr>
            </w:pPr>
            <w:r w:rsidRPr="00BA28B9">
              <w:rPr>
                <w:szCs w:val="17"/>
              </w:rPr>
              <w:t>-0.8424***</w:t>
            </w:r>
          </w:p>
        </w:tc>
      </w:tr>
      <w:tr w:rsidR="00152269" w:rsidRPr="002F50BA" w14:paraId="15645653" w14:textId="77777777">
        <w:trPr>
          <w:trHeight w:val="340"/>
        </w:trPr>
        <w:tc>
          <w:tcPr>
            <w:tcW w:w="1274" w:type="dxa"/>
          </w:tcPr>
          <w:p w14:paraId="7F50A9D7" w14:textId="77777777" w:rsidR="00152269" w:rsidRPr="00893EB3" w:rsidRDefault="00152269" w:rsidP="00021EF3">
            <w:pPr>
              <w:rPr>
                <w:rFonts w:cs="Arial"/>
                <w:szCs w:val="17"/>
              </w:rPr>
            </w:pPr>
            <w:r w:rsidRPr="00BA28B9">
              <w:rPr>
                <w:rFonts w:cs="Arial"/>
                <w:szCs w:val="17"/>
              </w:rPr>
              <w:t>LHVF</w:t>
            </w:r>
          </w:p>
        </w:tc>
        <w:tc>
          <w:tcPr>
            <w:tcW w:w="1275" w:type="dxa"/>
          </w:tcPr>
          <w:p w14:paraId="54909C8F" w14:textId="77777777" w:rsidR="00152269" w:rsidRPr="00893EB3" w:rsidRDefault="00152269" w:rsidP="00021EF3">
            <w:pPr>
              <w:spacing w:after="0"/>
              <w:rPr>
                <w:rFonts w:cs="Arial"/>
                <w:color w:val="000000"/>
                <w:szCs w:val="17"/>
              </w:rPr>
            </w:pPr>
            <w:r w:rsidRPr="00BA28B9">
              <w:rPr>
                <w:szCs w:val="17"/>
              </w:rPr>
              <w:t>-0.0652***</w:t>
            </w:r>
          </w:p>
        </w:tc>
        <w:tc>
          <w:tcPr>
            <w:tcW w:w="1281" w:type="dxa"/>
          </w:tcPr>
          <w:p w14:paraId="4AD2F2BD" w14:textId="77777777" w:rsidR="00152269" w:rsidRPr="00893EB3" w:rsidRDefault="00152269" w:rsidP="00021EF3">
            <w:pPr>
              <w:spacing w:after="0"/>
              <w:rPr>
                <w:szCs w:val="17"/>
              </w:rPr>
            </w:pPr>
            <w:r w:rsidRPr="00BA28B9">
              <w:rPr>
                <w:szCs w:val="17"/>
              </w:rPr>
              <w:t>-0.5354***</w:t>
            </w:r>
          </w:p>
        </w:tc>
        <w:tc>
          <w:tcPr>
            <w:tcW w:w="1317" w:type="dxa"/>
          </w:tcPr>
          <w:p w14:paraId="19B71FDE" w14:textId="77777777" w:rsidR="00152269" w:rsidRPr="00893EB3" w:rsidRDefault="00152269" w:rsidP="00021EF3">
            <w:pPr>
              <w:spacing w:after="0"/>
              <w:rPr>
                <w:szCs w:val="17"/>
              </w:rPr>
            </w:pPr>
            <w:r w:rsidRPr="00BA28B9">
              <w:rPr>
                <w:szCs w:val="17"/>
              </w:rPr>
              <w:t>-0.0630***</w:t>
            </w:r>
          </w:p>
        </w:tc>
        <w:tc>
          <w:tcPr>
            <w:tcW w:w="1277" w:type="dxa"/>
          </w:tcPr>
          <w:p w14:paraId="214E4E02" w14:textId="77777777" w:rsidR="00152269" w:rsidRPr="00893EB3" w:rsidRDefault="00152269" w:rsidP="00021EF3">
            <w:pPr>
              <w:spacing w:after="0"/>
              <w:rPr>
                <w:szCs w:val="17"/>
              </w:rPr>
            </w:pPr>
            <w:r w:rsidRPr="00BA28B9">
              <w:rPr>
                <w:szCs w:val="17"/>
              </w:rPr>
              <w:t>-0.5053***</w:t>
            </w:r>
          </w:p>
        </w:tc>
        <w:tc>
          <w:tcPr>
            <w:tcW w:w="1324" w:type="dxa"/>
          </w:tcPr>
          <w:p w14:paraId="54136BB5" w14:textId="77777777" w:rsidR="00152269" w:rsidRPr="00893EB3" w:rsidRDefault="00152269" w:rsidP="00021EF3">
            <w:pPr>
              <w:spacing w:after="0"/>
              <w:rPr>
                <w:szCs w:val="17"/>
              </w:rPr>
            </w:pPr>
            <w:r w:rsidRPr="00BA28B9">
              <w:rPr>
                <w:szCs w:val="17"/>
              </w:rPr>
              <w:t>-0.0646***</w:t>
            </w:r>
          </w:p>
        </w:tc>
        <w:tc>
          <w:tcPr>
            <w:tcW w:w="1278" w:type="dxa"/>
          </w:tcPr>
          <w:p w14:paraId="0817D573" w14:textId="77777777" w:rsidR="00152269" w:rsidRPr="00893EB3" w:rsidRDefault="00152269" w:rsidP="00021EF3">
            <w:pPr>
              <w:spacing w:after="0"/>
              <w:rPr>
                <w:szCs w:val="17"/>
              </w:rPr>
            </w:pPr>
            <w:r w:rsidRPr="00BA28B9">
              <w:rPr>
                <w:szCs w:val="17"/>
              </w:rPr>
              <w:t>-0.5258***</w:t>
            </w:r>
          </w:p>
        </w:tc>
      </w:tr>
      <w:tr w:rsidR="00152269" w:rsidRPr="002F50BA" w14:paraId="00D5CAEE" w14:textId="77777777">
        <w:trPr>
          <w:trHeight w:val="340"/>
        </w:trPr>
        <w:tc>
          <w:tcPr>
            <w:tcW w:w="1274" w:type="dxa"/>
          </w:tcPr>
          <w:p w14:paraId="455074CF" w14:textId="77777777" w:rsidR="00152269" w:rsidRPr="00893EB3" w:rsidRDefault="00152269" w:rsidP="00021EF3">
            <w:pPr>
              <w:rPr>
                <w:rFonts w:cs="Arial"/>
                <w:szCs w:val="17"/>
              </w:rPr>
            </w:pPr>
            <w:r w:rsidRPr="00BA28B9">
              <w:rPr>
                <w:rFonts w:cs="Arial"/>
                <w:szCs w:val="17"/>
              </w:rPr>
              <w:t>Above mean</w:t>
            </w:r>
          </w:p>
        </w:tc>
        <w:tc>
          <w:tcPr>
            <w:tcW w:w="1275" w:type="dxa"/>
          </w:tcPr>
          <w:p w14:paraId="3A9E0E0E" w14:textId="77777777" w:rsidR="00152269" w:rsidRPr="00893EB3" w:rsidRDefault="00152269" w:rsidP="00021EF3">
            <w:pPr>
              <w:spacing w:after="0"/>
              <w:rPr>
                <w:rFonts w:cs="Arial"/>
                <w:color w:val="000000"/>
                <w:szCs w:val="17"/>
              </w:rPr>
            </w:pPr>
          </w:p>
        </w:tc>
        <w:tc>
          <w:tcPr>
            <w:tcW w:w="1281" w:type="dxa"/>
          </w:tcPr>
          <w:p w14:paraId="5C8DF54B" w14:textId="77777777" w:rsidR="00152269" w:rsidRPr="00893EB3" w:rsidRDefault="00152269" w:rsidP="00021EF3">
            <w:pPr>
              <w:spacing w:after="0"/>
              <w:rPr>
                <w:szCs w:val="17"/>
              </w:rPr>
            </w:pPr>
          </w:p>
        </w:tc>
        <w:tc>
          <w:tcPr>
            <w:tcW w:w="1317" w:type="dxa"/>
          </w:tcPr>
          <w:p w14:paraId="4D081FA7" w14:textId="77777777" w:rsidR="00152269" w:rsidRPr="00893EB3" w:rsidRDefault="00152269" w:rsidP="00021EF3">
            <w:pPr>
              <w:spacing w:after="0"/>
              <w:rPr>
                <w:szCs w:val="17"/>
              </w:rPr>
            </w:pPr>
            <w:r w:rsidRPr="00BA28B9">
              <w:rPr>
                <w:szCs w:val="17"/>
              </w:rPr>
              <w:t>-0.0145***</w:t>
            </w:r>
          </w:p>
        </w:tc>
        <w:tc>
          <w:tcPr>
            <w:tcW w:w="1277" w:type="dxa"/>
          </w:tcPr>
          <w:p w14:paraId="4BB3289A" w14:textId="77777777" w:rsidR="00152269" w:rsidRPr="00893EB3" w:rsidRDefault="00152269" w:rsidP="00021EF3">
            <w:pPr>
              <w:spacing w:after="0"/>
              <w:rPr>
                <w:szCs w:val="17"/>
              </w:rPr>
            </w:pPr>
            <w:r w:rsidRPr="00BA28B9">
              <w:rPr>
                <w:szCs w:val="17"/>
              </w:rPr>
              <w:t>-0.1588***</w:t>
            </w:r>
          </w:p>
        </w:tc>
        <w:tc>
          <w:tcPr>
            <w:tcW w:w="1324" w:type="dxa"/>
          </w:tcPr>
          <w:p w14:paraId="33297B1B" w14:textId="77777777" w:rsidR="00152269" w:rsidRPr="00893EB3" w:rsidRDefault="00152269" w:rsidP="00021EF3">
            <w:pPr>
              <w:spacing w:after="0"/>
              <w:rPr>
                <w:szCs w:val="17"/>
              </w:rPr>
            </w:pPr>
          </w:p>
        </w:tc>
        <w:tc>
          <w:tcPr>
            <w:tcW w:w="1278" w:type="dxa"/>
          </w:tcPr>
          <w:p w14:paraId="59648882" w14:textId="77777777" w:rsidR="00152269" w:rsidRPr="00893EB3" w:rsidRDefault="00152269" w:rsidP="00021EF3">
            <w:pPr>
              <w:spacing w:after="0"/>
              <w:rPr>
                <w:szCs w:val="17"/>
              </w:rPr>
            </w:pPr>
          </w:p>
        </w:tc>
      </w:tr>
      <w:tr w:rsidR="00152269" w:rsidRPr="002F50BA" w14:paraId="1DA99E8A" w14:textId="77777777">
        <w:trPr>
          <w:trHeight w:val="340"/>
        </w:trPr>
        <w:tc>
          <w:tcPr>
            <w:tcW w:w="1274" w:type="dxa"/>
          </w:tcPr>
          <w:p w14:paraId="24D6CEED" w14:textId="02D6D098" w:rsidR="00152269" w:rsidRPr="00893EB3" w:rsidRDefault="00152269" w:rsidP="00021EF3">
            <w:pPr>
              <w:rPr>
                <w:rFonts w:cs="Arial"/>
                <w:szCs w:val="17"/>
              </w:rPr>
            </w:pPr>
            <w:r w:rsidRPr="00BA28B9">
              <w:rPr>
                <w:rFonts w:cs="Arial"/>
                <w:szCs w:val="17"/>
              </w:rPr>
              <w:t xml:space="preserve">Above one </w:t>
            </w:r>
            <w:r w:rsidR="00CB3775">
              <w:rPr>
                <w:rFonts w:cs="Arial"/>
                <w:szCs w:val="17"/>
              </w:rPr>
              <w:t>SD</w:t>
            </w:r>
          </w:p>
        </w:tc>
        <w:tc>
          <w:tcPr>
            <w:tcW w:w="1275" w:type="dxa"/>
          </w:tcPr>
          <w:p w14:paraId="5FCD11FE" w14:textId="77777777" w:rsidR="00152269" w:rsidRPr="00893EB3" w:rsidRDefault="00152269" w:rsidP="00021EF3">
            <w:pPr>
              <w:spacing w:after="0"/>
              <w:rPr>
                <w:rFonts w:cs="Arial"/>
                <w:color w:val="000000"/>
                <w:szCs w:val="17"/>
              </w:rPr>
            </w:pPr>
          </w:p>
        </w:tc>
        <w:tc>
          <w:tcPr>
            <w:tcW w:w="1281" w:type="dxa"/>
          </w:tcPr>
          <w:p w14:paraId="593835F2" w14:textId="77777777" w:rsidR="00152269" w:rsidRPr="00893EB3" w:rsidRDefault="00152269" w:rsidP="00021EF3">
            <w:pPr>
              <w:spacing w:after="0"/>
              <w:rPr>
                <w:szCs w:val="17"/>
              </w:rPr>
            </w:pPr>
          </w:p>
        </w:tc>
        <w:tc>
          <w:tcPr>
            <w:tcW w:w="1317" w:type="dxa"/>
          </w:tcPr>
          <w:p w14:paraId="5C7A6007" w14:textId="77777777" w:rsidR="00152269" w:rsidRPr="00893EB3" w:rsidRDefault="00152269" w:rsidP="00021EF3">
            <w:pPr>
              <w:spacing w:after="0"/>
              <w:rPr>
                <w:szCs w:val="17"/>
              </w:rPr>
            </w:pPr>
          </w:p>
        </w:tc>
        <w:tc>
          <w:tcPr>
            <w:tcW w:w="1277" w:type="dxa"/>
          </w:tcPr>
          <w:p w14:paraId="5DC2C196" w14:textId="77777777" w:rsidR="00152269" w:rsidRPr="00893EB3" w:rsidRDefault="00152269" w:rsidP="00021EF3">
            <w:pPr>
              <w:spacing w:after="0"/>
              <w:rPr>
                <w:szCs w:val="17"/>
              </w:rPr>
            </w:pPr>
          </w:p>
        </w:tc>
        <w:tc>
          <w:tcPr>
            <w:tcW w:w="1324" w:type="dxa"/>
          </w:tcPr>
          <w:p w14:paraId="1389778E" w14:textId="77777777" w:rsidR="00152269" w:rsidRPr="00893EB3" w:rsidRDefault="00152269" w:rsidP="00021EF3">
            <w:pPr>
              <w:spacing w:after="0"/>
              <w:rPr>
                <w:szCs w:val="17"/>
              </w:rPr>
            </w:pPr>
            <w:r w:rsidRPr="00BA28B9">
              <w:rPr>
                <w:szCs w:val="17"/>
              </w:rPr>
              <w:t>-0.0149**</w:t>
            </w:r>
          </w:p>
        </w:tc>
        <w:tc>
          <w:tcPr>
            <w:tcW w:w="1278" w:type="dxa"/>
          </w:tcPr>
          <w:p w14:paraId="1BBC30D2" w14:textId="77777777" w:rsidR="00152269" w:rsidRPr="00893EB3" w:rsidRDefault="00152269" w:rsidP="00021EF3">
            <w:pPr>
              <w:spacing w:after="0"/>
              <w:rPr>
                <w:szCs w:val="17"/>
              </w:rPr>
            </w:pPr>
            <w:r w:rsidRPr="00BA28B9">
              <w:rPr>
                <w:szCs w:val="17"/>
              </w:rPr>
              <w:t>-0.1723**</w:t>
            </w:r>
          </w:p>
        </w:tc>
      </w:tr>
    </w:tbl>
    <w:p w14:paraId="0F33DB18" w14:textId="15D4E0B5" w:rsidR="00152269" w:rsidRPr="00AA7A6D" w:rsidRDefault="00704E6A" w:rsidP="00021EF3">
      <w:pPr>
        <w:pStyle w:val="Source"/>
        <w:rPr>
          <w:sz w:val="16"/>
          <w:szCs w:val="16"/>
        </w:rPr>
      </w:pPr>
      <w:r>
        <w:t>Source: Deloitte Access Economics.</w:t>
      </w:r>
      <w:r>
        <w:br/>
      </w:r>
      <w:r w:rsidR="00152269" w:rsidRPr="00AA7A6D">
        <w:t xml:space="preserve">* = </w:t>
      </w:r>
      <w:r w:rsidR="00152269" w:rsidRPr="00AA7A6D">
        <w:rPr>
          <w:sz w:val="16"/>
          <w:szCs w:val="16"/>
        </w:rPr>
        <w:t>p-value &lt;0.1, ** = p-value &lt;0.05, *** = p-value &lt;0.01</w:t>
      </w:r>
    </w:p>
    <w:p w14:paraId="5368DBB8" w14:textId="6BCBA48D" w:rsidR="00152269" w:rsidRDefault="00152269" w:rsidP="00021EF3">
      <w:r>
        <w:t xml:space="preserve">Across all specifications there </w:t>
      </w:r>
      <w:r w:rsidR="00796BB2">
        <w:t xml:space="preserve">was </w:t>
      </w:r>
      <w:r>
        <w:t xml:space="preserve">a significant negative relationship between a business receiving a grant and the likelihood of that business being </w:t>
      </w:r>
      <w:r w:rsidRPr="00896E0D">
        <w:t>impacted</w:t>
      </w:r>
      <w:r>
        <w:rPr>
          <w:i/>
          <w:iCs/>
        </w:rPr>
        <w:t>.</w:t>
      </w:r>
      <w:r>
        <w:t xml:space="preserve"> When adding in indicators for intense treatment</w:t>
      </w:r>
      <w:r w:rsidR="007B0B76">
        <w:t>,</w:t>
      </w:r>
      <w:r>
        <w:t xml:space="preserve"> the overall </w:t>
      </w:r>
      <w:r>
        <w:lastRenderedPageBreak/>
        <w:t>relationship between treatment and a business becoming impacted remain</w:t>
      </w:r>
      <w:r w:rsidR="007B0B76">
        <w:t>ed</w:t>
      </w:r>
      <w:r>
        <w:t xml:space="preserve"> negative and significant. </w:t>
      </w:r>
      <w:r w:rsidR="006342D6">
        <w:t>Additionally,</w:t>
      </w:r>
      <w:r>
        <w:t xml:space="preserve"> there </w:t>
      </w:r>
      <w:r w:rsidR="007B0B76">
        <w:t xml:space="preserve">was </w:t>
      </w:r>
      <w:r>
        <w:t>a consistent and significant negative relationship between receipt of an intense grant and a business becoming impacted. This indicates a positive relationship between grant amount and business survival.</w:t>
      </w:r>
    </w:p>
    <w:p w14:paraId="78C1FDED" w14:textId="7BA01024" w:rsidR="00152269" w:rsidRDefault="00152269" w:rsidP="00021EF3">
      <w:r>
        <w:t xml:space="preserve">These results support a positive relationship between grant receipt and business outcomes, in contrast to the analysis on insolvencies. This supports the contention that this unexpected result was driven by selection and an inability to effectively control pre-treatment business health. </w:t>
      </w:r>
    </w:p>
    <w:p w14:paraId="4537765E" w14:textId="479C8AE3" w:rsidR="00152269" w:rsidRDefault="00152269" w:rsidP="00021EF3">
      <w:r>
        <w:t>This</w:t>
      </w:r>
      <w:r w:rsidR="001F1520">
        <w:t xml:space="preserve"> also</w:t>
      </w:r>
      <w:r>
        <w:t xml:space="preserve"> likely suggests that the businesses </w:t>
      </w:r>
      <w:r w:rsidR="00E148E9">
        <w:t xml:space="preserve">that </w:t>
      </w:r>
      <w:r>
        <w:t>were ex ante very likely to become insolvent received little benefit from the grant. In contrast</w:t>
      </w:r>
      <w:r w:rsidR="00E148E9">
        <w:t>,</w:t>
      </w:r>
      <w:r>
        <w:t xml:space="preserve"> businesses </w:t>
      </w:r>
      <w:r w:rsidR="004F2EB6">
        <w:t xml:space="preserve">that </w:t>
      </w:r>
      <w:r>
        <w:t>had a more marginal likelihood of business failure were most able to benefit from the grants. This phenomenon was observed by an evaluation into COVID-19</w:t>
      </w:r>
      <w:r w:rsidR="00C16E20">
        <w:t xml:space="preserve"> pandemic</w:t>
      </w:r>
      <w:r w:rsidR="004F2EB6">
        <w:t>-</w:t>
      </w:r>
      <w:r>
        <w:t>related business support grants in NSW</w:t>
      </w:r>
      <w:r w:rsidR="001F3CAE">
        <w:t>, w</w:t>
      </w:r>
      <w:r>
        <w:t xml:space="preserve">here, amongst unviable businesses, business grants had no impact on survival, </w:t>
      </w:r>
      <w:r w:rsidR="001F3CAE">
        <w:t xml:space="preserve">but </w:t>
      </w:r>
      <w:r>
        <w:t>a positive relationship between grant receipt a</w:t>
      </w:r>
      <w:r w:rsidR="00DB7984">
        <w:t>n</w:t>
      </w:r>
      <w:r>
        <w:t>d survival was observed across the population.</w:t>
      </w:r>
      <w:r>
        <w:rPr>
          <w:rStyle w:val="EndnoteReference"/>
        </w:rPr>
        <w:endnoteReference w:id="42"/>
      </w:r>
    </w:p>
    <w:p w14:paraId="7BC4C4FE" w14:textId="1910F32C" w:rsidR="00152269" w:rsidRDefault="00152269" w:rsidP="00021EF3">
      <w:r>
        <w:t xml:space="preserve">This should limit concerns that the grants program kept businesses alive which were otherwise economically unviable. If the grants had in fact supported the operation of unviable </w:t>
      </w:r>
      <w:r w:rsidR="006342D6">
        <w:t>businesses,</w:t>
      </w:r>
      <w:r>
        <w:t xml:space="preserve"> then the misallocation of labour and capital towards these businesses would need to be considered as an economic cost. While some unviable businesses may have continued for a time as a result of these grants, there is no evidence to support the idea that these grants were particularly distortionary in preventing the exit of unviable businesses.</w:t>
      </w:r>
      <w:r w:rsidR="005302BA">
        <w:t xml:space="preserve"> While </w:t>
      </w:r>
      <w:r w:rsidR="00195F8C">
        <w:t xml:space="preserve">evaluations of other similar programs </w:t>
      </w:r>
      <w:r w:rsidR="00EC0211">
        <w:t xml:space="preserve">such as </w:t>
      </w:r>
      <w:proofErr w:type="spellStart"/>
      <w:r w:rsidR="00EC0211">
        <w:t>JobKeeper</w:t>
      </w:r>
      <w:proofErr w:type="spellEnd"/>
      <w:r w:rsidR="00195F8C">
        <w:t xml:space="preserve"> </w:t>
      </w:r>
      <w:r w:rsidR="00F939E9">
        <w:t xml:space="preserve">have </w:t>
      </w:r>
      <w:r w:rsidR="004B12C0">
        <w:t>highlighted there is a fine line between supporting the hibernation of businesses</w:t>
      </w:r>
      <w:r w:rsidR="003C3FC2">
        <w:t xml:space="preserve"> and supporting unproductive businesses,</w:t>
      </w:r>
      <w:r w:rsidR="00F939E9">
        <w:t xml:space="preserve"> </w:t>
      </w:r>
      <w:r w:rsidR="00EC0211">
        <w:t>it has been generally shown that these effects have been insignificant, if any.</w:t>
      </w:r>
      <w:r w:rsidR="00DC2E20">
        <w:rPr>
          <w:rStyle w:val="EndnoteReference"/>
        </w:rPr>
        <w:endnoteReference w:id="43"/>
      </w:r>
      <w:r>
        <w:t xml:space="preserve"> </w:t>
      </w:r>
    </w:p>
    <w:p w14:paraId="1A9B3756" w14:textId="6BDE74C6" w:rsidR="0087226B" w:rsidRDefault="0087226B" w:rsidP="00021EF3">
      <w:r>
        <w:t xml:space="preserve">Another specification </w:t>
      </w:r>
      <w:r w:rsidR="00D27661">
        <w:t>ran included</w:t>
      </w:r>
      <w:r>
        <w:t xml:space="preserve"> an interaction </w:t>
      </w:r>
      <w:r w:rsidR="00AA773F">
        <w:t>between grant receipt and</w:t>
      </w:r>
      <w:r>
        <w:t xml:space="preserve"> </w:t>
      </w:r>
      <w:r w:rsidR="001719A0">
        <w:t>industry to estimate the differential impacts of the grants across industry.</w:t>
      </w:r>
    </w:p>
    <w:p w14:paraId="0EC21F23" w14:textId="53BEE5A7" w:rsidR="00813D64" w:rsidRPr="002E6CAC" w:rsidRDefault="00013EEC" w:rsidP="00021EF3">
      <m:oMathPara>
        <m:oMathParaPr>
          <m:jc m:val="center"/>
        </m:oMathParaPr>
        <m:oMath>
          <m:r>
            <w:rPr>
              <w:rFonts w:ascii="Cambria Math" w:hAnsi="Cambria Math"/>
            </w:rPr>
            <m:t>exite</m:t>
          </m:r>
          <m:sSub>
            <m:sSubPr>
              <m:ctrlPr>
                <w:rPr>
                  <w:rFonts w:ascii="Cambria Math" w:hAnsi="Cambria Math"/>
                  <w:i/>
                  <w:iCs/>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1</m:t>
              </m:r>
            </m:sub>
          </m:sSub>
          <m:r>
            <w:rPr>
              <w:rFonts w:ascii="Cambria Math" w:hAnsi="Cambria Math"/>
            </w:rPr>
            <m:t>BCA</m:t>
          </m:r>
          <m:sSub>
            <m:sSubPr>
              <m:ctrlPr>
                <w:rPr>
                  <w:rFonts w:ascii="Cambria Math" w:hAnsi="Cambria Math"/>
                  <w:i/>
                  <w:iCs/>
                </w:rPr>
              </m:ctrlPr>
            </m:sSubPr>
            <m:e>
              <m:r>
                <w:rPr>
                  <w:rFonts w:ascii="Cambria Math" w:hAnsi="Cambria Math"/>
                </w:rPr>
                <m:t>P</m:t>
              </m:r>
            </m:e>
            <m:sub>
              <m:r>
                <w:rPr>
                  <w:rFonts w:ascii="Cambria Math" w:hAnsi="Cambria Math"/>
                </w:rPr>
                <m:t>i</m:t>
              </m:r>
            </m:sub>
          </m:sSub>
          <m:r>
            <w:rPr>
              <w:rFonts w:ascii="Cambria Math" w:hAnsi="Cambria Math"/>
            </w:rPr>
            <m:t>*ANZSIC </m:t>
          </m:r>
          <m:sSub>
            <m:sSubPr>
              <m:ctrlPr>
                <w:rPr>
                  <w:rFonts w:ascii="Cambria Math" w:hAnsi="Cambria Math"/>
                  <w:i/>
                  <w:iCs/>
                </w:rPr>
              </m:ctrlPr>
            </m:sSubPr>
            <m:e>
              <m:r>
                <w:rPr>
                  <w:rFonts w:ascii="Cambria Math" w:hAnsi="Cambria Math"/>
                </w:rPr>
                <m:t>1</m:t>
              </m:r>
            </m:e>
            <m:sub>
              <m:r>
                <w:rPr>
                  <w:rFonts w:ascii="Cambria Math" w:hAnsi="Cambria Math"/>
                </w:rPr>
                <m:t>i</m:t>
              </m:r>
            </m:sub>
          </m:sSub>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2</m:t>
              </m:r>
            </m:sub>
          </m:sSub>
          <m:r>
            <w:rPr>
              <w:rFonts w:ascii="Cambria Math" w:hAnsi="Cambria Math"/>
            </w:rPr>
            <m:t>LHV</m:t>
          </m:r>
          <m:sSub>
            <m:sSubPr>
              <m:ctrlPr>
                <w:rPr>
                  <w:rFonts w:ascii="Cambria Math" w:hAnsi="Cambria Math"/>
                  <w:i/>
                  <w:iCs/>
                </w:rPr>
              </m:ctrlPr>
            </m:sSubPr>
            <m:e>
              <m:r>
                <w:rPr>
                  <w:rFonts w:ascii="Cambria Math" w:hAnsi="Cambria Math"/>
                </w:rPr>
                <m:t>F</m:t>
              </m:r>
            </m:e>
            <m:sub>
              <m:r>
                <w:rPr>
                  <w:rFonts w:ascii="Cambria Math" w:hAnsi="Cambria Math"/>
                </w:rPr>
                <m:t>i</m:t>
              </m:r>
            </m:sub>
          </m:sSub>
          <m:r>
            <w:rPr>
              <w:rFonts w:ascii="Cambria Math" w:hAnsi="Cambria Math"/>
            </w:rPr>
            <m:t>*ANZSIC </m:t>
          </m:r>
          <m:sSub>
            <m:sSubPr>
              <m:ctrlPr>
                <w:rPr>
                  <w:rFonts w:ascii="Cambria Math" w:hAnsi="Cambria Math"/>
                  <w:i/>
                  <w:iCs/>
                </w:rPr>
              </m:ctrlPr>
            </m:sSubPr>
            <m:e>
              <m:r>
                <w:rPr>
                  <w:rFonts w:ascii="Cambria Math" w:hAnsi="Cambria Math"/>
                </w:rPr>
                <m:t>1</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4</m:t>
              </m:r>
            </m:sub>
          </m:sSub>
          <m:r>
            <w:rPr>
              <w:rFonts w:ascii="Cambria Math" w:hAnsi="Cambria Math"/>
            </w:rPr>
            <m:t>Metr</m:t>
          </m:r>
          <m:sSub>
            <m:sSubPr>
              <m:ctrlPr>
                <w:rPr>
                  <w:rFonts w:ascii="Cambria Math" w:hAnsi="Cambria Math"/>
                  <w:i/>
                  <w:iCs/>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5</m:t>
              </m:r>
            </m:sub>
          </m:sSub>
          <m:r>
            <w:rPr>
              <w:rFonts w:ascii="Cambria Math" w:hAnsi="Cambria Math"/>
            </w:rPr>
            <m:t>ANZSC </m:t>
          </m:r>
          <m:sSub>
            <m:sSubPr>
              <m:ctrlPr>
                <w:rPr>
                  <w:rFonts w:ascii="Cambria Math" w:hAnsi="Cambria Math"/>
                  <w:i/>
                  <w:iCs/>
                </w:rPr>
              </m:ctrlPr>
            </m:sSubPr>
            <m:e>
              <m:r>
                <w:rPr>
                  <w:rFonts w:ascii="Cambria Math" w:hAnsi="Cambria Math"/>
                </w:rPr>
                <m:t>1</m:t>
              </m:r>
            </m:e>
            <m:sub>
              <m:r>
                <w:rPr>
                  <w:rFonts w:ascii="Cambria Math" w:hAnsi="Cambria Math"/>
                </w:rPr>
                <m:t>i</m:t>
              </m:r>
            </m:sub>
          </m:sSub>
          <m:r>
            <w:rPr>
              <w:rFonts w:ascii="Cambria Math" w:hAnsi="Cambria Math"/>
            </w:rPr>
            <m:t>(13)</m:t>
          </m:r>
        </m:oMath>
      </m:oMathPara>
    </w:p>
    <w:p w14:paraId="791DE426" w14:textId="16B5A045" w:rsidR="001719A0" w:rsidRPr="00893EB3" w:rsidRDefault="001719A0" w:rsidP="00021EF3">
      <w:pPr>
        <w:rPr>
          <w:rFonts w:eastAsiaTheme="minorEastAsia"/>
        </w:rPr>
      </w:pPr>
      <w:r>
        <w:rPr>
          <w:rFonts w:eastAsiaTheme="minorEastAsia"/>
          <w:iCs/>
        </w:rPr>
        <w:t>This was repeated as a logit for specification (14)</w:t>
      </w:r>
      <w:r w:rsidR="00D27661">
        <w:rPr>
          <w:rFonts w:eastAsiaTheme="minorEastAsia"/>
          <w:iCs/>
        </w:rPr>
        <w:t>. These results are shown below.</w:t>
      </w:r>
    </w:p>
    <w:p w14:paraId="073D3A5C" w14:textId="3D2E4A14" w:rsidR="008F0596" w:rsidRDefault="008F0596" w:rsidP="00021EF3">
      <w:pPr>
        <w:pStyle w:val="AppendixTableCaption"/>
      </w:pPr>
      <w:r>
        <w:t>: Relationship between grant receipt and business exit regression results by industry division</w:t>
      </w:r>
      <w:r w:rsidR="00792D18">
        <w:t>.</w:t>
      </w:r>
    </w:p>
    <w:tbl>
      <w:tblPr>
        <w:tblStyle w:val="Deloittetable"/>
        <w:tblW w:w="9097" w:type="dxa"/>
        <w:tblLook w:val="04A0" w:firstRow="1" w:lastRow="0" w:firstColumn="1" w:lastColumn="0" w:noHBand="0" w:noVBand="1"/>
      </w:tblPr>
      <w:tblGrid>
        <w:gridCol w:w="1819"/>
        <w:gridCol w:w="1819"/>
        <w:gridCol w:w="1819"/>
        <w:gridCol w:w="1819"/>
        <w:gridCol w:w="1821"/>
      </w:tblGrid>
      <w:tr w:rsidR="00152269" w14:paraId="25615228" w14:textId="77777777" w:rsidTr="00893EB3">
        <w:trPr>
          <w:cnfStyle w:val="100000000000" w:firstRow="1" w:lastRow="0" w:firstColumn="0" w:lastColumn="0" w:oddVBand="0" w:evenVBand="0" w:oddHBand="0" w:evenHBand="0" w:firstRowFirstColumn="0" w:firstRowLastColumn="0" w:lastRowFirstColumn="0" w:lastRowLastColumn="0"/>
          <w:trHeight w:val="340"/>
          <w:tblHeader/>
        </w:trPr>
        <w:tc>
          <w:tcPr>
            <w:tcW w:w="0" w:type="dxa"/>
          </w:tcPr>
          <w:p w14:paraId="46C6441A" w14:textId="77777777" w:rsidR="00152269" w:rsidRPr="00893EB3" w:rsidRDefault="00152269" w:rsidP="00021EF3">
            <w:pPr>
              <w:rPr>
                <w:rFonts w:cs="Arial"/>
                <w:b/>
                <w:szCs w:val="17"/>
              </w:rPr>
            </w:pPr>
            <w:r w:rsidRPr="00893EB3">
              <w:rPr>
                <w:rFonts w:cs="Arial"/>
                <w:b/>
                <w:szCs w:val="17"/>
              </w:rPr>
              <w:t>Specification</w:t>
            </w:r>
          </w:p>
        </w:tc>
        <w:tc>
          <w:tcPr>
            <w:tcW w:w="0" w:type="dxa"/>
          </w:tcPr>
          <w:p w14:paraId="3F2F6ECA" w14:textId="1BFC0447" w:rsidR="00152269" w:rsidRPr="00893EB3" w:rsidRDefault="00152269" w:rsidP="00021EF3">
            <w:pPr>
              <w:rPr>
                <w:rFonts w:cs="Arial"/>
                <w:b/>
                <w:szCs w:val="17"/>
              </w:rPr>
            </w:pPr>
            <w:r w:rsidRPr="00893EB3">
              <w:rPr>
                <w:rFonts w:cs="Arial"/>
                <w:b/>
                <w:szCs w:val="17"/>
              </w:rPr>
              <w:t>(13</w:t>
            </w:r>
            <w:r w:rsidRPr="00893EB3" w:rsidDel="00374612">
              <w:rPr>
                <w:rFonts w:cs="Arial"/>
                <w:b/>
                <w:szCs w:val="17"/>
              </w:rPr>
              <w:t>)</w:t>
            </w:r>
            <w:r w:rsidR="00374612">
              <w:rPr>
                <w:rFonts w:cs="Arial"/>
                <w:b/>
                <w:szCs w:val="17"/>
              </w:rPr>
              <w:t xml:space="preserve"> (marginal effects)</w:t>
            </w:r>
          </w:p>
        </w:tc>
        <w:tc>
          <w:tcPr>
            <w:tcW w:w="0" w:type="dxa"/>
          </w:tcPr>
          <w:p w14:paraId="19BA10F4" w14:textId="4050EFA0" w:rsidR="00152269" w:rsidRPr="00893EB3" w:rsidRDefault="00152269" w:rsidP="00021EF3">
            <w:pPr>
              <w:rPr>
                <w:rFonts w:cs="Arial"/>
                <w:b/>
                <w:szCs w:val="17"/>
              </w:rPr>
            </w:pPr>
            <w:r w:rsidRPr="00893EB3">
              <w:rPr>
                <w:rFonts w:cs="Arial"/>
                <w:b/>
                <w:szCs w:val="17"/>
              </w:rPr>
              <w:t>(13)</w:t>
            </w:r>
            <w:r w:rsidR="00374612">
              <w:rPr>
                <w:rFonts w:cs="Arial"/>
                <w:b/>
                <w:szCs w:val="17"/>
              </w:rPr>
              <w:t xml:space="preserve"> (marginal effects)</w:t>
            </w:r>
          </w:p>
        </w:tc>
        <w:tc>
          <w:tcPr>
            <w:tcW w:w="0" w:type="dxa"/>
          </w:tcPr>
          <w:p w14:paraId="122924C1" w14:textId="1B801A1F" w:rsidR="00152269" w:rsidRPr="00893EB3" w:rsidRDefault="00152269" w:rsidP="00021EF3">
            <w:pPr>
              <w:rPr>
                <w:rFonts w:cs="Arial"/>
                <w:b/>
                <w:szCs w:val="17"/>
              </w:rPr>
            </w:pPr>
            <w:r w:rsidRPr="00893EB3">
              <w:rPr>
                <w:rFonts w:cs="Arial"/>
                <w:b/>
                <w:szCs w:val="17"/>
              </w:rPr>
              <w:t>(14)</w:t>
            </w:r>
            <w:r w:rsidR="00374612">
              <w:rPr>
                <w:rFonts w:cs="Arial"/>
                <w:b/>
                <w:szCs w:val="17"/>
              </w:rPr>
              <w:t xml:space="preserve"> (log odds)</w:t>
            </w:r>
          </w:p>
        </w:tc>
        <w:tc>
          <w:tcPr>
            <w:tcW w:w="0" w:type="dxa"/>
          </w:tcPr>
          <w:p w14:paraId="4F73B7DC" w14:textId="5E66F16E" w:rsidR="00152269" w:rsidRPr="00893EB3" w:rsidRDefault="00152269" w:rsidP="00021EF3">
            <w:pPr>
              <w:rPr>
                <w:rFonts w:cs="Arial"/>
                <w:b/>
                <w:szCs w:val="17"/>
              </w:rPr>
            </w:pPr>
            <w:r w:rsidRPr="00893EB3">
              <w:rPr>
                <w:rFonts w:cs="Arial"/>
                <w:b/>
                <w:szCs w:val="17"/>
              </w:rPr>
              <w:t>(14)</w:t>
            </w:r>
            <w:r w:rsidR="00374612">
              <w:rPr>
                <w:rFonts w:cs="Arial"/>
                <w:b/>
                <w:szCs w:val="17"/>
              </w:rPr>
              <w:t xml:space="preserve"> (log odds)</w:t>
            </w:r>
          </w:p>
        </w:tc>
      </w:tr>
      <w:tr w:rsidR="00152269" w:rsidRPr="002F50BA" w14:paraId="43D9E248" w14:textId="77777777" w:rsidTr="00893EB3">
        <w:trPr>
          <w:trHeight w:val="340"/>
        </w:trPr>
        <w:tc>
          <w:tcPr>
            <w:tcW w:w="0" w:type="dxa"/>
            <w:shd w:val="clear" w:color="auto" w:fill="DFF0F9" w:themeFill="accent3" w:themeFillTint="33"/>
            <w:vAlign w:val="center"/>
          </w:tcPr>
          <w:p w14:paraId="21999D34" w14:textId="77777777" w:rsidR="00152269" w:rsidRPr="00893EB3" w:rsidRDefault="00152269" w:rsidP="00021EF3">
            <w:pPr>
              <w:rPr>
                <w:rFonts w:cs="Arial"/>
                <w:b/>
                <w:szCs w:val="17"/>
              </w:rPr>
            </w:pPr>
            <w:r w:rsidRPr="00893EB3">
              <w:rPr>
                <w:rFonts w:cs="Arial"/>
                <w:b/>
                <w:szCs w:val="17"/>
              </w:rPr>
              <w:t>Variable</w:t>
            </w:r>
          </w:p>
        </w:tc>
        <w:tc>
          <w:tcPr>
            <w:tcW w:w="0" w:type="dxa"/>
            <w:shd w:val="clear" w:color="auto" w:fill="DFF0F9" w:themeFill="accent3" w:themeFillTint="33"/>
          </w:tcPr>
          <w:p w14:paraId="1D30911C" w14:textId="77777777" w:rsidR="00152269" w:rsidRPr="00893EB3" w:rsidRDefault="00152269" w:rsidP="00021EF3">
            <w:pPr>
              <w:spacing w:after="0"/>
              <w:rPr>
                <w:rFonts w:cs="Arial"/>
                <w:b/>
                <w:color w:val="000000"/>
                <w:szCs w:val="17"/>
              </w:rPr>
            </w:pPr>
            <w:r w:rsidRPr="00893EB3">
              <w:rPr>
                <w:rFonts w:cs="Arial"/>
                <w:b/>
                <w:color w:val="000000"/>
                <w:szCs w:val="17"/>
              </w:rPr>
              <w:t>BCAP</w:t>
            </w:r>
          </w:p>
        </w:tc>
        <w:tc>
          <w:tcPr>
            <w:tcW w:w="0" w:type="dxa"/>
            <w:shd w:val="clear" w:color="auto" w:fill="DFF0F9" w:themeFill="accent3" w:themeFillTint="33"/>
          </w:tcPr>
          <w:p w14:paraId="6B3BA201" w14:textId="77777777" w:rsidR="00152269" w:rsidRPr="00893EB3" w:rsidRDefault="00152269" w:rsidP="00021EF3">
            <w:pPr>
              <w:rPr>
                <w:rFonts w:cs="Arial"/>
                <w:b/>
                <w:color w:val="000000"/>
                <w:szCs w:val="17"/>
              </w:rPr>
            </w:pPr>
            <w:r w:rsidRPr="00893EB3">
              <w:rPr>
                <w:rFonts w:cs="Arial"/>
                <w:b/>
                <w:color w:val="000000"/>
                <w:szCs w:val="17"/>
              </w:rPr>
              <w:t>LHVF</w:t>
            </w:r>
          </w:p>
        </w:tc>
        <w:tc>
          <w:tcPr>
            <w:tcW w:w="0" w:type="dxa"/>
            <w:shd w:val="clear" w:color="auto" w:fill="DFF0F9" w:themeFill="accent3" w:themeFillTint="33"/>
          </w:tcPr>
          <w:p w14:paraId="69C30176" w14:textId="77777777" w:rsidR="00152269" w:rsidRPr="00893EB3" w:rsidRDefault="00152269" w:rsidP="00021EF3">
            <w:pPr>
              <w:spacing w:after="0"/>
              <w:rPr>
                <w:rFonts w:cs="Arial"/>
                <w:b/>
                <w:color w:val="000000"/>
                <w:szCs w:val="17"/>
              </w:rPr>
            </w:pPr>
            <w:r w:rsidRPr="00893EB3">
              <w:rPr>
                <w:rFonts w:cs="Arial"/>
                <w:b/>
                <w:color w:val="000000"/>
                <w:szCs w:val="17"/>
              </w:rPr>
              <w:t>BCAP</w:t>
            </w:r>
          </w:p>
        </w:tc>
        <w:tc>
          <w:tcPr>
            <w:tcW w:w="0" w:type="dxa"/>
            <w:shd w:val="clear" w:color="auto" w:fill="DFF0F9" w:themeFill="accent3" w:themeFillTint="33"/>
          </w:tcPr>
          <w:p w14:paraId="791C0ADE" w14:textId="77777777" w:rsidR="00152269" w:rsidRPr="00893EB3" w:rsidRDefault="00152269" w:rsidP="00021EF3">
            <w:pPr>
              <w:spacing w:after="0"/>
              <w:rPr>
                <w:rFonts w:cs="Arial"/>
                <w:b/>
                <w:color w:val="000000"/>
                <w:szCs w:val="17"/>
                <w:highlight w:val="yellow"/>
              </w:rPr>
            </w:pPr>
            <w:r w:rsidRPr="00893EB3">
              <w:rPr>
                <w:rFonts w:cs="Arial"/>
                <w:b/>
                <w:color w:val="000000"/>
                <w:szCs w:val="17"/>
              </w:rPr>
              <w:t>LHVF</w:t>
            </w:r>
          </w:p>
        </w:tc>
      </w:tr>
      <w:tr w:rsidR="00152269" w:rsidRPr="002F50BA" w14:paraId="64A37BB4" w14:textId="77777777">
        <w:trPr>
          <w:trHeight w:val="340"/>
        </w:trPr>
        <w:tc>
          <w:tcPr>
            <w:tcW w:w="1819" w:type="dxa"/>
            <w:vAlign w:val="center"/>
          </w:tcPr>
          <w:p w14:paraId="18CAB2E9" w14:textId="77777777" w:rsidR="00152269" w:rsidRPr="00893EB3" w:rsidRDefault="00152269" w:rsidP="00021EF3">
            <w:pPr>
              <w:rPr>
                <w:rFonts w:cs="Arial"/>
                <w:szCs w:val="17"/>
              </w:rPr>
            </w:pPr>
            <w:r w:rsidRPr="00BA28B9">
              <w:rPr>
                <w:rFonts w:cs="Arial"/>
                <w:color w:val="000000"/>
                <w:kern w:val="24"/>
                <w:szCs w:val="17"/>
              </w:rPr>
              <w:t>Intercept</w:t>
            </w:r>
          </w:p>
        </w:tc>
        <w:tc>
          <w:tcPr>
            <w:tcW w:w="1819" w:type="dxa"/>
          </w:tcPr>
          <w:p w14:paraId="333E4473" w14:textId="77777777" w:rsidR="00152269" w:rsidRPr="00C00231" w:rsidRDefault="00152269" w:rsidP="00021EF3">
            <w:pPr>
              <w:spacing w:after="0"/>
              <w:rPr>
                <w:rFonts w:cs="Arial"/>
                <w:color w:val="000000"/>
              </w:rPr>
            </w:pPr>
            <w:r w:rsidRPr="00BA28B9">
              <w:rPr>
                <w:rFonts w:cs="Arial"/>
                <w:color w:val="000000"/>
                <w:szCs w:val="17"/>
              </w:rPr>
              <w:t>0.1797***</w:t>
            </w:r>
          </w:p>
          <w:p w14:paraId="76D4C544" w14:textId="77777777" w:rsidR="00152269" w:rsidRPr="00893EB3" w:rsidRDefault="00152269" w:rsidP="00021EF3">
            <w:pPr>
              <w:spacing w:after="0"/>
              <w:rPr>
                <w:rFonts w:cs="Arial"/>
                <w:color w:val="000000"/>
                <w:szCs w:val="17"/>
              </w:rPr>
            </w:pPr>
          </w:p>
        </w:tc>
        <w:tc>
          <w:tcPr>
            <w:tcW w:w="1819" w:type="dxa"/>
          </w:tcPr>
          <w:p w14:paraId="5BA0CB92" w14:textId="77777777" w:rsidR="00152269" w:rsidRPr="00893EB3" w:rsidRDefault="00152269" w:rsidP="00021EF3">
            <w:pPr>
              <w:rPr>
                <w:rFonts w:cs="Arial"/>
                <w:color w:val="000000"/>
                <w:szCs w:val="17"/>
              </w:rPr>
            </w:pPr>
          </w:p>
        </w:tc>
        <w:tc>
          <w:tcPr>
            <w:tcW w:w="1819" w:type="dxa"/>
          </w:tcPr>
          <w:p w14:paraId="42AE8245" w14:textId="77777777" w:rsidR="00152269" w:rsidRPr="00C00231" w:rsidRDefault="00152269" w:rsidP="00021EF3">
            <w:pPr>
              <w:spacing w:after="0"/>
              <w:rPr>
                <w:rFonts w:cs="Arial"/>
                <w:color w:val="000000"/>
              </w:rPr>
            </w:pPr>
            <w:r w:rsidRPr="00BA28B9">
              <w:rPr>
                <w:rFonts w:cs="Arial"/>
                <w:color w:val="000000"/>
                <w:szCs w:val="17"/>
              </w:rPr>
              <w:t>-1.5694***</w:t>
            </w:r>
          </w:p>
          <w:p w14:paraId="3BC86FED" w14:textId="77777777" w:rsidR="00152269" w:rsidRPr="00893EB3" w:rsidRDefault="00152269" w:rsidP="00021EF3">
            <w:pPr>
              <w:spacing w:after="0"/>
              <w:ind w:left="0"/>
              <w:rPr>
                <w:rFonts w:cs="Arial"/>
                <w:color w:val="000000"/>
                <w:szCs w:val="17"/>
              </w:rPr>
            </w:pPr>
          </w:p>
        </w:tc>
        <w:tc>
          <w:tcPr>
            <w:tcW w:w="1821" w:type="dxa"/>
          </w:tcPr>
          <w:p w14:paraId="137AAF4B" w14:textId="77777777" w:rsidR="00152269" w:rsidRPr="00893EB3" w:rsidRDefault="00152269" w:rsidP="00021EF3">
            <w:pPr>
              <w:spacing w:after="0"/>
              <w:rPr>
                <w:rFonts w:cs="Arial"/>
                <w:color w:val="000000"/>
                <w:szCs w:val="17"/>
              </w:rPr>
            </w:pPr>
          </w:p>
        </w:tc>
      </w:tr>
      <w:tr w:rsidR="00152269" w:rsidRPr="002F50BA" w14:paraId="3294971C" w14:textId="77777777">
        <w:trPr>
          <w:trHeight w:val="340"/>
        </w:trPr>
        <w:tc>
          <w:tcPr>
            <w:tcW w:w="1819" w:type="dxa"/>
            <w:vAlign w:val="center"/>
          </w:tcPr>
          <w:p w14:paraId="6ECD8FB7" w14:textId="77777777" w:rsidR="00152269" w:rsidRPr="00893EB3" w:rsidRDefault="00152269" w:rsidP="00021EF3">
            <w:pPr>
              <w:rPr>
                <w:rFonts w:cs="Arial"/>
                <w:szCs w:val="17"/>
              </w:rPr>
            </w:pPr>
            <w:r w:rsidRPr="00BA28B9">
              <w:rPr>
                <w:rFonts w:cs="Arial"/>
                <w:szCs w:val="17"/>
              </w:rPr>
              <w:t>BCAP/LHVF</w:t>
            </w:r>
          </w:p>
        </w:tc>
        <w:tc>
          <w:tcPr>
            <w:tcW w:w="1819" w:type="dxa"/>
          </w:tcPr>
          <w:p w14:paraId="5F0F4BD3" w14:textId="77777777" w:rsidR="00152269" w:rsidRPr="00C00231" w:rsidRDefault="00152269" w:rsidP="00021EF3">
            <w:pPr>
              <w:spacing w:after="0"/>
              <w:rPr>
                <w:rFonts w:cs="Arial"/>
                <w:color w:val="000000"/>
              </w:rPr>
            </w:pPr>
            <w:r w:rsidRPr="00BA28B9">
              <w:rPr>
                <w:rFonts w:cs="Arial"/>
                <w:color w:val="000000"/>
                <w:szCs w:val="17"/>
              </w:rPr>
              <w:t>-0.0569***</w:t>
            </w:r>
          </w:p>
          <w:p w14:paraId="68DCD0AA" w14:textId="77777777" w:rsidR="00152269" w:rsidRPr="00893EB3" w:rsidRDefault="00152269" w:rsidP="00021EF3">
            <w:pPr>
              <w:spacing w:after="0"/>
              <w:rPr>
                <w:rFonts w:cs="Arial"/>
                <w:color w:val="000000"/>
                <w:szCs w:val="17"/>
              </w:rPr>
            </w:pPr>
          </w:p>
        </w:tc>
        <w:tc>
          <w:tcPr>
            <w:tcW w:w="1819" w:type="dxa"/>
          </w:tcPr>
          <w:p w14:paraId="7A3E02FD" w14:textId="77777777" w:rsidR="00152269" w:rsidRPr="00C00231" w:rsidRDefault="00152269" w:rsidP="00021EF3">
            <w:pPr>
              <w:spacing w:after="0"/>
              <w:rPr>
                <w:rFonts w:cs="Arial"/>
                <w:color w:val="000000"/>
              </w:rPr>
            </w:pPr>
            <w:r w:rsidRPr="00BA28B9">
              <w:rPr>
                <w:rFonts w:cs="Arial"/>
                <w:color w:val="000000"/>
                <w:szCs w:val="17"/>
              </w:rPr>
              <w:t>-0.0650***</w:t>
            </w:r>
          </w:p>
        </w:tc>
        <w:tc>
          <w:tcPr>
            <w:tcW w:w="1819" w:type="dxa"/>
          </w:tcPr>
          <w:p w14:paraId="3805A011" w14:textId="77777777" w:rsidR="00152269" w:rsidRPr="00893EB3" w:rsidRDefault="00152269" w:rsidP="00021EF3">
            <w:pPr>
              <w:spacing w:after="0"/>
              <w:rPr>
                <w:rFonts w:cs="Arial"/>
                <w:color w:val="000000"/>
                <w:szCs w:val="17"/>
              </w:rPr>
            </w:pPr>
            <w:r w:rsidRPr="00BA28B9">
              <w:rPr>
                <w:rFonts w:cs="Arial"/>
                <w:color w:val="000000"/>
                <w:szCs w:val="17"/>
              </w:rPr>
              <w:t>-0.4289***</w:t>
            </w:r>
          </w:p>
        </w:tc>
        <w:tc>
          <w:tcPr>
            <w:tcW w:w="1821" w:type="dxa"/>
          </w:tcPr>
          <w:p w14:paraId="4ADA8544" w14:textId="77777777" w:rsidR="00152269" w:rsidRPr="00C00231" w:rsidRDefault="00152269" w:rsidP="00021EF3">
            <w:pPr>
              <w:spacing w:after="0"/>
              <w:rPr>
                <w:rFonts w:cs="Arial"/>
                <w:color w:val="000000"/>
              </w:rPr>
            </w:pPr>
            <w:r w:rsidRPr="00BA28B9">
              <w:rPr>
                <w:rFonts w:cs="Arial"/>
                <w:color w:val="000000"/>
                <w:szCs w:val="17"/>
              </w:rPr>
              <w:t>-0.5113</w:t>
            </w:r>
          </w:p>
          <w:p w14:paraId="3C375A6B" w14:textId="77777777" w:rsidR="00152269" w:rsidRPr="00893EB3" w:rsidRDefault="00152269" w:rsidP="00021EF3">
            <w:pPr>
              <w:spacing w:after="0"/>
              <w:rPr>
                <w:rFonts w:cs="Arial"/>
                <w:color w:val="000000"/>
                <w:szCs w:val="17"/>
              </w:rPr>
            </w:pPr>
          </w:p>
        </w:tc>
      </w:tr>
      <w:tr w:rsidR="00152269" w:rsidRPr="002F50BA" w14:paraId="025252D6" w14:textId="77777777">
        <w:trPr>
          <w:trHeight w:val="340"/>
        </w:trPr>
        <w:tc>
          <w:tcPr>
            <w:tcW w:w="1819" w:type="dxa"/>
            <w:vAlign w:val="center"/>
          </w:tcPr>
          <w:p w14:paraId="0975D7A7" w14:textId="77777777" w:rsidR="00152269" w:rsidRPr="00893EB3" w:rsidRDefault="00152269" w:rsidP="00021EF3">
            <w:pPr>
              <w:rPr>
                <w:rFonts w:cs="Arial"/>
                <w:szCs w:val="17"/>
              </w:rPr>
            </w:pPr>
            <w:r w:rsidRPr="00BA28B9">
              <w:rPr>
                <w:rFonts w:eastAsiaTheme="minorEastAsia" w:cs="Arial"/>
                <w:color w:val="000000"/>
                <w:kern w:val="24"/>
                <w:szCs w:val="17"/>
              </w:rPr>
              <w:t>Administrative and Support Services</w:t>
            </w:r>
          </w:p>
        </w:tc>
        <w:tc>
          <w:tcPr>
            <w:tcW w:w="1819" w:type="dxa"/>
          </w:tcPr>
          <w:p w14:paraId="08DEEA47" w14:textId="77777777" w:rsidR="00152269" w:rsidRPr="00893EB3" w:rsidRDefault="00152269" w:rsidP="00021EF3">
            <w:pPr>
              <w:spacing w:after="0"/>
              <w:rPr>
                <w:rFonts w:cs="Arial"/>
                <w:color w:val="000000"/>
                <w:szCs w:val="17"/>
              </w:rPr>
            </w:pPr>
            <w:r w:rsidRPr="00BA28B9">
              <w:rPr>
                <w:rFonts w:cs="Arial"/>
                <w:color w:val="000000"/>
                <w:szCs w:val="17"/>
              </w:rPr>
              <w:t>-0.0479***</w:t>
            </w:r>
          </w:p>
        </w:tc>
        <w:tc>
          <w:tcPr>
            <w:tcW w:w="1819" w:type="dxa"/>
          </w:tcPr>
          <w:p w14:paraId="6ACE59A4" w14:textId="77777777" w:rsidR="00152269" w:rsidRPr="00893EB3" w:rsidRDefault="00152269" w:rsidP="00021EF3">
            <w:pPr>
              <w:rPr>
                <w:rFonts w:cs="Arial"/>
                <w:color w:val="000000"/>
                <w:szCs w:val="17"/>
              </w:rPr>
            </w:pPr>
            <w:r w:rsidRPr="00BA28B9">
              <w:rPr>
                <w:rFonts w:cs="Arial"/>
                <w:color w:val="000000"/>
                <w:szCs w:val="17"/>
              </w:rPr>
              <w:t>0.0262</w:t>
            </w:r>
          </w:p>
        </w:tc>
        <w:tc>
          <w:tcPr>
            <w:tcW w:w="1819" w:type="dxa"/>
          </w:tcPr>
          <w:p w14:paraId="0951DD18" w14:textId="77777777" w:rsidR="00152269" w:rsidRPr="00893EB3" w:rsidRDefault="00152269" w:rsidP="00021EF3">
            <w:pPr>
              <w:spacing w:after="0"/>
              <w:rPr>
                <w:rFonts w:cs="Arial"/>
                <w:color w:val="000000"/>
                <w:szCs w:val="17"/>
              </w:rPr>
            </w:pPr>
            <w:r w:rsidRPr="00BA28B9">
              <w:rPr>
                <w:rFonts w:cs="Arial"/>
                <w:color w:val="000000"/>
                <w:szCs w:val="17"/>
              </w:rPr>
              <w:t>-0.5485***</w:t>
            </w:r>
          </w:p>
        </w:tc>
        <w:tc>
          <w:tcPr>
            <w:tcW w:w="1821" w:type="dxa"/>
          </w:tcPr>
          <w:p w14:paraId="249BA694" w14:textId="77777777" w:rsidR="00152269" w:rsidRPr="00893EB3" w:rsidRDefault="00152269" w:rsidP="00021EF3">
            <w:pPr>
              <w:spacing w:after="0"/>
              <w:rPr>
                <w:rFonts w:cs="Arial"/>
                <w:color w:val="000000"/>
                <w:szCs w:val="17"/>
              </w:rPr>
            </w:pPr>
            <w:r w:rsidRPr="00BA28B9">
              <w:rPr>
                <w:rFonts w:cs="Arial"/>
                <w:color w:val="000000"/>
                <w:szCs w:val="17"/>
              </w:rPr>
              <w:t>0.2172</w:t>
            </w:r>
          </w:p>
        </w:tc>
      </w:tr>
      <w:tr w:rsidR="00152269" w:rsidRPr="002F50BA" w14:paraId="7376BCEA" w14:textId="77777777">
        <w:trPr>
          <w:trHeight w:val="340"/>
        </w:trPr>
        <w:tc>
          <w:tcPr>
            <w:tcW w:w="1819" w:type="dxa"/>
            <w:vAlign w:val="center"/>
          </w:tcPr>
          <w:p w14:paraId="2B4091C4" w14:textId="77777777" w:rsidR="00152269" w:rsidRPr="00893EB3" w:rsidRDefault="00152269" w:rsidP="00021EF3">
            <w:pPr>
              <w:rPr>
                <w:rFonts w:cs="Arial"/>
                <w:szCs w:val="17"/>
              </w:rPr>
            </w:pPr>
            <w:r w:rsidRPr="00BA28B9">
              <w:rPr>
                <w:rFonts w:cs="Arial"/>
                <w:color w:val="000000"/>
                <w:kern w:val="24"/>
                <w:szCs w:val="17"/>
              </w:rPr>
              <w:t>Agriculture, Forestry and Fishing</w:t>
            </w:r>
          </w:p>
        </w:tc>
        <w:tc>
          <w:tcPr>
            <w:tcW w:w="1819" w:type="dxa"/>
          </w:tcPr>
          <w:p w14:paraId="6724E49E" w14:textId="77777777" w:rsidR="00152269" w:rsidRPr="00893EB3" w:rsidRDefault="00152269" w:rsidP="00021EF3">
            <w:pPr>
              <w:spacing w:after="0"/>
              <w:rPr>
                <w:rFonts w:cs="Arial"/>
                <w:color w:val="000000"/>
                <w:szCs w:val="17"/>
              </w:rPr>
            </w:pPr>
            <w:r w:rsidRPr="00BA28B9">
              <w:rPr>
                <w:rFonts w:cs="Arial"/>
                <w:color w:val="000000"/>
                <w:szCs w:val="17"/>
              </w:rPr>
              <w:t>-0.0522</w:t>
            </w:r>
          </w:p>
        </w:tc>
        <w:tc>
          <w:tcPr>
            <w:tcW w:w="1819" w:type="dxa"/>
          </w:tcPr>
          <w:p w14:paraId="0D637F22" w14:textId="77777777" w:rsidR="00152269" w:rsidRPr="00893EB3" w:rsidRDefault="00152269" w:rsidP="00021EF3">
            <w:pPr>
              <w:rPr>
                <w:rFonts w:cs="Arial"/>
                <w:color w:val="000000"/>
                <w:szCs w:val="17"/>
              </w:rPr>
            </w:pPr>
            <w:r w:rsidRPr="00BA28B9">
              <w:rPr>
                <w:rFonts w:cs="Arial"/>
                <w:color w:val="000000"/>
                <w:szCs w:val="17"/>
              </w:rPr>
              <w:t>-0.0441</w:t>
            </w:r>
          </w:p>
        </w:tc>
        <w:tc>
          <w:tcPr>
            <w:tcW w:w="1819" w:type="dxa"/>
          </w:tcPr>
          <w:p w14:paraId="3D10E6E3" w14:textId="77777777" w:rsidR="00152269" w:rsidRPr="00893EB3" w:rsidRDefault="00152269" w:rsidP="00021EF3">
            <w:pPr>
              <w:spacing w:after="0"/>
              <w:rPr>
                <w:rFonts w:cs="Arial"/>
                <w:color w:val="000000"/>
                <w:szCs w:val="17"/>
              </w:rPr>
            </w:pPr>
            <w:r w:rsidRPr="00BA28B9">
              <w:rPr>
                <w:rFonts w:cs="Arial"/>
                <w:color w:val="000000"/>
                <w:szCs w:val="17"/>
              </w:rPr>
              <w:t>-9.0377</w:t>
            </w:r>
          </w:p>
        </w:tc>
        <w:tc>
          <w:tcPr>
            <w:tcW w:w="1821" w:type="dxa"/>
          </w:tcPr>
          <w:p w14:paraId="4C765A65" w14:textId="77777777" w:rsidR="00152269" w:rsidRPr="00893EB3" w:rsidRDefault="00152269" w:rsidP="00021EF3">
            <w:pPr>
              <w:spacing w:after="0"/>
              <w:rPr>
                <w:rFonts w:cs="Arial"/>
                <w:color w:val="000000"/>
                <w:szCs w:val="17"/>
              </w:rPr>
            </w:pPr>
            <w:r w:rsidRPr="00BA28B9">
              <w:rPr>
                <w:rFonts w:cs="Arial"/>
                <w:color w:val="000000"/>
                <w:szCs w:val="17"/>
              </w:rPr>
              <w:t>-8.9552</w:t>
            </w:r>
          </w:p>
        </w:tc>
      </w:tr>
      <w:tr w:rsidR="00152269" w:rsidRPr="002F50BA" w14:paraId="49B276EC" w14:textId="77777777">
        <w:trPr>
          <w:trHeight w:val="340"/>
        </w:trPr>
        <w:tc>
          <w:tcPr>
            <w:tcW w:w="1819" w:type="dxa"/>
            <w:vAlign w:val="center"/>
          </w:tcPr>
          <w:p w14:paraId="2D3A5040" w14:textId="77777777" w:rsidR="00152269" w:rsidRPr="00893EB3" w:rsidRDefault="00152269" w:rsidP="00021EF3">
            <w:pPr>
              <w:rPr>
                <w:rFonts w:cs="Arial"/>
                <w:szCs w:val="17"/>
              </w:rPr>
            </w:pPr>
            <w:r w:rsidRPr="00BA28B9">
              <w:rPr>
                <w:rFonts w:cs="Arial"/>
                <w:color w:val="000000"/>
                <w:kern w:val="24"/>
                <w:szCs w:val="17"/>
                <w:lang w:val="en-GB"/>
              </w:rPr>
              <w:t>Arts and Recreation Services</w:t>
            </w:r>
          </w:p>
        </w:tc>
        <w:tc>
          <w:tcPr>
            <w:tcW w:w="1819" w:type="dxa"/>
          </w:tcPr>
          <w:p w14:paraId="312568D0" w14:textId="77777777" w:rsidR="00152269" w:rsidRPr="00893EB3" w:rsidRDefault="00152269" w:rsidP="00021EF3">
            <w:pPr>
              <w:spacing w:after="0"/>
              <w:rPr>
                <w:rFonts w:cs="Arial"/>
                <w:color w:val="000000"/>
                <w:szCs w:val="17"/>
              </w:rPr>
            </w:pPr>
            <w:r w:rsidRPr="00BA28B9">
              <w:rPr>
                <w:rFonts w:cs="Arial"/>
                <w:color w:val="000000"/>
                <w:szCs w:val="17"/>
              </w:rPr>
              <w:t>-0.0134</w:t>
            </w:r>
          </w:p>
        </w:tc>
        <w:tc>
          <w:tcPr>
            <w:tcW w:w="1819" w:type="dxa"/>
          </w:tcPr>
          <w:p w14:paraId="0332CAEF" w14:textId="77777777" w:rsidR="00152269" w:rsidRPr="00893EB3" w:rsidRDefault="00152269" w:rsidP="00021EF3">
            <w:pPr>
              <w:rPr>
                <w:rFonts w:cs="Arial"/>
                <w:color w:val="000000"/>
                <w:szCs w:val="17"/>
              </w:rPr>
            </w:pPr>
            <w:r w:rsidRPr="00BA28B9">
              <w:rPr>
                <w:rFonts w:cs="Arial"/>
                <w:color w:val="000000"/>
                <w:szCs w:val="17"/>
              </w:rPr>
              <w:t>0.0167</w:t>
            </w:r>
          </w:p>
        </w:tc>
        <w:tc>
          <w:tcPr>
            <w:tcW w:w="1819" w:type="dxa"/>
          </w:tcPr>
          <w:p w14:paraId="4E9FDE5B" w14:textId="77777777" w:rsidR="00152269" w:rsidRPr="00893EB3" w:rsidRDefault="00152269" w:rsidP="00021EF3">
            <w:pPr>
              <w:spacing w:after="0"/>
              <w:rPr>
                <w:rFonts w:cs="Arial"/>
                <w:color w:val="000000"/>
                <w:szCs w:val="17"/>
              </w:rPr>
            </w:pPr>
            <w:r w:rsidRPr="00BA28B9">
              <w:rPr>
                <w:rFonts w:cs="Arial"/>
                <w:color w:val="000000"/>
                <w:szCs w:val="17"/>
              </w:rPr>
              <w:t>-0.2998***</w:t>
            </w:r>
          </w:p>
        </w:tc>
        <w:tc>
          <w:tcPr>
            <w:tcW w:w="1821" w:type="dxa"/>
          </w:tcPr>
          <w:p w14:paraId="6622375A" w14:textId="77777777" w:rsidR="00152269" w:rsidRPr="00893EB3" w:rsidRDefault="00152269" w:rsidP="00021EF3">
            <w:pPr>
              <w:spacing w:after="0"/>
              <w:rPr>
                <w:rFonts w:cs="Arial"/>
                <w:color w:val="000000"/>
                <w:szCs w:val="17"/>
              </w:rPr>
            </w:pPr>
            <w:r w:rsidRPr="00BA28B9">
              <w:rPr>
                <w:rFonts w:cs="Arial"/>
                <w:color w:val="000000"/>
                <w:szCs w:val="17"/>
              </w:rPr>
              <w:t>-0.0466</w:t>
            </w:r>
          </w:p>
        </w:tc>
      </w:tr>
      <w:tr w:rsidR="00152269" w:rsidRPr="002F50BA" w14:paraId="321BDBB3" w14:textId="77777777">
        <w:trPr>
          <w:trHeight w:val="340"/>
        </w:trPr>
        <w:tc>
          <w:tcPr>
            <w:tcW w:w="1819" w:type="dxa"/>
            <w:vAlign w:val="center"/>
          </w:tcPr>
          <w:p w14:paraId="5E8925E8" w14:textId="77777777" w:rsidR="00152269" w:rsidRPr="00893EB3" w:rsidRDefault="00152269" w:rsidP="00021EF3">
            <w:pPr>
              <w:rPr>
                <w:rFonts w:cs="Arial"/>
                <w:szCs w:val="17"/>
              </w:rPr>
            </w:pPr>
            <w:r w:rsidRPr="00BA28B9">
              <w:rPr>
                <w:rFonts w:cs="Arial"/>
                <w:color w:val="000000"/>
                <w:kern w:val="24"/>
                <w:szCs w:val="17"/>
              </w:rPr>
              <w:t>Construction</w:t>
            </w:r>
          </w:p>
        </w:tc>
        <w:tc>
          <w:tcPr>
            <w:tcW w:w="1819" w:type="dxa"/>
          </w:tcPr>
          <w:p w14:paraId="4E801DE1" w14:textId="77777777" w:rsidR="00152269" w:rsidRPr="00893EB3" w:rsidRDefault="00152269" w:rsidP="00021EF3">
            <w:pPr>
              <w:spacing w:after="0"/>
              <w:rPr>
                <w:rFonts w:cs="Arial"/>
                <w:color w:val="000000"/>
                <w:szCs w:val="17"/>
              </w:rPr>
            </w:pPr>
            <w:r w:rsidRPr="00BA28B9">
              <w:rPr>
                <w:rFonts w:cs="Arial"/>
                <w:color w:val="000000"/>
                <w:szCs w:val="17"/>
              </w:rPr>
              <w:t>-0.0286***</w:t>
            </w:r>
          </w:p>
        </w:tc>
        <w:tc>
          <w:tcPr>
            <w:tcW w:w="1819" w:type="dxa"/>
          </w:tcPr>
          <w:p w14:paraId="24073075" w14:textId="77777777" w:rsidR="00152269" w:rsidRPr="00893EB3" w:rsidRDefault="00152269" w:rsidP="00021EF3">
            <w:pPr>
              <w:rPr>
                <w:rFonts w:cs="Arial"/>
                <w:color w:val="000000"/>
                <w:szCs w:val="17"/>
              </w:rPr>
            </w:pPr>
            <w:r w:rsidRPr="00BA28B9">
              <w:rPr>
                <w:rFonts w:cs="Arial"/>
                <w:color w:val="000000"/>
                <w:szCs w:val="17"/>
              </w:rPr>
              <w:t>-0.0684</w:t>
            </w:r>
          </w:p>
        </w:tc>
        <w:tc>
          <w:tcPr>
            <w:tcW w:w="1819" w:type="dxa"/>
          </w:tcPr>
          <w:p w14:paraId="42DACBAD" w14:textId="77777777" w:rsidR="00152269" w:rsidRPr="00893EB3" w:rsidRDefault="00152269" w:rsidP="00021EF3">
            <w:pPr>
              <w:spacing w:after="0"/>
              <w:rPr>
                <w:rFonts w:cs="Arial"/>
                <w:color w:val="000000"/>
                <w:szCs w:val="17"/>
              </w:rPr>
            </w:pPr>
            <w:r w:rsidRPr="00BA28B9">
              <w:rPr>
                <w:rFonts w:cs="Arial"/>
                <w:color w:val="000000"/>
                <w:szCs w:val="17"/>
              </w:rPr>
              <w:t>-0.6254***</w:t>
            </w:r>
          </w:p>
        </w:tc>
        <w:tc>
          <w:tcPr>
            <w:tcW w:w="1821" w:type="dxa"/>
          </w:tcPr>
          <w:p w14:paraId="5EC47726" w14:textId="77777777" w:rsidR="00152269" w:rsidRPr="00893EB3" w:rsidRDefault="00152269" w:rsidP="00021EF3">
            <w:pPr>
              <w:spacing w:after="0"/>
              <w:rPr>
                <w:rFonts w:cs="Arial"/>
                <w:color w:val="000000"/>
                <w:szCs w:val="17"/>
              </w:rPr>
            </w:pPr>
            <w:r w:rsidRPr="00BA28B9">
              <w:rPr>
                <w:rFonts w:cs="Arial"/>
                <w:color w:val="000000"/>
                <w:szCs w:val="17"/>
              </w:rPr>
              <w:t>-9.1809</w:t>
            </w:r>
          </w:p>
        </w:tc>
      </w:tr>
      <w:tr w:rsidR="00152269" w:rsidRPr="002F50BA" w14:paraId="72080A2A" w14:textId="77777777">
        <w:trPr>
          <w:trHeight w:val="340"/>
        </w:trPr>
        <w:tc>
          <w:tcPr>
            <w:tcW w:w="1819" w:type="dxa"/>
            <w:vAlign w:val="center"/>
          </w:tcPr>
          <w:p w14:paraId="71C83545" w14:textId="77777777" w:rsidR="00152269" w:rsidRPr="00893EB3" w:rsidRDefault="00152269" w:rsidP="00021EF3">
            <w:pPr>
              <w:rPr>
                <w:rFonts w:cs="Arial"/>
                <w:szCs w:val="17"/>
              </w:rPr>
            </w:pPr>
            <w:r w:rsidRPr="00BA28B9">
              <w:rPr>
                <w:rFonts w:cs="Arial"/>
                <w:color w:val="000000"/>
                <w:kern w:val="24"/>
                <w:szCs w:val="17"/>
              </w:rPr>
              <w:t>Education and Training</w:t>
            </w:r>
          </w:p>
        </w:tc>
        <w:tc>
          <w:tcPr>
            <w:tcW w:w="1819" w:type="dxa"/>
          </w:tcPr>
          <w:p w14:paraId="28B090B4" w14:textId="77777777" w:rsidR="00152269" w:rsidRPr="00893EB3" w:rsidRDefault="00152269" w:rsidP="00021EF3">
            <w:pPr>
              <w:spacing w:after="0"/>
              <w:rPr>
                <w:rFonts w:cs="Arial"/>
                <w:color w:val="000000"/>
                <w:szCs w:val="17"/>
              </w:rPr>
            </w:pPr>
            <w:r w:rsidRPr="00BA28B9">
              <w:rPr>
                <w:rFonts w:cs="Arial"/>
                <w:color w:val="000000"/>
                <w:szCs w:val="17"/>
              </w:rPr>
              <w:t>-0.0542***</w:t>
            </w:r>
          </w:p>
        </w:tc>
        <w:tc>
          <w:tcPr>
            <w:tcW w:w="1819" w:type="dxa"/>
          </w:tcPr>
          <w:p w14:paraId="18AC0DF4" w14:textId="77777777" w:rsidR="00152269" w:rsidRPr="00893EB3" w:rsidRDefault="00152269" w:rsidP="00021EF3">
            <w:pPr>
              <w:rPr>
                <w:rFonts w:cs="Arial"/>
                <w:color w:val="000000"/>
                <w:szCs w:val="17"/>
              </w:rPr>
            </w:pPr>
            <w:r w:rsidRPr="00BA28B9">
              <w:rPr>
                <w:rFonts w:cs="Arial"/>
                <w:color w:val="000000"/>
                <w:szCs w:val="17"/>
              </w:rPr>
              <w:t>0.0421</w:t>
            </w:r>
          </w:p>
        </w:tc>
        <w:tc>
          <w:tcPr>
            <w:tcW w:w="1819" w:type="dxa"/>
          </w:tcPr>
          <w:p w14:paraId="1BA004D6" w14:textId="77777777" w:rsidR="00152269" w:rsidRPr="00893EB3" w:rsidRDefault="00152269" w:rsidP="00021EF3">
            <w:pPr>
              <w:spacing w:after="0"/>
              <w:rPr>
                <w:rFonts w:cs="Arial"/>
                <w:color w:val="000000"/>
                <w:szCs w:val="17"/>
              </w:rPr>
            </w:pPr>
            <w:r w:rsidRPr="00BA28B9">
              <w:rPr>
                <w:rFonts w:cs="Arial"/>
                <w:color w:val="000000"/>
                <w:szCs w:val="17"/>
              </w:rPr>
              <w:t>-0.7913***</w:t>
            </w:r>
          </w:p>
        </w:tc>
        <w:tc>
          <w:tcPr>
            <w:tcW w:w="1821" w:type="dxa"/>
          </w:tcPr>
          <w:p w14:paraId="64E64C3F" w14:textId="77777777" w:rsidR="00152269" w:rsidRPr="00893EB3" w:rsidRDefault="00152269" w:rsidP="00021EF3">
            <w:pPr>
              <w:spacing w:after="0"/>
              <w:rPr>
                <w:rFonts w:cs="Arial"/>
                <w:color w:val="000000"/>
                <w:szCs w:val="17"/>
              </w:rPr>
            </w:pPr>
            <w:r w:rsidRPr="00BA28B9">
              <w:rPr>
                <w:rFonts w:cs="Arial"/>
                <w:color w:val="000000"/>
                <w:szCs w:val="17"/>
              </w:rPr>
              <w:t>0.33746</w:t>
            </w:r>
          </w:p>
        </w:tc>
      </w:tr>
      <w:tr w:rsidR="00152269" w:rsidRPr="002F50BA" w14:paraId="40A990D6" w14:textId="77777777">
        <w:trPr>
          <w:trHeight w:val="340"/>
        </w:trPr>
        <w:tc>
          <w:tcPr>
            <w:tcW w:w="1819" w:type="dxa"/>
            <w:vAlign w:val="center"/>
          </w:tcPr>
          <w:p w14:paraId="397AE212" w14:textId="77777777" w:rsidR="00152269" w:rsidRPr="00893EB3" w:rsidRDefault="00152269" w:rsidP="00021EF3">
            <w:pPr>
              <w:rPr>
                <w:rFonts w:cs="Arial"/>
                <w:szCs w:val="17"/>
              </w:rPr>
            </w:pPr>
            <w:r w:rsidRPr="00BA28B9">
              <w:rPr>
                <w:rFonts w:cs="Arial"/>
                <w:color w:val="000000"/>
                <w:kern w:val="24"/>
                <w:szCs w:val="17"/>
              </w:rPr>
              <w:t>Electricity, Gas, Water and Waste Services</w:t>
            </w:r>
          </w:p>
        </w:tc>
        <w:tc>
          <w:tcPr>
            <w:tcW w:w="1819" w:type="dxa"/>
          </w:tcPr>
          <w:p w14:paraId="3A3FAD46" w14:textId="77777777" w:rsidR="00152269" w:rsidRPr="00893EB3" w:rsidRDefault="00152269" w:rsidP="00021EF3">
            <w:pPr>
              <w:spacing w:after="0"/>
              <w:rPr>
                <w:rFonts w:cs="Arial"/>
                <w:color w:val="000000"/>
                <w:szCs w:val="17"/>
              </w:rPr>
            </w:pPr>
            <w:r w:rsidRPr="00BA28B9">
              <w:rPr>
                <w:rFonts w:cs="Arial"/>
                <w:color w:val="000000"/>
                <w:szCs w:val="17"/>
              </w:rPr>
              <w:t>-0.0543</w:t>
            </w:r>
          </w:p>
        </w:tc>
        <w:tc>
          <w:tcPr>
            <w:tcW w:w="1819" w:type="dxa"/>
          </w:tcPr>
          <w:p w14:paraId="37E71D03" w14:textId="693DA0DB" w:rsidR="00152269" w:rsidRPr="00893EB3" w:rsidRDefault="00152269" w:rsidP="00021EF3">
            <w:pPr>
              <w:rPr>
                <w:rFonts w:cs="Arial"/>
                <w:color w:val="000000"/>
                <w:szCs w:val="17"/>
              </w:rPr>
            </w:pPr>
            <w:r w:rsidRPr="00BA28B9">
              <w:rPr>
                <w:rFonts w:cs="Arial"/>
                <w:color w:val="000000"/>
                <w:szCs w:val="17"/>
              </w:rPr>
              <w:t>N</w:t>
            </w:r>
            <w:r w:rsidR="007C43E9" w:rsidRPr="00BA28B9">
              <w:rPr>
                <w:rFonts w:cs="Arial"/>
                <w:color w:val="000000"/>
                <w:szCs w:val="17"/>
              </w:rPr>
              <w:t>/A</w:t>
            </w:r>
          </w:p>
        </w:tc>
        <w:tc>
          <w:tcPr>
            <w:tcW w:w="1819" w:type="dxa"/>
          </w:tcPr>
          <w:p w14:paraId="3850D9FA" w14:textId="77777777" w:rsidR="00152269" w:rsidRPr="00893EB3" w:rsidRDefault="00152269" w:rsidP="00021EF3">
            <w:pPr>
              <w:spacing w:after="0"/>
              <w:rPr>
                <w:rFonts w:cs="Arial"/>
                <w:color w:val="000000"/>
                <w:szCs w:val="17"/>
              </w:rPr>
            </w:pPr>
            <w:r w:rsidRPr="00BA28B9">
              <w:rPr>
                <w:rFonts w:cs="Arial"/>
                <w:color w:val="000000"/>
                <w:szCs w:val="17"/>
              </w:rPr>
              <w:t>-9.0547</w:t>
            </w:r>
          </w:p>
        </w:tc>
        <w:tc>
          <w:tcPr>
            <w:tcW w:w="1821" w:type="dxa"/>
          </w:tcPr>
          <w:p w14:paraId="10C71627" w14:textId="4E388F8F" w:rsidR="00152269" w:rsidRPr="00893EB3" w:rsidRDefault="00152269" w:rsidP="00021EF3">
            <w:pPr>
              <w:spacing w:after="0"/>
              <w:rPr>
                <w:rFonts w:cs="Arial"/>
                <w:color w:val="000000"/>
                <w:szCs w:val="17"/>
              </w:rPr>
            </w:pPr>
            <w:r w:rsidRPr="00BA28B9">
              <w:rPr>
                <w:rFonts w:cs="Arial"/>
                <w:color w:val="000000"/>
                <w:szCs w:val="17"/>
              </w:rPr>
              <w:t>N</w:t>
            </w:r>
            <w:r w:rsidR="007C43E9" w:rsidRPr="00BA28B9">
              <w:rPr>
                <w:rFonts w:cs="Arial"/>
                <w:color w:val="000000"/>
                <w:szCs w:val="17"/>
              </w:rPr>
              <w:t>/</w:t>
            </w:r>
            <w:r w:rsidRPr="00BA28B9">
              <w:rPr>
                <w:rFonts w:cs="Arial"/>
                <w:color w:val="000000"/>
                <w:szCs w:val="17"/>
              </w:rPr>
              <w:t>A</w:t>
            </w:r>
          </w:p>
        </w:tc>
      </w:tr>
      <w:tr w:rsidR="00152269" w:rsidRPr="002F50BA" w14:paraId="62BB780E" w14:textId="77777777">
        <w:trPr>
          <w:trHeight w:val="340"/>
        </w:trPr>
        <w:tc>
          <w:tcPr>
            <w:tcW w:w="1819" w:type="dxa"/>
            <w:vAlign w:val="center"/>
          </w:tcPr>
          <w:p w14:paraId="44264433" w14:textId="77777777" w:rsidR="00152269" w:rsidRPr="00893EB3" w:rsidRDefault="00152269" w:rsidP="00021EF3">
            <w:pPr>
              <w:rPr>
                <w:rFonts w:cs="Arial"/>
                <w:szCs w:val="17"/>
              </w:rPr>
            </w:pPr>
            <w:r w:rsidRPr="00BA28B9">
              <w:rPr>
                <w:rFonts w:cs="Arial"/>
                <w:color w:val="000000"/>
                <w:kern w:val="24"/>
                <w:szCs w:val="17"/>
              </w:rPr>
              <w:t>Financial and Insurance Services</w:t>
            </w:r>
          </w:p>
        </w:tc>
        <w:tc>
          <w:tcPr>
            <w:tcW w:w="1819" w:type="dxa"/>
          </w:tcPr>
          <w:p w14:paraId="0B1325EF" w14:textId="77777777" w:rsidR="00152269" w:rsidRPr="00893EB3" w:rsidRDefault="00152269" w:rsidP="00021EF3">
            <w:pPr>
              <w:spacing w:after="0"/>
              <w:rPr>
                <w:rFonts w:cs="Arial"/>
                <w:color w:val="000000"/>
                <w:szCs w:val="17"/>
              </w:rPr>
            </w:pPr>
            <w:r w:rsidRPr="00BA28B9">
              <w:rPr>
                <w:rFonts w:cs="Arial"/>
                <w:color w:val="000000"/>
                <w:szCs w:val="17"/>
              </w:rPr>
              <w:t>0.0106</w:t>
            </w:r>
          </w:p>
        </w:tc>
        <w:tc>
          <w:tcPr>
            <w:tcW w:w="1819" w:type="dxa"/>
          </w:tcPr>
          <w:p w14:paraId="78A2E749" w14:textId="77777777" w:rsidR="00152269" w:rsidRPr="00893EB3" w:rsidRDefault="00152269" w:rsidP="00021EF3">
            <w:pPr>
              <w:rPr>
                <w:rFonts w:cs="Arial"/>
                <w:color w:val="000000"/>
                <w:szCs w:val="17"/>
              </w:rPr>
            </w:pPr>
            <w:r w:rsidRPr="00BA28B9">
              <w:rPr>
                <w:rFonts w:cs="Arial"/>
                <w:color w:val="000000"/>
                <w:szCs w:val="17"/>
              </w:rPr>
              <w:t>0.0665</w:t>
            </w:r>
          </w:p>
        </w:tc>
        <w:tc>
          <w:tcPr>
            <w:tcW w:w="1819" w:type="dxa"/>
          </w:tcPr>
          <w:p w14:paraId="1C8FD4D5" w14:textId="77777777" w:rsidR="00152269" w:rsidRPr="00893EB3" w:rsidRDefault="00152269" w:rsidP="00021EF3">
            <w:pPr>
              <w:spacing w:after="0"/>
              <w:rPr>
                <w:rFonts w:cs="Arial"/>
                <w:color w:val="000000"/>
                <w:szCs w:val="17"/>
              </w:rPr>
            </w:pPr>
            <w:r w:rsidRPr="00BA28B9">
              <w:rPr>
                <w:rFonts w:cs="Arial"/>
                <w:color w:val="000000"/>
                <w:szCs w:val="17"/>
              </w:rPr>
              <w:t>-0.3214</w:t>
            </w:r>
          </w:p>
        </w:tc>
        <w:tc>
          <w:tcPr>
            <w:tcW w:w="1821" w:type="dxa"/>
          </w:tcPr>
          <w:p w14:paraId="54E4A5DA" w14:textId="77777777" w:rsidR="00152269" w:rsidRPr="00893EB3" w:rsidRDefault="00152269" w:rsidP="00021EF3">
            <w:pPr>
              <w:spacing w:after="0"/>
              <w:rPr>
                <w:rFonts w:cs="Arial"/>
                <w:color w:val="000000"/>
                <w:szCs w:val="17"/>
              </w:rPr>
            </w:pPr>
            <w:r w:rsidRPr="00BA28B9">
              <w:rPr>
                <w:rFonts w:cs="Arial"/>
                <w:color w:val="000000"/>
                <w:szCs w:val="17"/>
              </w:rPr>
              <w:t>0.5121</w:t>
            </w:r>
          </w:p>
        </w:tc>
      </w:tr>
      <w:tr w:rsidR="00152269" w:rsidRPr="002F50BA" w14:paraId="19E6235F" w14:textId="77777777">
        <w:trPr>
          <w:trHeight w:val="340"/>
        </w:trPr>
        <w:tc>
          <w:tcPr>
            <w:tcW w:w="1819" w:type="dxa"/>
            <w:vAlign w:val="center"/>
          </w:tcPr>
          <w:p w14:paraId="4CF9A573" w14:textId="77777777" w:rsidR="00152269" w:rsidRPr="00893EB3" w:rsidRDefault="00152269" w:rsidP="00021EF3">
            <w:pPr>
              <w:rPr>
                <w:rFonts w:cs="Arial"/>
                <w:szCs w:val="17"/>
              </w:rPr>
            </w:pPr>
            <w:r w:rsidRPr="00BA28B9">
              <w:rPr>
                <w:rFonts w:cs="Arial"/>
                <w:color w:val="000000"/>
                <w:kern w:val="24"/>
                <w:szCs w:val="17"/>
              </w:rPr>
              <w:lastRenderedPageBreak/>
              <w:t>Health Care and Social Assistance</w:t>
            </w:r>
          </w:p>
        </w:tc>
        <w:tc>
          <w:tcPr>
            <w:tcW w:w="1819" w:type="dxa"/>
          </w:tcPr>
          <w:p w14:paraId="204D09FE" w14:textId="77777777" w:rsidR="00152269" w:rsidRPr="00893EB3" w:rsidRDefault="00152269" w:rsidP="00021EF3">
            <w:pPr>
              <w:spacing w:after="0"/>
              <w:rPr>
                <w:rFonts w:cs="Arial"/>
                <w:color w:val="000000"/>
                <w:szCs w:val="17"/>
              </w:rPr>
            </w:pPr>
            <w:r w:rsidRPr="00BA28B9">
              <w:rPr>
                <w:rFonts w:cs="Arial"/>
                <w:color w:val="000000"/>
                <w:szCs w:val="17"/>
              </w:rPr>
              <w:t>-0.0147**</w:t>
            </w:r>
          </w:p>
        </w:tc>
        <w:tc>
          <w:tcPr>
            <w:tcW w:w="1819" w:type="dxa"/>
          </w:tcPr>
          <w:p w14:paraId="46850740" w14:textId="77777777" w:rsidR="00152269" w:rsidRPr="00893EB3" w:rsidRDefault="00152269" w:rsidP="00021EF3">
            <w:pPr>
              <w:rPr>
                <w:rFonts w:cs="Arial"/>
                <w:color w:val="000000"/>
                <w:szCs w:val="17"/>
              </w:rPr>
            </w:pPr>
            <w:r w:rsidRPr="00BA28B9">
              <w:rPr>
                <w:rFonts w:cs="Arial"/>
                <w:color w:val="000000"/>
                <w:szCs w:val="17"/>
              </w:rPr>
              <w:t>-0.0314</w:t>
            </w:r>
          </w:p>
        </w:tc>
        <w:tc>
          <w:tcPr>
            <w:tcW w:w="1819" w:type="dxa"/>
          </w:tcPr>
          <w:p w14:paraId="78740201" w14:textId="77777777" w:rsidR="00152269" w:rsidRPr="00893EB3" w:rsidRDefault="00152269" w:rsidP="00021EF3">
            <w:pPr>
              <w:spacing w:after="0"/>
              <w:rPr>
                <w:rFonts w:cs="Arial"/>
                <w:color w:val="000000"/>
                <w:szCs w:val="17"/>
              </w:rPr>
            </w:pPr>
            <w:r w:rsidRPr="00BA28B9">
              <w:rPr>
                <w:rFonts w:cs="Arial"/>
                <w:color w:val="000000"/>
                <w:szCs w:val="17"/>
              </w:rPr>
              <w:t>-0.8897***</w:t>
            </w:r>
          </w:p>
        </w:tc>
        <w:tc>
          <w:tcPr>
            <w:tcW w:w="1821" w:type="dxa"/>
          </w:tcPr>
          <w:p w14:paraId="157DE5D0" w14:textId="77777777" w:rsidR="00152269" w:rsidRPr="00893EB3" w:rsidRDefault="00152269" w:rsidP="00021EF3">
            <w:pPr>
              <w:spacing w:after="0"/>
              <w:rPr>
                <w:rFonts w:cs="Arial"/>
                <w:color w:val="000000"/>
                <w:szCs w:val="17"/>
              </w:rPr>
            </w:pPr>
            <w:r w:rsidRPr="00BA28B9">
              <w:rPr>
                <w:rFonts w:cs="Arial"/>
                <w:color w:val="000000"/>
                <w:szCs w:val="17"/>
              </w:rPr>
              <w:t>-8.8244</w:t>
            </w:r>
          </w:p>
        </w:tc>
      </w:tr>
      <w:tr w:rsidR="00152269" w:rsidRPr="002F50BA" w14:paraId="786E6112" w14:textId="77777777">
        <w:trPr>
          <w:trHeight w:val="340"/>
        </w:trPr>
        <w:tc>
          <w:tcPr>
            <w:tcW w:w="1819" w:type="dxa"/>
            <w:vAlign w:val="center"/>
          </w:tcPr>
          <w:p w14:paraId="2CE7BFF1" w14:textId="77777777" w:rsidR="00152269" w:rsidRPr="00893EB3" w:rsidRDefault="00152269" w:rsidP="00021EF3">
            <w:pPr>
              <w:rPr>
                <w:rFonts w:cs="Arial"/>
                <w:szCs w:val="17"/>
              </w:rPr>
            </w:pPr>
            <w:r w:rsidRPr="00BA28B9">
              <w:rPr>
                <w:rFonts w:cs="Arial"/>
                <w:color w:val="000000"/>
                <w:kern w:val="24"/>
                <w:szCs w:val="17"/>
              </w:rPr>
              <w:t>Information Media and Telecommunications</w:t>
            </w:r>
          </w:p>
        </w:tc>
        <w:tc>
          <w:tcPr>
            <w:tcW w:w="1819" w:type="dxa"/>
          </w:tcPr>
          <w:p w14:paraId="51BB3E84" w14:textId="77777777" w:rsidR="00152269" w:rsidRPr="00893EB3" w:rsidRDefault="00152269" w:rsidP="00021EF3">
            <w:pPr>
              <w:spacing w:after="0"/>
              <w:rPr>
                <w:rFonts w:cs="Arial"/>
                <w:color w:val="000000"/>
                <w:szCs w:val="17"/>
              </w:rPr>
            </w:pPr>
            <w:r w:rsidRPr="00BA28B9">
              <w:rPr>
                <w:rFonts w:cs="Arial"/>
                <w:color w:val="000000"/>
                <w:szCs w:val="17"/>
              </w:rPr>
              <w:t>-0.0798</w:t>
            </w:r>
          </w:p>
        </w:tc>
        <w:tc>
          <w:tcPr>
            <w:tcW w:w="1819" w:type="dxa"/>
          </w:tcPr>
          <w:p w14:paraId="175A301D" w14:textId="77777777" w:rsidR="00152269" w:rsidRPr="00893EB3" w:rsidRDefault="00152269" w:rsidP="00021EF3">
            <w:pPr>
              <w:rPr>
                <w:rFonts w:cs="Arial"/>
                <w:color w:val="000000"/>
                <w:szCs w:val="17"/>
              </w:rPr>
            </w:pPr>
            <w:r w:rsidRPr="00BA28B9">
              <w:rPr>
                <w:rFonts w:cs="Arial"/>
                <w:color w:val="000000"/>
                <w:szCs w:val="17"/>
              </w:rPr>
              <w:t>-0.0394</w:t>
            </w:r>
          </w:p>
        </w:tc>
        <w:tc>
          <w:tcPr>
            <w:tcW w:w="1819" w:type="dxa"/>
          </w:tcPr>
          <w:p w14:paraId="79F47A0F" w14:textId="77777777" w:rsidR="00152269" w:rsidRPr="00893EB3" w:rsidRDefault="00152269" w:rsidP="00021EF3">
            <w:pPr>
              <w:spacing w:after="0"/>
              <w:rPr>
                <w:rFonts w:cs="Arial"/>
                <w:color w:val="000000"/>
                <w:szCs w:val="17"/>
              </w:rPr>
            </w:pPr>
            <w:r w:rsidRPr="00BA28B9">
              <w:rPr>
                <w:rFonts w:cs="Arial"/>
                <w:color w:val="000000"/>
                <w:szCs w:val="17"/>
              </w:rPr>
              <w:t>-1.2927***</w:t>
            </w:r>
          </w:p>
        </w:tc>
        <w:tc>
          <w:tcPr>
            <w:tcW w:w="1821" w:type="dxa"/>
          </w:tcPr>
          <w:p w14:paraId="32FB9420" w14:textId="77777777" w:rsidR="00152269" w:rsidRPr="00893EB3" w:rsidRDefault="00152269" w:rsidP="00021EF3">
            <w:pPr>
              <w:spacing w:after="0"/>
              <w:rPr>
                <w:rFonts w:cs="Arial"/>
                <w:color w:val="000000"/>
                <w:szCs w:val="17"/>
              </w:rPr>
            </w:pPr>
            <w:r w:rsidRPr="00BA28B9">
              <w:rPr>
                <w:rFonts w:cs="Arial"/>
                <w:color w:val="000000"/>
                <w:szCs w:val="17"/>
              </w:rPr>
              <w:t>-0.6755</w:t>
            </w:r>
          </w:p>
        </w:tc>
      </w:tr>
      <w:tr w:rsidR="00152269" w:rsidRPr="002F50BA" w14:paraId="774CB94E" w14:textId="77777777">
        <w:trPr>
          <w:trHeight w:val="340"/>
        </w:trPr>
        <w:tc>
          <w:tcPr>
            <w:tcW w:w="1819" w:type="dxa"/>
            <w:vAlign w:val="center"/>
          </w:tcPr>
          <w:p w14:paraId="3D8EDA63" w14:textId="77777777" w:rsidR="00152269" w:rsidRPr="00893EB3" w:rsidRDefault="00152269" w:rsidP="00021EF3">
            <w:pPr>
              <w:rPr>
                <w:rFonts w:cs="Arial"/>
                <w:szCs w:val="17"/>
              </w:rPr>
            </w:pPr>
            <w:r w:rsidRPr="00BA28B9">
              <w:rPr>
                <w:rFonts w:cs="Arial"/>
                <w:color w:val="000000"/>
                <w:kern w:val="24"/>
                <w:szCs w:val="17"/>
              </w:rPr>
              <w:t>Manufacturing</w:t>
            </w:r>
          </w:p>
        </w:tc>
        <w:tc>
          <w:tcPr>
            <w:tcW w:w="1819" w:type="dxa"/>
          </w:tcPr>
          <w:p w14:paraId="2C5CE2B4" w14:textId="77777777" w:rsidR="00152269" w:rsidRPr="00893EB3" w:rsidRDefault="00152269" w:rsidP="00021EF3">
            <w:pPr>
              <w:spacing w:after="0"/>
              <w:rPr>
                <w:rFonts w:cs="Arial"/>
                <w:color w:val="000000"/>
                <w:szCs w:val="17"/>
              </w:rPr>
            </w:pPr>
            <w:r w:rsidRPr="00BA28B9">
              <w:rPr>
                <w:rFonts w:cs="Arial"/>
                <w:color w:val="000000"/>
                <w:szCs w:val="17"/>
              </w:rPr>
              <w:t>-0.0066***</w:t>
            </w:r>
          </w:p>
        </w:tc>
        <w:tc>
          <w:tcPr>
            <w:tcW w:w="1819" w:type="dxa"/>
          </w:tcPr>
          <w:p w14:paraId="0271EBF6" w14:textId="77777777" w:rsidR="00152269" w:rsidRPr="00893EB3" w:rsidRDefault="00152269" w:rsidP="00021EF3">
            <w:pPr>
              <w:rPr>
                <w:rFonts w:cs="Arial"/>
                <w:color w:val="000000"/>
                <w:szCs w:val="17"/>
              </w:rPr>
            </w:pPr>
            <w:r w:rsidRPr="00BA28B9">
              <w:rPr>
                <w:rFonts w:cs="Arial"/>
                <w:color w:val="000000"/>
                <w:szCs w:val="17"/>
              </w:rPr>
              <w:t>0.0497**</w:t>
            </w:r>
          </w:p>
        </w:tc>
        <w:tc>
          <w:tcPr>
            <w:tcW w:w="1819" w:type="dxa"/>
          </w:tcPr>
          <w:p w14:paraId="6775E44D" w14:textId="77777777" w:rsidR="00152269" w:rsidRPr="00893EB3" w:rsidRDefault="00152269" w:rsidP="00021EF3">
            <w:pPr>
              <w:spacing w:after="0"/>
              <w:rPr>
                <w:rFonts w:cs="Arial"/>
                <w:color w:val="000000"/>
                <w:szCs w:val="17"/>
              </w:rPr>
            </w:pPr>
            <w:r w:rsidRPr="00BA28B9">
              <w:rPr>
                <w:rFonts w:cs="Arial"/>
                <w:color w:val="000000"/>
                <w:szCs w:val="17"/>
              </w:rPr>
              <w:t>-0.3057</w:t>
            </w:r>
          </w:p>
        </w:tc>
        <w:tc>
          <w:tcPr>
            <w:tcW w:w="1821" w:type="dxa"/>
          </w:tcPr>
          <w:p w14:paraId="30C4570F" w14:textId="77777777" w:rsidR="00152269" w:rsidRPr="00893EB3" w:rsidRDefault="00152269" w:rsidP="00021EF3">
            <w:pPr>
              <w:spacing w:after="0"/>
              <w:rPr>
                <w:rFonts w:cs="Arial"/>
                <w:color w:val="000000"/>
                <w:szCs w:val="17"/>
              </w:rPr>
            </w:pPr>
            <w:r w:rsidRPr="00BA28B9">
              <w:rPr>
                <w:rFonts w:cs="Arial"/>
                <w:color w:val="000000"/>
                <w:szCs w:val="17"/>
              </w:rPr>
              <w:t>0.36573</w:t>
            </w:r>
          </w:p>
        </w:tc>
      </w:tr>
      <w:tr w:rsidR="00152269" w:rsidRPr="002F50BA" w14:paraId="044DE532" w14:textId="77777777">
        <w:trPr>
          <w:trHeight w:val="340"/>
        </w:trPr>
        <w:tc>
          <w:tcPr>
            <w:tcW w:w="1819" w:type="dxa"/>
            <w:vAlign w:val="center"/>
          </w:tcPr>
          <w:p w14:paraId="556DE3E4" w14:textId="77777777" w:rsidR="00152269" w:rsidRPr="00893EB3" w:rsidRDefault="00152269" w:rsidP="00021EF3">
            <w:pPr>
              <w:rPr>
                <w:rFonts w:cs="Arial"/>
                <w:szCs w:val="17"/>
              </w:rPr>
            </w:pPr>
            <w:r w:rsidRPr="00BA28B9">
              <w:rPr>
                <w:rFonts w:cs="Arial"/>
                <w:color w:val="000000"/>
                <w:kern w:val="24"/>
                <w:szCs w:val="17"/>
              </w:rPr>
              <w:t>Mining</w:t>
            </w:r>
          </w:p>
        </w:tc>
        <w:tc>
          <w:tcPr>
            <w:tcW w:w="1819" w:type="dxa"/>
          </w:tcPr>
          <w:p w14:paraId="73CC73B9" w14:textId="5E8B1944" w:rsidR="00152269" w:rsidRPr="00893EB3" w:rsidRDefault="00152269" w:rsidP="00021EF3">
            <w:pPr>
              <w:spacing w:after="0"/>
              <w:rPr>
                <w:rFonts w:cs="Arial"/>
                <w:color w:val="000000"/>
                <w:szCs w:val="17"/>
              </w:rPr>
            </w:pPr>
            <w:r w:rsidRPr="00BA28B9">
              <w:rPr>
                <w:rFonts w:cs="Arial"/>
                <w:color w:val="000000"/>
                <w:szCs w:val="17"/>
              </w:rPr>
              <w:t>N</w:t>
            </w:r>
            <w:r w:rsidR="007C43E9" w:rsidRPr="00BA28B9">
              <w:rPr>
                <w:rFonts w:cs="Arial"/>
                <w:color w:val="000000"/>
                <w:szCs w:val="17"/>
              </w:rPr>
              <w:t>/</w:t>
            </w:r>
            <w:r w:rsidRPr="00BA28B9">
              <w:rPr>
                <w:rFonts w:cs="Arial"/>
                <w:color w:val="000000"/>
                <w:szCs w:val="17"/>
              </w:rPr>
              <w:t>A</w:t>
            </w:r>
          </w:p>
        </w:tc>
        <w:tc>
          <w:tcPr>
            <w:tcW w:w="1819" w:type="dxa"/>
          </w:tcPr>
          <w:p w14:paraId="05806E81" w14:textId="00019E92" w:rsidR="00152269" w:rsidRPr="00893EB3" w:rsidRDefault="00152269" w:rsidP="00021EF3">
            <w:pPr>
              <w:rPr>
                <w:rFonts w:cs="Arial"/>
                <w:color w:val="000000"/>
                <w:szCs w:val="17"/>
              </w:rPr>
            </w:pPr>
            <w:r w:rsidRPr="00BA28B9">
              <w:rPr>
                <w:rFonts w:cs="Arial"/>
                <w:color w:val="000000"/>
                <w:szCs w:val="17"/>
              </w:rPr>
              <w:t>N</w:t>
            </w:r>
            <w:r w:rsidR="007C43E9" w:rsidRPr="00BA28B9">
              <w:rPr>
                <w:rFonts w:cs="Arial"/>
                <w:color w:val="000000"/>
                <w:szCs w:val="17"/>
              </w:rPr>
              <w:t>/</w:t>
            </w:r>
            <w:r w:rsidRPr="00BA28B9">
              <w:rPr>
                <w:rFonts w:cs="Arial"/>
                <w:color w:val="000000"/>
                <w:szCs w:val="17"/>
              </w:rPr>
              <w:t>A</w:t>
            </w:r>
          </w:p>
        </w:tc>
        <w:tc>
          <w:tcPr>
            <w:tcW w:w="1819" w:type="dxa"/>
          </w:tcPr>
          <w:p w14:paraId="2B1C0CBA" w14:textId="3F5B7DF1" w:rsidR="00152269" w:rsidRPr="00893EB3" w:rsidRDefault="00152269" w:rsidP="00021EF3">
            <w:pPr>
              <w:spacing w:after="0"/>
              <w:rPr>
                <w:rFonts w:cs="Arial"/>
                <w:color w:val="000000"/>
                <w:szCs w:val="17"/>
              </w:rPr>
            </w:pPr>
            <w:r w:rsidRPr="00BA28B9">
              <w:rPr>
                <w:rFonts w:cs="Arial"/>
                <w:color w:val="000000"/>
                <w:szCs w:val="17"/>
              </w:rPr>
              <w:t>N</w:t>
            </w:r>
            <w:r w:rsidR="007C43E9" w:rsidRPr="00BA28B9">
              <w:rPr>
                <w:rFonts w:cs="Arial"/>
                <w:color w:val="000000"/>
                <w:szCs w:val="17"/>
              </w:rPr>
              <w:t>/</w:t>
            </w:r>
            <w:r w:rsidRPr="00BA28B9">
              <w:rPr>
                <w:rFonts w:cs="Arial"/>
                <w:color w:val="000000"/>
                <w:szCs w:val="17"/>
              </w:rPr>
              <w:t>A</w:t>
            </w:r>
          </w:p>
        </w:tc>
        <w:tc>
          <w:tcPr>
            <w:tcW w:w="1821" w:type="dxa"/>
          </w:tcPr>
          <w:p w14:paraId="6E210872" w14:textId="6A8304C9" w:rsidR="00152269" w:rsidRPr="00893EB3" w:rsidRDefault="00152269" w:rsidP="00021EF3">
            <w:pPr>
              <w:spacing w:after="0"/>
              <w:rPr>
                <w:rFonts w:cs="Arial"/>
                <w:color w:val="000000"/>
                <w:szCs w:val="17"/>
              </w:rPr>
            </w:pPr>
            <w:r w:rsidRPr="00BA28B9">
              <w:rPr>
                <w:rFonts w:cs="Arial"/>
                <w:color w:val="000000"/>
                <w:szCs w:val="17"/>
              </w:rPr>
              <w:t>N</w:t>
            </w:r>
            <w:r w:rsidR="007C43E9" w:rsidRPr="00BA28B9">
              <w:rPr>
                <w:rFonts w:cs="Arial"/>
                <w:color w:val="000000"/>
                <w:szCs w:val="17"/>
              </w:rPr>
              <w:t>/</w:t>
            </w:r>
            <w:r w:rsidRPr="00BA28B9">
              <w:rPr>
                <w:rFonts w:cs="Arial"/>
                <w:color w:val="000000"/>
                <w:szCs w:val="17"/>
              </w:rPr>
              <w:t>A</w:t>
            </w:r>
          </w:p>
        </w:tc>
      </w:tr>
      <w:tr w:rsidR="00152269" w:rsidRPr="002F50BA" w14:paraId="2C90BD3B" w14:textId="77777777">
        <w:trPr>
          <w:trHeight w:val="340"/>
        </w:trPr>
        <w:tc>
          <w:tcPr>
            <w:tcW w:w="1819" w:type="dxa"/>
            <w:vAlign w:val="center"/>
          </w:tcPr>
          <w:p w14:paraId="3B5E524E" w14:textId="77777777" w:rsidR="00152269" w:rsidRPr="00893EB3" w:rsidRDefault="00152269" w:rsidP="00021EF3">
            <w:pPr>
              <w:rPr>
                <w:rFonts w:cs="Arial"/>
                <w:szCs w:val="17"/>
              </w:rPr>
            </w:pPr>
            <w:r w:rsidRPr="00BA28B9">
              <w:rPr>
                <w:rFonts w:cs="Arial"/>
                <w:color w:val="000000"/>
                <w:kern w:val="24"/>
                <w:szCs w:val="17"/>
              </w:rPr>
              <w:t>Other Services</w:t>
            </w:r>
          </w:p>
        </w:tc>
        <w:tc>
          <w:tcPr>
            <w:tcW w:w="1819" w:type="dxa"/>
          </w:tcPr>
          <w:p w14:paraId="2C885B72" w14:textId="77777777" w:rsidR="00152269" w:rsidRPr="00893EB3" w:rsidRDefault="00152269" w:rsidP="00021EF3">
            <w:pPr>
              <w:spacing w:after="0"/>
              <w:rPr>
                <w:rFonts w:cs="Arial"/>
                <w:color w:val="000000"/>
                <w:szCs w:val="17"/>
              </w:rPr>
            </w:pPr>
            <w:r w:rsidRPr="00BA28B9">
              <w:rPr>
                <w:rFonts w:cs="Arial"/>
                <w:color w:val="000000"/>
                <w:szCs w:val="17"/>
              </w:rPr>
              <w:t>0.0011</w:t>
            </w:r>
          </w:p>
        </w:tc>
        <w:tc>
          <w:tcPr>
            <w:tcW w:w="1819" w:type="dxa"/>
          </w:tcPr>
          <w:p w14:paraId="0628E77B" w14:textId="77777777" w:rsidR="00152269" w:rsidRPr="00893EB3" w:rsidRDefault="00152269" w:rsidP="00021EF3">
            <w:pPr>
              <w:rPr>
                <w:rFonts w:cs="Arial"/>
                <w:color w:val="000000"/>
                <w:szCs w:val="17"/>
              </w:rPr>
            </w:pPr>
            <w:r w:rsidRPr="00BA28B9">
              <w:rPr>
                <w:rFonts w:cs="Arial"/>
                <w:color w:val="000000"/>
                <w:szCs w:val="17"/>
              </w:rPr>
              <w:t>0.1574*</w:t>
            </w:r>
          </w:p>
        </w:tc>
        <w:tc>
          <w:tcPr>
            <w:tcW w:w="1819" w:type="dxa"/>
          </w:tcPr>
          <w:p w14:paraId="6A44FC99" w14:textId="77777777" w:rsidR="00152269" w:rsidRPr="00893EB3" w:rsidRDefault="00152269" w:rsidP="00021EF3">
            <w:pPr>
              <w:spacing w:after="0"/>
              <w:rPr>
                <w:rFonts w:cs="Arial"/>
                <w:color w:val="000000"/>
                <w:szCs w:val="17"/>
              </w:rPr>
            </w:pPr>
            <w:r w:rsidRPr="00BA28B9">
              <w:rPr>
                <w:rFonts w:cs="Arial"/>
                <w:color w:val="000000"/>
                <w:szCs w:val="17"/>
              </w:rPr>
              <w:t>-0.1416</w:t>
            </w:r>
          </w:p>
        </w:tc>
        <w:tc>
          <w:tcPr>
            <w:tcW w:w="1821" w:type="dxa"/>
          </w:tcPr>
          <w:p w14:paraId="739B6C25" w14:textId="77777777" w:rsidR="00152269" w:rsidRPr="00893EB3" w:rsidRDefault="00152269" w:rsidP="00021EF3">
            <w:pPr>
              <w:spacing w:after="0"/>
              <w:rPr>
                <w:rFonts w:cs="Arial"/>
                <w:color w:val="000000"/>
                <w:szCs w:val="17"/>
              </w:rPr>
            </w:pPr>
            <w:r w:rsidRPr="00BA28B9">
              <w:rPr>
                <w:rFonts w:cs="Arial"/>
                <w:color w:val="000000"/>
                <w:szCs w:val="17"/>
              </w:rPr>
              <w:t>1.1954*</w:t>
            </w:r>
          </w:p>
        </w:tc>
      </w:tr>
      <w:tr w:rsidR="00152269" w:rsidRPr="002F50BA" w14:paraId="08A141E5" w14:textId="77777777">
        <w:trPr>
          <w:trHeight w:val="340"/>
        </w:trPr>
        <w:tc>
          <w:tcPr>
            <w:tcW w:w="1819" w:type="dxa"/>
            <w:vAlign w:val="center"/>
          </w:tcPr>
          <w:p w14:paraId="47B84897" w14:textId="77777777" w:rsidR="00152269" w:rsidRPr="00893EB3" w:rsidRDefault="00152269" w:rsidP="00021EF3">
            <w:pPr>
              <w:rPr>
                <w:rFonts w:cs="Arial"/>
                <w:szCs w:val="17"/>
              </w:rPr>
            </w:pPr>
            <w:r w:rsidRPr="00BA28B9">
              <w:rPr>
                <w:rFonts w:cs="Arial"/>
                <w:color w:val="000000"/>
                <w:kern w:val="24"/>
                <w:szCs w:val="17"/>
              </w:rPr>
              <w:t>Professional, Scientific and Technical Services</w:t>
            </w:r>
          </w:p>
        </w:tc>
        <w:tc>
          <w:tcPr>
            <w:tcW w:w="1819" w:type="dxa"/>
          </w:tcPr>
          <w:p w14:paraId="03C59FA0" w14:textId="77777777" w:rsidR="00152269" w:rsidRPr="00893EB3" w:rsidRDefault="00152269" w:rsidP="00021EF3">
            <w:pPr>
              <w:spacing w:after="0"/>
              <w:rPr>
                <w:rFonts w:cs="Arial"/>
                <w:color w:val="000000"/>
                <w:szCs w:val="17"/>
              </w:rPr>
            </w:pPr>
            <w:r w:rsidRPr="000D6E1B">
              <w:rPr>
                <w:rFonts w:cs="Arial"/>
                <w:color w:val="000000"/>
                <w:szCs w:val="17"/>
              </w:rPr>
              <w:t>-0.0184</w:t>
            </w:r>
          </w:p>
        </w:tc>
        <w:tc>
          <w:tcPr>
            <w:tcW w:w="1819" w:type="dxa"/>
          </w:tcPr>
          <w:p w14:paraId="4F897DA3" w14:textId="77777777" w:rsidR="00152269" w:rsidRPr="00893EB3" w:rsidRDefault="00152269" w:rsidP="00021EF3">
            <w:pPr>
              <w:rPr>
                <w:rFonts w:cs="Arial"/>
                <w:color w:val="000000"/>
                <w:szCs w:val="17"/>
              </w:rPr>
            </w:pPr>
            <w:r w:rsidRPr="000D6E1B">
              <w:rPr>
                <w:rFonts w:cs="Arial"/>
                <w:color w:val="000000"/>
                <w:szCs w:val="17"/>
              </w:rPr>
              <w:t>-0.0600</w:t>
            </w:r>
          </w:p>
        </w:tc>
        <w:tc>
          <w:tcPr>
            <w:tcW w:w="1819" w:type="dxa"/>
          </w:tcPr>
          <w:p w14:paraId="68A5BF1D" w14:textId="77777777" w:rsidR="00152269" w:rsidRPr="00893EB3" w:rsidRDefault="00152269" w:rsidP="00021EF3">
            <w:pPr>
              <w:spacing w:after="0"/>
              <w:rPr>
                <w:rFonts w:cs="Arial"/>
                <w:color w:val="000000"/>
                <w:szCs w:val="17"/>
              </w:rPr>
            </w:pPr>
            <w:r w:rsidRPr="000D6E1B">
              <w:rPr>
                <w:rFonts w:cs="Arial"/>
                <w:color w:val="000000"/>
                <w:szCs w:val="17"/>
              </w:rPr>
              <w:t>-0.5427***</w:t>
            </w:r>
          </w:p>
        </w:tc>
        <w:tc>
          <w:tcPr>
            <w:tcW w:w="1821" w:type="dxa"/>
          </w:tcPr>
          <w:p w14:paraId="39A1A0C4" w14:textId="77777777" w:rsidR="00152269" w:rsidRPr="00893EB3" w:rsidRDefault="00152269" w:rsidP="00021EF3">
            <w:pPr>
              <w:spacing w:after="0"/>
              <w:rPr>
                <w:rFonts w:cs="Arial"/>
                <w:color w:val="000000"/>
                <w:szCs w:val="17"/>
              </w:rPr>
            </w:pPr>
            <w:r w:rsidRPr="000D6E1B">
              <w:rPr>
                <w:rFonts w:cs="Arial"/>
                <w:color w:val="000000"/>
                <w:szCs w:val="17"/>
              </w:rPr>
              <w:t>-9.1081</w:t>
            </w:r>
          </w:p>
        </w:tc>
      </w:tr>
      <w:tr w:rsidR="00152269" w:rsidRPr="002F50BA" w14:paraId="129E7A56" w14:textId="77777777">
        <w:trPr>
          <w:trHeight w:val="340"/>
        </w:trPr>
        <w:tc>
          <w:tcPr>
            <w:tcW w:w="1819" w:type="dxa"/>
            <w:vAlign w:val="center"/>
          </w:tcPr>
          <w:p w14:paraId="2D6994A2" w14:textId="77777777" w:rsidR="00152269" w:rsidRPr="00893EB3" w:rsidRDefault="00152269" w:rsidP="00021EF3">
            <w:pPr>
              <w:rPr>
                <w:rFonts w:cs="Arial"/>
                <w:szCs w:val="17"/>
              </w:rPr>
            </w:pPr>
            <w:r w:rsidRPr="000D6E1B">
              <w:rPr>
                <w:rFonts w:cs="Arial"/>
                <w:color w:val="000000"/>
                <w:kern w:val="24"/>
                <w:szCs w:val="17"/>
              </w:rPr>
              <w:t>Public Administration and Safety</w:t>
            </w:r>
          </w:p>
        </w:tc>
        <w:tc>
          <w:tcPr>
            <w:tcW w:w="1819" w:type="dxa"/>
          </w:tcPr>
          <w:p w14:paraId="4677C54C" w14:textId="77777777" w:rsidR="00152269" w:rsidRPr="00893EB3" w:rsidRDefault="00152269" w:rsidP="00021EF3">
            <w:pPr>
              <w:spacing w:after="0"/>
              <w:rPr>
                <w:rFonts w:cs="Arial"/>
                <w:color w:val="000000"/>
                <w:szCs w:val="17"/>
              </w:rPr>
            </w:pPr>
            <w:r w:rsidRPr="000D6E1B">
              <w:rPr>
                <w:rFonts w:cs="Arial"/>
                <w:color w:val="000000"/>
                <w:szCs w:val="17"/>
              </w:rPr>
              <w:t>-0.0223</w:t>
            </w:r>
          </w:p>
        </w:tc>
        <w:tc>
          <w:tcPr>
            <w:tcW w:w="1819" w:type="dxa"/>
          </w:tcPr>
          <w:p w14:paraId="7BD8C228" w14:textId="77777777" w:rsidR="00152269" w:rsidRPr="00893EB3" w:rsidRDefault="00152269" w:rsidP="00021EF3">
            <w:pPr>
              <w:rPr>
                <w:rFonts w:cs="Arial"/>
                <w:color w:val="000000"/>
                <w:szCs w:val="17"/>
              </w:rPr>
            </w:pPr>
            <w:r w:rsidRPr="000D6E1B">
              <w:rPr>
                <w:rFonts w:cs="Arial"/>
                <w:color w:val="000000"/>
                <w:szCs w:val="17"/>
              </w:rPr>
              <w:t>0.5611***</w:t>
            </w:r>
          </w:p>
        </w:tc>
        <w:tc>
          <w:tcPr>
            <w:tcW w:w="1819" w:type="dxa"/>
          </w:tcPr>
          <w:p w14:paraId="459D78A9" w14:textId="77777777" w:rsidR="00152269" w:rsidRPr="00893EB3" w:rsidRDefault="00152269" w:rsidP="00021EF3">
            <w:pPr>
              <w:spacing w:after="0"/>
              <w:rPr>
                <w:rFonts w:cs="Arial"/>
                <w:color w:val="000000"/>
                <w:szCs w:val="17"/>
              </w:rPr>
            </w:pPr>
            <w:r w:rsidRPr="000D6E1B">
              <w:rPr>
                <w:rFonts w:cs="Arial"/>
                <w:color w:val="000000"/>
                <w:szCs w:val="17"/>
              </w:rPr>
              <w:t>-0.2631</w:t>
            </w:r>
          </w:p>
        </w:tc>
        <w:tc>
          <w:tcPr>
            <w:tcW w:w="1821" w:type="dxa"/>
          </w:tcPr>
          <w:p w14:paraId="452AB63F" w14:textId="77777777" w:rsidR="00152269" w:rsidRPr="00893EB3" w:rsidRDefault="00152269" w:rsidP="00021EF3">
            <w:pPr>
              <w:spacing w:after="0"/>
              <w:rPr>
                <w:rFonts w:cs="Arial"/>
                <w:color w:val="000000"/>
                <w:szCs w:val="17"/>
              </w:rPr>
            </w:pPr>
            <w:r w:rsidRPr="000D6E1B">
              <w:rPr>
                <w:rFonts w:cs="Arial"/>
                <w:color w:val="000000"/>
                <w:szCs w:val="17"/>
              </w:rPr>
              <w:t>2.8008**</w:t>
            </w:r>
          </w:p>
        </w:tc>
      </w:tr>
      <w:tr w:rsidR="00152269" w:rsidRPr="002F50BA" w14:paraId="4F10C6B5" w14:textId="77777777">
        <w:trPr>
          <w:trHeight w:val="340"/>
        </w:trPr>
        <w:tc>
          <w:tcPr>
            <w:tcW w:w="1819" w:type="dxa"/>
            <w:vAlign w:val="center"/>
          </w:tcPr>
          <w:p w14:paraId="64C7FAD9" w14:textId="77777777" w:rsidR="00152269" w:rsidRPr="00893EB3" w:rsidRDefault="00152269" w:rsidP="00021EF3">
            <w:pPr>
              <w:rPr>
                <w:rFonts w:cs="Arial"/>
                <w:szCs w:val="17"/>
              </w:rPr>
            </w:pPr>
            <w:r w:rsidRPr="000D6E1B">
              <w:rPr>
                <w:rFonts w:cs="Arial"/>
                <w:color w:val="000000"/>
                <w:kern w:val="24"/>
                <w:szCs w:val="17"/>
              </w:rPr>
              <w:t>Rental, Hiring and Real Estate Services</w:t>
            </w:r>
          </w:p>
        </w:tc>
        <w:tc>
          <w:tcPr>
            <w:tcW w:w="1819" w:type="dxa"/>
          </w:tcPr>
          <w:p w14:paraId="66EF4D37" w14:textId="77777777" w:rsidR="00152269" w:rsidRPr="00893EB3" w:rsidRDefault="00152269" w:rsidP="00021EF3">
            <w:pPr>
              <w:spacing w:after="0"/>
              <w:rPr>
                <w:rFonts w:cs="Arial"/>
                <w:color w:val="000000"/>
                <w:szCs w:val="17"/>
              </w:rPr>
            </w:pPr>
            <w:r w:rsidRPr="000D6E1B">
              <w:rPr>
                <w:rFonts w:cs="Arial"/>
                <w:color w:val="000000"/>
                <w:szCs w:val="17"/>
              </w:rPr>
              <w:t>0.0211</w:t>
            </w:r>
          </w:p>
        </w:tc>
        <w:tc>
          <w:tcPr>
            <w:tcW w:w="1819" w:type="dxa"/>
          </w:tcPr>
          <w:p w14:paraId="057236E3" w14:textId="77777777" w:rsidR="00152269" w:rsidRPr="00893EB3" w:rsidRDefault="00152269" w:rsidP="00021EF3">
            <w:pPr>
              <w:rPr>
                <w:rFonts w:cs="Arial"/>
                <w:color w:val="000000"/>
                <w:szCs w:val="17"/>
              </w:rPr>
            </w:pPr>
            <w:r w:rsidRPr="000D6E1B">
              <w:rPr>
                <w:rFonts w:cs="Arial"/>
                <w:color w:val="000000"/>
                <w:szCs w:val="17"/>
              </w:rPr>
              <w:t>0.0202</w:t>
            </w:r>
          </w:p>
        </w:tc>
        <w:tc>
          <w:tcPr>
            <w:tcW w:w="1819" w:type="dxa"/>
          </w:tcPr>
          <w:p w14:paraId="09B05844" w14:textId="77777777" w:rsidR="00152269" w:rsidRPr="00893EB3" w:rsidRDefault="00152269" w:rsidP="00021EF3">
            <w:pPr>
              <w:spacing w:after="0"/>
              <w:rPr>
                <w:rFonts w:cs="Arial"/>
                <w:color w:val="000000"/>
                <w:szCs w:val="17"/>
              </w:rPr>
            </w:pPr>
            <w:r w:rsidRPr="000D6E1B">
              <w:rPr>
                <w:rFonts w:cs="Arial"/>
                <w:color w:val="000000"/>
                <w:szCs w:val="17"/>
              </w:rPr>
              <w:t>-0.0134</w:t>
            </w:r>
          </w:p>
        </w:tc>
        <w:tc>
          <w:tcPr>
            <w:tcW w:w="1821" w:type="dxa"/>
          </w:tcPr>
          <w:p w14:paraId="4D36EC37" w14:textId="77777777" w:rsidR="00152269" w:rsidRPr="00893EB3" w:rsidRDefault="00152269" w:rsidP="00021EF3">
            <w:pPr>
              <w:spacing w:after="0"/>
              <w:rPr>
                <w:rFonts w:cs="Arial"/>
                <w:color w:val="000000"/>
                <w:szCs w:val="17"/>
              </w:rPr>
            </w:pPr>
            <w:r w:rsidRPr="000D6E1B">
              <w:rPr>
                <w:rFonts w:cs="Arial"/>
                <w:color w:val="000000"/>
                <w:szCs w:val="17"/>
              </w:rPr>
              <w:t>-0.0924</w:t>
            </w:r>
          </w:p>
        </w:tc>
      </w:tr>
      <w:tr w:rsidR="00152269" w:rsidRPr="002F50BA" w14:paraId="517CFCCC" w14:textId="77777777">
        <w:trPr>
          <w:trHeight w:val="340"/>
        </w:trPr>
        <w:tc>
          <w:tcPr>
            <w:tcW w:w="1819" w:type="dxa"/>
            <w:vAlign w:val="center"/>
          </w:tcPr>
          <w:p w14:paraId="51A3E798" w14:textId="77777777" w:rsidR="00152269" w:rsidRPr="00893EB3" w:rsidRDefault="00152269" w:rsidP="00021EF3">
            <w:pPr>
              <w:rPr>
                <w:rFonts w:cs="Arial"/>
                <w:szCs w:val="17"/>
              </w:rPr>
            </w:pPr>
            <w:r w:rsidRPr="000D6E1B">
              <w:rPr>
                <w:rFonts w:cs="Arial"/>
                <w:color w:val="000000"/>
                <w:kern w:val="24"/>
                <w:szCs w:val="17"/>
              </w:rPr>
              <w:t>Retail Trade</w:t>
            </w:r>
          </w:p>
        </w:tc>
        <w:tc>
          <w:tcPr>
            <w:tcW w:w="1819" w:type="dxa"/>
          </w:tcPr>
          <w:p w14:paraId="17F883E5" w14:textId="77777777" w:rsidR="00152269" w:rsidRPr="00893EB3" w:rsidRDefault="00152269" w:rsidP="00021EF3">
            <w:pPr>
              <w:spacing w:after="0"/>
              <w:rPr>
                <w:rFonts w:cs="Arial"/>
                <w:color w:val="000000"/>
                <w:szCs w:val="17"/>
              </w:rPr>
            </w:pPr>
            <w:r w:rsidRPr="000D6E1B">
              <w:rPr>
                <w:rFonts w:cs="Arial"/>
                <w:color w:val="000000"/>
                <w:szCs w:val="17"/>
              </w:rPr>
              <w:t>-0.0516***</w:t>
            </w:r>
          </w:p>
        </w:tc>
        <w:tc>
          <w:tcPr>
            <w:tcW w:w="1819" w:type="dxa"/>
          </w:tcPr>
          <w:p w14:paraId="33E89B38" w14:textId="77777777" w:rsidR="00152269" w:rsidRPr="00893EB3" w:rsidRDefault="00152269" w:rsidP="00021EF3">
            <w:pPr>
              <w:rPr>
                <w:rFonts w:cs="Arial"/>
                <w:color w:val="000000"/>
                <w:szCs w:val="17"/>
              </w:rPr>
            </w:pPr>
            <w:r w:rsidRPr="000D6E1B">
              <w:rPr>
                <w:rFonts w:cs="Arial"/>
                <w:color w:val="000000"/>
                <w:szCs w:val="17"/>
              </w:rPr>
              <w:t>0.0162</w:t>
            </w:r>
          </w:p>
        </w:tc>
        <w:tc>
          <w:tcPr>
            <w:tcW w:w="1819" w:type="dxa"/>
          </w:tcPr>
          <w:p w14:paraId="7D978191" w14:textId="77777777" w:rsidR="00152269" w:rsidRPr="00893EB3" w:rsidRDefault="00152269" w:rsidP="00021EF3">
            <w:pPr>
              <w:spacing w:after="0"/>
              <w:rPr>
                <w:rFonts w:cs="Arial"/>
                <w:color w:val="000000"/>
                <w:szCs w:val="17"/>
              </w:rPr>
            </w:pPr>
            <w:r w:rsidRPr="000D6E1B">
              <w:rPr>
                <w:rFonts w:cs="Arial"/>
                <w:color w:val="000000"/>
                <w:szCs w:val="17"/>
              </w:rPr>
              <w:t>-0.68318***</w:t>
            </w:r>
          </w:p>
        </w:tc>
        <w:tc>
          <w:tcPr>
            <w:tcW w:w="1821" w:type="dxa"/>
          </w:tcPr>
          <w:p w14:paraId="385289CB" w14:textId="77777777" w:rsidR="00152269" w:rsidRPr="00893EB3" w:rsidRDefault="00152269" w:rsidP="00021EF3">
            <w:pPr>
              <w:spacing w:after="0"/>
              <w:rPr>
                <w:rFonts w:cs="Arial"/>
                <w:color w:val="000000"/>
                <w:szCs w:val="17"/>
              </w:rPr>
            </w:pPr>
            <w:r w:rsidRPr="000D6E1B">
              <w:rPr>
                <w:rFonts w:cs="Arial"/>
                <w:color w:val="000000"/>
                <w:szCs w:val="17"/>
              </w:rPr>
              <w:t>0.0937</w:t>
            </w:r>
          </w:p>
        </w:tc>
      </w:tr>
      <w:tr w:rsidR="00152269" w:rsidRPr="002F50BA" w14:paraId="4AA6DFF0" w14:textId="77777777">
        <w:trPr>
          <w:trHeight w:val="340"/>
        </w:trPr>
        <w:tc>
          <w:tcPr>
            <w:tcW w:w="1819" w:type="dxa"/>
            <w:vAlign w:val="center"/>
          </w:tcPr>
          <w:p w14:paraId="42FB05F6" w14:textId="77777777" w:rsidR="00152269" w:rsidRPr="00893EB3" w:rsidRDefault="00152269" w:rsidP="00021EF3">
            <w:pPr>
              <w:rPr>
                <w:rFonts w:cs="Arial"/>
                <w:szCs w:val="17"/>
              </w:rPr>
            </w:pPr>
            <w:r w:rsidRPr="000D6E1B">
              <w:rPr>
                <w:rFonts w:cs="Arial"/>
                <w:color w:val="000000"/>
                <w:kern w:val="24"/>
                <w:szCs w:val="17"/>
              </w:rPr>
              <w:t>Transport, Postal and Warehousing</w:t>
            </w:r>
          </w:p>
        </w:tc>
        <w:tc>
          <w:tcPr>
            <w:tcW w:w="1819" w:type="dxa"/>
          </w:tcPr>
          <w:p w14:paraId="33207EC4" w14:textId="77777777" w:rsidR="00152269" w:rsidRPr="00893EB3" w:rsidRDefault="00152269" w:rsidP="00021EF3">
            <w:pPr>
              <w:spacing w:after="0"/>
              <w:rPr>
                <w:rFonts w:cs="Arial"/>
                <w:color w:val="000000"/>
                <w:szCs w:val="17"/>
              </w:rPr>
            </w:pPr>
            <w:r w:rsidRPr="000D6E1B">
              <w:rPr>
                <w:rFonts w:cs="Arial"/>
                <w:color w:val="000000"/>
                <w:szCs w:val="17"/>
              </w:rPr>
              <w:t>-0.0114</w:t>
            </w:r>
          </w:p>
        </w:tc>
        <w:tc>
          <w:tcPr>
            <w:tcW w:w="1819" w:type="dxa"/>
          </w:tcPr>
          <w:p w14:paraId="00ABFB3A" w14:textId="77777777" w:rsidR="00152269" w:rsidRPr="00893EB3" w:rsidRDefault="00152269" w:rsidP="00021EF3">
            <w:pPr>
              <w:rPr>
                <w:rFonts w:cs="Arial"/>
                <w:color w:val="000000"/>
                <w:szCs w:val="17"/>
              </w:rPr>
            </w:pPr>
            <w:r w:rsidRPr="000D6E1B">
              <w:rPr>
                <w:rFonts w:cs="Arial"/>
                <w:color w:val="000000"/>
                <w:szCs w:val="17"/>
              </w:rPr>
              <w:t>0.1348**</w:t>
            </w:r>
          </w:p>
        </w:tc>
        <w:tc>
          <w:tcPr>
            <w:tcW w:w="1819" w:type="dxa"/>
          </w:tcPr>
          <w:p w14:paraId="60D18143" w14:textId="77777777" w:rsidR="00152269" w:rsidRPr="00893EB3" w:rsidRDefault="00152269" w:rsidP="00021EF3">
            <w:pPr>
              <w:spacing w:after="0"/>
              <w:rPr>
                <w:rFonts w:cs="Arial"/>
                <w:color w:val="000000"/>
                <w:szCs w:val="17"/>
              </w:rPr>
            </w:pPr>
            <w:r w:rsidRPr="000D6E1B">
              <w:rPr>
                <w:rFonts w:cs="Arial"/>
                <w:color w:val="000000"/>
                <w:szCs w:val="17"/>
              </w:rPr>
              <w:t>-0.31612***</w:t>
            </w:r>
          </w:p>
        </w:tc>
        <w:tc>
          <w:tcPr>
            <w:tcW w:w="1821" w:type="dxa"/>
          </w:tcPr>
          <w:p w14:paraId="6058D316" w14:textId="77777777" w:rsidR="00152269" w:rsidRPr="00893EB3" w:rsidRDefault="00152269" w:rsidP="00021EF3">
            <w:pPr>
              <w:spacing w:after="0"/>
              <w:rPr>
                <w:rFonts w:cs="Arial"/>
                <w:color w:val="000000"/>
                <w:szCs w:val="17"/>
              </w:rPr>
            </w:pPr>
            <w:r w:rsidRPr="000D6E1B">
              <w:rPr>
                <w:rFonts w:cs="Arial"/>
                <w:color w:val="000000"/>
                <w:szCs w:val="17"/>
              </w:rPr>
              <w:t>1.0806**</w:t>
            </w:r>
          </w:p>
        </w:tc>
      </w:tr>
      <w:tr w:rsidR="00152269" w:rsidRPr="002F50BA" w14:paraId="2B24EA53" w14:textId="77777777">
        <w:trPr>
          <w:trHeight w:val="340"/>
        </w:trPr>
        <w:tc>
          <w:tcPr>
            <w:tcW w:w="1819" w:type="dxa"/>
            <w:vAlign w:val="center"/>
          </w:tcPr>
          <w:p w14:paraId="7EE9D812" w14:textId="77777777" w:rsidR="00152269" w:rsidRPr="00893EB3" w:rsidRDefault="00152269" w:rsidP="00021EF3">
            <w:pPr>
              <w:rPr>
                <w:rFonts w:cs="Arial"/>
                <w:szCs w:val="17"/>
              </w:rPr>
            </w:pPr>
            <w:r w:rsidRPr="000D6E1B">
              <w:rPr>
                <w:rFonts w:cs="Arial"/>
                <w:color w:val="000000"/>
                <w:kern w:val="24"/>
                <w:szCs w:val="17"/>
              </w:rPr>
              <w:t>Wholesale Trade</w:t>
            </w:r>
          </w:p>
        </w:tc>
        <w:tc>
          <w:tcPr>
            <w:tcW w:w="1819" w:type="dxa"/>
          </w:tcPr>
          <w:p w14:paraId="6C131B3B" w14:textId="77777777" w:rsidR="00152269" w:rsidRPr="00893EB3" w:rsidRDefault="00152269" w:rsidP="00021EF3">
            <w:pPr>
              <w:spacing w:after="0"/>
              <w:rPr>
                <w:rFonts w:cs="Arial"/>
                <w:color w:val="000000"/>
                <w:szCs w:val="17"/>
              </w:rPr>
            </w:pPr>
            <w:r w:rsidRPr="000D6E1B">
              <w:rPr>
                <w:rFonts w:cs="Arial"/>
                <w:color w:val="000000"/>
                <w:szCs w:val="17"/>
              </w:rPr>
              <w:t>-0.0575***</w:t>
            </w:r>
          </w:p>
        </w:tc>
        <w:tc>
          <w:tcPr>
            <w:tcW w:w="1819" w:type="dxa"/>
          </w:tcPr>
          <w:p w14:paraId="34088777" w14:textId="77777777" w:rsidR="00152269" w:rsidRPr="00893EB3" w:rsidRDefault="00152269" w:rsidP="00021EF3">
            <w:pPr>
              <w:rPr>
                <w:rFonts w:cs="Arial"/>
                <w:color w:val="000000"/>
                <w:szCs w:val="17"/>
              </w:rPr>
            </w:pPr>
            <w:r w:rsidRPr="000D6E1B">
              <w:rPr>
                <w:rFonts w:cs="Arial"/>
                <w:color w:val="000000"/>
                <w:szCs w:val="17"/>
              </w:rPr>
              <w:t>-0.0042</w:t>
            </w:r>
          </w:p>
        </w:tc>
        <w:tc>
          <w:tcPr>
            <w:tcW w:w="1819" w:type="dxa"/>
          </w:tcPr>
          <w:p w14:paraId="4641C2C3" w14:textId="77777777" w:rsidR="00152269" w:rsidRPr="00893EB3" w:rsidRDefault="00152269" w:rsidP="00021EF3">
            <w:pPr>
              <w:spacing w:after="0"/>
              <w:rPr>
                <w:rFonts w:cs="Arial"/>
                <w:color w:val="000000"/>
                <w:szCs w:val="17"/>
              </w:rPr>
            </w:pPr>
            <w:r w:rsidRPr="000D6E1B">
              <w:rPr>
                <w:rFonts w:cs="Arial"/>
                <w:color w:val="000000"/>
                <w:szCs w:val="17"/>
              </w:rPr>
              <w:t>-0.9796***</w:t>
            </w:r>
          </w:p>
        </w:tc>
        <w:tc>
          <w:tcPr>
            <w:tcW w:w="1821" w:type="dxa"/>
          </w:tcPr>
          <w:p w14:paraId="63D98735" w14:textId="77777777" w:rsidR="00152269" w:rsidRPr="00893EB3" w:rsidRDefault="00152269" w:rsidP="00021EF3">
            <w:pPr>
              <w:spacing w:after="0"/>
              <w:rPr>
                <w:rFonts w:cs="Arial"/>
                <w:color w:val="000000"/>
                <w:szCs w:val="17"/>
              </w:rPr>
            </w:pPr>
            <w:r w:rsidRPr="000D6E1B">
              <w:rPr>
                <w:rFonts w:cs="Arial"/>
                <w:color w:val="000000"/>
                <w:szCs w:val="17"/>
              </w:rPr>
              <w:t>-0.1541</w:t>
            </w:r>
          </w:p>
        </w:tc>
      </w:tr>
    </w:tbl>
    <w:p w14:paraId="423E4579" w14:textId="2DC077DD" w:rsidR="00152269" w:rsidRPr="00AA7A6D" w:rsidRDefault="00704E6A" w:rsidP="00021EF3">
      <w:pPr>
        <w:pStyle w:val="Source"/>
        <w:rPr>
          <w:sz w:val="16"/>
          <w:szCs w:val="16"/>
        </w:rPr>
      </w:pPr>
      <w:r>
        <w:t>Source: Deloitte Access Economics.</w:t>
      </w:r>
      <w:r>
        <w:br/>
      </w:r>
      <w:r w:rsidR="00152269" w:rsidRPr="00AA7A6D">
        <w:t xml:space="preserve">* = p-value &lt;0.1, ** = p-value </w:t>
      </w:r>
      <w:r w:rsidR="00152269" w:rsidRPr="00AA7A6D">
        <w:rPr>
          <w:sz w:val="16"/>
          <w:szCs w:val="16"/>
        </w:rPr>
        <w:t>&lt;0.05, *** = p-value &lt;0.01</w:t>
      </w:r>
    </w:p>
    <w:p w14:paraId="69FC0C32" w14:textId="0DD7F100" w:rsidR="00152269" w:rsidRDefault="00152269" w:rsidP="00021EF3">
      <w:r>
        <w:t xml:space="preserve">For ease of interpretation of the logit regressions, a counterfactual estimate for the number of businesses </w:t>
      </w:r>
      <w:r w:rsidR="00E148E9">
        <w:t xml:space="preserve">that </w:t>
      </w:r>
      <w:r>
        <w:t xml:space="preserve">would have been impacted was generated based on the results from specifications (8), (10), (12) and (14). </w:t>
      </w:r>
      <w:r w:rsidR="00D76A9F">
        <w:t>The difference between observed outcomes and this counterfactual provide</w:t>
      </w:r>
      <w:r w:rsidR="00B04DB5">
        <w:t>d</w:t>
      </w:r>
      <w:r w:rsidR="00D76A9F">
        <w:t xml:space="preserve"> a</w:t>
      </w:r>
      <w:r w:rsidR="00294B17">
        <w:t xml:space="preserve"> modelled</w:t>
      </w:r>
      <w:r w:rsidR="00D76A9F">
        <w:t xml:space="preserve"> estimate of the number of businesses saved</w:t>
      </w:r>
      <w:r>
        <w:t>.</w:t>
      </w:r>
      <w:r w:rsidR="007C43E9">
        <w:t xml:space="preserve"> This is described in </w:t>
      </w:r>
      <w:r w:rsidR="007C43E9">
        <w:fldChar w:fldCharType="begin"/>
      </w:r>
      <w:r w:rsidR="007C43E9">
        <w:instrText xml:space="preserve"> REF _Ref173846853 \r \h </w:instrText>
      </w:r>
      <w:r w:rsidR="00021EF3">
        <w:instrText xml:space="preserve"> \* MERGEFORMAT </w:instrText>
      </w:r>
      <w:r w:rsidR="007C43E9">
        <w:fldChar w:fldCharType="separate"/>
      </w:r>
      <w:r w:rsidR="0016271C">
        <w:t>Table A.4</w:t>
      </w:r>
      <w:r w:rsidR="007C43E9">
        <w:fldChar w:fldCharType="end"/>
      </w:r>
      <w:r w:rsidR="007C43E9">
        <w:t>.</w:t>
      </w:r>
    </w:p>
    <w:p w14:paraId="76AD1993" w14:textId="5531B906" w:rsidR="00B04DB5" w:rsidRDefault="006D4105" w:rsidP="00021EF3">
      <w:pPr>
        <w:pStyle w:val="AppendixTableCaption"/>
      </w:pPr>
      <w:bookmarkStart w:id="495" w:name="_Ref173846853"/>
      <w:r>
        <w:t>:</w:t>
      </w:r>
      <w:r w:rsidR="00BA5DEE">
        <w:t xml:space="preserve"> Estimated number of businesses saved</w:t>
      </w:r>
      <w:r w:rsidR="002E6CAC">
        <w:t xml:space="preserve"> by specification</w:t>
      </w:r>
      <w:bookmarkEnd w:id="495"/>
      <w:r w:rsidR="00792D18">
        <w:t>.</w:t>
      </w:r>
    </w:p>
    <w:tbl>
      <w:tblPr>
        <w:tblStyle w:val="Deloittetable"/>
        <w:tblW w:w="9097" w:type="dxa"/>
        <w:tblLook w:val="04A0" w:firstRow="1" w:lastRow="0" w:firstColumn="1" w:lastColumn="0" w:noHBand="0" w:noVBand="1"/>
      </w:tblPr>
      <w:tblGrid>
        <w:gridCol w:w="1819"/>
        <w:gridCol w:w="1819"/>
        <w:gridCol w:w="1819"/>
        <w:gridCol w:w="1819"/>
        <w:gridCol w:w="1821"/>
      </w:tblGrid>
      <w:tr w:rsidR="00152269" w14:paraId="2D2C0715" w14:textId="77777777" w:rsidTr="00893EB3">
        <w:trPr>
          <w:cnfStyle w:val="100000000000" w:firstRow="1" w:lastRow="0" w:firstColumn="0" w:lastColumn="0" w:oddVBand="0" w:evenVBand="0" w:oddHBand="0" w:evenHBand="0" w:firstRowFirstColumn="0" w:firstRowLastColumn="0" w:lastRowFirstColumn="0" w:lastRowLastColumn="0"/>
          <w:trHeight w:val="340"/>
          <w:tblHeader/>
        </w:trPr>
        <w:tc>
          <w:tcPr>
            <w:tcW w:w="0" w:type="dxa"/>
          </w:tcPr>
          <w:p w14:paraId="056CC0D2" w14:textId="4F4C4B0A" w:rsidR="00152269" w:rsidRPr="00893EB3" w:rsidRDefault="006D4105" w:rsidP="00021EF3">
            <w:pPr>
              <w:rPr>
                <w:rFonts w:cs="Arial"/>
                <w:b/>
              </w:rPr>
            </w:pPr>
            <w:r w:rsidRPr="00893EB3">
              <w:rPr>
                <w:rFonts w:cs="Arial"/>
                <w:b/>
              </w:rPr>
              <w:t>Specification</w:t>
            </w:r>
          </w:p>
        </w:tc>
        <w:tc>
          <w:tcPr>
            <w:tcW w:w="0" w:type="dxa"/>
          </w:tcPr>
          <w:p w14:paraId="382DE5EC" w14:textId="77777777" w:rsidR="00152269" w:rsidRPr="00893EB3" w:rsidRDefault="00152269" w:rsidP="00021EF3">
            <w:pPr>
              <w:rPr>
                <w:rFonts w:cs="Arial"/>
                <w:b/>
              </w:rPr>
            </w:pPr>
            <w:r w:rsidRPr="00893EB3">
              <w:rPr>
                <w:rFonts w:cs="Arial"/>
                <w:b/>
              </w:rPr>
              <w:t>(8)</w:t>
            </w:r>
          </w:p>
        </w:tc>
        <w:tc>
          <w:tcPr>
            <w:tcW w:w="0" w:type="dxa"/>
          </w:tcPr>
          <w:p w14:paraId="53DA59F6" w14:textId="77777777" w:rsidR="00152269" w:rsidRPr="00893EB3" w:rsidRDefault="00152269" w:rsidP="00021EF3">
            <w:pPr>
              <w:rPr>
                <w:rFonts w:cs="Arial"/>
                <w:b/>
              </w:rPr>
            </w:pPr>
            <w:r w:rsidRPr="00893EB3">
              <w:rPr>
                <w:rFonts w:cs="Arial"/>
                <w:b/>
              </w:rPr>
              <w:t>(10)</w:t>
            </w:r>
          </w:p>
        </w:tc>
        <w:tc>
          <w:tcPr>
            <w:tcW w:w="0" w:type="dxa"/>
          </w:tcPr>
          <w:p w14:paraId="7ABA1A4A" w14:textId="77777777" w:rsidR="00152269" w:rsidRPr="00893EB3" w:rsidRDefault="00152269" w:rsidP="00021EF3">
            <w:pPr>
              <w:rPr>
                <w:rFonts w:cs="Arial"/>
                <w:b/>
              </w:rPr>
            </w:pPr>
            <w:r w:rsidRPr="00893EB3">
              <w:rPr>
                <w:rFonts w:cs="Arial"/>
                <w:b/>
              </w:rPr>
              <w:t>(12)</w:t>
            </w:r>
          </w:p>
        </w:tc>
        <w:tc>
          <w:tcPr>
            <w:tcW w:w="0" w:type="dxa"/>
          </w:tcPr>
          <w:p w14:paraId="508F869D" w14:textId="77777777" w:rsidR="00152269" w:rsidRPr="00893EB3" w:rsidRDefault="00152269" w:rsidP="00021EF3">
            <w:pPr>
              <w:rPr>
                <w:rFonts w:cs="Arial"/>
                <w:b/>
              </w:rPr>
            </w:pPr>
            <w:r w:rsidRPr="00893EB3">
              <w:rPr>
                <w:rFonts w:cs="Arial"/>
                <w:b/>
              </w:rPr>
              <w:t>(14)</w:t>
            </w:r>
          </w:p>
        </w:tc>
      </w:tr>
      <w:tr w:rsidR="00152269" w:rsidRPr="002F50BA" w14:paraId="1CE1A82C" w14:textId="77777777">
        <w:trPr>
          <w:trHeight w:val="340"/>
        </w:trPr>
        <w:tc>
          <w:tcPr>
            <w:tcW w:w="1819" w:type="dxa"/>
          </w:tcPr>
          <w:p w14:paraId="0D188680" w14:textId="77777777" w:rsidR="00152269" w:rsidRPr="009B6F4E" w:rsidRDefault="00152269" w:rsidP="00021EF3">
            <w:pPr>
              <w:rPr>
                <w:rFonts w:cs="Arial"/>
              </w:rPr>
            </w:pPr>
            <w:r>
              <w:rPr>
                <w:rFonts w:cs="Arial"/>
              </w:rPr>
              <w:t>Estimated businesses saved</w:t>
            </w:r>
          </w:p>
        </w:tc>
        <w:tc>
          <w:tcPr>
            <w:tcW w:w="1819" w:type="dxa"/>
          </w:tcPr>
          <w:p w14:paraId="00EC9620" w14:textId="77777777" w:rsidR="00152269" w:rsidRPr="00893EB3" w:rsidRDefault="00152269" w:rsidP="00021EF3">
            <w:pPr>
              <w:spacing w:after="0"/>
              <w:rPr>
                <w:rFonts w:cs="Arial"/>
                <w:color w:val="000000"/>
                <w:szCs w:val="17"/>
                <w:highlight w:val="yellow"/>
              </w:rPr>
            </w:pPr>
            <w:r w:rsidRPr="000D6E1B">
              <w:rPr>
                <w:rFonts w:cs="Arial"/>
                <w:color w:val="000000"/>
                <w:szCs w:val="17"/>
              </w:rPr>
              <w:t>3,922.44</w:t>
            </w:r>
          </w:p>
        </w:tc>
        <w:tc>
          <w:tcPr>
            <w:tcW w:w="1819" w:type="dxa"/>
          </w:tcPr>
          <w:p w14:paraId="0F47F0E4" w14:textId="77777777" w:rsidR="00152269" w:rsidRPr="00893EB3" w:rsidRDefault="00152269" w:rsidP="00021EF3">
            <w:pPr>
              <w:rPr>
                <w:rFonts w:cs="Arial"/>
                <w:color w:val="000000"/>
                <w:szCs w:val="17"/>
                <w:highlight w:val="yellow"/>
              </w:rPr>
            </w:pPr>
            <w:r w:rsidRPr="000D6E1B">
              <w:rPr>
                <w:rFonts w:cs="Arial"/>
                <w:color w:val="000000"/>
                <w:szCs w:val="17"/>
              </w:rPr>
              <w:t>3,998.06</w:t>
            </w:r>
          </w:p>
        </w:tc>
        <w:tc>
          <w:tcPr>
            <w:tcW w:w="1819" w:type="dxa"/>
          </w:tcPr>
          <w:p w14:paraId="55F11533" w14:textId="77777777" w:rsidR="00152269" w:rsidRPr="00893EB3" w:rsidRDefault="00152269" w:rsidP="00021EF3">
            <w:pPr>
              <w:spacing w:after="0"/>
              <w:rPr>
                <w:rFonts w:cs="Arial"/>
                <w:color w:val="000000"/>
                <w:szCs w:val="17"/>
                <w:highlight w:val="yellow"/>
              </w:rPr>
            </w:pPr>
            <w:r w:rsidRPr="000D6E1B">
              <w:rPr>
                <w:rFonts w:cs="Arial"/>
                <w:color w:val="000000"/>
                <w:szCs w:val="17"/>
              </w:rPr>
              <w:t>3,990.63</w:t>
            </w:r>
          </w:p>
        </w:tc>
        <w:tc>
          <w:tcPr>
            <w:tcW w:w="1821" w:type="dxa"/>
          </w:tcPr>
          <w:p w14:paraId="1CC7179D" w14:textId="77777777" w:rsidR="00152269" w:rsidRPr="00893EB3" w:rsidRDefault="00152269" w:rsidP="00021EF3">
            <w:pPr>
              <w:spacing w:after="0"/>
              <w:rPr>
                <w:rFonts w:cs="Arial"/>
                <w:color w:val="000000"/>
                <w:szCs w:val="17"/>
                <w:highlight w:val="yellow"/>
              </w:rPr>
            </w:pPr>
            <w:r w:rsidRPr="000D6E1B">
              <w:rPr>
                <w:rFonts w:cs="Arial"/>
                <w:color w:val="000000"/>
                <w:szCs w:val="17"/>
              </w:rPr>
              <w:t>3,800.70</w:t>
            </w:r>
          </w:p>
        </w:tc>
      </w:tr>
    </w:tbl>
    <w:p w14:paraId="17FD5410" w14:textId="14975DDD" w:rsidR="00152269" w:rsidRDefault="00B04DB5" w:rsidP="00021EF3">
      <w:pPr>
        <w:pStyle w:val="Source"/>
      </w:pPr>
      <w:r>
        <w:t>Source: Deloitte Access Economics.</w:t>
      </w:r>
    </w:p>
    <w:p w14:paraId="6C8EA681" w14:textId="67504E46" w:rsidR="00152269" w:rsidRDefault="00152269" w:rsidP="00021EF3">
      <w:r>
        <w:t>Estimates for the number of companies saved by the grant programs varie</w:t>
      </w:r>
      <w:r w:rsidR="00EB3FA6">
        <w:t>d</w:t>
      </w:r>
      <w:r>
        <w:t xml:space="preserve"> between 3,800 and 4,000. This analysis </w:t>
      </w:r>
      <w:r w:rsidR="00EE4964">
        <w:t>covered</w:t>
      </w:r>
      <w:r>
        <w:t xml:space="preserve"> businesses with an ACN </w:t>
      </w:r>
      <w:r w:rsidR="009C5C45">
        <w:t xml:space="preserve">that </w:t>
      </w:r>
      <w:r w:rsidR="00975AB5">
        <w:t>were</w:t>
      </w:r>
      <w:r>
        <w:t xml:space="preserve"> registered as having their main business location in Victoria on the ABR. </w:t>
      </w:r>
      <w:r w:rsidR="00975AB5">
        <w:t xml:space="preserve">A total of </w:t>
      </w:r>
      <w:r>
        <w:t xml:space="preserve">52,164 businesses met </w:t>
      </w:r>
      <w:r w:rsidR="000E2220">
        <w:t xml:space="preserve">these </w:t>
      </w:r>
      <w:r>
        <w:t xml:space="preserve">criteria, </w:t>
      </w:r>
      <w:r w:rsidR="00975AB5">
        <w:t xml:space="preserve">and </w:t>
      </w:r>
      <w:r>
        <w:t xml:space="preserve">in </w:t>
      </w:r>
      <w:r w:rsidR="00EB55D6">
        <w:t>reality,</w:t>
      </w:r>
      <w:r>
        <w:t xml:space="preserve"> 4,034 of these businesses either became insolvent or cancelled their ABN. </w:t>
      </w:r>
      <w:r w:rsidR="001A475C">
        <w:t>I</w:t>
      </w:r>
      <w:r>
        <w:t xml:space="preserve">f regressions (8), (10), (12) and (14) </w:t>
      </w:r>
      <w:r w:rsidR="00C376D1">
        <w:t>are taken as</w:t>
      </w:r>
      <w:r>
        <w:t xml:space="preserve"> causal estimates, </w:t>
      </w:r>
      <w:r w:rsidR="001A475C">
        <w:t xml:space="preserve">this means </w:t>
      </w:r>
      <w:r>
        <w:t>that amongst treated companies business exits/ insolvencies would have been between 94</w:t>
      </w:r>
      <w:r w:rsidR="001A475C">
        <w:t xml:space="preserve"> </w:t>
      </w:r>
      <w:r w:rsidR="009C5C45">
        <w:t xml:space="preserve">per cent </w:t>
      </w:r>
      <w:r w:rsidR="001A475C">
        <w:t xml:space="preserve">to </w:t>
      </w:r>
      <w:r>
        <w:t>99</w:t>
      </w:r>
      <w:r w:rsidR="001A475C">
        <w:t xml:space="preserve"> per cent</w:t>
      </w:r>
      <w:r>
        <w:t xml:space="preserve"> higher if the grants program did not run.</w:t>
      </w:r>
    </w:p>
    <w:p w14:paraId="4A647F40" w14:textId="6589CFE2" w:rsidR="00AD7D55" w:rsidRDefault="00AD7D55" w:rsidP="00021EF3">
      <w:pPr>
        <w:pStyle w:val="Heading3un-numbered"/>
      </w:pPr>
      <w:bookmarkStart w:id="496" w:name="_Toc173915926"/>
      <w:bookmarkStart w:id="497" w:name="_Toc174118182"/>
      <w:bookmarkStart w:id="498" w:name="_Toc176516304"/>
      <w:r>
        <w:t>Sole trader analysis</w:t>
      </w:r>
      <w:bookmarkEnd w:id="496"/>
      <w:bookmarkEnd w:id="497"/>
      <w:bookmarkEnd w:id="498"/>
    </w:p>
    <w:p w14:paraId="3D9FB44C" w14:textId="0DA33CE9" w:rsidR="00622F60" w:rsidRDefault="00622F60" w:rsidP="00021EF3">
      <w:r>
        <w:t>While not included in the above regressions</w:t>
      </w:r>
      <w:r w:rsidR="00880A4D">
        <w:t xml:space="preserve"> for reasons discussed earlier in this section, </w:t>
      </w:r>
      <w:r>
        <w:t>sole traders</w:t>
      </w:r>
      <w:r w:rsidR="00880A4D">
        <w:t xml:space="preserve"> </w:t>
      </w:r>
      <w:r>
        <w:t xml:space="preserve">have the outside option of becoming an employee. For example, if the grants supported businesses in retaining or expanding employment during and immediately following the COVID-19 pandemic, then a significant number of sole traders may have turned to salaried work to capture the benefits of the tight labour market. </w:t>
      </w:r>
    </w:p>
    <w:p w14:paraId="32D4983C" w14:textId="304554C8" w:rsidR="00622F60" w:rsidRDefault="00622F60" w:rsidP="00021EF3">
      <w:r>
        <w:lastRenderedPageBreak/>
        <w:t>Over the year to February 2022, 9.5 per cent of employed people changed jobs, the highest rate since 2013</w:t>
      </w:r>
      <w:r w:rsidR="00496B60">
        <w:t xml:space="preserve"> (see</w:t>
      </w:r>
      <w:r w:rsidR="0048315B">
        <w:t xml:space="preserve"> </w:t>
      </w:r>
      <w:r w:rsidR="0048315B">
        <w:fldChar w:fldCharType="begin"/>
      </w:r>
      <w:r w:rsidR="0048315B">
        <w:instrText xml:space="preserve"> REF _Ref173850507 \r \h </w:instrText>
      </w:r>
      <w:r w:rsidR="00021EF3">
        <w:instrText xml:space="preserve"> \* MERGEFORMAT </w:instrText>
      </w:r>
      <w:r w:rsidR="0048315B">
        <w:fldChar w:fldCharType="separate"/>
      </w:r>
      <w:r w:rsidR="0016271C">
        <w:t>Chart A.1</w:t>
      </w:r>
      <w:r w:rsidR="0048315B">
        <w:fldChar w:fldCharType="end"/>
      </w:r>
      <w:r w:rsidR="0048315B">
        <w:t>)</w:t>
      </w:r>
      <w:r>
        <w:t>. As a result</w:t>
      </w:r>
      <w:r w:rsidR="0048315B">
        <w:t>,</w:t>
      </w:r>
      <w:r>
        <w:t xml:space="preserve"> the number of ABN cancellations for sole traders would be expected to increase as the number of available jobs increased.</w:t>
      </w:r>
    </w:p>
    <w:p w14:paraId="20E0FA5C" w14:textId="5897ABE7" w:rsidR="00622F60" w:rsidRDefault="00622F60" w:rsidP="00021EF3">
      <w:pPr>
        <w:pStyle w:val="AppendixChartCaption"/>
      </w:pPr>
      <w:bookmarkStart w:id="499" w:name="_Ref173850507"/>
      <w:r>
        <w:t xml:space="preserve">: </w:t>
      </w:r>
      <w:r w:rsidRPr="00AA7A6D">
        <w:t>Employed people who changed jobs during the year</w:t>
      </w:r>
      <w:bookmarkEnd w:id="499"/>
      <w:r w:rsidR="00CE6DCE">
        <w:t>.</w:t>
      </w:r>
      <w:r w:rsidRPr="00AA7A6D">
        <w:t xml:space="preserve"> </w:t>
      </w:r>
    </w:p>
    <w:p w14:paraId="71F1569D" w14:textId="77777777" w:rsidR="00622F60" w:rsidRDefault="00622F60" w:rsidP="00021EF3">
      <w:r>
        <w:rPr>
          <w:noProof/>
        </w:rPr>
        <w:drawing>
          <wp:inline distT="0" distB="0" distL="0" distR="0" wp14:anchorId="2DF6C3FC" wp14:editId="57040087">
            <wp:extent cx="5760000" cy="2880000"/>
            <wp:effectExtent l="0" t="0" r="0" b="0"/>
            <wp:docPr id="1489793636" name="Chart 1489793636" descr="This line chart shoes the percentage of employed people who changed jobs during the year between 2008 and 2024. It shows a decreasing trend from 2008 where 11.5 per cent of employed people changed jobs to 2024 where 8.0 per cent of employed people changed jobs. While there are fluctuations from year to year, there is notable drop in 2020 and 2021 to a low of 7.5 per cent by approximately 2 per cent.">
              <a:extLst xmlns:a="http://schemas.openxmlformats.org/drawingml/2006/main">
                <a:ext uri="{FF2B5EF4-FFF2-40B4-BE49-F238E27FC236}">
                  <a16:creationId xmlns:a16="http://schemas.microsoft.com/office/drawing/2014/main" id="{642AB859-178B-CE15-0E08-F21700713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94B1E8" w14:textId="77777777" w:rsidR="00622F60" w:rsidRDefault="00622F60" w:rsidP="00021EF3">
      <w:pPr>
        <w:pStyle w:val="Source"/>
      </w:pPr>
      <w:r>
        <w:t xml:space="preserve">Source: ABS Job Mobility. </w:t>
      </w:r>
    </w:p>
    <w:p w14:paraId="2D79E846" w14:textId="47EA0742" w:rsidR="00622F60" w:rsidRPr="00CA6072" w:rsidRDefault="00622F60" w:rsidP="00021EF3">
      <w:r>
        <w:t xml:space="preserve">However, </w:t>
      </w:r>
      <w:r w:rsidR="0048315B">
        <w:t>it is noted that</w:t>
      </w:r>
      <w:r>
        <w:t xml:space="preserve"> is no cost to apply for, or hold</w:t>
      </w:r>
      <w:r w:rsidR="00A72F8D">
        <w:t>,</w:t>
      </w:r>
      <w:r>
        <w:t xml:space="preserve"> an ABN, while there is a cost associated with holding an ACN. This means that ABN cancellations may happen months or years after a sole trader has ceased operation, </w:t>
      </w:r>
      <w:r w:rsidR="0048315B">
        <w:t xml:space="preserve">as compared </w:t>
      </w:r>
      <w:r w:rsidR="00A72F8D">
        <w:t xml:space="preserve">to </w:t>
      </w:r>
      <w:r>
        <w:t xml:space="preserve">an </w:t>
      </w:r>
      <w:r w:rsidR="0048315B">
        <w:t>A</w:t>
      </w:r>
      <w:r w:rsidR="00A72F8D">
        <w:t>C</w:t>
      </w:r>
      <w:r w:rsidR="0048315B">
        <w:t>N which</w:t>
      </w:r>
      <w:r>
        <w:t xml:space="preserve"> is much more likely to be unregistered when a company stops trading.</w:t>
      </w:r>
    </w:p>
    <w:p w14:paraId="38D09AD9" w14:textId="77777777" w:rsidR="00622F60" w:rsidRDefault="00622F60" w:rsidP="00021EF3">
      <w:r>
        <w:t xml:space="preserve">These limitations aside, between 2021 and June 2024, </w:t>
      </w:r>
      <w:r w:rsidRPr="00926C48">
        <w:t>475</w:t>
      </w:r>
      <w:r>
        <w:t>,</w:t>
      </w:r>
      <w:r w:rsidRPr="00926C48">
        <w:t>949</w:t>
      </w:r>
      <w:r>
        <w:t xml:space="preserve"> of the 1,688,615 sole traders registered in Victoria cancelled their ABNs at a rate of 28.2 per cent. Only 1,869 of the 65,059 sole traders registered in Victoria who received a grant cancelled their ABN between 2021 and June 2024. This represents an exit rate of 2.9 per cent. </w:t>
      </w:r>
    </w:p>
    <w:p w14:paraId="35D1535F" w14:textId="77777777" w:rsidR="00622F60" w:rsidRDefault="00622F60" w:rsidP="00021EF3">
      <w:r>
        <w:t>Sole traders who received a grant were 89.8 per cent less likely to cancel their ABNs than sole traders who did not receive a grant. This should not be viewed as a causal effect. The application for the grants placed some level of administrative burden on businesses. Additionally, tax agents were allowed to lodge grant applications on business’ behalf. The combination of these two factors likely skewed grant treatment towards a subset of sole traders which were ex ante significantly more likely to continue to operate.</w:t>
      </w:r>
    </w:p>
    <w:p w14:paraId="51240769" w14:textId="3A782380" w:rsidR="00622F60" w:rsidRDefault="00622F60" w:rsidP="00021EF3">
      <w:r>
        <w:t>This evaluation did not have access to ATO data and as such cannot control for variables such as if a sole trader has other employment, or previous revenue of the sole trader. Given these limitations, the statistics on survival of sole traders should be regarded with caution.</w:t>
      </w:r>
    </w:p>
    <w:p w14:paraId="742CFA8D" w14:textId="31C8AA9B" w:rsidR="0019041F" w:rsidRDefault="00870F8D" w:rsidP="00021EF3">
      <w:pPr>
        <w:pStyle w:val="Heading3un-numbered"/>
      </w:pPr>
      <w:bookmarkStart w:id="500" w:name="_Toc174118183"/>
      <w:bookmarkStart w:id="501" w:name="_Toc176516305"/>
      <w:r>
        <w:t>Regression inputs into the CBA</w:t>
      </w:r>
      <w:bookmarkEnd w:id="500"/>
      <w:bookmarkEnd w:id="501"/>
    </w:p>
    <w:p w14:paraId="7A28306F" w14:textId="6ED256F1" w:rsidR="0019041F" w:rsidRDefault="001F384C" w:rsidP="00021EF3">
      <w:pPr>
        <w:rPr>
          <w:rFonts w:eastAsiaTheme="majorEastAsia" w:cstheme="majorBidi"/>
        </w:rPr>
      </w:pPr>
      <w:r w:rsidRPr="00051913">
        <w:rPr>
          <w:rFonts w:eastAsiaTheme="majorEastAsia" w:cstheme="majorBidi"/>
        </w:rPr>
        <w:t xml:space="preserve">In </w:t>
      </w:r>
      <w:r>
        <w:rPr>
          <w:rFonts w:eastAsiaTheme="majorEastAsia" w:cstheme="majorBidi"/>
        </w:rPr>
        <w:t xml:space="preserve">estimating </w:t>
      </w:r>
      <w:r w:rsidR="0011181F">
        <w:rPr>
          <w:rFonts w:eastAsiaTheme="majorEastAsia" w:cstheme="majorBidi"/>
        </w:rPr>
        <w:t>the economic benefit</w:t>
      </w:r>
      <w:r w:rsidR="00572CC8">
        <w:rPr>
          <w:rFonts w:eastAsiaTheme="majorEastAsia" w:cstheme="majorBidi"/>
        </w:rPr>
        <w:t>s</w:t>
      </w:r>
      <w:r w:rsidR="0011181F">
        <w:rPr>
          <w:rFonts w:eastAsiaTheme="majorEastAsia" w:cstheme="majorBidi"/>
        </w:rPr>
        <w:t xml:space="preserve"> </w:t>
      </w:r>
      <w:r w:rsidR="00572CC8">
        <w:rPr>
          <w:rFonts w:eastAsiaTheme="majorEastAsia" w:cstheme="majorBidi"/>
        </w:rPr>
        <w:t>associated with business survival</w:t>
      </w:r>
      <w:r w:rsidR="0093046E">
        <w:rPr>
          <w:rFonts w:eastAsiaTheme="majorEastAsia" w:cstheme="majorBidi"/>
        </w:rPr>
        <w:t>,</w:t>
      </w:r>
      <w:r w:rsidR="0011181F">
        <w:rPr>
          <w:rFonts w:eastAsiaTheme="majorEastAsia" w:cstheme="majorBidi"/>
        </w:rPr>
        <w:t xml:space="preserve"> </w:t>
      </w:r>
      <w:r w:rsidR="002F6D66">
        <w:rPr>
          <w:rFonts w:eastAsiaTheme="majorEastAsia" w:cstheme="majorBidi"/>
        </w:rPr>
        <w:t xml:space="preserve">estimates </w:t>
      </w:r>
      <w:r w:rsidR="0093046E">
        <w:rPr>
          <w:rFonts w:eastAsiaTheme="majorEastAsia" w:cstheme="majorBidi"/>
        </w:rPr>
        <w:t xml:space="preserve">of </w:t>
      </w:r>
      <w:r w:rsidR="00EE39E8">
        <w:rPr>
          <w:rFonts w:eastAsiaTheme="majorEastAsia" w:cstheme="majorBidi"/>
        </w:rPr>
        <w:t xml:space="preserve">the impact </w:t>
      </w:r>
      <w:r w:rsidR="00C42BB2">
        <w:rPr>
          <w:rFonts w:eastAsiaTheme="majorEastAsia" w:cstheme="majorBidi"/>
        </w:rPr>
        <w:t>of the grants on business survival</w:t>
      </w:r>
      <w:r w:rsidR="00572CC8">
        <w:rPr>
          <w:rFonts w:eastAsiaTheme="majorEastAsia" w:cstheme="majorBidi"/>
        </w:rPr>
        <w:t xml:space="preserve"> rates</w:t>
      </w:r>
      <w:r w:rsidR="00C42BB2">
        <w:rPr>
          <w:rFonts w:eastAsiaTheme="majorEastAsia" w:cstheme="majorBidi"/>
        </w:rPr>
        <w:t xml:space="preserve"> over time were required</w:t>
      </w:r>
      <w:r w:rsidR="00C23A08">
        <w:rPr>
          <w:rFonts w:eastAsiaTheme="majorEastAsia" w:cstheme="majorBidi"/>
        </w:rPr>
        <w:t xml:space="preserve"> </w:t>
      </w:r>
      <w:r w:rsidR="00572CC8">
        <w:rPr>
          <w:rFonts w:eastAsiaTheme="majorEastAsia" w:cstheme="majorBidi"/>
        </w:rPr>
        <w:t>(S</w:t>
      </w:r>
      <w:r w:rsidR="009133C4">
        <w:rPr>
          <w:rFonts w:eastAsiaTheme="majorEastAsia" w:cstheme="majorBidi"/>
        </w:rPr>
        <w:t xml:space="preserve">ection </w:t>
      </w:r>
      <w:r w:rsidR="00E32E3A">
        <w:rPr>
          <w:rFonts w:eastAsiaTheme="majorEastAsia" w:cstheme="majorBidi"/>
        </w:rPr>
        <w:fldChar w:fldCharType="begin"/>
      </w:r>
      <w:r w:rsidR="00E32E3A">
        <w:rPr>
          <w:rFonts w:eastAsiaTheme="majorEastAsia" w:cstheme="majorBidi"/>
        </w:rPr>
        <w:instrText xml:space="preserve"> REF _Ref174094778 \r \h </w:instrText>
      </w:r>
      <w:r w:rsidR="00021EF3">
        <w:rPr>
          <w:rFonts w:eastAsiaTheme="majorEastAsia" w:cstheme="majorBidi"/>
        </w:rPr>
        <w:instrText xml:space="preserve"> \* MERGEFORMAT </w:instrText>
      </w:r>
      <w:r w:rsidR="00E32E3A">
        <w:rPr>
          <w:rFonts w:eastAsiaTheme="majorEastAsia" w:cstheme="majorBidi"/>
        </w:rPr>
      </w:r>
      <w:r w:rsidR="00E32E3A">
        <w:rPr>
          <w:rFonts w:eastAsiaTheme="majorEastAsia" w:cstheme="majorBidi"/>
        </w:rPr>
        <w:fldChar w:fldCharType="separate"/>
      </w:r>
      <w:r w:rsidR="0016271C">
        <w:rPr>
          <w:rFonts w:eastAsiaTheme="majorEastAsia" w:cstheme="majorBidi"/>
        </w:rPr>
        <w:t>2.4</w:t>
      </w:r>
      <w:r w:rsidR="00E32E3A">
        <w:rPr>
          <w:rFonts w:eastAsiaTheme="majorEastAsia" w:cstheme="majorBidi"/>
        </w:rPr>
        <w:fldChar w:fldCharType="end"/>
      </w:r>
      <w:r w:rsidR="00572CC8">
        <w:rPr>
          <w:rFonts w:eastAsiaTheme="majorEastAsia" w:cstheme="majorBidi"/>
        </w:rPr>
        <w:t>)</w:t>
      </w:r>
      <w:r w:rsidR="00C42BB2">
        <w:rPr>
          <w:rFonts w:eastAsiaTheme="majorEastAsia" w:cstheme="majorBidi"/>
        </w:rPr>
        <w:t xml:space="preserve">. </w:t>
      </w:r>
      <w:r w:rsidR="00505848">
        <w:rPr>
          <w:rFonts w:eastAsiaTheme="majorEastAsia" w:cstheme="majorBidi"/>
        </w:rPr>
        <w:t>To estimate this</w:t>
      </w:r>
      <w:r w:rsidR="00287A00">
        <w:rPr>
          <w:rFonts w:eastAsiaTheme="majorEastAsia" w:cstheme="majorBidi"/>
        </w:rPr>
        <w:t>,</w:t>
      </w:r>
      <w:r w:rsidR="00505848">
        <w:rPr>
          <w:rFonts w:eastAsiaTheme="majorEastAsia" w:cstheme="majorBidi"/>
        </w:rPr>
        <w:t xml:space="preserve"> a simplified version of specification 7 was used</w:t>
      </w:r>
      <w:r w:rsidR="00550D10">
        <w:rPr>
          <w:rFonts w:eastAsiaTheme="majorEastAsia" w:cstheme="majorBidi"/>
        </w:rPr>
        <w:t xml:space="preserve">. A series of regressions were then run with a dependent variable which indicated </w:t>
      </w:r>
      <w:r w:rsidR="001641AD">
        <w:rPr>
          <w:rFonts w:eastAsiaTheme="majorEastAsia" w:cstheme="majorBidi"/>
        </w:rPr>
        <w:t xml:space="preserve">business exit before a certain date. </w:t>
      </w:r>
      <w:r w:rsidR="00CB2438">
        <w:rPr>
          <w:rFonts w:eastAsiaTheme="majorEastAsia" w:cstheme="majorBidi"/>
        </w:rPr>
        <w:t xml:space="preserve">This specification also uses </w:t>
      </w:r>
      <w:r w:rsidR="00CB2438" w:rsidRPr="00051913">
        <w:rPr>
          <w:rFonts w:eastAsiaTheme="majorEastAsia" w:cstheme="majorBidi"/>
          <w:i/>
          <w:iCs/>
        </w:rPr>
        <w:t>treat</w:t>
      </w:r>
      <w:r w:rsidR="006B2B01" w:rsidRPr="00051913">
        <w:rPr>
          <w:rFonts w:eastAsiaTheme="majorEastAsia" w:cstheme="majorBidi"/>
          <w:i/>
          <w:iCs/>
        </w:rPr>
        <w:t>ed</w:t>
      </w:r>
      <w:r w:rsidR="00CB2438">
        <w:rPr>
          <w:rFonts w:eastAsiaTheme="majorEastAsia" w:cstheme="majorBidi"/>
        </w:rPr>
        <w:t xml:space="preserve"> to indicate </w:t>
      </w:r>
      <w:r w:rsidR="000607B1">
        <w:rPr>
          <w:rFonts w:eastAsiaTheme="majorEastAsia" w:cstheme="majorBidi"/>
        </w:rPr>
        <w:t>if a business had received either a BCAP or LHVF grant.</w:t>
      </w:r>
      <w:r w:rsidR="000B1BDF">
        <w:rPr>
          <w:rFonts w:eastAsiaTheme="majorEastAsia" w:cstheme="majorBidi"/>
        </w:rPr>
        <w:t xml:space="preserve"> </w:t>
      </w:r>
      <w:r w:rsidR="000607B1">
        <w:rPr>
          <w:rFonts w:eastAsiaTheme="majorEastAsia" w:cstheme="majorBidi"/>
        </w:rPr>
        <w:t xml:space="preserve">This specification provides more power </w:t>
      </w:r>
      <w:r w:rsidR="00631E53">
        <w:rPr>
          <w:rFonts w:eastAsiaTheme="majorEastAsia" w:cstheme="majorBidi"/>
        </w:rPr>
        <w:t>when analysing shorter time periods of data.</w:t>
      </w:r>
      <w:r w:rsidR="00A97DE3">
        <w:rPr>
          <w:rFonts w:eastAsiaTheme="majorEastAsia" w:cstheme="majorBidi"/>
        </w:rPr>
        <w:t xml:space="preserve"> In the below specification</w:t>
      </w:r>
      <w:r w:rsidR="005F7112">
        <w:rPr>
          <w:rFonts w:eastAsiaTheme="majorEastAsia" w:cstheme="majorBidi"/>
        </w:rPr>
        <w:t>,</w:t>
      </w:r>
      <w:r w:rsidR="00A97DE3">
        <w:rPr>
          <w:rFonts w:eastAsiaTheme="majorEastAsia" w:cstheme="majorBidi"/>
        </w:rPr>
        <w:t xml:space="preserve"> exited</w:t>
      </w:r>
      <w:r w:rsidR="005F7112">
        <w:rPr>
          <w:rFonts w:eastAsiaTheme="majorEastAsia" w:cstheme="majorBidi"/>
        </w:rPr>
        <w:t xml:space="preserve"> </w:t>
      </w:r>
      <w:r w:rsidR="00A97DE3">
        <w:rPr>
          <w:rFonts w:eastAsiaTheme="majorEastAsia" w:cstheme="majorBidi"/>
        </w:rPr>
        <w:t>2021 indicates that a business exited at some point before the end of 2021.</w:t>
      </w:r>
    </w:p>
    <w:p w14:paraId="1C69B3FB" w14:textId="1E83C19C" w:rsidR="0016312E" w:rsidRPr="00A97DE3" w:rsidRDefault="000607B1" w:rsidP="00021EF3">
      <w:pPr>
        <w:rPr>
          <w:rFonts w:eastAsiaTheme="majorEastAsia" w:cstheme="majorBidi"/>
          <w:color w:val="000000" w:themeColor="text1"/>
          <w:kern w:val="24"/>
        </w:rPr>
      </w:pPr>
      <m:oMathPara>
        <m:oMath>
          <m:r>
            <w:rPr>
              <w:rFonts w:ascii="Cambria Math" w:hAnsi="Cambria Math"/>
              <w:color w:val="000000" w:themeColor="text1"/>
              <w:kern w:val="24"/>
            </w:rPr>
            <m:t>exite</m:t>
          </m:r>
          <m:sSub>
            <m:sSubPr>
              <m:ctrlPr>
                <w:rPr>
                  <w:rFonts w:ascii="Cambria Math" w:hAnsi="Cambria Math"/>
                  <w:i/>
                  <w:color w:val="000000" w:themeColor="text1"/>
                  <w:kern w:val="24"/>
                </w:rPr>
              </m:ctrlPr>
            </m:sSubPr>
            <m:e>
              <m:r>
                <w:rPr>
                  <w:rFonts w:ascii="Cambria Math" w:hAnsi="Cambria Math"/>
                  <w:color w:val="000000" w:themeColor="text1"/>
                  <w:kern w:val="24"/>
                </w:rPr>
                <m:t>d2021</m:t>
              </m:r>
            </m:e>
            <m:sub>
              <m:r>
                <w:rPr>
                  <w:rFonts w:ascii="Cambria Math" w:hAnsi="Cambria Math"/>
                  <w:color w:val="000000" w:themeColor="text1"/>
                  <w:kern w:val="24"/>
                </w:rPr>
                <m:t>i</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0</m:t>
              </m:r>
            </m:sub>
          </m:sSub>
          <m:r>
            <m:rPr>
              <m:sty m:val="p"/>
            </m:rPr>
            <w:rPr>
              <w:rFonts w:ascii="Cambria Math" w:hAnsi="Cambria Math"/>
              <w:color w:val="000000" w:themeColor="text1"/>
              <w:kern w:val="24"/>
            </w:rPr>
            <m:t>+</m:t>
          </m:r>
          <m:sSub>
            <m:sSubPr>
              <m:ctrlPr>
                <w:rPr>
                  <w:rFonts w:ascii="Cambria Math" w:eastAsiaTheme="minorEastAsia" w:hAnsi="Cambria Math"/>
                  <w:i/>
                  <w:color w:val="836967"/>
                  <w:kern w:val="24"/>
                  <w:sz w:val="24"/>
                  <w:szCs w:val="24"/>
                </w:rPr>
              </m:ctrlPr>
            </m:sSubPr>
            <m:e>
              <m:r>
                <w:rPr>
                  <w:rFonts w:ascii="Cambria Math" w:hAnsi="Cambria Math"/>
                  <w:color w:val="000000" w:themeColor="text1"/>
                  <w:kern w:val="24"/>
                </w:rPr>
                <m:t>β</m:t>
              </m:r>
            </m:e>
            <m:sub>
              <m:r>
                <m:rPr>
                  <m:sty m:val="p"/>
                </m:rPr>
                <w:rPr>
                  <w:rFonts w:ascii="Cambria Math" w:hAnsi="Cambria Math"/>
                  <w:color w:val="000000" w:themeColor="text1"/>
                  <w:kern w:val="24"/>
                </w:rPr>
                <m:t>1</m:t>
              </m:r>
            </m:sub>
          </m:sSub>
          <m:r>
            <w:rPr>
              <w:rFonts w:ascii="Cambria Math" w:hAnsi="Cambria Math"/>
              <w:color w:val="000000" w:themeColor="text1"/>
              <w:kern w:val="24"/>
            </w:rPr>
            <m:t>treate</m:t>
          </m:r>
          <m:sSub>
            <m:sSubPr>
              <m:ctrlPr>
                <w:rPr>
                  <w:rFonts w:ascii="Cambria Math" w:hAnsi="Cambria Math"/>
                  <w:i/>
                  <w:color w:val="000000" w:themeColor="text1"/>
                  <w:kern w:val="24"/>
                </w:rPr>
              </m:ctrlPr>
            </m:sSubPr>
            <m:e>
              <m:r>
                <w:rPr>
                  <w:rFonts w:ascii="Cambria Math" w:hAnsi="Cambria Math"/>
                  <w:color w:val="000000" w:themeColor="text1"/>
                  <w:kern w:val="24"/>
                </w:rPr>
                <m:t>d</m:t>
              </m:r>
            </m:e>
            <m:sub>
              <m:r>
                <w:rPr>
                  <w:rFonts w:ascii="Cambria Math" w:hAnsi="Cambria Math"/>
                  <w:color w:val="000000" w:themeColor="text1"/>
                  <w:kern w:val="24"/>
                </w:rPr>
                <m:t>i</m:t>
              </m:r>
            </m:sub>
          </m:sSub>
          <m:r>
            <w:rPr>
              <w:rFonts w:ascii="Cambria Math" w:hAnsi="Cambria Math"/>
              <w:color w:val="000000" w:themeColor="text1"/>
              <w:kern w:val="24"/>
            </w:rPr>
            <m:t xml:space="preserve">+ </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2</m:t>
              </m:r>
            </m:sub>
          </m:sSub>
          <m:r>
            <w:rPr>
              <w:rFonts w:ascii="Cambria Math" w:hAnsi="Cambria Math"/>
              <w:color w:val="000000" w:themeColor="text1"/>
              <w:kern w:val="24"/>
            </w:rPr>
            <m:t xml:space="preserve">ANZSIC </m:t>
          </m:r>
          <m:sSub>
            <m:sSubPr>
              <m:ctrlPr>
                <w:rPr>
                  <w:rFonts w:ascii="Cambria Math" w:hAnsi="Cambria Math"/>
                  <w:i/>
                  <w:color w:val="000000" w:themeColor="text1"/>
                  <w:kern w:val="24"/>
                </w:rPr>
              </m:ctrlPr>
            </m:sSubPr>
            <m:e>
              <m:r>
                <w:rPr>
                  <w:rFonts w:ascii="Cambria Math" w:hAnsi="Cambria Math"/>
                  <w:color w:val="000000" w:themeColor="text1"/>
                  <w:kern w:val="24"/>
                </w:rPr>
                <m:t>3</m:t>
              </m:r>
            </m:e>
            <m:sub>
              <m:r>
                <w:rPr>
                  <w:rFonts w:ascii="Cambria Math" w:hAnsi="Cambria Math"/>
                  <w:color w:val="000000" w:themeColor="text1"/>
                  <w:kern w:val="24"/>
                </w:rPr>
                <m:t>i</m:t>
              </m:r>
            </m:sub>
          </m:sSub>
          <m:r>
            <w:rPr>
              <w:rFonts w:ascii="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hAnsi="Cambria Math"/>
                  <w:color w:val="000000" w:themeColor="text1"/>
                  <w:kern w:val="24"/>
                </w:rPr>
                <m:t>β</m:t>
              </m:r>
            </m:e>
            <m:sub>
              <m:r>
                <w:rPr>
                  <w:rFonts w:ascii="Cambria Math" w:hAnsi="Cambria Math"/>
                  <w:color w:val="000000" w:themeColor="text1"/>
                  <w:kern w:val="24"/>
                </w:rPr>
                <m:t>3</m:t>
              </m:r>
            </m:sub>
          </m:sSub>
          <m:r>
            <w:rPr>
              <w:rFonts w:ascii="Cambria Math" w:hAnsi="Cambria Math"/>
              <w:color w:val="000000" w:themeColor="text1"/>
              <w:kern w:val="24"/>
            </w:rPr>
            <m:t>Metr</m:t>
          </m:r>
          <m:sSub>
            <m:sSubPr>
              <m:ctrlPr>
                <w:rPr>
                  <w:rFonts w:ascii="Cambria Math" w:hAnsi="Cambria Math"/>
                  <w:i/>
                  <w:color w:val="000000" w:themeColor="text1"/>
                  <w:kern w:val="24"/>
                </w:rPr>
              </m:ctrlPr>
            </m:sSubPr>
            <m:e>
              <m:r>
                <w:rPr>
                  <w:rFonts w:ascii="Cambria Math" w:hAnsi="Cambria Math"/>
                  <w:color w:val="000000" w:themeColor="text1"/>
                  <w:kern w:val="24"/>
                </w:rPr>
                <m:t>o</m:t>
              </m:r>
            </m:e>
            <m:sub>
              <m:r>
                <w:rPr>
                  <w:rFonts w:ascii="Cambria Math" w:hAnsi="Cambria Math"/>
                  <w:color w:val="000000" w:themeColor="text1"/>
                  <w:kern w:val="24"/>
                </w:rPr>
                <m:t>i</m:t>
              </m:r>
            </m:sub>
          </m:sSub>
          <m:r>
            <w:rPr>
              <w:rFonts w:ascii="Cambria Math" w:eastAsiaTheme="minorEastAsia" w:hAnsi="Cambria Math"/>
              <w:color w:val="000000" w:themeColor="text1"/>
              <w:kern w:val="24"/>
            </w:rPr>
            <m:t xml:space="preserve"> </m:t>
          </m:r>
        </m:oMath>
      </m:oMathPara>
    </w:p>
    <w:p w14:paraId="125BE23B" w14:textId="4A55D3DC" w:rsidR="00A97DE3" w:rsidRDefault="00A97DE3" w:rsidP="00021EF3">
      <w:pPr>
        <w:rPr>
          <w:rFonts w:eastAsiaTheme="majorEastAsia" w:cstheme="majorBidi"/>
          <w:color w:val="000000" w:themeColor="text1"/>
          <w:kern w:val="24"/>
        </w:rPr>
      </w:pPr>
      <w:r>
        <w:rPr>
          <w:rFonts w:eastAsiaTheme="majorEastAsia" w:cstheme="majorBidi"/>
          <w:color w:val="000000" w:themeColor="text1"/>
          <w:kern w:val="24"/>
        </w:rPr>
        <w:t xml:space="preserve">This was then repeated with </w:t>
      </w:r>
      <w:r w:rsidRPr="00051913">
        <w:rPr>
          <w:rFonts w:eastAsiaTheme="majorEastAsia" w:cstheme="majorBidi"/>
          <w:i/>
          <w:iCs/>
          <w:color w:val="000000" w:themeColor="text1"/>
          <w:kern w:val="24"/>
        </w:rPr>
        <w:t xml:space="preserve">exited2022, exited2023 </w:t>
      </w:r>
      <w:r w:rsidRPr="00F5314B">
        <w:rPr>
          <w:rFonts w:eastAsiaTheme="majorEastAsia" w:cstheme="majorBidi"/>
          <w:color w:val="000000" w:themeColor="text1"/>
          <w:kern w:val="24"/>
        </w:rPr>
        <w:t>and</w:t>
      </w:r>
      <w:r w:rsidRPr="00051913">
        <w:rPr>
          <w:rFonts w:eastAsiaTheme="majorEastAsia" w:cstheme="majorBidi"/>
          <w:i/>
          <w:iCs/>
          <w:color w:val="000000" w:themeColor="text1"/>
          <w:kern w:val="24"/>
        </w:rPr>
        <w:t xml:space="preserve"> exited2024</w:t>
      </w:r>
      <w:r>
        <w:rPr>
          <w:rFonts w:eastAsiaTheme="majorEastAsia" w:cstheme="majorBidi"/>
          <w:color w:val="000000" w:themeColor="text1"/>
          <w:kern w:val="24"/>
        </w:rPr>
        <w:t xml:space="preserve">. With </w:t>
      </w:r>
      <w:r w:rsidRPr="00051913">
        <w:rPr>
          <w:rFonts w:eastAsiaTheme="majorEastAsia" w:cstheme="majorBidi"/>
          <w:i/>
          <w:iCs/>
          <w:color w:val="000000" w:themeColor="text1"/>
          <w:kern w:val="24"/>
        </w:rPr>
        <w:t>exited2024</w:t>
      </w:r>
      <w:r>
        <w:rPr>
          <w:rFonts w:eastAsiaTheme="majorEastAsia" w:cstheme="majorBidi"/>
          <w:color w:val="000000" w:themeColor="text1"/>
          <w:kern w:val="24"/>
        </w:rPr>
        <w:t xml:space="preserve"> taking a value of 1 if the business had </w:t>
      </w:r>
      <w:proofErr w:type="spellStart"/>
      <w:r>
        <w:rPr>
          <w:rFonts w:eastAsiaTheme="majorEastAsia" w:cstheme="majorBidi"/>
          <w:color w:val="000000" w:themeColor="text1"/>
          <w:kern w:val="24"/>
        </w:rPr>
        <w:t>exited</w:t>
      </w:r>
      <w:proofErr w:type="spellEnd"/>
      <w:r>
        <w:rPr>
          <w:rFonts w:eastAsiaTheme="majorEastAsia" w:cstheme="majorBidi"/>
          <w:color w:val="000000" w:themeColor="text1"/>
          <w:kern w:val="24"/>
        </w:rPr>
        <w:t xml:space="preserve"> before May 2024, which was the </w:t>
      </w:r>
      <w:r w:rsidR="00C046B5">
        <w:rPr>
          <w:rFonts w:eastAsiaTheme="majorEastAsia" w:cstheme="majorBidi"/>
          <w:color w:val="000000" w:themeColor="text1"/>
          <w:kern w:val="24"/>
        </w:rPr>
        <w:t xml:space="preserve">most recent date in the ABR data provided to the </w:t>
      </w:r>
      <w:r w:rsidR="00242BA5">
        <w:rPr>
          <w:rFonts w:eastAsiaTheme="majorEastAsia" w:cstheme="majorBidi"/>
          <w:color w:val="000000" w:themeColor="text1"/>
          <w:kern w:val="24"/>
        </w:rPr>
        <w:t>evaluation.</w:t>
      </w:r>
      <w:r w:rsidR="005D4654">
        <w:rPr>
          <w:rFonts w:eastAsiaTheme="majorEastAsia" w:cstheme="majorBidi"/>
          <w:color w:val="000000" w:themeColor="text1"/>
          <w:kern w:val="24"/>
        </w:rPr>
        <w:t xml:space="preserve"> </w:t>
      </w:r>
      <w:r w:rsidR="00244CBF">
        <w:rPr>
          <w:rFonts w:eastAsiaTheme="majorEastAsia" w:cstheme="majorBidi"/>
          <w:color w:val="000000" w:themeColor="text1"/>
          <w:kern w:val="24"/>
        </w:rPr>
        <w:t xml:space="preserve">Beyond this point the grants are assumed to have no further impact on business survival. </w:t>
      </w:r>
      <w:r w:rsidR="00242BA5">
        <w:rPr>
          <w:rFonts w:eastAsiaTheme="majorEastAsia" w:cstheme="majorBidi"/>
          <w:color w:val="000000" w:themeColor="text1"/>
          <w:kern w:val="24"/>
        </w:rPr>
        <w:t xml:space="preserve">The coefficient on </w:t>
      </w:r>
      <w:r w:rsidR="00242BA5" w:rsidRPr="00051913">
        <w:rPr>
          <w:rFonts w:eastAsiaTheme="majorEastAsia" w:cstheme="majorBidi"/>
          <w:i/>
          <w:iCs/>
          <w:color w:val="000000" w:themeColor="text1"/>
          <w:kern w:val="24"/>
        </w:rPr>
        <w:t xml:space="preserve">treated </w:t>
      </w:r>
      <w:r w:rsidR="00242BA5">
        <w:rPr>
          <w:rFonts w:eastAsiaTheme="majorEastAsia" w:cstheme="majorBidi"/>
          <w:color w:val="000000" w:themeColor="text1"/>
          <w:kern w:val="24"/>
        </w:rPr>
        <w:t xml:space="preserve">was then taken as the percentage point reduction in the </w:t>
      </w:r>
      <w:r w:rsidR="00664C22">
        <w:rPr>
          <w:rFonts w:eastAsiaTheme="majorEastAsia" w:cstheme="majorBidi"/>
          <w:color w:val="000000" w:themeColor="text1"/>
          <w:kern w:val="24"/>
        </w:rPr>
        <w:t>likelihood</w:t>
      </w:r>
      <w:r w:rsidR="00242BA5">
        <w:rPr>
          <w:rFonts w:eastAsiaTheme="majorEastAsia" w:cstheme="majorBidi"/>
          <w:color w:val="000000" w:themeColor="text1"/>
          <w:kern w:val="24"/>
        </w:rPr>
        <w:t xml:space="preserve"> of exit </w:t>
      </w:r>
      <w:r w:rsidR="00664C22">
        <w:rPr>
          <w:rFonts w:eastAsiaTheme="majorEastAsia" w:cstheme="majorBidi"/>
          <w:color w:val="000000" w:themeColor="text1"/>
          <w:kern w:val="24"/>
        </w:rPr>
        <w:t>following receipt of a grant.</w:t>
      </w:r>
      <w:r w:rsidR="000F7B03">
        <w:rPr>
          <w:rFonts w:eastAsiaTheme="majorEastAsia" w:cstheme="majorBidi"/>
          <w:color w:val="000000" w:themeColor="text1"/>
          <w:kern w:val="24"/>
        </w:rPr>
        <w:t xml:space="preserve"> </w:t>
      </w:r>
    </w:p>
    <w:p w14:paraId="702BD184" w14:textId="0F2A9581" w:rsidR="00AC21E0" w:rsidRDefault="00AC21E0" w:rsidP="00021EF3">
      <w:pPr>
        <w:rPr>
          <w:rFonts w:eastAsiaTheme="majorEastAsia" w:cstheme="majorBidi"/>
          <w:color w:val="000000" w:themeColor="text1"/>
          <w:kern w:val="24"/>
        </w:rPr>
      </w:pPr>
      <w:r>
        <w:rPr>
          <w:rFonts w:eastAsiaTheme="majorEastAsia" w:cstheme="majorBidi"/>
          <w:color w:val="000000" w:themeColor="text1"/>
          <w:kern w:val="24"/>
        </w:rPr>
        <w:t xml:space="preserve">While generating estimates by industry would have been preferred, the lack of significance across most industries seen in specifications (13) and (14) made that impractical. </w:t>
      </w:r>
    </w:p>
    <w:p w14:paraId="55F022F2" w14:textId="13C06FFF" w:rsidR="0013467B" w:rsidRDefault="0013467B" w:rsidP="00021EF3">
      <w:pPr>
        <w:rPr>
          <w:rFonts w:eastAsiaTheme="majorEastAsia" w:cstheme="majorBidi"/>
          <w:color w:val="000000" w:themeColor="text1"/>
          <w:kern w:val="24"/>
        </w:rPr>
      </w:pPr>
      <w:r>
        <w:rPr>
          <w:rFonts w:eastAsiaTheme="majorEastAsia" w:cstheme="majorBidi"/>
          <w:color w:val="000000" w:themeColor="text1"/>
          <w:kern w:val="24"/>
        </w:rPr>
        <w:lastRenderedPageBreak/>
        <w:t xml:space="preserve">Baseline business </w:t>
      </w:r>
      <w:r w:rsidR="00D30044">
        <w:rPr>
          <w:rFonts w:eastAsiaTheme="majorEastAsia" w:cstheme="majorBidi"/>
          <w:color w:val="000000" w:themeColor="text1"/>
          <w:kern w:val="24"/>
        </w:rPr>
        <w:t>exit</w:t>
      </w:r>
      <w:r>
        <w:rPr>
          <w:rFonts w:eastAsiaTheme="majorEastAsia" w:cstheme="majorBidi"/>
          <w:color w:val="000000" w:themeColor="text1"/>
          <w:kern w:val="24"/>
        </w:rPr>
        <w:t xml:space="preserve"> rates were estimated by calculating </w:t>
      </w:r>
      <w:r w:rsidR="00D30044">
        <w:rPr>
          <w:rFonts w:eastAsiaTheme="majorEastAsia" w:cstheme="majorBidi"/>
          <w:color w:val="000000" w:themeColor="text1"/>
          <w:kern w:val="24"/>
        </w:rPr>
        <w:t xml:space="preserve">the share of employing businesses in Victoria which exited </w:t>
      </w:r>
      <w:r w:rsidR="00BB28BA">
        <w:rPr>
          <w:rFonts w:eastAsiaTheme="majorEastAsia" w:cstheme="majorBidi"/>
          <w:color w:val="000000" w:themeColor="text1"/>
          <w:kern w:val="24"/>
        </w:rPr>
        <w:t xml:space="preserve">within each </w:t>
      </w:r>
      <w:r w:rsidR="008A37E3">
        <w:rPr>
          <w:rFonts w:eastAsiaTheme="majorEastAsia" w:cstheme="majorBidi"/>
          <w:color w:val="000000" w:themeColor="text1"/>
          <w:kern w:val="24"/>
        </w:rPr>
        <w:t xml:space="preserve">relevant time period, again using the ABR data provided to the </w:t>
      </w:r>
      <w:r w:rsidR="00972957">
        <w:rPr>
          <w:rFonts w:eastAsiaTheme="majorEastAsia" w:cstheme="majorBidi"/>
          <w:color w:val="000000" w:themeColor="text1"/>
          <w:kern w:val="24"/>
        </w:rPr>
        <w:t>evaluation.</w:t>
      </w:r>
    </w:p>
    <w:p w14:paraId="0939042D" w14:textId="45152E5C" w:rsidR="009C4F66" w:rsidRDefault="009C4F66" w:rsidP="00021EF3">
      <w:pPr>
        <w:pStyle w:val="AppendixTableCaption"/>
        <w:rPr>
          <w:rFonts w:eastAsiaTheme="majorEastAsia"/>
        </w:rPr>
      </w:pPr>
      <w:bookmarkStart w:id="502" w:name="_Ref174097460"/>
      <w:r>
        <w:rPr>
          <w:rFonts w:eastAsiaTheme="majorEastAsia"/>
        </w:rPr>
        <w:t xml:space="preserve">: </w:t>
      </w:r>
      <w:r w:rsidR="00846DEC">
        <w:rPr>
          <w:rFonts w:eastAsiaTheme="majorEastAsia"/>
        </w:rPr>
        <w:t>E</w:t>
      </w:r>
      <w:r w:rsidR="009501FE">
        <w:rPr>
          <w:rFonts w:eastAsiaTheme="majorEastAsia"/>
        </w:rPr>
        <w:t>stimates of survival rates to inform CBA</w:t>
      </w:r>
      <w:bookmarkEnd w:id="502"/>
      <w:r w:rsidR="00792D18">
        <w:rPr>
          <w:rFonts w:eastAsiaTheme="majorEastAsia"/>
        </w:rPr>
        <w:t>.</w:t>
      </w:r>
    </w:p>
    <w:tbl>
      <w:tblPr>
        <w:tblStyle w:val="Deloittetable"/>
        <w:tblW w:w="9097" w:type="dxa"/>
        <w:tblLook w:val="04A0" w:firstRow="1" w:lastRow="0" w:firstColumn="1" w:lastColumn="0" w:noHBand="0" w:noVBand="1"/>
      </w:tblPr>
      <w:tblGrid>
        <w:gridCol w:w="1819"/>
        <w:gridCol w:w="1819"/>
        <w:gridCol w:w="1819"/>
        <w:gridCol w:w="1819"/>
        <w:gridCol w:w="1821"/>
      </w:tblGrid>
      <w:tr w:rsidR="000F7B03" w14:paraId="1A3043AF" w14:textId="77777777" w:rsidTr="00494463">
        <w:trPr>
          <w:cnfStyle w:val="100000000000" w:firstRow="1" w:lastRow="0" w:firstColumn="0" w:lastColumn="0" w:oddVBand="0" w:evenVBand="0" w:oddHBand="0" w:evenHBand="0" w:firstRowFirstColumn="0" w:firstRowLastColumn="0" w:lastRowFirstColumn="0" w:lastRowLastColumn="0"/>
          <w:trHeight w:val="340"/>
          <w:tblHeader/>
        </w:trPr>
        <w:tc>
          <w:tcPr>
            <w:tcW w:w="1819" w:type="dxa"/>
          </w:tcPr>
          <w:p w14:paraId="41014615" w14:textId="77777777" w:rsidR="000F7B03" w:rsidRPr="00893EB3" w:rsidRDefault="000F7B03" w:rsidP="00021EF3">
            <w:pPr>
              <w:rPr>
                <w:rFonts w:cs="Arial"/>
                <w:b/>
              </w:rPr>
            </w:pPr>
            <w:r w:rsidRPr="00893EB3">
              <w:rPr>
                <w:rFonts w:cs="Arial"/>
                <w:b/>
              </w:rPr>
              <w:t>Specification</w:t>
            </w:r>
          </w:p>
        </w:tc>
        <w:tc>
          <w:tcPr>
            <w:tcW w:w="1819" w:type="dxa"/>
          </w:tcPr>
          <w:p w14:paraId="68EA7CE7" w14:textId="0FE224DF" w:rsidR="000F7B03" w:rsidRPr="00893EB3" w:rsidRDefault="00571503" w:rsidP="00021EF3">
            <w:pPr>
              <w:rPr>
                <w:rFonts w:cs="Arial"/>
                <w:b/>
              </w:rPr>
            </w:pPr>
            <w:r w:rsidRPr="004032F3">
              <w:rPr>
                <w:rFonts w:eastAsiaTheme="majorEastAsia" w:cstheme="majorBidi"/>
                <w:b/>
                <w:color w:val="000000" w:themeColor="text1"/>
                <w:kern w:val="24"/>
              </w:rPr>
              <w:t>Exited 2021</w:t>
            </w:r>
          </w:p>
        </w:tc>
        <w:tc>
          <w:tcPr>
            <w:tcW w:w="1819" w:type="dxa"/>
          </w:tcPr>
          <w:p w14:paraId="06C68BA1" w14:textId="1FB92EF5" w:rsidR="000F7B03" w:rsidRPr="00893EB3" w:rsidRDefault="00571503" w:rsidP="00021EF3">
            <w:pPr>
              <w:rPr>
                <w:rFonts w:cs="Arial"/>
                <w:b/>
              </w:rPr>
            </w:pPr>
            <w:r w:rsidRPr="004032F3">
              <w:rPr>
                <w:rFonts w:eastAsiaTheme="majorEastAsia" w:cstheme="majorBidi"/>
                <w:b/>
                <w:color w:val="000000" w:themeColor="text1"/>
                <w:kern w:val="24"/>
              </w:rPr>
              <w:t>Exited 2022</w:t>
            </w:r>
          </w:p>
        </w:tc>
        <w:tc>
          <w:tcPr>
            <w:tcW w:w="1819" w:type="dxa"/>
          </w:tcPr>
          <w:p w14:paraId="09E74D93" w14:textId="6263CE6D" w:rsidR="000F7B03" w:rsidRPr="00893EB3" w:rsidRDefault="00571503" w:rsidP="00021EF3">
            <w:pPr>
              <w:rPr>
                <w:rFonts w:cs="Arial"/>
                <w:b/>
              </w:rPr>
            </w:pPr>
            <w:r w:rsidRPr="004032F3">
              <w:rPr>
                <w:rFonts w:eastAsiaTheme="majorEastAsia" w:cstheme="majorBidi"/>
                <w:b/>
                <w:color w:val="000000" w:themeColor="text1"/>
                <w:kern w:val="24"/>
              </w:rPr>
              <w:t>Exited 2023</w:t>
            </w:r>
          </w:p>
        </w:tc>
        <w:tc>
          <w:tcPr>
            <w:tcW w:w="1821" w:type="dxa"/>
          </w:tcPr>
          <w:p w14:paraId="0997A8B8" w14:textId="7D9E5A6A" w:rsidR="000F7B03" w:rsidRPr="00893EB3" w:rsidRDefault="00571503" w:rsidP="00021EF3">
            <w:pPr>
              <w:rPr>
                <w:rFonts w:cs="Arial"/>
                <w:b/>
              </w:rPr>
            </w:pPr>
            <w:r w:rsidRPr="004032F3">
              <w:rPr>
                <w:rFonts w:eastAsiaTheme="majorEastAsia" w:cstheme="majorBidi"/>
                <w:b/>
                <w:color w:val="000000" w:themeColor="text1"/>
                <w:kern w:val="24"/>
              </w:rPr>
              <w:t>Exited 2024</w:t>
            </w:r>
          </w:p>
        </w:tc>
      </w:tr>
      <w:tr w:rsidR="000F7B03" w:rsidRPr="002F50BA" w14:paraId="19D18C1B" w14:textId="77777777">
        <w:trPr>
          <w:trHeight w:val="340"/>
        </w:trPr>
        <w:tc>
          <w:tcPr>
            <w:tcW w:w="1819" w:type="dxa"/>
          </w:tcPr>
          <w:p w14:paraId="48A143D3" w14:textId="18E5D5B3" w:rsidR="000F7B03" w:rsidRPr="009B6F4E" w:rsidRDefault="00494463" w:rsidP="00021EF3">
            <w:pPr>
              <w:rPr>
                <w:rFonts w:cs="Arial"/>
              </w:rPr>
            </w:pPr>
            <w:r w:rsidRPr="00393771">
              <w:rPr>
                <w:rFonts w:cs="Arial"/>
              </w:rPr>
              <w:t>Uplift in survivability relative to base case</w:t>
            </w:r>
            <w:r w:rsidR="007B7796">
              <w:rPr>
                <w:rFonts w:cs="Arial"/>
              </w:rPr>
              <w:t xml:space="preserve"> (percentage point difference)</w:t>
            </w:r>
          </w:p>
        </w:tc>
        <w:tc>
          <w:tcPr>
            <w:tcW w:w="1819" w:type="dxa"/>
          </w:tcPr>
          <w:p w14:paraId="6DB3D8C8" w14:textId="619E9A93" w:rsidR="000F7B03" w:rsidRPr="00893EB3" w:rsidRDefault="00494463" w:rsidP="00021EF3">
            <w:pPr>
              <w:spacing w:after="0"/>
              <w:rPr>
                <w:rFonts w:cs="Arial"/>
                <w:color w:val="000000"/>
                <w:szCs w:val="17"/>
                <w:highlight w:val="yellow"/>
              </w:rPr>
            </w:pPr>
            <w:r w:rsidRPr="005041A8">
              <w:t>4.0</w:t>
            </w:r>
            <w:r w:rsidR="00972957">
              <w:t xml:space="preserve"> </w:t>
            </w:r>
            <w:r w:rsidR="003536E1">
              <w:t xml:space="preserve">percentage </w:t>
            </w:r>
            <w:r w:rsidR="00972957">
              <w:t>p</w:t>
            </w:r>
            <w:r w:rsidR="003536E1">
              <w:t>oint</w:t>
            </w:r>
            <w:r w:rsidR="007B7796">
              <w:t>s</w:t>
            </w:r>
          </w:p>
        </w:tc>
        <w:tc>
          <w:tcPr>
            <w:tcW w:w="1819" w:type="dxa"/>
          </w:tcPr>
          <w:p w14:paraId="27905669" w14:textId="689248AA" w:rsidR="000F7B03" w:rsidRPr="00893EB3" w:rsidRDefault="00494463" w:rsidP="00021EF3">
            <w:pPr>
              <w:rPr>
                <w:rFonts w:cs="Arial"/>
                <w:color w:val="000000"/>
                <w:szCs w:val="17"/>
                <w:highlight w:val="yellow"/>
              </w:rPr>
            </w:pPr>
            <w:r w:rsidRPr="005041A8">
              <w:t>7.0</w:t>
            </w:r>
            <w:r w:rsidR="00972957">
              <w:t xml:space="preserve"> </w:t>
            </w:r>
            <w:r w:rsidR="003536E1">
              <w:t>percentage point</w:t>
            </w:r>
            <w:r w:rsidR="007B7796">
              <w:t>s</w:t>
            </w:r>
          </w:p>
        </w:tc>
        <w:tc>
          <w:tcPr>
            <w:tcW w:w="1819" w:type="dxa"/>
          </w:tcPr>
          <w:p w14:paraId="674FC765" w14:textId="2E2159C7" w:rsidR="000F7B03" w:rsidRPr="00893EB3" w:rsidRDefault="00494463" w:rsidP="00021EF3">
            <w:pPr>
              <w:spacing w:after="0"/>
              <w:rPr>
                <w:rFonts w:cs="Arial"/>
                <w:color w:val="000000"/>
                <w:szCs w:val="17"/>
                <w:highlight w:val="yellow"/>
              </w:rPr>
            </w:pPr>
            <w:r w:rsidRPr="005041A8">
              <w:t>8.7</w:t>
            </w:r>
            <w:r w:rsidR="00972957">
              <w:t xml:space="preserve"> </w:t>
            </w:r>
            <w:r w:rsidR="003536E1">
              <w:t>percentage point</w:t>
            </w:r>
            <w:r w:rsidR="007B7796">
              <w:t>s</w:t>
            </w:r>
          </w:p>
        </w:tc>
        <w:tc>
          <w:tcPr>
            <w:tcW w:w="1821" w:type="dxa"/>
          </w:tcPr>
          <w:p w14:paraId="7AA151F1" w14:textId="467AEF48" w:rsidR="000F7B03" w:rsidRPr="00893EB3" w:rsidRDefault="00494463" w:rsidP="00021EF3">
            <w:pPr>
              <w:spacing w:after="0"/>
              <w:rPr>
                <w:rFonts w:cs="Arial"/>
                <w:color w:val="000000"/>
                <w:szCs w:val="17"/>
                <w:highlight w:val="yellow"/>
              </w:rPr>
            </w:pPr>
            <w:r w:rsidRPr="005041A8">
              <w:t>9.0</w:t>
            </w:r>
            <w:r w:rsidR="00972957">
              <w:t xml:space="preserve"> </w:t>
            </w:r>
            <w:r w:rsidR="003536E1">
              <w:t>percentage point</w:t>
            </w:r>
            <w:r w:rsidR="007B7796">
              <w:t>s</w:t>
            </w:r>
          </w:p>
        </w:tc>
      </w:tr>
      <w:tr w:rsidR="008A37E3" w:rsidRPr="002F50BA" w14:paraId="795690FD" w14:textId="77777777">
        <w:trPr>
          <w:trHeight w:val="340"/>
        </w:trPr>
        <w:tc>
          <w:tcPr>
            <w:tcW w:w="1819" w:type="dxa"/>
          </w:tcPr>
          <w:p w14:paraId="08F2C755" w14:textId="726A2618" w:rsidR="008A37E3" w:rsidRDefault="00853E51" w:rsidP="00021EF3">
            <w:pPr>
              <w:rPr>
                <w:rFonts w:cs="Arial"/>
              </w:rPr>
            </w:pPr>
            <w:r w:rsidRPr="00853E51">
              <w:rPr>
                <w:rFonts w:cs="Arial"/>
              </w:rPr>
              <w:t>Actual failure rate of treated business</w:t>
            </w:r>
          </w:p>
        </w:tc>
        <w:tc>
          <w:tcPr>
            <w:tcW w:w="1819" w:type="dxa"/>
          </w:tcPr>
          <w:p w14:paraId="64D5CC70" w14:textId="6F731404" w:rsidR="008A37E3" w:rsidRPr="000D6E1B" w:rsidRDefault="00ED4F85" w:rsidP="00021EF3">
            <w:pPr>
              <w:spacing w:after="0"/>
              <w:rPr>
                <w:rFonts w:cs="Arial"/>
                <w:color w:val="000000"/>
                <w:szCs w:val="17"/>
              </w:rPr>
            </w:pPr>
            <w:r w:rsidRPr="008E169E">
              <w:t>4.9</w:t>
            </w:r>
            <w:r w:rsidR="00972957">
              <w:t xml:space="preserve"> per cent</w:t>
            </w:r>
          </w:p>
        </w:tc>
        <w:tc>
          <w:tcPr>
            <w:tcW w:w="1819" w:type="dxa"/>
          </w:tcPr>
          <w:p w14:paraId="7910C63E" w14:textId="106E9215" w:rsidR="008A37E3" w:rsidRPr="000D6E1B" w:rsidRDefault="00ED4F85" w:rsidP="00021EF3">
            <w:pPr>
              <w:rPr>
                <w:rFonts w:cs="Arial"/>
                <w:color w:val="000000"/>
                <w:szCs w:val="17"/>
              </w:rPr>
            </w:pPr>
            <w:r w:rsidRPr="008E169E">
              <w:t>8.9</w:t>
            </w:r>
            <w:r w:rsidR="00972957">
              <w:t xml:space="preserve"> per cent</w:t>
            </w:r>
          </w:p>
        </w:tc>
        <w:tc>
          <w:tcPr>
            <w:tcW w:w="1819" w:type="dxa"/>
          </w:tcPr>
          <w:p w14:paraId="13922566" w14:textId="5EB6B3AC" w:rsidR="008A37E3" w:rsidRPr="000D6E1B" w:rsidRDefault="00ED4F85" w:rsidP="00021EF3">
            <w:pPr>
              <w:spacing w:after="0"/>
              <w:rPr>
                <w:rFonts w:cs="Arial"/>
                <w:color w:val="000000"/>
                <w:szCs w:val="17"/>
              </w:rPr>
            </w:pPr>
            <w:r w:rsidRPr="008E169E">
              <w:t>12.8</w:t>
            </w:r>
            <w:r w:rsidR="00972957">
              <w:t xml:space="preserve"> per cent</w:t>
            </w:r>
          </w:p>
        </w:tc>
        <w:tc>
          <w:tcPr>
            <w:tcW w:w="1821" w:type="dxa"/>
          </w:tcPr>
          <w:p w14:paraId="68B16AAE" w14:textId="69AAC763" w:rsidR="008A37E3" w:rsidRPr="000D6E1B" w:rsidRDefault="00ED4F85" w:rsidP="00021EF3">
            <w:pPr>
              <w:spacing w:after="0"/>
              <w:rPr>
                <w:rFonts w:cs="Arial"/>
                <w:color w:val="000000"/>
                <w:szCs w:val="17"/>
              </w:rPr>
            </w:pPr>
            <w:r w:rsidRPr="008E169E">
              <w:t>13.5</w:t>
            </w:r>
            <w:r w:rsidR="00972957">
              <w:t xml:space="preserve"> per cent</w:t>
            </w:r>
          </w:p>
        </w:tc>
      </w:tr>
    </w:tbl>
    <w:p w14:paraId="1F880B13" w14:textId="4CDBE3DC" w:rsidR="000F7B03" w:rsidRPr="009501FE" w:rsidRDefault="009501FE" w:rsidP="00021EF3">
      <w:pPr>
        <w:pStyle w:val="Source"/>
      </w:pPr>
      <w:r>
        <w:t>Source: Deloitte Access Economics</w:t>
      </w:r>
      <w:r w:rsidR="00792D18">
        <w:t>.</w:t>
      </w:r>
    </w:p>
    <w:p w14:paraId="1D1C5D5B" w14:textId="77777777" w:rsidR="00152269" w:rsidRDefault="00152269" w:rsidP="00021EF3">
      <w:pPr>
        <w:pStyle w:val="Appendixhead2"/>
        <w:rPr>
          <w:rStyle w:val="Heading2Char"/>
        </w:rPr>
      </w:pPr>
      <w:bookmarkStart w:id="503" w:name="_Toc173915927"/>
      <w:bookmarkStart w:id="504" w:name="_Toc174118184"/>
      <w:bookmarkStart w:id="505" w:name="_Toc176516306"/>
      <w:r w:rsidRPr="00B04DB5">
        <w:rPr>
          <w:rStyle w:val="Heading2Char"/>
          <w:b/>
        </w:rPr>
        <w:t>Employment</w:t>
      </w:r>
      <w:bookmarkEnd w:id="503"/>
      <w:bookmarkEnd w:id="504"/>
      <w:bookmarkEnd w:id="505"/>
    </w:p>
    <w:p w14:paraId="64363842" w14:textId="22A1D44C" w:rsidR="00152269" w:rsidRDefault="00152269" w:rsidP="00021EF3">
      <w:r w:rsidRPr="00025B99">
        <w:t>Employment</w:t>
      </w:r>
      <w:r>
        <w:t xml:space="preserve"> </w:t>
      </w:r>
      <w:r w:rsidRPr="00025B99">
        <w:t>outcomes were analysed based on industry and regional level regression analysis using ABS data on the number of hours worked by industry</w:t>
      </w:r>
      <w:r w:rsidR="00EF2B86">
        <w:t>. I</w:t>
      </w:r>
      <w:r>
        <w:t xml:space="preserve">n this analysis data from ABS Labour Force detailed tables EQ06 and RQ01 were used. Program data provided by the </w:t>
      </w:r>
      <w:r w:rsidR="00E467C8">
        <w:t>D</w:t>
      </w:r>
      <w:r>
        <w:t>epartment was also used.</w:t>
      </w:r>
    </w:p>
    <w:p w14:paraId="0F1931C4" w14:textId="553182CC" w:rsidR="00152269" w:rsidRDefault="00152269" w:rsidP="00021EF3">
      <w:r>
        <w:t xml:space="preserve">Program data was aggregated to an SA4 level by industry division. Time variation only exists in the dependent variable of the regressions in this section, </w:t>
      </w:r>
      <w:r w:rsidR="00A83251">
        <w:t xml:space="preserve">since </w:t>
      </w:r>
      <w:r>
        <w:t>the program data did not identify the timing of grant</w:t>
      </w:r>
      <w:r w:rsidR="003E1557">
        <w:t>. As such</w:t>
      </w:r>
      <w:r w:rsidR="005B6312">
        <w:t>,</w:t>
      </w:r>
      <w:r w:rsidR="003E1557">
        <w:t xml:space="preserve"> </w:t>
      </w:r>
      <w:r>
        <w:t>the independent variables do not vary over time, as indicated in the notation.</w:t>
      </w:r>
    </w:p>
    <w:p w14:paraId="5496F45C" w14:textId="16D01243" w:rsidR="00152269" w:rsidRDefault="00152269" w:rsidP="00021EF3">
      <w:r>
        <w:t>Hours worked, as well as total grant amount, and grant per worker were transformed by the natural log</w:t>
      </w:r>
      <w:r w:rsidR="00A90A2D">
        <w:t>. This sought</w:t>
      </w:r>
      <w:r>
        <w:t xml:space="preserve"> to aid in the interpretation of the results and to account for the fact that the residuals in the regressions are not expected to be normally distributed, which violates a key assumption of </w:t>
      </w:r>
      <w:r w:rsidR="00CF0F7F">
        <w:t>ordinary least squares (</w:t>
      </w:r>
      <w:r>
        <w:t>OLS</w:t>
      </w:r>
      <w:r w:rsidR="00CF0F7F">
        <w:t>)</w:t>
      </w:r>
      <w:r>
        <w:t>.</w:t>
      </w:r>
    </w:p>
    <w:p w14:paraId="5029CC50" w14:textId="7EE3867E" w:rsidR="00152269" w:rsidRDefault="00152269" w:rsidP="00021EF3">
      <w:r>
        <w:t xml:space="preserve">Hours actually worked was chosen as a measure of employment, as opposed to employment figures, </w:t>
      </w:r>
      <w:r w:rsidR="00230FF2">
        <w:t xml:space="preserve">since </w:t>
      </w:r>
      <w:r>
        <w:t xml:space="preserve">the industries targeted by both BCAP and LHVF have significant portions of their workforce on casual contracts. A person employed on a causal contract who works zero hours in a week will be counted as employed but will not appear in the </w:t>
      </w:r>
      <w:r w:rsidR="00246278">
        <w:t>labour force</w:t>
      </w:r>
      <w:r>
        <w:t xml:space="preserve"> hours worked data. For much of 2020</w:t>
      </w:r>
      <w:r w:rsidR="00246278">
        <w:t>,</w:t>
      </w:r>
      <w:r>
        <w:t xml:space="preserve"> the Australian unemployment rate was distorted by these ‘employed’ people who were not in fact working.</w:t>
      </w:r>
      <w:r>
        <w:rPr>
          <w:rStyle w:val="EndnoteReference"/>
        </w:rPr>
        <w:endnoteReference w:id="44"/>
      </w:r>
      <w:r w:rsidR="00226910">
        <w:t xml:space="preserve"> </w:t>
      </w:r>
      <w:r>
        <w:t>This analysis is concerned with actual economic activity and as such focused on hours.</w:t>
      </w:r>
    </w:p>
    <w:p w14:paraId="6E9001F6" w14:textId="77777777" w:rsidR="00152269" w:rsidRDefault="00152269" w:rsidP="00021EF3">
      <w:r>
        <w:t xml:space="preserve">Establishing an appropriate counterfactual was difficult given the varied impact of COVID-19 and public health restrictions across states. Data limitations meant that this evaluation could only use aggregated data and could not access firm level employment, which would have afforded greater power to the analysis. </w:t>
      </w:r>
    </w:p>
    <w:p w14:paraId="25A81F99" w14:textId="5348DB39" w:rsidR="00152269" w:rsidRDefault="00152269" w:rsidP="00021EF3">
      <w:r>
        <w:t>To avoid endogeneity</w:t>
      </w:r>
      <w:r w:rsidR="00FC1C8C">
        <w:t>,</w:t>
      </w:r>
      <w:r>
        <w:t xml:space="preserve"> the number of workers used to estimate grant per worker was the average number of workers in that </w:t>
      </w:r>
      <w:r w:rsidR="00872C45">
        <w:t>i</w:t>
      </w:r>
      <w:r>
        <w:t>ndustry and geography across 2019.</w:t>
      </w:r>
    </w:p>
    <w:p w14:paraId="3DD0F358" w14:textId="30CA7D3B" w:rsidR="00152269" w:rsidRDefault="00152269" w:rsidP="00021EF3">
      <w:r>
        <w:t xml:space="preserve">The most basic specification (15) </w:t>
      </w:r>
      <w:r w:rsidR="00A323EB">
        <w:t>considered</w:t>
      </w:r>
      <w:r>
        <w:t xml:space="preserve"> the relationship between hours worked in an industry, in a region and the average grant per worker in that industry in that region.</w:t>
      </w:r>
    </w:p>
    <w:p w14:paraId="14144ABE" w14:textId="77777777" w:rsidR="00152269" w:rsidRPr="00B04DB5" w:rsidRDefault="00152269" w:rsidP="00021EF3">
      <w:pPr>
        <w:rPr>
          <w:rFonts w:eastAsiaTheme="minorEastAsia"/>
        </w:rPr>
      </w:pPr>
      <w:bookmarkStart w:id="506" w:name="_Hlk173838760"/>
      <m:oMathPara>
        <m:oMathParaPr>
          <m:jc m:val="center"/>
        </m:oMathParaPr>
        <m:oMath>
          <m:r>
            <w:rPr>
              <w:rFonts w:ascii="Cambria Math" w:hAnsi="Cambria Math"/>
            </w:rPr>
            <m:t>Ln</m:t>
          </m:r>
          <m:d>
            <m:dPr>
              <m:ctrlPr>
                <w:rPr>
                  <w:rFonts w:ascii="Cambria Math" w:hAnsi="Cambria Math"/>
                  <w:i/>
                  <w:iCs/>
                </w:rPr>
              </m:ctrlPr>
            </m:dPr>
            <m:e>
              <m:r>
                <w:rPr>
                  <w:rFonts w:ascii="Cambria Math" w:hAnsi="Cambria Math"/>
                </w:rPr>
                <m:t>Hour</m:t>
              </m:r>
              <m:sSub>
                <m:sSubPr>
                  <m:ctrlPr>
                    <w:rPr>
                      <w:rFonts w:ascii="Cambria Math" w:hAnsi="Cambria Math"/>
                      <w:i/>
                      <w:iCs/>
                    </w:rPr>
                  </m:ctrlPr>
                </m:sSubPr>
                <m:e>
                  <m:r>
                    <w:rPr>
                      <w:rFonts w:ascii="Cambria Math" w:hAnsi="Cambria Math"/>
                    </w:rPr>
                    <m:t>s</m:t>
                  </m:r>
                </m:e>
                <m:sub>
                  <m:r>
                    <w:rPr>
                      <w:rFonts w:ascii="Cambria Math" w:hAnsi="Cambria Math"/>
                    </w:rPr>
                    <m:t>ijt</m:t>
                  </m:r>
                </m:sub>
              </m:sSub>
            </m:e>
          </m:d>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1</m:t>
              </m:r>
            </m:sub>
          </m:sSub>
          <m:r>
            <w:rPr>
              <w:rFonts w:ascii="Cambria Math" w:hAnsi="Cambria Math"/>
            </w:rPr>
            <m:t>Ln</m:t>
          </m:r>
          <m:d>
            <m:dPr>
              <m:ctrlPr>
                <w:rPr>
                  <w:rFonts w:ascii="Cambria Math" w:hAnsi="Cambria Math"/>
                  <w:i/>
                  <w:iCs/>
                </w:rPr>
              </m:ctrlPr>
            </m:dPr>
            <m:e>
              <m:r>
                <w:rPr>
                  <w:rFonts w:ascii="Cambria Math" w:hAnsi="Cambria Math"/>
                </w:rPr>
                <m:t>grant</m:t>
              </m:r>
              <m:r>
                <m:rPr>
                  <m:sty m:val="p"/>
                </m:rPr>
                <w:rPr>
                  <w:rFonts w:ascii="Cambria Math" w:hAnsi="Cambria Math"/>
                </w:rPr>
                <m:t> </m:t>
              </m:r>
              <m:r>
                <w:rPr>
                  <w:rFonts w:ascii="Cambria Math" w:hAnsi="Cambria Math"/>
                </w:rPr>
                <m:t>per worke</m:t>
              </m:r>
              <m:sSub>
                <m:sSubPr>
                  <m:ctrlPr>
                    <w:rPr>
                      <w:rFonts w:ascii="Cambria Math" w:hAnsi="Cambria Math"/>
                      <w:i/>
                      <w:iCs/>
                    </w:rPr>
                  </m:ctrlPr>
                </m:sSubPr>
                <m:e>
                  <m:r>
                    <w:rPr>
                      <w:rFonts w:ascii="Cambria Math" w:hAnsi="Cambria Math"/>
                    </w:rPr>
                    <m:t>r</m:t>
                  </m:r>
                </m:e>
                <m:sub>
                  <m:r>
                    <w:rPr>
                      <w:rFonts w:ascii="Cambria Math" w:hAnsi="Cambria Math"/>
                    </w:rPr>
                    <m:t>ij</m:t>
                  </m:r>
                </m:sub>
              </m:sSub>
            </m:e>
          </m:d>
          <m:r>
            <w:rPr>
              <w:rFonts w:ascii="Cambria Math"/>
            </w:rPr>
            <m:t xml:space="preserve">+ </m:t>
          </m:r>
          <m:sSub>
            <m:sSubPr>
              <m:ctrlPr>
                <w:rPr>
                  <w:rFonts w:ascii="Cambria Math" w:hAnsi="Cambria Math"/>
                  <w:i/>
                  <w:iCs/>
                </w:rPr>
              </m:ctrlPr>
            </m:sSubPr>
            <m:e>
              <m:r>
                <w:rPr>
                  <w:rFonts w:ascii="Cambria Math" w:hAnsi="Cambria Math"/>
                </w:rPr>
                <m:t>β</m:t>
              </m:r>
            </m:e>
            <m:sub>
              <m:r>
                <m:rPr>
                  <m:sty m:val="p"/>
                </m:rPr>
                <w:rPr>
                  <w:rFonts w:ascii="Cambria Math" w:hAnsi="Cambria Math"/>
                </w:rPr>
                <m:t>2</m:t>
              </m:r>
            </m:sub>
          </m:sSub>
          <m:r>
            <w:rPr>
              <w:rFonts w:ascii="Cambria Math" w:hAnsi="Cambria Math"/>
            </w:rPr>
            <m:t>yea</m:t>
          </m:r>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hAnsi="Cambria Math"/>
            </w:rPr>
            <m:t xml:space="preserve">+ </m:t>
          </m:r>
          <m:sSub>
            <m:sSubPr>
              <m:ctrlPr>
                <w:rPr>
                  <w:rFonts w:ascii="Cambria Math" w:hAnsi="Cambria Math"/>
                  <w:i/>
                  <w:iCs/>
                </w:rPr>
              </m:ctrlPr>
            </m:sSubPr>
            <m:e>
              <m:r>
                <w:rPr>
                  <w:rFonts w:ascii="Cambria Math" w:hAnsi="Cambria Math"/>
                </w:rPr>
                <m:t>β</m:t>
              </m:r>
            </m:e>
            <m:sub>
              <m:r>
                <m:rPr>
                  <m:sty m:val="p"/>
                </m:rPr>
                <w:rPr>
                  <w:rFonts w:ascii="Cambria Math" w:hAnsi="Cambria Math"/>
                </w:rPr>
                <m:t>3</m:t>
              </m:r>
            </m:sub>
          </m:sSub>
          <m:r>
            <w:rPr>
              <w:rFonts w:ascii="Cambria Math" w:hAnsi="Cambria Math"/>
            </w:rPr>
            <m:t>Ln</m:t>
          </m:r>
          <m:d>
            <m:dPr>
              <m:ctrlPr>
                <w:rPr>
                  <w:rFonts w:ascii="Cambria Math" w:hAnsi="Cambria Math"/>
                  <w:i/>
                  <w:iCs/>
                </w:rPr>
              </m:ctrlPr>
            </m:dPr>
            <m:e>
              <m:r>
                <w:rPr>
                  <w:rFonts w:ascii="Cambria Math" w:hAnsi="Cambria Math"/>
                </w:rPr>
                <m:t>grant</m:t>
              </m:r>
              <m:r>
                <m:rPr>
                  <m:sty m:val="p"/>
                </m:rPr>
                <w:rPr>
                  <w:rFonts w:ascii="Cambria Math" w:hAnsi="Cambria Math"/>
                </w:rPr>
                <m:t> </m:t>
              </m:r>
              <m:r>
                <w:rPr>
                  <w:rFonts w:ascii="Cambria Math" w:hAnsi="Cambria Math"/>
                </w:rPr>
                <m:t>per worke</m:t>
              </m:r>
              <m:sSub>
                <m:sSubPr>
                  <m:ctrlPr>
                    <w:rPr>
                      <w:rFonts w:ascii="Cambria Math" w:hAnsi="Cambria Math"/>
                      <w:i/>
                      <w:iCs/>
                    </w:rPr>
                  </m:ctrlPr>
                </m:sSubPr>
                <m:e>
                  <m:r>
                    <w:rPr>
                      <w:rFonts w:ascii="Cambria Math" w:hAnsi="Cambria Math"/>
                    </w:rPr>
                    <m:t>r</m:t>
                  </m:r>
                </m:e>
                <m:sub>
                  <m:r>
                    <w:rPr>
                      <w:rFonts w:ascii="Cambria Math" w:hAnsi="Cambria Math"/>
                    </w:rPr>
                    <m:t>ij</m:t>
                  </m:r>
                </m:sub>
              </m:sSub>
            </m:e>
          </m:d>
          <m:r>
            <w:rPr>
              <w:rFonts w:ascii="Cambria Math" w:hAnsi="Cambria Math"/>
            </w:rPr>
            <m:t>*yea</m:t>
          </m:r>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rPr>
            <m:t xml:space="preserve">+ </m:t>
          </m:r>
          <m:sSub>
            <m:sSubPr>
              <m:ctrlPr>
                <w:rPr>
                  <w:rFonts w:ascii="Cambria Math" w:hAnsi="Cambria Math"/>
                  <w:i/>
                </w:rPr>
              </m:ctrlPr>
            </m:sSubPr>
            <m:e>
              <m:r>
                <w:rPr>
                  <w:rFonts w:ascii="Cambria Math"/>
                </w:rPr>
                <m:t>β</m:t>
              </m:r>
            </m:e>
            <m:sub>
              <m:r>
                <w:rPr>
                  <w:rFonts w:ascii="Cambria Math"/>
                </w:rPr>
                <m:t>4</m:t>
              </m:r>
            </m:sub>
          </m:sSub>
          <m:r>
            <w:rPr>
              <w:rFonts w:ascii="Cambria Math"/>
            </w:rPr>
            <m:t xml:space="preserve">ANZSIC </m:t>
          </m:r>
          <m:sSub>
            <m:sSubPr>
              <m:ctrlPr>
                <w:rPr>
                  <w:rFonts w:ascii="Cambria Math" w:hAnsi="Cambria Math"/>
                  <w:i/>
                </w:rPr>
              </m:ctrlPr>
            </m:sSubPr>
            <m:e>
              <m:r>
                <w:rPr>
                  <w:rFonts w:ascii="Cambria Math"/>
                </w:rPr>
                <m:t>1</m:t>
              </m:r>
            </m:e>
            <m:sub>
              <m:r>
                <w:rPr>
                  <w:rFonts w:ascii="Cambria Math"/>
                </w:rPr>
                <m:t>i</m:t>
              </m:r>
            </m:sub>
          </m:sSub>
          <m:r>
            <w:rPr>
              <w:rFonts w:ascii="Cambria Math"/>
            </w:rPr>
            <m:t>+Metr</m:t>
          </m:r>
          <m:sSub>
            <m:sSubPr>
              <m:ctrlPr>
                <w:rPr>
                  <w:rFonts w:ascii="Cambria Math" w:hAnsi="Cambria Math"/>
                  <w:i/>
                </w:rPr>
              </m:ctrlPr>
            </m:sSubPr>
            <m:e>
              <m:r>
                <w:rPr>
                  <w:rFonts w:ascii="Cambria Math"/>
                </w:rPr>
                <m:t>o</m:t>
              </m:r>
            </m:e>
            <m:sub>
              <m:r>
                <w:rPr>
                  <w:rFonts w:ascii="Cambria Math"/>
                </w:rPr>
                <m:t>j</m:t>
              </m:r>
            </m:sub>
          </m:sSub>
          <m:r>
            <w:rPr>
              <w:rFonts w:ascii="Cambria Math"/>
            </w:rPr>
            <m:t>+Stat</m:t>
          </m:r>
          <m:sSub>
            <m:sSubPr>
              <m:ctrlPr>
                <w:rPr>
                  <w:rFonts w:ascii="Cambria Math" w:hAnsi="Cambria Math"/>
                  <w:i/>
                </w:rPr>
              </m:ctrlPr>
            </m:sSubPr>
            <m:e>
              <m:r>
                <w:rPr>
                  <w:rFonts w:ascii="Cambria Math"/>
                </w:rPr>
                <m:t>e</m:t>
              </m:r>
            </m:e>
            <m:sub>
              <m:r>
                <w:rPr>
                  <w:rFonts w:ascii="Cambria Math"/>
                </w:rPr>
                <m:t>j</m:t>
              </m:r>
            </m:sub>
          </m:sSub>
          <m:r>
            <w:rPr>
              <w:rFonts w:ascii="Cambria Math" w:eastAsiaTheme="minorEastAsia" w:hAnsi="Cambria Math"/>
            </w:rPr>
            <m:t>(15)</m:t>
          </m:r>
        </m:oMath>
      </m:oMathPara>
      <w:bookmarkEnd w:id="506"/>
    </w:p>
    <w:p w14:paraId="69841158" w14:textId="6279D4EE" w:rsidR="00152269" w:rsidRPr="00E74E34" w:rsidRDefault="00152269" w:rsidP="00021EF3">
      <w:pPr>
        <w:rPr>
          <w:rFonts w:eastAsiaTheme="minorEastAsia"/>
          <w:iCs/>
        </w:rPr>
      </w:pPr>
      <w:r>
        <w:rPr>
          <w:rFonts w:eastAsiaTheme="minorEastAsia"/>
          <w:iCs/>
        </w:rPr>
        <w:t>The next pair of specifications (16) and (17) utilise</w:t>
      </w:r>
      <w:r w:rsidR="00DF68BF">
        <w:rPr>
          <w:rFonts w:eastAsiaTheme="minorEastAsia"/>
          <w:iCs/>
        </w:rPr>
        <w:t>d</w:t>
      </w:r>
      <w:r>
        <w:rPr>
          <w:rFonts w:eastAsiaTheme="minorEastAsia"/>
          <w:iCs/>
        </w:rPr>
        <w:t xml:space="preserve"> the measures of intensity discussed in the business survival section. This means that the regression capture</w:t>
      </w:r>
      <w:r w:rsidR="00DF68BF">
        <w:rPr>
          <w:rFonts w:eastAsiaTheme="minorEastAsia"/>
          <w:iCs/>
        </w:rPr>
        <w:t>d</w:t>
      </w:r>
      <w:r>
        <w:rPr>
          <w:rFonts w:eastAsiaTheme="minorEastAsia"/>
          <w:iCs/>
        </w:rPr>
        <w:t xml:space="preserve"> both average grant amount and the distribution of grants across businesses. </w:t>
      </w:r>
    </w:p>
    <w:p w14:paraId="0A9A5143" w14:textId="77777777" w:rsidR="00152269" w:rsidRDefault="00152269" w:rsidP="00021EF3">
      <w:pPr>
        <w:rPr>
          <w:rFonts w:eastAsiaTheme="minorEastAsia"/>
          <w:iCs/>
        </w:rPr>
      </w:pPr>
      <m:oMath>
        <m:r>
          <w:rPr>
            <w:rFonts w:ascii="Cambria Math" w:hAnsi="Cambria Math"/>
          </w:rPr>
          <m:t>Ln</m:t>
        </m:r>
        <m:d>
          <m:dPr>
            <m:ctrlPr>
              <w:rPr>
                <w:rFonts w:ascii="Cambria Math" w:hAnsi="Cambria Math"/>
                <w:i/>
                <w:iCs/>
              </w:rPr>
            </m:ctrlPr>
          </m:dPr>
          <m:e>
            <m:r>
              <w:rPr>
                <w:rFonts w:ascii="Cambria Math" w:hAnsi="Cambria Math"/>
              </w:rPr>
              <m:t>Hour</m:t>
            </m:r>
            <m:sSub>
              <m:sSubPr>
                <m:ctrlPr>
                  <w:rPr>
                    <w:rFonts w:ascii="Cambria Math" w:hAnsi="Cambria Math"/>
                    <w:i/>
                    <w:iCs/>
                  </w:rPr>
                </m:ctrlPr>
              </m:sSubPr>
              <m:e>
                <m:r>
                  <w:rPr>
                    <w:rFonts w:ascii="Cambria Math" w:hAnsi="Cambria Math"/>
                  </w:rPr>
                  <m:t>s</m:t>
                </m:r>
              </m:e>
              <m:sub>
                <m:r>
                  <w:rPr>
                    <w:rFonts w:ascii="Cambria Math" w:hAnsi="Cambria Math"/>
                  </w:rPr>
                  <m:t>ijt</m:t>
                </m:r>
              </m:sub>
            </m:sSub>
          </m:e>
        </m:d>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1</m:t>
            </m:r>
          </m:sub>
        </m:sSub>
        <m:r>
          <w:rPr>
            <w:rFonts w:ascii="Cambria Math" w:hAnsi="Cambria Math"/>
          </w:rPr>
          <m:t>Ln</m:t>
        </m:r>
        <m:d>
          <m:dPr>
            <m:ctrlPr>
              <w:rPr>
                <w:rFonts w:ascii="Cambria Math" w:hAnsi="Cambria Math"/>
                <w:i/>
                <w:iCs/>
              </w:rPr>
            </m:ctrlPr>
          </m:dPr>
          <m:e>
            <m:r>
              <w:rPr>
                <w:rFonts w:ascii="Cambria Math" w:hAnsi="Cambria Math"/>
              </w:rPr>
              <m:t>grant</m:t>
            </m:r>
            <m:r>
              <m:rPr>
                <m:sty m:val="p"/>
              </m:rPr>
              <w:rPr>
                <w:rFonts w:ascii="Cambria Math" w:hAnsi="Cambria Math"/>
              </w:rPr>
              <m:t> </m:t>
            </m:r>
            <m:r>
              <w:rPr>
                <w:rFonts w:ascii="Cambria Math" w:hAnsi="Cambria Math"/>
              </w:rPr>
              <m:t>per worke</m:t>
            </m:r>
            <m:sSub>
              <m:sSubPr>
                <m:ctrlPr>
                  <w:rPr>
                    <w:rFonts w:ascii="Cambria Math" w:hAnsi="Cambria Math"/>
                    <w:i/>
                    <w:iCs/>
                  </w:rPr>
                </m:ctrlPr>
              </m:sSubPr>
              <m:e>
                <m:r>
                  <w:rPr>
                    <w:rFonts w:ascii="Cambria Math" w:hAnsi="Cambria Math"/>
                  </w:rPr>
                  <m:t>r</m:t>
                </m:r>
              </m:e>
              <m:sub>
                <m:r>
                  <w:rPr>
                    <w:rFonts w:ascii="Cambria Math" w:hAnsi="Cambria Math"/>
                  </w:rPr>
                  <m:t>ij</m:t>
                </m:r>
              </m:sub>
            </m:sSub>
          </m:e>
        </m:d>
        <m:r>
          <w:rPr>
            <w:rFonts w:ascii="Cambria Math" w:hAnsi="Cambria Math"/>
          </w:rPr>
          <m:t>*yea</m:t>
        </m:r>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2</m:t>
            </m:r>
          </m:sub>
        </m:sSub>
        <m:r>
          <w:rPr>
            <w:rFonts w:ascii="Cambria Math" w:hAnsi="Cambria Math"/>
          </w:rPr>
          <m:t>above mean+</m:t>
        </m:r>
        <m:sSub>
          <m:sSubPr>
            <m:ctrlPr>
              <w:rPr>
                <w:rFonts w:ascii="Cambria Math" w:hAnsi="Cambria Math"/>
                <w:i/>
                <w:iCs/>
              </w:rPr>
            </m:ctrlPr>
          </m:sSubPr>
          <m:e>
            <m:r>
              <w:rPr>
                <w:rFonts w:ascii="Cambria Math" w:hAnsi="Cambria Math"/>
              </w:rPr>
              <m:t>β</m:t>
            </m:r>
          </m:e>
          <m:sub>
            <m:r>
              <w:rPr>
                <w:rFonts w:ascii="Cambria Math" w:hAnsi="Cambria Math"/>
              </w:rPr>
              <m:t>3</m:t>
            </m:r>
          </m:sub>
        </m:sSub>
        <m:r>
          <w:rPr>
            <w:rFonts w:ascii="Cambria Math" w:hAnsi="Cambria Math"/>
          </w:rPr>
          <m:t>Ln</m:t>
        </m:r>
        <m:d>
          <m:dPr>
            <m:ctrlPr>
              <w:rPr>
                <w:rFonts w:ascii="Cambria Math" w:hAnsi="Cambria Math"/>
                <w:i/>
                <w:iCs/>
              </w:rPr>
            </m:ctrlPr>
          </m:dPr>
          <m:e>
            <m:r>
              <w:rPr>
                <w:rFonts w:ascii="Cambria Math" w:hAnsi="Cambria Math"/>
              </w:rPr>
              <m:t>grant</m:t>
            </m:r>
            <m:r>
              <m:rPr>
                <m:sty m:val="p"/>
              </m:rPr>
              <w:rPr>
                <w:rFonts w:ascii="Cambria Math" w:hAnsi="Cambria Math"/>
              </w:rPr>
              <m:t> </m:t>
            </m:r>
            <m:r>
              <w:rPr>
                <w:rFonts w:ascii="Cambria Math" w:hAnsi="Cambria Math"/>
              </w:rPr>
              <m:t>per worke</m:t>
            </m:r>
            <m:sSub>
              <m:sSubPr>
                <m:ctrlPr>
                  <w:rPr>
                    <w:rFonts w:ascii="Cambria Math" w:hAnsi="Cambria Math"/>
                    <w:i/>
                    <w:iCs/>
                  </w:rPr>
                </m:ctrlPr>
              </m:sSubPr>
              <m:e>
                <m:r>
                  <w:rPr>
                    <w:rFonts w:ascii="Cambria Math" w:hAnsi="Cambria Math"/>
                  </w:rPr>
                  <m:t>r</m:t>
                </m:r>
              </m:e>
              <m:sub>
                <m:r>
                  <w:rPr>
                    <w:rFonts w:ascii="Cambria Math" w:hAnsi="Cambria Math"/>
                  </w:rPr>
                  <m:t>ij</m:t>
                </m:r>
              </m:sub>
            </m:sSub>
          </m:e>
        </m:d>
      </m:oMath>
      <w:r w:rsidRPr="001D1982">
        <w:t>*</w:t>
      </w:r>
      <w:r>
        <w:t xml:space="preserve"> </w:t>
      </w:r>
      <m:oMath>
        <m:r>
          <w:rPr>
            <w:rFonts w:ascii="Cambria Math" w:hAnsi="Cambria Math"/>
          </w:rPr>
          <m:t xml:space="preserve">                                above mean</m:t>
        </m:r>
        <m:r>
          <w:rPr>
            <w:rFonts w:ascii="Cambria Math" w:eastAsiaTheme="minorEastAsia" w:hAnsi="Cambria Math"/>
          </w:rPr>
          <m:t xml:space="preserve">+ </m:t>
        </m:r>
        <m:r>
          <w:rPr>
            <w:rFonts w:ascii="Cambria Math"/>
          </w:rPr>
          <m:t xml:space="preserve"> </m:t>
        </m:r>
        <m:sSub>
          <m:sSubPr>
            <m:ctrlPr>
              <w:rPr>
                <w:rFonts w:ascii="Cambria Math" w:hAnsi="Cambria Math"/>
                <w:i/>
              </w:rPr>
            </m:ctrlPr>
          </m:sSubPr>
          <m:e>
            <m:r>
              <w:rPr>
                <w:rFonts w:ascii="Cambria Math"/>
              </w:rPr>
              <m:t>β</m:t>
            </m:r>
          </m:e>
          <m:sub>
            <m:r>
              <w:rPr>
                <w:rFonts w:ascii="Cambria Math"/>
              </w:rPr>
              <m:t>4</m:t>
            </m:r>
          </m:sub>
        </m:sSub>
        <m:r>
          <w:rPr>
            <w:rFonts w:ascii="Cambria Math"/>
          </w:rPr>
          <m:t xml:space="preserve">ANZSIC </m:t>
        </m:r>
        <m:sSub>
          <m:sSubPr>
            <m:ctrlPr>
              <w:rPr>
                <w:rFonts w:ascii="Cambria Math" w:hAnsi="Cambria Math"/>
                <w:i/>
              </w:rPr>
            </m:ctrlPr>
          </m:sSubPr>
          <m:e>
            <m:r>
              <w:rPr>
                <w:rFonts w:ascii="Cambria Math"/>
              </w:rPr>
              <m:t>1</m:t>
            </m:r>
          </m:e>
          <m:sub>
            <m:r>
              <w:rPr>
                <w:rFonts w:ascii="Cambria Math"/>
              </w:rPr>
              <m:t>i</m:t>
            </m:r>
          </m:sub>
        </m:sSub>
        <m:r>
          <w:rPr>
            <w:rFonts w:ascii="Cambria Math"/>
          </w:rPr>
          <m:t>+Metr</m:t>
        </m:r>
        <m:sSub>
          <m:sSubPr>
            <m:ctrlPr>
              <w:rPr>
                <w:rFonts w:ascii="Cambria Math" w:hAnsi="Cambria Math"/>
                <w:i/>
              </w:rPr>
            </m:ctrlPr>
          </m:sSubPr>
          <m:e>
            <m:r>
              <w:rPr>
                <w:rFonts w:ascii="Cambria Math"/>
              </w:rPr>
              <m:t>o</m:t>
            </m:r>
          </m:e>
          <m:sub>
            <m:r>
              <w:rPr>
                <w:rFonts w:ascii="Cambria Math"/>
              </w:rPr>
              <m:t>j</m:t>
            </m:r>
          </m:sub>
        </m:sSub>
        <m:r>
          <w:rPr>
            <w:rFonts w:ascii="Cambria Math"/>
          </w:rPr>
          <m:t xml:space="preserve"> </m:t>
        </m:r>
        <m:r>
          <w:rPr>
            <w:rFonts w:ascii="Cambria Math" w:eastAsiaTheme="minorEastAsia" w:hAnsi="Cambria Math"/>
          </w:rPr>
          <m:t>(16)</m:t>
        </m:r>
      </m:oMath>
    </w:p>
    <w:p w14:paraId="5D2C2738" w14:textId="77777777" w:rsidR="00152269" w:rsidRPr="00E74E34" w:rsidRDefault="00152269" w:rsidP="00021EF3">
      <w:pPr>
        <w:rPr>
          <w:rFonts w:eastAsiaTheme="minorEastAsia"/>
          <w:iCs/>
        </w:rPr>
      </w:pPr>
      <m:oMath>
        <m:r>
          <w:rPr>
            <w:rFonts w:ascii="Cambria Math" w:hAnsi="Cambria Math"/>
          </w:rPr>
          <m:t>Ln</m:t>
        </m:r>
        <m:d>
          <m:dPr>
            <m:ctrlPr>
              <w:rPr>
                <w:rFonts w:ascii="Cambria Math" w:hAnsi="Cambria Math"/>
                <w:i/>
                <w:iCs/>
              </w:rPr>
            </m:ctrlPr>
          </m:dPr>
          <m:e>
            <m:r>
              <w:rPr>
                <w:rFonts w:ascii="Cambria Math" w:hAnsi="Cambria Math"/>
              </w:rPr>
              <m:t>Hour</m:t>
            </m:r>
            <m:sSub>
              <m:sSubPr>
                <m:ctrlPr>
                  <w:rPr>
                    <w:rFonts w:ascii="Cambria Math" w:hAnsi="Cambria Math"/>
                    <w:i/>
                    <w:iCs/>
                  </w:rPr>
                </m:ctrlPr>
              </m:sSubPr>
              <m:e>
                <m:r>
                  <w:rPr>
                    <w:rFonts w:ascii="Cambria Math" w:hAnsi="Cambria Math"/>
                  </w:rPr>
                  <m:t>s</m:t>
                </m:r>
              </m:e>
              <m:sub>
                <m:r>
                  <w:rPr>
                    <w:rFonts w:ascii="Cambria Math" w:hAnsi="Cambria Math"/>
                  </w:rPr>
                  <m:t>ijt</m:t>
                </m:r>
              </m:sub>
            </m:sSub>
          </m:e>
        </m:d>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1</m:t>
            </m:r>
          </m:sub>
        </m:sSub>
        <m:r>
          <w:rPr>
            <w:rFonts w:ascii="Cambria Math" w:hAnsi="Cambria Math"/>
          </w:rPr>
          <m:t>Ln</m:t>
        </m:r>
        <m:d>
          <m:dPr>
            <m:ctrlPr>
              <w:rPr>
                <w:rFonts w:ascii="Cambria Math" w:hAnsi="Cambria Math"/>
                <w:i/>
                <w:iCs/>
              </w:rPr>
            </m:ctrlPr>
          </m:dPr>
          <m:e>
            <m:r>
              <w:rPr>
                <w:rFonts w:ascii="Cambria Math" w:hAnsi="Cambria Math"/>
              </w:rPr>
              <m:t>grant</m:t>
            </m:r>
            <m:r>
              <m:rPr>
                <m:sty m:val="p"/>
              </m:rPr>
              <w:rPr>
                <w:rFonts w:ascii="Cambria Math" w:hAnsi="Cambria Math"/>
              </w:rPr>
              <m:t> </m:t>
            </m:r>
            <m:r>
              <w:rPr>
                <w:rFonts w:ascii="Cambria Math" w:hAnsi="Cambria Math"/>
              </w:rPr>
              <m:t>per worke</m:t>
            </m:r>
            <m:sSub>
              <m:sSubPr>
                <m:ctrlPr>
                  <w:rPr>
                    <w:rFonts w:ascii="Cambria Math" w:hAnsi="Cambria Math"/>
                    <w:i/>
                    <w:iCs/>
                  </w:rPr>
                </m:ctrlPr>
              </m:sSubPr>
              <m:e>
                <m:r>
                  <w:rPr>
                    <w:rFonts w:ascii="Cambria Math" w:hAnsi="Cambria Math"/>
                  </w:rPr>
                  <m:t>r</m:t>
                </m:r>
              </m:e>
              <m:sub>
                <m:r>
                  <w:rPr>
                    <w:rFonts w:ascii="Cambria Math" w:hAnsi="Cambria Math"/>
                  </w:rPr>
                  <m:t>ij</m:t>
                </m:r>
              </m:sub>
            </m:sSub>
          </m:e>
        </m:d>
        <m:r>
          <w:rPr>
            <w:rFonts w:ascii="Cambria Math" w:hAnsi="Cambria Math"/>
          </w:rPr>
          <m:t>*yea</m:t>
        </m:r>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2</m:t>
            </m:r>
          </m:sub>
        </m:sSub>
        <m:r>
          <w:rPr>
            <w:rFonts w:ascii="Cambria Math" w:hAnsi="Cambria Math"/>
          </w:rPr>
          <m:t>above one sd+</m:t>
        </m:r>
        <m:sSub>
          <m:sSubPr>
            <m:ctrlPr>
              <w:rPr>
                <w:rFonts w:ascii="Cambria Math" w:hAnsi="Cambria Math"/>
                <w:i/>
                <w:iCs/>
              </w:rPr>
            </m:ctrlPr>
          </m:sSubPr>
          <m:e>
            <m:r>
              <w:rPr>
                <w:rFonts w:ascii="Cambria Math" w:hAnsi="Cambria Math"/>
              </w:rPr>
              <m:t>β</m:t>
            </m:r>
          </m:e>
          <m:sub>
            <m:r>
              <w:rPr>
                <w:rFonts w:ascii="Cambria Math" w:hAnsi="Cambria Math"/>
              </w:rPr>
              <m:t>3</m:t>
            </m:r>
          </m:sub>
        </m:sSub>
        <m:r>
          <w:rPr>
            <w:rFonts w:ascii="Cambria Math" w:hAnsi="Cambria Math"/>
          </w:rPr>
          <m:t>Ln</m:t>
        </m:r>
        <m:d>
          <m:dPr>
            <m:ctrlPr>
              <w:rPr>
                <w:rFonts w:ascii="Cambria Math" w:hAnsi="Cambria Math"/>
                <w:i/>
                <w:iCs/>
              </w:rPr>
            </m:ctrlPr>
          </m:dPr>
          <m:e>
            <m:r>
              <w:rPr>
                <w:rFonts w:ascii="Cambria Math" w:hAnsi="Cambria Math"/>
              </w:rPr>
              <m:t>grant</m:t>
            </m:r>
            <m:r>
              <m:rPr>
                <m:sty m:val="p"/>
              </m:rPr>
              <w:rPr>
                <w:rFonts w:ascii="Cambria Math" w:hAnsi="Cambria Math"/>
              </w:rPr>
              <m:t> </m:t>
            </m:r>
            <m:r>
              <w:rPr>
                <w:rFonts w:ascii="Cambria Math" w:hAnsi="Cambria Math"/>
              </w:rPr>
              <m:t>per worke</m:t>
            </m:r>
            <m:sSub>
              <m:sSubPr>
                <m:ctrlPr>
                  <w:rPr>
                    <w:rFonts w:ascii="Cambria Math" w:hAnsi="Cambria Math"/>
                    <w:i/>
                    <w:iCs/>
                  </w:rPr>
                </m:ctrlPr>
              </m:sSubPr>
              <m:e>
                <m:r>
                  <w:rPr>
                    <w:rFonts w:ascii="Cambria Math" w:hAnsi="Cambria Math"/>
                  </w:rPr>
                  <m:t>r</m:t>
                </m:r>
              </m:e>
              <m:sub>
                <m:r>
                  <w:rPr>
                    <w:rFonts w:ascii="Cambria Math" w:hAnsi="Cambria Math"/>
                  </w:rPr>
                  <m:t>ij</m:t>
                </m:r>
              </m:sub>
            </m:sSub>
          </m:e>
        </m:d>
      </m:oMath>
      <w:r w:rsidRPr="001D1982">
        <w:t>*</w:t>
      </w:r>
      <w:r>
        <w:t xml:space="preserve"> </w:t>
      </w:r>
      <m:oMath>
        <m:r>
          <w:rPr>
            <w:rFonts w:ascii="Cambria Math" w:hAnsi="Cambria Math"/>
          </w:rPr>
          <m:t xml:space="preserve">                                above one sd</m:t>
        </m:r>
        <m:r>
          <w:rPr>
            <w:rFonts w:ascii="Cambria Math" w:eastAsiaTheme="minorEastAsia" w:hAnsi="Cambria Math"/>
          </w:rPr>
          <m:t xml:space="preserve">+ </m:t>
        </m:r>
        <m:r>
          <w:rPr>
            <w:rFonts w:ascii="Cambria Math"/>
          </w:rPr>
          <m:t xml:space="preserve"> </m:t>
        </m:r>
        <m:sSub>
          <m:sSubPr>
            <m:ctrlPr>
              <w:rPr>
                <w:rFonts w:ascii="Cambria Math" w:hAnsi="Cambria Math"/>
                <w:i/>
              </w:rPr>
            </m:ctrlPr>
          </m:sSubPr>
          <m:e>
            <m:r>
              <w:rPr>
                <w:rFonts w:ascii="Cambria Math"/>
              </w:rPr>
              <m:t>β</m:t>
            </m:r>
          </m:e>
          <m:sub>
            <m:r>
              <w:rPr>
                <w:rFonts w:ascii="Cambria Math"/>
              </w:rPr>
              <m:t>4</m:t>
            </m:r>
          </m:sub>
        </m:sSub>
        <m:r>
          <w:rPr>
            <w:rFonts w:ascii="Cambria Math"/>
          </w:rPr>
          <m:t xml:space="preserve">ANZSIC </m:t>
        </m:r>
        <m:sSub>
          <m:sSubPr>
            <m:ctrlPr>
              <w:rPr>
                <w:rFonts w:ascii="Cambria Math" w:hAnsi="Cambria Math"/>
                <w:i/>
              </w:rPr>
            </m:ctrlPr>
          </m:sSubPr>
          <m:e>
            <m:r>
              <w:rPr>
                <w:rFonts w:ascii="Cambria Math"/>
              </w:rPr>
              <m:t>1</m:t>
            </m:r>
          </m:e>
          <m:sub>
            <m:r>
              <w:rPr>
                <w:rFonts w:ascii="Cambria Math"/>
              </w:rPr>
              <m:t>i</m:t>
            </m:r>
          </m:sub>
        </m:sSub>
        <m:r>
          <w:rPr>
            <w:rFonts w:ascii="Cambria Math"/>
          </w:rPr>
          <m:t>+Metr</m:t>
        </m:r>
        <m:sSub>
          <m:sSubPr>
            <m:ctrlPr>
              <w:rPr>
                <w:rFonts w:ascii="Cambria Math" w:hAnsi="Cambria Math"/>
                <w:i/>
              </w:rPr>
            </m:ctrlPr>
          </m:sSubPr>
          <m:e>
            <m:r>
              <w:rPr>
                <w:rFonts w:ascii="Cambria Math"/>
              </w:rPr>
              <m:t>o</m:t>
            </m:r>
          </m:e>
          <m:sub>
            <m:r>
              <w:rPr>
                <w:rFonts w:ascii="Cambria Math"/>
              </w:rPr>
              <m:t>j</m:t>
            </m:r>
          </m:sub>
        </m:sSub>
        <m:r>
          <w:rPr>
            <w:rFonts w:ascii="Cambria Math"/>
          </w:rPr>
          <m:t xml:space="preserve"> </m:t>
        </m:r>
        <m:r>
          <w:rPr>
            <w:rFonts w:ascii="Cambria Math" w:eastAsiaTheme="minorEastAsia" w:hAnsi="Cambria Math"/>
          </w:rPr>
          <m:t>(17)</m:t>
        </m:r>
      </m:oMath>
    </w:p>
    <w:p w14:paraId="01E96BCF" w14:textId="76EA94BC" w:rsidR="00152269" w:rsidRDefault="00152269" w:rsidP="00021EF3">
      <w:pPr>
        <w:rPr>
          <w:rFonts w:eastAsiaTheme="minorEastAsia"/>
          <w:iCs/>
        </w:rPr>
      </w:pPr>
      <w:r>
        <w:rPr>
          <w:rFonts w:eastAsiaTheme="minorEastAsia"/>
          <w:iCs/>
        </w:rPr>
        <w:t>The results of the key variables are shown below</w:t>
      </w:r>
      <w:r w:rsidR="00A2784B">
        <w:rPr>
          <w:rFonts w:eastAsiaTheme="minorEastAsia"/>
          <w:iCs/>
        </w:rPr>
        <w:t>.</w:t>
      </w:r>
    </w:p>
    <w:p w14:paraId="1A75B86A" w14:textId="48B68841" w:rsidR="00A2784B" w:rsidRDefault="00A2784B" w:rsidP="00021EF3">
      <w:pPr>
        <w:pStyle w:val="AppendixTableCaption"/>
        <w:rPr>
          <w:rFonts w:eastAsiaTheme="minorEastAsia"/>
        </w:rPr>
      </w:pPr>
      <w:r>
        <w:rPr>
          <w:rFonts w:eastAsiaTheme="minorEastAsia"/>
        </w:rPr>
        <w:lastRenderedPageBreak/>
        <w:t>: Results of key variables in specification</w:t>
      </w:r>
      <w:r w:rsidR="00B04DB5">
        <w:rPr>
          <w:rFonts w:eastAsiaTheme="minorEastAsia"/>
        </w:rPr>
        <w:t>s 15 to 17</w:t>
      </w:r>
      <w:r w:rsidR="00792D18">
        <w:rPr>
          <w:rFonts w:eastAsiaTheme="minorEastAsia"/>
        </w:rPr>
        <w:t>.</w:t>
      </w:r>
    </w:p>
    <w:tbl>
      <w:tblPr>
        <w:tblStyle w:val="Deloittetable"/>
        <w:tblW w:w="9183" w:type="dxa"/>
        <w:tblLook w:val="04A0" w:firstRow="1" w:lastRow="0" w:firstColumn="1" w:lastColumn="0" w:noHBand="0" w:noVBand="1"/>
      </w:tblPr>
      <w:tblGrid>
        <w:gridCol w:w="2721"/>
        <w:gridCol w:w="2154"/>
        <w:gridCol w:w="2154"/>
        <w:gridCol w:w="2154"/>
      </w:tblGrid>
      <w:tr w:rsidR="00152269" w14:paraId="0B556592" w14:textId="77777777" w:rsidTr="00893EB3">
        <w:trPr>
          <w:cnfStyle w:val="100000000000" w:firstRow="1" w:lastRow="0" w:firstColumn="0" w:lastColumn="0" w:oddVBand="0" w:evenVBand="0" w:oddHBand="0" w:evenHBand="0" w:firstRowFirstColumn="0" w:firstRowLastColumn="0" w:lastRowFirstColumn="0" w:lastRowLastColumn="0"/>
          <w:trHeight w:val="331"/>
          <w:tblHeader/>
        </w:trPr>
        <w:tc>
          <w:tcPr>
            <w:tcW w:w="0" w:type="dxa"/>
          </w:tcPr>
          <w:p w14:paraId="72D99D38" w14:textId="77777777" w:rsidR="00152269" w:rsidRPr="00893EB3" w:rsidRDefault="00152269" w:rsidP="00021EF3">
            <w:pPr>
              <w:rPr>
                <w:rFonts w:cs="Arial"/>
                <w:b/>
                <w:szCs w:val="17"/>
              </w:rPr>
            </w:pPr>
            <w:r w:rsidRPr="00893EB3">
              <w:rPr>
                <w:rFonts w:cs="Arial"/>
                <w:b/>
              </w:rPr>
              <w:t>Variable</w:t>
            </w:r>
          </w:p>
        </w:tc>
        <w:tc>
          <w:tcPr>
            <w:tcW w:w="0" w:type="dxa"/>
          </w:tcPr>
          <w:p w14:paraId="21714FF4" w14:textId="6D058A59" w:rsidR="00152269" w:rsidRPr="00893EB3" w:rsidRDefault="00152269" w:rsidP="00021EF3">
            <w:pPr>
              <w:rPr>
                <w:rFonts w:cs="Arial"/>
                <w:b/>
                <w:szCs w:val="17"/>
              </w:rPr>
            </w:pPr>
            <w:r w:rsidRPr="00893EB3">
              <w:rPr>
                <w:rFonts w:cs="Arial"/>
                <w:b/>
              </w:rPr>
              <w:t>(15)</w:t>
            </w:r>
            <w:r w:rsidR="00370C91">
              <w:rPr>
                <w:rFonts w:cs="Arial"/>
                <w:b/>
              </w:rPr>
              <w:t xml:space="preserve"> </w:t>
            </w:r>
            <w:r w:rsidR="00370C91">
              <w:rPr>
                <w:rFonts w:cs="Arial"/>
                <w:b/>
                <w:szCs w:val="17"/>
              </w:rPr>
              <w:t>(marginal effects)</w:t>
            </w:r>
          </w:p>
        </w:tc>
        <w:tc>
          <w:tcPr>
            <w:tcW w:w="0" w:type="dxa"/>
          </w:tcPr>
          <w:p w14:paraId="13150FB2" w14:textId="50AE9055" w:rsidR="00152269" w:rsidRPr="00893EB3" w:rsidRDefault="00152269" w:rsidP="00021EF3">
            <w:pPr>
              <w:rPr>
                <w:rFonts w:cs="Arial"/>
                <w:b/>
                <w:szCs w:val="17"/>
              </w:rPr>
            </w:pPr>
            <w:r w:rsidRPr="00893EB3">
              <w:rPr>
                <w:rFonts w:cs="Arial"/>
                <w:b/>
              </w:rPr>
              <w:t>(16)</w:t>
            </w:r>
            <w:r w:rsidR="00370C91">
              <w:rPr>
                <w:rFonts w:cs="Arial"/>
                <w:b/>
                <w:szCs w:val="17"/>
              </w:rPr>
              <w:t xml:space="preserve"> (marginal effects)</w:t>
            </w:r>
          </w:p>
        </w:tc>
        <w:tc>
          <w:tcPr>
            <w:tcW w:w="0" w:type="dxa"/>
          </w:tcPr>
          <w:p w14:paraId="2A07E127" w14:textId="19E418D3" w:rsidR="00152269" w:rsidRPr="00893EB3" w:rsidRDefault="00152269" w:rsidP="00021EF3">
            <w:pPr>
              <w:rPr>
                <w:rFonts w:cs="Arial"/>
                <w:b/>
                <w:szCs w:val="17"/>
              </w:rPr>
            </w:pPr>
            <w:r w:rsidRPr="00893EB3">
              <w:rPr>
                <w:rFonts w:cs="Arial"/>
                <w:b/>
              </w:rPr>
              <w:t>(17)</w:t>
            </w:r>
            <w:r w:rsidR="00370C91">
              <w:rPr>
                <w:rFonts w:cs="Arial"/>
                <w:b/>
                <w:szCs w:val="17"/>
              </w:rPr>
              <w:t xml:space="preserve"> (marginal effects)</w:t>
            </w:r>
          </w:p>
        </w:tc>
      </w:tr>
      <w:tr w:rsidR="00152269" w:rsidRPr="002F50BA" w14:paraId="6C0043A4" w14:textId="77777777">
        <w:trPr>
          <w:trHeight w:val="331"/>
        </w:trPr>
        <w:tc>
          <w:tcPr>
            <w:tcW w:w="2721" w:type="dxa"/>
          </w:tcPr>
          <w:p w14:paraId="662641B1" w14:textId="77777777" w:rsidR="00152269" w:rsidRPr="00893EB3" w:rsidRDefault="00152269" w:rsidP="00021EF3">
            <w:pPr>
              <w:rPr>
                <w:rFonts w:cs="Arial"/>
                <w:szCs w:val="17"/>
              </w:rPr>
            </w:pPr>
            <w:r w:rsidRPr="000D6E1B">
              <w:rPr>
                <w:rFonts w:cs="Arial"/>
                <w:szCs w:val="17"/>
              </w:rPr>
              <w:t>Intercept</w:t>
            </w:r>
          </w:p>
        </w:tc>
        <w:tc>
          <w:tcPr>
            <w:tcW w:w="2154" w:type="dxa"/>
          </w:tcPr>
          <w:p w14:paraId="64B31138" w14:textId="77777777" w:rsidR="00152269" w:rsidRPr="00893EB3" w:rsidRDefault="00152269" w:rsidP="00021EF3">
            <w:pPr>
              <w:spacing w:after="0"/>
              <w:rPr>
                <w:rFonts w:cs="Arial"/>
                <w:color w:val="000000"/>
                <w:szCs w:val="17"/>
              </w:rPr>
            </w:pPr>
            <w:r w:rsidRPr="000D6E1B">
              <w:rPr>
                <w:szCs w:val="17"/>
              </w:rPr>
              <w:t>1.169e+01***</w:t>
            </w:r>
          </w:p>
        </w:tc>
        <w:tc>
          <w:tcPr>
            <w:tcW w:w="2154" w:type="dxa"/>
          </w:tcPr>
          <w:p w14:paraId="44A87D17" w14:textId="77777777" w:rsidR="00152269" w:rsidRPr="00893EB3" w:rsidRDefault="00152269" w:rsidP="00021EF3">
            <w:pPr>
              <w:spacing w:after="0"/>
              <w:rPr>
                <w:szCs w:val="17"/>
              </w:rPr>
            </w:pPr>
            <w:r w:rsidRPr="000D6E1B">
              <w:rPr>
                <w:szCs w:val="17"/>
              </w:rPr>
              <w:t>1.174e+01***</w:t>
            </w:r>
          </w:p>
        </w:tc>
        <w:tc>
          <w:tcPr>
            <w:tcW w:w="2154" w:type="dxa"/>
          </w:tcPr>
          <w:p w14:paraId="0ED3BCD7" w14:textId="77777777" w:rsidR="00152269" w:rsidRPr="00893EB3" w:rsidRDefault="00152269" w:rsidP="00021EF3">
            <w:pPr>
              <w:spacing w:after="0"/>
              <w:rPr>
                <w:szCs w:val="17"/>
              </w:rPr>
            </w:pPr>
            <w:r w:rsidRPr="000D6E1B">
              <w:rPr>
                <w:szCs w:val="17"/>
              </w:rPr>
              <w:t>1.172e+01***</w:t>
            </w:r>
          </w:p>
        </w:tc>
      </w:tr>
      <w:tr w:rsidR="00152269" w:rsidRPr="002F50BA" w14:paraId="2A433A2A" w14:textId="77777777">
        <w:trPr>
          <w:trHeight w:val="331"/>
        </w:trPr>
        <w:tc>
          <w:tcPr>
            <w:tcW w:w="2721" w:type="dxa"/>
          </w:tcPr>
          <w:p w14:paraId="612FEBFA" w14:textId="77777777" w:rsidR="00152269" w:rsidRPr="00893EB3" w:rsidRDefault="00152269" w:rsidP="00021EF3">
            <w:pPr>
              <w:rPr>
                <w:rFonts w:cs="Arial"/>
                <w:szCs w:val="17"/>
              </w:rPr>
            </w:pPr>
            <w:r w:rsidRPr="000D6E1B">
              <w:rPr>
                <w:rFonts w:cs="Arial"/>
                <w:szCs w:val="17"/>
              </w:rPr>
              <w:t>Year 2021</w:t>
            </w:r>
          </w:p>
        </w:tc>
        <w:tc>
          <w:tcPr>
            <w:tcW w:w="2154" w:type="dxa"/>
          </w:tcPr>
          <w:p w14:paraId="067CCA56" w14:textId="77777777" w:rsidR="00152269" w:rsidRPr="00893EB3" w:rsidRDefault="00152269" w:rsidP="00021EF3">
            <w:pPr>
              <w:spacing w:after="0"/>
              <w:rPr>
                <w:rFonts w:cs="Arial"/>
                <w:color w:val="000000"/>
                <w:szCs w:val="17"/>
              </w:rPr>
            </w:pPr>
            <w:r w:rsidRPr="000D6E1B">
              <w:rPr>
                <w:szCs w:val="17"/>
              </w:rPr>
              <w:t>-1.417e-02</w:t>
            </w:r>
          </w:p>
        </w:tc>
        <w:tc>
          <w:tcPr>
            <w:tcW w:w="2154" w:type="dxa"/>
          </w:tcPr>
          <w:p w14:paraId="7C6B0A06" w14:textId="77777777" w:rsidR="00152269" w:rsidRPr="00893EB3" w:rsidRDefault="00152269" w:rsidP="00021EF3">
            <w:pPr>
              <w:spacing w:after="0"/>
              <w:rPr>
                <w:szCs w:val="17"/>
              </w:rPr>
            </w:pPr>
            <w:r w:rsidRPr="000D6E1B">
              <w:rPr>
                <w:szCs w:val="17"/>
              </w:rPr>
              <w:t>-1.209e-02</w:t>
            </w:r>
          </w:p>
        </w:tc>
        <w:tc>
          <w:tcPr>
            <w:tcW w:w="2154" w:type="dxa"/>
          </w:tcPr>
          <w:p w14:paraId="316C7EA4" w14:textId="77777777" w:rsidR="00152269" w:rsidRPr="00893EB3" w:rsidRDefault="00152269" w:rsidP="00021EF3">
            <w:pPr>
              <w:spacing w:after="0"/>
              <w:rPr>
                <w:szCs w:val="17"/>
              </w:rPr>
            </w:pPr>
            <w:r w:rsidRPr="000D6E1B">
              <w:rPr>
                <w:szCs w:val="17"/>
              </w:rPr>
              <w:t>-1.319e-02</w:t>
            </w:r>
          </w:p>
        </w:tc>
      </w:tr>
      <w:tr w:rsidR="00152269" w:rsidRPr="002F50BA" w14:paraId="57491288" w14:textId="77777777">
        <w:trPr>
          <w:trHeight w:val="331"/>
        </w:trPr>
        <w:tc>
          <w:tcPr>
            <w:tcW w:w="2721" w:type="dxa"/>
          </w:tcPr>
          <w:p w14:paraId="701B15E7" w14:textId="77777777" w:rsidR="00152269" w:rsidRPr="00893EB3" w:rsidRDefault="00152269" w:rsidP="00021EF3">
            <w:pPr>
              <w:rPr>
                <w:rFonts w:cs="Arial"/>
                <w:szCs w:val="17"/>
              </w:rPr>
            </w:pPr>
            <w:r w:rsidRPr="000D6E1B">
              <w:rPr>
                <w:rFonts w:cs="Arial"/>
                <w:szCs w:val="17"/>
              </w:rPr>
              <w:t>Grant per worker</w:t>
            </w:r>
          </w:p>
        </w:tc>
        <w:tc>
          <w:tcPr>
            <w:tcW w:w="2154" w:type="dxa"/>
          </w:tcPr>
          <w:p w14:paraId="5A24250B" w14:textId="77777777" w:rsidR="00152269" w:rsidRPr="00893EB3" w:rsidRDefault="00152269" w:rsidP="00021EF3">
            <w:pPr>
              <w:spacing w:after="0"/>
              <w:rPr>
                <w:rFonts w:cs="Arial"/>
                <w:color w:val="000000"/>
                <w:szCs w:val="17"/>
              </w:rPr>
            </w:pPr>
            <w:r w:rsidRPr="000D6E1B">
              <w:rPr>
                <w:szCs w:val="17"/>
              </w:rPr>
              <w:t>-2.532e-05*</w:t>
            </w:r>
          </w:p>
        </w:tc>
        <w:tc>
          <w:tcPr>
            <w:tcW w:w="2154" w:type="dxa"/>
          </w:tcPr>
          <w:p w14:paraId="37AE0704" w14:textId="77777777" w:rsidR="00152269" w:rsidRPr="00893EB3" w:rsidRDefault="00152269" w:rsidP="00021EF3">
            <w:pPr>
              <w:spacing w:after="0"/>
              <w:rPr>
                <w:szCs w:val="17"/>
              </w:rPr>
            </w:pPr>
            <w:r w:rsidRPr="000D6E1B">
              <w:rPr>
                <w:szCs w:val="17"/>
              </w:rPr>
              <w:t>-1.310e-04***</w:t>
            </w:r>
          </w:p>
        </w:tc>
        <w:tc>
          <w:tcPr>
            <w:tcW w:w="2154" w:type="dxa"/>
          </w:tcPr>
          <w:p w14:paraId="2A4FED23" w14:textId="77777777" w:rsidR="00152269" w:rsidRPr="00893EB3" w:rsidRDefault="00152269" w:rsidP="00021EF3">
            <w:pPr>
              <w:spacing w:after="0"/>
              <w:rPr>
                <w:szCs w:val="17"/>
              </w:rPr>
            </w:pPr>
            <w:r w:rsidRPr="000D6E1B">
              <w:rPr>
                <w:szCs w:val="17"/>
              </w:rPr>
              <w:t>-8.410e-05***</w:t>
            </w:r>
          </w:p>
        </w:tc>
      </w:tr>
      <w:tr w:rsidR="00152269" w:rsidRPr="002F50BA" w14:paraId="13A6EA34" w14:textId="77777777">
        <w:trPr>
          <w:trHeight w:val="331"/>
        </w:trPr>
        <w:tc>
          <w:tcPr>
            <w:tcW w:w="2721" w:type="dxa"/>
          </w:tcPr>
          <w:p w14:paraId="2958DBCD" w14:textId="77777777" w:rsidR="00152269" w:rsidRPr="00893EB3" w:rsidRDefault="00152269" w:rsidP="00021EF3">
            <w:pPr>
              <w:rPr>
                <w:rFonts w:cs="Arial"/>
                <w:szCs w:val="17"/>
              </w:rPr>
            </w:pPr>
            <w:r w:rsidRPr="000D6E1B">
              <w:rPr>
                <w:rFonts w:cs="Arial"/>
                <w:szCs w:val="17"/>
              </w:rPr>
              <w:t>2021 * Grant per worker</w:t>
            </w:r>
          </w:p>
        </w:tc>
        <w:tc>
          <w:tcPr>
            <w:tcW w:w="2154" w:type="dxa"/>
          </w:tcPr>
          <w:p w14:paraId="50F50CA1" w14:textId="77777777" w:rsidR="00152269" w:rsidRPr="00893EB3" w:rsidRDefault="00152269" w:rsidP="00021EF3">
            <w:pPr>
              <w:spacing w:after="0"/>
              <w:rPr>
                <w:rFonts w:cs="Arial"/>
                <w:color w:val="000000"/>
                <w:szCs w:val="17"/>
              </w:rPr>
            </w:pPr>
            <w:r w:rsidRPr="000D6E1B">
              <w:rPr>
                <w:rFonts w:cs="Arial"/>
                <w:color w:val="000000"/>
                <w:szCs w:val="17"/>
              </w:rPr>
              <w:t>-2.894e-05*</w:t>
            </w:r>
          </w:p>
        </w:tc>
        <w:tc>
          <w:tcPr>
            <w:tcW w:w="2154" w:type="dxa"/>
          </w:tcPr>
          <w:p w14:paraId="63F26F6D" w14:textId="77777777" w:rsidR="00152269" w:rsidRPr="00893EB3" w:rsidRDefault="00152269" w:rsidP="00021EF3">
            <w:pPr>
              <w:spacing w:after="0"/>
              <w:rPr>
                <w:szCs w:val="17"/>
              </w:rPr>
            </w:pPr>
            <w:r w:rsidRPr="000D6E1B">
              <w:rPr>
                <w:szCs w:val="17"/>
              </w:rPr>
              <w:t>-1.525e-04</w:t>
            </w:r>
          </w:p>
        </w:tc>
        <w:tc>
          <w:tcPr>
            <w:tcW w:w="2154" w:type="dxa"/>
          </w:tcPr>
          <w:p w14:paraId="66A99ADC" w14:textId="77777777" w:rsidR="00152269" w:rsidRPr="00893EB3" w:rsidRDefault="00152269" w:rsidP="00021EF3">
            <w:pPr>
              <w:spacing w:after="0"/>
              <w:rPr>
                <w:szCs w:val="17"/>
              </w:rPr>
            </w:pPr>
            <w:r w:rsidRPr="000D6E1B">
              <w:rPr>
                <w:szCs w:val="17"/>
              </w:rPr>
              <w:t>-3.343e-05</w:t>
            </w:r>
          </w:p>
        </w:tc>
      </w:tr>
      <w:tr w:rsidR="00152269" w:rsidRPr="00AA7A6D" w14:paraId="2CF8778A" w14:textId="77777777">
        <w:trPr>
          <w:trHeight w:val="331"/>
        </w:trPr>
        <w:tc>
          <w:tcPr>
            <w:tcW w:w="2721" w:type="dxa"/>
          </w:tcPr>
          <w:p w14:paraId="05737F2C" w14:textId="77777777" w:rsidR="00152269" w:rsidRPr="00893EB3" w:rsidRDefault="00152269" w:rsidP="00021EF3">
            <w:pPr>
              <w:rPr>
                <w:rFonts w:cs="Arial"/>
                <w:szCs w:val="17"/>
              </w:rPr>
            </w:pPr>
            <w:r w:rsidRPr="000D6E1B">
              <w:rPr>
                <w:rFonts w:cs="Arial"/>
                <w:szCs w:val="17"/>
              </w:rPr>
              <w:t>Above mean</w:t>
            </w:r>
          </w:p>
        </w:tc>
        <w:tc>
          <w:tcPr>
            <w:tcW w:w="2154" w:type="dxa"/>
          </w:tcPr>
          <w:p w14:paraId="3AE269E4" w14:textId="77777777" w:rsidR="00152269" w:rsidRPr="00893EB3" w:rsidRDefault="00152269" w:rsidP="00021EF3">
            <w:pPr>
              <w:spacing w:after="0"/>
              <w:rPr>
                <w:rFonts w:cs="Arial"/>
                <w:color w:val="000000"/>
                <w:szCs w:val="17"/>
              </w:rPr>
            </w:pPr>
          </w:p>
        </w:tc>
        <w:tc>
          <w:tcPr>
            <w:tcW w:w="2154" w:type="dxa"/>
          </w:tcPr>
          <w:p w14:paraId="1B051E6E" w14:textId="77777777" w:rsidR="00152269" w:rsidRPr="00893EB3" w:rsidRDefault="00152269" w:rsidP="00021EF3">
            <w:pPr>
              <w:spacing w:after="0"/>
              <w:rPr>
                <w:szCs w:val="17"/>
              </w:rPr>
            </w:pPr>
            <w:r w:rsidRPr="000D6E1B">
              <w:rPr>
                <w:szCs w:val="17"/>
              </w:rPr>
              <w:t>1.871e-03***</w:t>
            </w:r>
          </w:p>
        </w:tc>
        <w:tc>
          <w:tcPr>
            <w:tcW w:w="2154" w:type="dxa"/>
          </w:tcPr>
          <w:p w14:paraId="2E6D2A31" w14:textId="77777777" w:rsidR="00152269" w:rsidRPr="00893EB3" w:rsidRDefault="00152269" w:rsidP="00021EF3">
            <w:pPr>
              <w:spacing w:after="0"/>
              <w:rPr>
                <w:szCs w:val="17"/>
              </w:rPr>
            </w:pPr>
          </w:p>
        </w:tc>
      </w:tr>
      <w:tr w:rsidR="00152269" w:rsidRPr="002F50BA" w14:paraId="66890B0A" w14:textId="77777777">
        <w:trPr>
          <w:trHeight w:val="331"/>
        </w:trPr>
        <w:tc>
          <w:tcPr>
            <w:tcW w:w="2721" w:type="dxa"/>
          </w:tcPr>
          <w:p w14:paraId="530EA586" w14:textId="01996156" w:rsidR="00152269" w:rsidRPr="00893EB3" w:rsidRDefault="00152269" w:rsidP="00021EF3">
            <w:pPr>
              <w:rPr>
                <w:rFonts w:cs="Arial"/>
                <w:szCs w:val="17"/>
              </w:rPr>
            </w:pPr>
            <w:r w:rsidRPr="000D6E1B">
              <w:rPr>
                <w:rFonts w:cs="Arial"/>
                <w:szCs w:val="17"/>
              </w:rPr>
              <w:t xml:space="preserve">Above one </w:t>
            </w:r>
            <w:r w:rsidR="00CB3775">
              <w:rPr>
                <w:rFonts w:cs="Arial"/>
                <w:szCs w:val="17"/>
              </w:rPr>
              <w:t>SD</w:t>
            </w:r>
          </w:p>
        </w:tc>
        <w:tc>
          <w:tcPr>
            <w:tcW w:w="2154" w:type="dxa"/>
          </w:tcPr>
          <w:p w14:paraId="73F0EEF3" w14:textId="77777777" w:rsidR="00152269" w:rsidRPr="00893EB3" w:rsidRDefault="00152269" w:rsidP="00021EF3">
            <w:pPr>
              <w:spacing w:after="0"/>
              <w:rPr>
                <w:rFonts w:cs="Arial"/>
                <w:color w:val="000000"/>
                <w:szCs w:val="17"/>
              </w:rPr>
            </w:pPr>
          </w:p>
        </w:tc>
        <w:tc>
          <w:tcPr>
            <w:tcW w:w="2154" w:type="dxa"/>
          </w:tcPr>
          <w:p w14:paraId="7D0BE858" w14:textId="77777777" w:rsidR="00152269" w:rsidRPr="00893EB3" w:rsidRDefault="00152269" w:rsidP="00021EF3">
            <w:pPr>
              <w:spacing w:after="0"/>
              <w:rPr>
                <w:szCs w:val="17"/>
              </w:rPr>
            </w:pPr>
          </w:p>
        </w:tc>
        <w:tc>
          <w:tcPr>
            <w:tcW w:w="2154" w:type="dxa"/>
          </w:tcPr>
          <w:p w14:paraId="4CDD72C7" w14:textId="77777777" w:rsidR="00152269" w:rsidRPr="00893EB3" w:rsidRDefault="00152269" w:rsidP="00021EF3">
            <w:pPr>
              <w:spacing w:after="0"/>
              <w:rPr>
                <w:szCs w:val="17"/>
              </w:rPr>
            </w:pPr>
            <w:r w:rsidRPr="000D6E1B">
              <w:rPr>
                <w:szCs w:val="17"/>
              </w:rPr>
              <w:t>2.278e-03***</w:t>
            </w:r>
          </w:p>
        </w:tc>
      </w:tr>
      <w:tr w:rsidR="00152269" w:rsidRPr="002F50BA" w14:paraId="4883BC54" w14:textId="77777777">
        <w:trPr>
          <w:trHeight w:val="331"/>
        </w:trPr>
        <w:tc>
          <w:tcPr>
            <w:tcW w:w="2721" w:type="dxa"/>
          </w:tcPr>
          <w:p w14:paraId="32797B2A" w14:textId="77777777" w:rsidR="00152269" w:rsidRDefault="00152269" w:rsidP="00021EF3">
            <w:pPr>
              <w:rPr>
                <w:rFonts w:cs="Arial"/>
              </w:rPr>
            </w:pPr>
            <w:r w:rsidRPr="000D6E1B">
              <w:rPr>
                <w:rFonts w:cs="Arial"/>
                <w:szCs w:val="17"/>
              </w:rPr>
              <w:t>2021*Above mean</w:t>
            </w:r>
          </w:p>
        </w:tc>
        <w:tc>
          <w:tcPr>
            <w:tcW w:w="2154" w:type="dxa"/>
          </w:tcPr>
          <w:p w14:paraId="7976CFBF" w14:textId="77777777" w:rsidR="00152269" w:rsidRPr="00AA7A6D" w:rsidRDefault="00152269" w:rsidP="00021EF3">
            <w:pPr>
              <w:spacing w:after="0"/>
              <w:rPr>
                <w:rFonts w:cs="Arial"/>
                <w:color w:val="000000"/>
              </w:rPr>
            </w:pPr>
          </w:p>
        </w:tc>
        <w:tc>
          <w:tcPr>
            <w:tcW w:w="2154" w:type="dxa"/>
          </w:tcPr>
          <w:p w14:paraId="5E0CDC41" w14:textId="77777777" w:rsidR="00152269" w:rsidRPr="00AA7A6D" w:rsidRDefault="00152269" w:rsidP="00021EF3">
            <w:pPr>
              <w:spacing w:after="0"/>
            </w:pPr>
            <w:r w:rsidRPr="001A1D4C">
              <w:t>-1.525e-04</w:t>
            </w:r>
          </w:p>
        </w:tc>
        <w:tc>
          <w:tcPr>
            <w:tcW w:w="2154" w:type="dxa"/>
          </w:tcPr>
          <w:p w14:paraId="2E6A8BD8" w14:textId="77777777" w:rsidR="00152269" w:rsidRPr="00AA7A6D" w:rsidRDefault="00152269" w:rsidP="00021EF3">
            <w:pPr>
              <w:spacing w:after="0"/>
            </w:pPr>
          </w:p>
        </w:tc>
      </w:tr>
      <w:tr w:rsidR="00152269" w:rsidRPr="002F50BA" w14:paraId="55196BFC" w14:textId="77777777">
        <w:trPr>
          <w:trHeight w:val="331"/>
        </w:trPr>
        <w:tc>
          <w:tcPr>
            <w:tcW w:w="2721" w:type="dxa"/>
          </w:tcPr>
          <w:p w14:paraId="00DCBAB6" w14:textId="7437D4C4" w:rsidR="00152269" w:rsidRDefault="00152269" w:rsidP="00021EF3">
            <w:pPr>
              <w:rPr>
                <w:rFonts w:cs="Arial"/>
              </w:rPr>
            </w:pPr>
            <w:r w:rsidRPr="000D6E1B">
              <w:rPr>
                <w:rFonts w:cs="Arial"/>
                <w:szCs w:val="17"/>
              </w:rPr>
              <w:t xml:space="preserve">2021*Above one </w:t>
            </w:r>
            <w:r w:rsidR="00CB3775">
              <w:rPr>
                <w:rFonts w:cs="Arial"/>
                <w:szCs w:val="17"/>
              </w:rPr>
              <w:t>SD</w:t>
            </w:r>
          </w:p>
        </w:tc>
        <w:tc>
          <w:tcPr>
            <w:tcW w:w="2154" w:type="dxa"/>
          </w:tcPr>
          <w:p w14:paraId="2EF38394" w14:textId="77777777" w:rsidR="00152269" w:rsidRPr="00AA7A6D" w:rsidRDefault="00152269" w:rsidP="00021EF3">
            <w:pPr>
              <w:spacing w:after="0"/>
              <w:rPr>
                <w:rFonts w:cs="Arial"/>
                <w:color w:val="000000"/>
              </w:rPr>
            </w:pPr>
          </w:p>
        </w:tc>
        <w:tc>
          <w:tcPr>
            <w:tcW w:w="2154" w:type="dxa"/>
          </w:tcPr>
          <w:p w14:paraId="4F0B85BB" w14:textId="77777777" w:rsidR="00152269" w:rsidRPr="00AA7A6D" w:rsidRDefault="00152269" w:rsidP="00021EF3">
            <w:pPr>
              <w:spacing w:after="0"/>
            </w:pPr>
          </w:p>
        </w:tc>
        <w:tc>
          <w:tcPr>
            <w:tcW w:w="2154" w:type="dxa"/>
          </w:tcPr>
          <w:p w14:paraId="0816286C" w14:textId="77777777" w:rsidR="00152269" w:rsidRPr="00AA7A6D" w:rsidRDefault="00152269" w:rsidP="00021EF3">
            <w:pPr>
              <w:spacing w:after="0"/>
            </w:pPr>
            <w:r w:rsidRPr="001A1D4C">
              <w:t>-2.747e-05</w:t>
            </w:r>
          </w:p>
        </w:tc>
      </w:tr>
      <w:tr w:rsidR="00152269" w:rsidRPr="00AA7A6D" w14:paraId="5CBFD8E8" w14:textId="77777777">
        <w:trPr>
          <w:trHeight w:val="331"/>
        </w:trPr>
        <w:tc>
          <w:tcPr>
            <w:tcW w:w="2721" w:type="dxa"/>
          </w:tcPr>
          <w:p w14:paraId="4B507797" w14:textId="77777777" w:rsidR="00152269" w:rsidRDefault="00152269" w:rsidP="00021EF3">
            <w:pPr>
              <w:rPr>
                <w:rFonts w:cs="Arial"/>
              </w:rPr>
            </w:pPr>
            <w:r w:rsidRPr="000D6E1B">
              <w:rPr>
                <w:rFonts w:cs="Arial"/>
                <w:szCs w:val="17"/>
              </w:rPr>
              <w:t>2021*Above mean*Grant per worker</w:t>
            </w:r>
          </w:p>
        </w:tc>
        <w:tc>
          <w:tcPr>
            <w:tcW w:w="2154" w:type="dxa"/>
          </w:tcPr>
          <w:p w14:paraId="6908BBE9" w14:textId="77777777" w:rsidR="00152269" w:rsidRPr="00AA7A6D" w:rsidRDefault="00152269" w:rsidP="00021EF3">
            <w:pPr>
              <w:spacing w:after="0"/>
              <w:rPr>
                <w:rFonts w:cs="Arial"/>
                <w:color w:val="000000"/>
              </w:rPr>
            </w:pPr>
          </w:p>
        </w:tc>
        <w:tc>
          <w:tcPr>
            <w:tcW w:w="2154" w:type="dxa"/>
          </w:tcPr>
          <w:p w14:paraId="0F1DD49B" w14:textId="77777777" w:rsidR="00152269" w:rsidRPr="00AA7A6D" w:rsidRDefault="00152269" w:rsidP="00021EF3">
            <w:pPr>
              <w:spacing w:after="0"/>
            </w:pPr>
            <w:r w:rsidRPr="001A1D4C">
              <w:t>9.057e-09</w:t>
            </w:r>
          </w:p>
        </w:tc>
        <w:tc>
          <w:tcPr>
            <w:tcW w:w="2154" w:type="dxa"/>
          </w:tcPr>
          <w:p w14:paraId="0671F48F" w14:textId="77777777" w:rsidR="00152269" w:rsidRPr="00AA7A6D" w:rsidRDefault="00152269" w:rsidP="00021EF3">
            <w:pPr>
              <w:spacing w:after="0"/>
            </w:pPr>
          </w:p>
        </w:tc>
      </w:tr>
      <w:tr w:rsidR="00152269" w:rsidRPr="00AA7A6D" w14:paraId="74D3BA96" w14:textId="77777777">
        <w:trPr>
          <w:trHeight w:val="331"/>
        </w:trPr>
        <w:tc>
          <w:tcPr>
            <w:tcW w:w="2721" w:type="dxa"/>
          </w:tcPr>
          <w:p w14:paraId="46F116A5" w14:textId="1CEA49B5" w:rsidR="00152269" w:rsidRDefault="00152269" w:rsidP="00021EF3">
            <w:pPr>
              <w:rPr>
                <w:rFonts w:cs="Arial"/>
              </w:rPr>
            </w:pPr>
            <w:bookmarkStart w:id="507" w:name="_Hlk173700798"/>
            <w:r w:rsidRPr="000D6E1B">
              <w:rPr>
                <w:rFonts w:cs="Arial"/>
                <w:szCs w:val="17"/>
              </w:rPr>
              <w:t xml:space="preserve">2021*Above one </w:t>
            </w:r>
            <w:r w:rsidR="00CB3775">
              <w:rPr>
                <w:rFonts w:cs="Arial"/>
                <w:szCs w:val="17"/>
              </w:rPr>
              <w:t>SD</w:t>
            </w:r>
            <w:r w:rsidRPr="000D6E1B">
              <w:rPr>
                <w:rFonts w:cs="Arial"/>
                <w:szCs w:val="17"/>
              </w:rPr>
              <w:t>*Grant per worker</w:t>
            </w:r>
            <w:bookmarkEnd w:id="507"/>
          </w:p>
        </w:tc>
        <w:tc>
          <w:tcPr>
            <w:tcW w:w="2154" w:type="dxa"/>
          </w:tcPr>
          <w:p w14:paraId="29FE9408" w14:textId="77777777" w:rsidR="00152269" w:rsidRPr="00AA7A6D" w:rsidRDefault="00152269" w:rsidP="00021EF3">
            <w:pPr>
              <w:spacing w:after="0"/>
              <w:rPr>
                <w:rFonts w:cs="Arial"/>
                <w:color w:val="000000"/>
              </w:rPr>
            </w:pPr>
          </w:p>
        </w:tc>
        <w:tc>
          <w:tcPr>
            <w:tcW w:w="2154" w:type="dxa"/>
          </w:tcPr>
          <w:p w14:paraId="2681B373" w14:textId="77777777" w:rsidR="00152269" w:rsidRPr="00AA7A6D" w:rsidRDefault="00152269" w:rsidP="00021EF3">
            <w:pPr>
              <w:spacing w:after="0"/>
            </w:pPr>
          </w:p>
        </w:tc>
        <w:tc>
          <w:tcPr>
            <w:tcW w:w="2154" w:type="dxa"/>
          </w:tcPr>
          <w:p w14:paraId="58CE13A0" w14:textId="77777777" w:rsidR="00152269" w:rsidRPr="00AA7A6D" w:rsidRDefault="00152269" w:rsidP="00021EF3">
            <w:pPr>
              <w:spacing w:after="0"/>
            </w:pPr>
            <w:r w:rsidRPr="001A1D4C">
              <w:t>2.393e-08</w:t>
            </w:r>
          </w:p>
        </w:tc>
      </w:tr>
    </w:tbl>
    <w:p w14:paraId="79AA080C" w14:textId="0E8CEFB5" w:rsidR="00152269" w:rsidRDefault="00704E6A" w:rsidP="00021EF3">
      <w:pPr>
        <w:pStyle w:val="Source"/>
        <w:rPr>
          <w:sz w:val="16"/>
          <w:szCs w:val="16"/>
        </w:rPr>
      </w:pPr>
      <w:r>
        <w:t>Source: Deloitte Access Economics.</w:t>
      </w:r>
      <w:r>
        <w:br/>
      </w:r>
      <w:r w:rsidR="00152269" w:rsidRPr="00AA7A6D">
        <w:t xml:space="preserve">* = p-value &lt;0.1, ** = p-value &lt;0.05, *** = </w:t>
      </w:r>
      <w:r w:rsidR="00152269" w:rsidRPr="00AA7A6D">
        <w:rPr>
          <w:sz w:val="16"/>
          <w:szCs w:val="16"/>
        </w:rPr>
        <w:t>p-value &lt;0.01</w:t>
      </w:r>
    </w:p>
    <w:p w14:paraId="0B03A26F" w14:textId="701A4A00" w:rsidR="00152269" w:rsidRDefault="00152269" w:rsidP="00021EF3">
      <w:pPr>
        <w:pStyle w:val="ListBullet"/>
        <w:numPr>
          <w:ilvl w:val="0"/>
          <w:numId w:val="0"/>
        </w:numPr>
        <w:rPr>
          <w:rFonts w:cs="Arial"/>
        </w:rPr>
      </w:pPr>
      <w:r w:rsidRPr="001A1D4C">
        <w:t xml:space="preserve">The </w:t>
      </w:r>
      <w:r>
        <w:t xml:space="preserve">estimates generated by the employment </w:t>
      </w:r>
      <w:r w:rsidR="005C4C92">
        <w:t xml:space="preserve">analysis </w:t>
      </w:r>
      <w:r>
        <w:t xml:space="preserve">do not provide any evidence to suggest that the grants had a significant impact on employment. The variable of interest in specification (15) is significant at the 10 </w:t>
      </w:r>
      <w:r w:rsidR="005C4C92">
        <w:t>per cent</w:t>
      </w:r>
      <w:r>
        <w:t xml:space="preserve"> level </w:t>
      </w:r>
      <w:r w:rsidR="00B04DB5">
        <w:t xml:space="preserve">but </w:t>
      </w:r>
      <w:r>
        <w:t>generates a negative estimate fo</w:t>
      </w:r>
      <w:r w:rsidR="00482049">
        <w:t>r</w:t>
      </w:r>
      <w:r>
        <w:t xml:space="preserve"> the relationship between grant amount and hours worked. In (16) and (17) the variables of interest </w:t>
      </w:r>
      <w:r w:rsidRPr="001A1D4C">
        <w:rPr>
          <w:rFonts w:cs="Arial"/>
          <w:i/>
          <w:iCs/>
        </w:rPr>
        <w:t>2021*Above mean*Grant per worker</w:t>
      </w:r>
      <w:r>
        <w:rPr>
          <w:rFonts w:cs="Arial"/>
          <w:i/>
          <w:iCs/>
        </w:rPr>
        <w:t xml:space="preserve"> </w:t>
      </w:r>
      <w:r>
        <w:rPr>
          <w:rFonts w:cs="Arial"/>
        </w:rPr>
        <w:t xml:space="preserve">and </w:t>
      </w:r>
      <w:r w:rsidRPr="001A1D4C">
        <w:rPr>
          <w:rFonts w:cs="Arial"/>
          <w:i/>
          <w:iCs/>
        </w:rPr>
        <w:t xml:space="preserve">2021*Above one </w:t>
      </w:r>
      <w:r w:rsidR="00CB3775">
        <w:rPr>
          <w:rFonts w:cs="Arial"/>
          <w:i/>
          <w:iCs/>
        </w:rPr>
        <w:t>SD</w:t>
      </w:r>
      <w:r w:rsidRPr="001A1D4C">
        <w:rPr>
          <w:rFonts w:cs="Arial"/>
          <w:i/>
          <w:iCs/>
        </w:rPr>
        <w:t>*Grant per worker</w:t>
      </w:r>
      <w:r>
        <w:rPr>
          <w:rFonts w:cs="Arial"/>
          <w:i/>
          <w:iCs/>
        </w:rPr>
        <w:t xml:space="preserve"> </w:t>
      </w:r>
      <w:r>
        <w:rPr>
          <w:rFonts w:cs="Arial"/>
        </w:rPr>
        <w:t>produced extremely small and non</w:t>
      </w:r>
      <w:r w:rsidR="00482049">
        <w:rPr>
          <w:rFonts w:cs="Arial"/>
        </w:rPr>
        <w:t>-significant</w:t>
      </w:r>
      <w:r>
        <w:rPr>
          <w:rFonts w:cs="Arial"/>
        </w:rPr>
        <w:t xml:space="preserve"> positive estimates for the employment impact of the grants.</w:t>
      </w:r>
    </w:p>
    <w:p w14:paraId="00EE6845" w14:textId="165E5709" w:rsidR="00152269" w:rsidRPr="001A1D4C" w:rsidRDefault="00152269" w:rsidP="00021EF3">
      <w:pPr>
        <w:pStyle w:val="ListBullet"/>
        <w:numPr>
          <w:ilvl w:val="0"/>
          <w:numId w:val="0"/>
        </w:numPr>
        <w:rPr>
          <w:color w:val="75787B" w:themeColor="accent6"/>
          <w:sz w:val="16"/>
          <w:szCs w:val="16"/>
        </w:rPr>
      </w:pPr>
      <w:r>
        <w:rPr>
          <w:rFonts w:cs="Arial"/>
        </w:rPr>
        <w:t>An alternate approach is to interact total grant amount with total employment</w:t>
      </w:r>
      <w:r w:rsidR="005C4C92">
        <w:rPr>
          <w:rFonts w:cs="Arial"/>
        </w:rPr>
        <w:t xml:space="preserve"> t</w:t>
      </w:r>
      <w:r>
        <w:rPr>
          <w:rFonts w:cs="Arial"/>
        </w:rPr>
        <w:t>o attempt to isolate the marginal impact of the grants.</w:t>
      </w:r>
      <w:r w:rsidR="005C4C92">
        <w:rPr>
          <w:rFonts w:cs="Arial"/>
        </w:rPr>
        <w:t xml:space="preserve"> This was considered in specification (18)</w:t>
      </w:r>
      <w:r w:rsidR="00793A6E">
        <w:rPr>
          <w:rFonts w:cs="Arial"/>
        </w:rPr>
        <w:t xml:space="preserve">, with the results of key variables being shown in </w:t>
      </w:r>
      <w:r w:rsidR="00793A6E">
        <w:rPr>
          <w:rFonts w:eastAsiaTheme="minorEastAsia"/>
          <w:iCs/>
        </w:rPr>
        <w:fldChar w:fldCharType="begin"/>
      </w:r>
      <w:r w:rsidR="00793A6E">
        <w:rPr>
          <w:rFonts w:eastAsiaTheme="minorEastAsia"/>
          <w:iCs/>
        </w:rPr>
        <w:instrText xml:space="preserve"> REF _Ref173839433 \r \h </w:instrText>
      </w:r>
      <w:r w:rsidR="00021EF3">
        <w:rPr>
          <w:rFonts w:eastAsiaTheme="minorEastAsia"/>
          <w:iCs/>
        </w:rPr>
        <w:instrText xml:space="preserve"> \* MERGEFORMAT </w:instrText>
      </w:r>
      <w:r w:rsidR="00793A6E">
        <w:rPr>
          <w:rFonts w:eastAsiaTheme="minorEastAsia"/>
          <w:iCs/>
        </w:rPr>
      </w:r>
      <w:r w:rsidR="00793A6E">
        <w:rPr>
          <w:rFonts w:eastAsiaTheme="minorEastAsia"/>
          <w:iCs/>
        </w:rPr>
        <w:fldChar w:fldCharType="separate"/>
      </w:r>
      <w:r w:rsidR="0016271C">
        <w:rPr>
          <w:rFonts w:eastAsiaTheme="minorEastAsia"/>
          <w:iCs/>
        </w:rPr>
        <w:t>Table A.7</w:t>
      </w:r>
      <w:r w:rsidR="00793A6E">
        <w:rPr>
          <w:rFonts w:eastAsiaTheme="minorEastAsia"/>
          <w:iCs/>
        </w:rPr>
        <w:fldChar w:fldCharType="end"/>
      </w:r>
      <w:r w:rsidR="00793A6E">
        <w:rPr>
          <w:rFonts w:eastAsiaTheme="minorEastAsia"/>
          <w:iCs/>
        </w:rPr>
        <w:t>.</w:t>
      </w:r>
    </w:p>
    <w:p w14:paraId="5522DB3C" w14:textId="77777777" w:rsidR="00152269" w:rsidRPr="00B04DB5" w:rsidRDefault="00152269" w:rsidP="00021EF3">
      <w:pPr>
        <w:rPr>
          <w:rFonts w:eastAsiaTheme="minorEastAsia"/>
        </w:rPr>
      </w:pPr>
      <m:oMathPara>
        <m:oMathParaPr>
          <m:jc m:val="center"/>
        </m:oMathParaPr>
        <m:oMath>
          <m:r>
            <w:rPr>
              <w:rFonts w:ascii="Cambria Math" w:hAnsi="Cambria Math"/>
            </w:rPr>
            <m:t>Ln</m:t>
          </m:r>
          <m:d>
            <m:dPr>
              <m:ctrlPr>
                <w:rPr>
                  <w:rFonts w:ascii="Cambria Math" w:hAnsi="Cambria Math"/>
                  <w:i/>
                  <w:iCs/>
                </w:rPr>
              </m:ctrlPr>
            </m:dPr>
            <m:e>
              <m:r>
                <w:rPr>
                  <w:rFonts w:ascii="Cambria Math" w:hAnsi="Cambria Math"/>
                </w:rPr>
                <m:t>Hour</m:t>
              </m:r>
              <m:sSub>
                <m:sSubPr>
                  <m:ctrlPr>
                    <w:rPr>
                      <w:rFonts w:ascii="Cambria Math" w:hAnsi="Cambria Math"/>
                      <w:i/>
                      <w:iCs/>
                    </w:rPr>
                  </m:ctrlPr>
                </m:sSubPr>
                <m:e>
                  <m:r>
                    <w:rPr>
                      <w:rFonts w:ascii="Cambria Math" w:hAnsi="Cambria Math"/>
                    </w:rPr>
                    <m:t>s</m:t>
                  </m:r>
                </m:e>
                <m:sub>
                  <m:r>
                    <w:rPr>
                      <w:rFonts w:ascii="Cambria Math" w:hAnsi="Cambria Math"/>
                    </w:rPr>
                    <m:t>ijt</m:t>
                  </m:r>
                </m:sub>
              </m:sSub>
            </m:e>
          </m:d>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1</m:t>
              </m:r>
            </m:sub>
          </m:sSub>
          <m:r>
            <w:rPr>
              <w:rFonts w:ascii="Cambria Math" w:hAnsi="Cambria Math"/>
            </w:rPr>
            <m:t>Ln</m:t>
          </m:r>
          <m:d>
            <m:dPr>
              <m:ctrlPr>
                <w:rPr>
                  <w:rFonts w:ascii="Cambria Math" w:hAnsi="Cambria Math"/>
                  <w:i/>
                  <w:iCs/>
                </w:rPr>
              </m:ctrlPr>
            </m:dPr>
            <m:e>
              <m:r>
                <w:rPr>
                  <w:rFonts w:ascii="Cambria Math" w:hAnsi="Cambria Math"/>
                </w:rPr>
                <m:t>grant</m:t>
              </m:r>
              <m:r>
                <m:rPr>
                  <m:sty m:val="p"/>
                </m:rPr>
                <w:rPr>
                  <w:rFonts w:ascii="Cambria Math" w:hAnsi="Cambria Math"/>
                </w:rPr>
                <m:t> </m:t>
              </m:r>
              <m:r>
                <w:rPr>
                  <w:rFonts w:ascii="Cambria Math" w:hAnsi="Cambria Math"/>
                </w:rPr>
                <m:t>tota</m:t>
              </m:r>
              <m:sSub>
                <m:sSubPr>
                  <m:ctrlPr>
                    <w:rPr>
                      <w:rFonts w:ascii="Cambria Math" w:hAnsi="Cambria Math"/>
                      <w:i/>
                      <w:iCs/>
                    </w:rPr>
                  </m:ctrlPr>
                </m:sSubPr>
                <m:e>
                  <m:r>
                    <w:rPr>
                      <w:rFonts w:ascii="Cambria Math" w:hAnsi="Cambria Math"/>
                    </w:rPr>
                    <m:t>l</m:t>
                  </m:r>
                </m:e>
                <m:sub>
                  <m:r>
                    <w:rPr>
                      <w:rFonts w:ascii="Cambria Math" w:hAnsi="Cambria Math"/>
                    </w:rPr>
                    <m:t>ij</m:t>
                  </m:r>
                </m:sub>
              </m:sSub>
            </m:e>
          </m:d>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2</m:t>
              </m:r>
            </m:sub>
          </m:sSub>
          <m:r>
            <w:rPr>
              <w:rFonts w:ascii="Cambria Math" w:hAnsi="Cambria Math"/>
            </w:rPr>
            <m:t>Ln</m:t>
          </m:r>
          <m:d>
            <m:dPr>
              <m:ctrlPr>
                <w:rPr>
                  <w:rFonts w:ascii="Cambria Math" w:hAnsi="Cambria Math"/>
                  <w:i/>
                  <w:iCs/>
                </w:rPr>
              </m:ctrlPr>
            </m:dPr>
            <m:e>
              <m:r>
                <w:rPr>
                  <w:rFonts w:ascii="Cambria Math" w:hAnsi="Cambria Math"/>
                </w:rPr>
                <m:t>employees 201</m:t>
              </m:r>
              <m:sSub>
                <m:sSubPr>
                  <m:ctrlPr>
                    <w:rPr>
                      <w:rFonts w:ascii="Cambria Math" w:hAnsi="Cambria Math"/>
                      <w:i/>
                      <w:iCs/>
                    </w:rPr>
                  </m:ctrlPr>
                </m:sSubPr>
                <m:e>
                  <m:r>
                    <w:rPr>
                      <w:rFonts w:ascii="Cambria Math" w:hAnsi="Cambria Math"/>
                    </w:rPr>
                    <m:t>9</m:t>
                  </m:r>
                </m:e>
                <m:sub>
                  <m:r>
                    <w:rPr>
                      <w:rFonts w:ascii="Cambria Math" w:hAnsi="Cambria Math"/>
                    </w:rPr>
                    <m:t>ij</m:t>
                  </m:r>
                </m:sub>
              </m:sSub>
            </m:e>
          </m:d>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3</m:t>
              </m:r>
            </m:sub>
          </m:sSub>
          <m:r>
            <w:rPr>
              <w:rFonts w:ascii="Cambria Math" w:hAnsi="Cambria Math"/>
            </w:rPr>
            <m:t>Ln</m:t>
          </m:r>
          <m:d>
            <m:dPr>
              <m:ctrlPr>
                <w:rPr>
                  <w:rFonts w:ascii="Cambria Math" w:hAnsi="Cambria Math"/>
                  <w:i/>
                  <w:iCs/>
                </w:rPr>
              </m:ctrlPr>
            </m:dPr>
            <m:e>
              <m:r>
                <w:rPr>
                  <w:rFonts w:ascii="Cambria Math" w:hAnsi="Cambria Math"/>
                </w:rPr>
                <m:t>grant</m:t>
              </m:r>
              <m:r>
                <m:rPr>
                  <m:sty m:val="p"/>
                </m:rPr>
                <w:rPr>
                  <w:rFonts w:ascii="Cambria Math" w:hAnsi="Cambria Math"/>
                </w:rPr>
                <m:t> </m:t>
              </m:r>
              <m:r>
                <w:rPr>
                  <w:rFonts w:ascii="Cambria Math" w:hAnsi="Cambria Math"/>
                </w:rPr>
                <m:t>tota</m:t>
              </m:r>
              <m:sSub>
                <m:sSubPr>
                  <m:ctrlPr>
                    <w:rPr>
                      <w:rFonts w:ascii="Cambria Math" w:hAnsi="Cambria Math"/>
                      <w:i/>
                      <w:iCs/>
                    </w:rPr>
                  </m:ctrlPr>
                </m:sSubPr>
                <m:e>
                  <m:r>
                    <w:rPr>
                      <w:rFonts w:ascii="Cambria Math" w:hAnsi="Cambria Math"/>
                    </w:rPr>
                    <m:t>l</m:t>
                  </m:r>
                </m:e>
                <m:sub>
                  <m:r>
                    <w:rPr>
                      <w:rFonts w:ascii="Cambria Math" w:hAnsi="Cambria Math"/>
                    </w:rPr>
                    <m:t>ij</m:t>
                  </m:r>
                </m:sub>
              </m:sSub>
            </m:e>
          </m:d>
          <m:r>
            <m:rPr>
              <m:sty m:val="p"/>
            </m:rPr>
            <w:rPr>
              <w:rFonts w:ascii="Cambria Math" w:hAnsi="Cambria Math"/>
            </w:rPr>
            <m:t>*</m:t>
          </m:r>
          <m:d>
            <m:dPr>
              <m:ctrlPr>
                <w:rPr>
                  <w:rFonts w:ascii="Cambria Math" w:hAnsi="Cambria Math"/>
                  <w:i/>
                  <w:iCs/>
                </w:rPr>
              </m:ctrlPr>
            </m:dPr>
            <m:e>
              <m:r>
                <w:rPr>
                  <w:rFonts w:ascii="Cambria Math" w:hAnsi="Cambria Math"/>
                </w:rPr>
                <m:t>employees 201</m:t>
              </m:r>
              <m:sSub>
                <m:sSubPr>
                  <m:ctrlPr>
                    <w:rPr>
                      <w:rFonts w:ascii="Cambria Math" w:hAnsi="Cambria Math"/>
                      <w:i/>
                      <w:iCs/>
                    </w:rPr>
                  </m:ctrlPr>
                </m:sSubPr>
                <m:e>
                  <m:r>
                    <w:rPr>
                      <w:rFonts w:ascii="Cambria Math" w:hAnsi="Cambria Math"/>
                    </w:rPr>
                    <m:t>9</m:t>
                  </m:r>
                </m:e>
                <m:sub>
                  <m:r>
                    <w:rPr>
                      <w:rFonts w:ascii="Cambria Math" w:hAnsi="Cambria Math"/>
                    </w:rPr>
                    <m:t>ij</m:t>
                  </m:r>
                </m:sub>
              </m:sSub>
            </m:e>
          </m:d>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4</m:t>
              </m:r>
            </m:sub>
          </m:sSub>
          <m:r>
            <w:rPr>
              <w:rFonts w:ascii="Cambria Math" w:hAnsi="Cambria Math"/>
            </w:rPr>
            <m:t>Ln</m:t>
          </m:r>
          <m:d>
            <m:dPr>
              <m:ctrlPr>
                <w:rPr>
                  <w:rFonts w:ascii="Cambria Math" w:hAnsi="Cambria Math"/>
                  <w:i/>
                  <w:iCs/>
                </w:rPr>
              </m:ctrlPr>
            </m:dPr>
            <m:e>
              <m:r>
                <w:rPr>
                  <w:rFonts w:ascii="Cambria Math" w:hAnsi="Cambria Math"/>
                </w:rPr>
                <m:t>grant</m:t>
              </m:r>
              <m:r>
                <m:rPr>
                  <m:sty m:val="p"/>
                </m:rPr>
                <w:rPr>
                  <w:rFonts w:ascii="Cambria Math" w:hAnsi="Cambria Math"/>
                </w:rPr>
                <m:t> </m:t>
              </m:r>
              <m:r>
                <w:rPr>
                  <w:rFonts w:ascii="Cambria Math" w:hAnsi="Cambria Math"/>
                </w:rPr>
                <m:t>tota</m:t>
              </m:r>
              <m:sSub>
                <m:sSubPr>
                  <m:ctrlPr>
                    <w:rPr>
                      <w:rFonts w:ascii="Cambria Math" w:hAnsi="Cambria Math"/>
                      <w:i/>
                      <w:iCs/>
                    </w:rPr>
                  </m:ctrlPr>
                </m:sSubPr>
                <m:e>
                  <m:r>
                    <w:rPr>
                      <w:rFonts w:ascii="Cambria Math" w:hAnsi="Cambria Math"/>
                    </w:rPr>
                    <m:t>l</m:t>
                  </m:r>
                </m:e>
                <m:sub>
                  <m:r>
                    <w:rPr>
                      <w:rFonts w:ascii="Cambria Math" w:hAnsi="Cambria Math"/>
                    </w:rPr>
                    <m:t>ij</m:t>
                  </m:r>
                </m:sub>
              </m:sSub>
            </m:e>
          </m:d>
          <m:r>
            <w:rPr>
              <w:rFonts w:ascii="Cambria Math" w:hAnsi="Cambria Math"/>
            </w:rPr>
            <m:t>*yea</m:t>
          </m:r>
          <m:sSub>
            <m:sSubPr>
              <m:ctrlPr>
                <w:rPr>
                  <w:rFonts w:ascii="Cambria Math" w:hAnsi="Cambria Math"/>
                  <w:i/>
                  <w:iCs/>
                </w:rPr>
              </m:ctrlPr>
            </m:sSubPr>
            <m:e>
              <m:r>
                <w:rPr>
                  <w:rFonts w:ascii="Cambria Math" w:hAnsi="Cambria Math"/>
                </w:rPr>
                <m:t>r</m:t>
              </m:r>
            </m:e>
            <m:sub>
              <m:r>
                <w:rPr>
                  <w:rFonts w:ascii="Cambria Math" w:hAnsi="Cambria Math"/>
                </w:rPr>
                <m:t>t</m:t>
              </m:r>
            </m:sub>
          </m:sSub>
          <m:r>
            <m:rPr>
              <m:sty m:val="p"/>
            </m:rP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5</m:t>
              </m:r>
            </m:sub>
          </m:sSub>
          <m:r>
            <w:rPr>
              <w:rFonts w:ascii="Cambria Math" w:hAnsi="Cambria Math"/>
            </w:rPr>
            <m:t>Ln</m:t>
          </m:r>
          <m:d>
            <m:dPr>
              <m:ctrlPr>
                <w:rPr>
                  <w:rFonts w:ascii="Cambria Math" w:hAnsi="Cambria Math"/>
                  <w:i/>
                  <w:iCs/>
                </w:rPr>
              </m:ctrlPr>
            </m:dPr>
            <m:e>
              <m:r>
                <w:rPr>
                  <w:rFonts w:ascii="Cambria Math" w:hAnsi="Cambria Math"/>
                </w:rPr>
                <m:t>employees 201</m:t>
              </m:r>
              <m:sSub>
                <m:sSubPr>
                  <m:ctrlPr>
                    <w:rPr>
                      <w:rFonts w:ascii="Cambria Math" w:hAnsi="Cambria Math"/>
                      <w:i/>
                      <w:iCs/>
                    </w:rPr>
                  </m:ctrlPr>
                </m:sSubPr>
                <m:e>
                  <m:r>
                    <w:rPr>
                      <w:rFonts w:ascii="Cambria Math" w:hAnsi="Cambria Math"/>
                    </w:rPr>
                    <m:t>9</m:t>
                  </m:r>
                </m:e>
                <m:sub>
                  <m:r>
                    <w:rPr>
                      <w:rFonts w:ascii="Cambria Math" w:hAnsi="Cambria Math"/>
                    </w:rPr>
                    <m:t>ij</m:t>
                  </m:r>
                </m:sub>
              </m:sSub>
            </m:e>
          </m:d>
          <m:r>
            <w:rPr>
              <w:rFonts w:ascii="Cambria Math" w:hAnsi="Cambria Math"/>
            </w:rPr>
            <m:t>*yea</m:t>
          </m:r>
          <m:sSub>
            <m:sSubPr>
              <m:ctrlPr>
                <w:rPr>
                  <w:rFonts w:ascii="Cambria Math" w:hAnsi="Cambria Math"/>
                  <w:i/>
                  <w:iCs/>
                </w:rPr>
              </m:ctrlPr>
            </m:sSubPr>
            <m:e>
              <m:r>
                <w:rPr>
                  <w:rFonts w:ascii="Cambria Math" w:hAnsi="Cambria Math"/>
                </w:rPr>
                <m:t>r</m:t>
              </m:r>
            </m:e>
            <m:sub>
              <m:r>
                <w:rPr>
                  <w:rFonts w:ascii="Cambria Math" w:hAnsi="Cambria Math"/>
                </w:rPr>
                <m:t>t</m:t>
              </m:r>
            </m:sub>
          </m:sSub>
          <m:r>
            <m:rPr>
              <m:sty m:val="p"/>
            </m:rPr>
            <w:rPr>
              <w:rFonts w:ascii="Cambria Math" w:hAnsi="Cambria Math"/>
            </w:rPr>
            <m:t>+</m:t>
          </m:r>
          <m:sSub>
            <m:sSubPr>
              <m:ctrlPr>
                <w:rPr>
                  <w:rFonts w:ascii="Cambria Math" w:hAnsi="Cambria Math"/>
                  <w:i/>
                  <w:iCs/>
                </w:rPr>
              </m:ctrlPr>
            </m:sSubPr>
            <m:e>
              <m:r>
                <w:rPr>
                  <w:rFonts w:ascii="Cambria Math" w:hAnsi="Cambria Math"/>
                </w:rPr>
                <m:t>β</m:t>
              </m:r>
            </m:e>
            <m:sub>
              <m:r>
                <m:rPr>
                  <m:sty m:val="p"/>
                </m:rPr>
                <w:rPr>
                  <w:rFonts w:ascii="Cambria Math" w:hAnsi="Cambria Math"/>
                </w:rPr>
                <m:t>6</m:t>
              </m:r>
            </m:sub>
          </m:sSub>
          <m:r>
            <w:rPr>
              <w:rFonts w:ascii="Cambria Math" w:hAnsi="Cambria Math"/>
            </w:rPr>
            <m:t>Ln</m:t>
          </m:r>
          <m:d>
            <m:dPr>
              <m:ctrlPr>
                <w:rPr>
                  <w:rFonts w:ascii="Cambria Math" w:hAnsi="Cambria Math"/>
                  <w:i/>
                  <w:iCs/>
                </w:rPr>
              </m:ctrlPr>
            </m:dPr>
            <m:e>
              <m:r>
                <w:rPr>
                  <w:rFonts w:ascii="Cambria Math" w:hAnsi="Cambria Math"/>
                </w:rPr>
                <m:t>grant</m:t>
              </m:r>
              <m:r>
                <m:rPr>
                  <m:sty m:val="p"/>
                </m:rPr>
                <w:rPr>
                  <w:rFonts w:ascii="Cambria Math" w:hAnsi="Cambria Math"/>
                </w:rPr>
                <m:t> </m:t>
              </m:r>
              <m:r>
                <w:rPr>
                  <w:rFonts w:ascii="Cambria Math" w:hAnsi="Cambria Math"/>
                </w:rPr>
                <m:t>tota</m:t>
              </m:r>
              <m:sSub>
                <m:sSubPr>
                  <m:ctrlPr>
                    <w:rPr>
                      <w:rFonts w:ascii="Cambria Math" w:hAnsi="Cambria Math"/>
                      <w:i/>
                      <w:iCs/>
                    </w:rPr>
                  </m:ctrlPr>
                </m:sSubPr>
                <m:e>
                  <m:r>
                    <w:rPr>
                      <w:rFonts w:ascii="Cambria Math" w:hAnsi="Cambria Math"/>
                    </w:rPr>
                    <m:t>l</m:t>
                  </m:r>
                </m:e>
                <m:sub>
                  <m:r>
                    <w:rPr>
                      <w:rFonts w:ascii="Cambria Math" w:hAnsi="Cambria Math"/>
                    </w:rPr>
                    <m:t>ij</m:t>
                  </m:r>
                </m:sub>
              </m:sSub>
            </m:e>
          </m:d>
          <m:r>
            <m:rPr>
              <m:sty m:val="p"/>
            </m:rPr>
            <w:rPr>
              <w:rFonts w:ascii="Cambria Math" w:hAnsi="Cambria Math"/>
            </w:rPr>
            <m:t>*</m:t>
          </m:r>
          <m:d>
            <m:dPr>
              <m:ctrlPr>
                <w:rPr>
                  <w:rFonts w:ascii="Cambria Math" w:hAnsi="Cambria Math"/>
                  <w:i/>
                  <w:iCs/>
                </w:rPr>
              </m:ctrlPr>
            </m:dPr>
            <m:e>
              <m:r>
                <w:rPr>
                  <w:rFonts w:ascii="Cambria Math" w:hAnsi="Cambria Math"/>
                </w:rPr>
                <m:t>employees 201</m:t>
              </m:r>
              <m:sSub>
                <m:sSubPr>
                  <m:ctrlPr>
                    <w:rPr>
                      <w:rFonts w:ascii="Cambria Math" w:hAnsi="Cambria Math"/>
                      <w:i/>
                      <w:iCs/>
                    </w:rPr>
                  </m:ctrlPr>
                </m:sSubPr>
                <m:e>
                  <m:r>
                    <w:rPr>
                      <w:rFonts w:ascii="Cambria Math" w:hAnsi="Cambria Math"/>
                    </w:rPr>
                    <m:t>9</m:t>
                  </m:r>
                </m:e>
                <m:sub>
                  <m:r>
                    <w:rPr>
                      <w:rFonts w:ascii="Cambria Math" w:hAnsi="Cambria Math"/>
                    </w:rPr>
                    <m:t>ij</m:t>
                  </m:r>
                </m:sub>
              </m:sSub>
            </m:e>
          </m:d>
          <m:r>
            <w:rPr>
              <w:rFonts w:ascii="Cambria Math" w:hAnsi="Cambria Math"/>
            </w:rPr>
            <m:t>*yea</m:t>
          </m:r>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7</m:t>
              </m:r>
            </m:sub>
          </m:sSub>
          <m:r>
            <w:rPr>
              <w:rFonts w:ascii="Cambria Math" w:eastAsiaTheme="minorEastAsia" w:hAnsi="Cambria Math"/>
            </w:rPr>
            <m:t>yea</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8</m:t>
              </m:r>
            </m:sub>
          </m:sSub>
          <m:r>
            <w:rPr>
              <w:rFonts w:ascii="Cambria Math" w:eastAsiaTheme="minorEastAsia" w:hAnsi="Cambria Math"/>
            </w:rPr>
            <m:t>Metr</m:t>
          </m:r>
          <m:sSub>
            <m:sSubPr>
              <m:ctrlPr>
                <w:rPr>
                  <w:rFonts w:ascii="Cambria Math" w:hAnsi="Cambria Math"/>
                  <w:i/>
                  <w:color w:val="000000" w:themeColor="text1"/>
                  <w:kern w:val="24"/>
                </w:rPr>
              </m:ctrlPr>
            </m:sSubPr>
            <m:e>
              <m:r>
                <w:rPr>
                  <w:rFonts w:ascii="Cambria Math" w:eastAsiaTheme="minorEastAsia" w:hAnsi="Cambria Math"/>
                </w:rPr>
                <m:t>o</m:t>
              </m:r>
              <m:ctrlPr>
                <w:rPr>
                  <w:rFonts w:ascii="Cambria Math" w:eastAsiaTheme="minorEastAsia" w:hAnsi="Cambria Math"/>
                  <w:i/>
                  <w:iCs/>
                </w:rPr>
              </m:ctrlPr>
            </m:e>
            <m:sub>
              <m:r>
                <w:rPr>
                  <w:rFonts w:ascii="Cambria Math" w:hAnsi="Cambria Math"/>
                  <w:color w:val="000000" w:themeColor="text1"/>
                  <w:kern w:val="24"/>
                </w:rPr>
                <m:t>j</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9</m:t>
              </m:r>
            </m:sub>
          </m:sSub>
          <m:r>
            <w:rPr>
              <w:rFonts w:ascii="Cambria Math" w:eastAsiaTheme="minorEastAsia" w:hAnsi="Cambria Math"/>
            </w:rPr>
            <m:t xml:space="preserve">ANZSIC </m:t>
          </m:r>
          <m:sSub>
            <m:sSubPr>
              <m:ctrlPr>
                <w:rPr>
                  <w:rFonts w:ascii="Cambria Math" w:eastAsiaTheme="minorEastAsia" w:hAnsi="Cambria Math"/>
                  <w:i/>
                  <w:iCs/>
                </w:rPr>
              </m:ctrlPr>
            </m:sSubPr>
            <m:e>
              <m:r>
                <w:rPr>
                  <w:rFonts w:ascii="Cambria Math" w:eastAsiaTheme="minorEastAsia" w:hAnsi="Cambria Math"/>
                </w:rPr>
                <m:t>1</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9</m:t>
              </m:r>
            </m:sub>
          </m:sSub>
          <m:r>
            <w:rPr>
              <w:rFonts w:ascii="Cambria Math" w:eastAsiaTheme="minorEastAsia" w:hAnsi="Cambria Math"/>
            </w:rPr>
            <m:t>State (18)</m:t>
          </m:r>
        </m:oMath>
      </m:oMathPara>
    </w:p>
    <w:p w14:paraId="2BF1AAFD" w14:textId="169969F4" w:rsidR="00482049" w:rsidRDefault="00482049" w:rsidP="00021EF3">
      <w:pPr>
        <w:pStyle w:val="AppendixTableCaption"/>
        <w:rPr>
          <w:rFonts w:eastAsiaTheme="minorEastAsia"/>
        </w:rPr>
      </w:pPr>
      <w:bookmarkStart w:id="508" w:name="_Ref173839433"/>
      <w:r>
        <w:rPr>
          <w:rFonts w:eastAsiaTheme="minorEastAsia"/>
        </w:rPr>
        <w:t>:</w:t>
      </w:r>
      <w:bookmarkEnd w:id="508"/>
      <w:r>
        <w:rPr>
          <w:rFonts w:eastAsiaTheme="minorEastAsia"/>
        </w:rPr>
        <w:t xml:space="preserve"> </w:t>
      </w:r>
      <w:r w:rsidR="00A2784B">
        <w:rPr>
          <w:rFonts w:eastAsiaTheme="minorEastAsia"/>
        </w:rPr>
        <w:t>Results of key variables in specification 18</w:t>
      </w:r>
      <w:r w:rsidR="00792D18">
        <w:rPr>
          <w:rFonts w:eastAsiaTheme="minorEastAsia"/>
        </w:rPr>
        <w:t>.</w:t>
      </w:r>
      <w:r w:rsidR="00A2784B">
        <w:rPr>
          <w:rFonts w:eastAsiaTheme="minorEastAsia"/>
        </w:rPr>
        <w:t xml:space="preserve"> </w:t>
      </w:r>
    </w:p>
    <w:tbl>
      <w:tblPr>
        <w:tblStyle w:val="Deloittetable"/>
        <w:tblW w:w="9486" w:type="dxa"/>
        <w:tblLook w:val="04A0" w:firstRow="1" w:lastRow="0" w:firstColumn="1" w:lastColumn="0" w:noHBand="0" w:noVBand="1"/>
      </w:tblPr>
      <w:tblGrid>
        <w:gridCol w:w="4395"/>
        <w:gridCol w:w="5091"/>
      </w:tblGrid>
      <w:tr w:rsidR="00152269" w14:paraId="2C4EFF41" w14:textId="77777777" w:rsidTr="00893EB3">
        <w:trPr>
          <w:cnfStyle w:val="100000000000" w:firstRow="1" w:lastRow="0" w:firstColumn="0" w:lastColumn="0" w:oddVBand="0" w:evenVBand="0" w:oddHBand="0" w:evenHBand="0" w:firstRowFirstColumn="0" w:firstRowLastColumn="0" w:lastRowFirstColumn="0" w:lastRowLastColumn="0"/>
          <w:trHeight w:val="354"/>
          <w:tblHeader/>
        </w:trPr>
        <w:tc>
          <w:tcPr>
            <w:tcW w:w="4395" w:type="dxa"/>
          </w:tcPr>
          <w:p w14:paraId="283981CB" w14:textId="77777777" w:rsidR="00152269" w:rsidRPr="00893EB3" w:rsidRDefault="00152269" w:rsidP="00021EF3">
            <w:pPr>
              <w:spacing w:after="0"/>
              <w:rPr>
                <w:rFonts w:cs="Arial"/>
                <w:b/>
                <w:szCs w:val="17"/>
              </w:rPr>
            </w:pPr>
            <w:r w:rsidRPr="00893EB3">
              <w:rPr>
                <w:rFonts w:cs="Arial"/>
                <w:b/>
              </w:rPr>
              <w:t>Variable</w:t>
            </w:r>
          </w:p>
        </w:tc>
        <w:tc>
          <w:tcPr>
            <w:tcW w:w="5091" w:type="dxa"/>
          </w:tcPr>
          <w:p w14:paraId="4135140D" w14:textId="2305F927" w:rsidR="00152269" w:rsidRPr="00893EB3" w:rsidRDefault="00152269" w:rsidP="00021EF3">
            <w:pPr>
              <w:spacing w:after="0"/>
              <w:rPr>
                <w:rFonts w:cs="Arial"/>
                <w:b/>
                <w:szCs w:val="17"/>
              </w:rPr>
            </w:pPr>
            <w:r w:rsidRPr="00893EB3">
              <w:rPr>
                <w:rFonts w:cs="Arial"/>
                <w:b/>
              </w:rPr>
              <w:t>(18)</w:t>
            </w:r>
            <w:r w:rsidR="00370C91">
              <w:rPr>
                <w:rFonts w:cs="Arial"/>
                <w:b/>
              </w:rPr>
              <w:t xml:space="preserve"> </w:t>
            </w:r>
            <w:r w:rsidR="00370C91">
              <w:rPr>
                <w:rFonts w:cs="Arial"/>
                <w:b/>
                <w:szCs w:val="17"/>
              </w:rPr>
              <w:t>(marginal effects)</w:t>
            </w:r>
          </w:p>
        </w:tc>
      </w:tr>
      <w:tr w:rsidR="00152269" w:rsidRPr="002F50BA" w14:paraId="657CAFB9" w14:textId="77777777" w:rsidTr="00893EB3">
        <w:trPr>
          <w:trHeight w:val="354"/>
        </w:trPr>
        <w:tc>
          <w:tcPr>
            <w:tcW w:w="4395" w:type="dxa"/>
          </w:tcPr>
          <w:p w14:paraId="6DA333DB" w14:textId="77777777" w:rsidR="00152269" w:rsidRPr="00893EB3" w:rsidRDefault="00152269" w:rsidP="00021EF3">
            <w:pPr>
              <w:spacing w:after="0"/>
              <w:rPr>
                <w:rFonts w:cs="Arial"/>
                <w:szCs w:val="17"/>
              </w:rPr>
            </w:pPr>
            <w:r w:rsidRPr="000D6E1B">
              <w:rPr>
                <w:rFonts w:cs="Arial"/>
                <w:szCs w:val="17"/>
              </w:rPr>
              <w:t>Intercept</w:t>
            </w:r>
          </w:p>
        </w:tc>
        <w:tc>
          <w:tcPr>
            <w:tcW w:w="5091" w:type="dxa"/>
          </w:tcPr>
          <w:p w14:paraId="29095132" w14:textId="77777777" w:rsidR="00152269" w:rsidRPr="00893EB3" w:rsidRDefault="00152269" w:rsidP="00021EF3">
            <w:pPr>
              <w:spacing w:after="0"/>
              <w:rPr>
                <w:rFonts w:cs="Arial"/>
                <w:color w:val="000000"/>
                <w:szCs w:val="17"/>
              </w:rPr>
            </w:pPr>
            <w:r w:rsidRPr="000D6E1B">
              <w:rPr>
                <w:szCs w:val="17"/>
              </w:rPr>
              <w:t>4.861e+00***</w:t>
            </w:r>
          </w:p>
        </w:tc>
      </w:tr>
      <w:tr w:rsidR="00152269" w:rsidRPr="002F50BA" w14:paraId="0EAFE31D" w14:textId="77777777" w:rsidTr="00893EB3">
        <w:trPr>
          <w:trHeight w:val="354"/>
        </w:trPr>
        <w:tc>
          <w:tcPr>
            <w:tcW w:w="4395" w:type="dxa"/>
          </w:tcPr>
          <w:p w14:paraId="7B6E2DC3" w14:textId="77777777" w:rsidR="00152269" w:rsidRPr="00893EB3" w:rsidRDefault="00152269" w:rsidP="00021EF3">
            <w:pPr>
              <w:spacing w:after="0"/>
              <w:rPr>
                <w:rFonts w:cs="Arial"/>
                <w:szCs w:val="17"/>
              </w:rPr>
            </w:pPr>
            <w:r w:rsidRPr="000D6E1B">
              <w:rPr>
                <w:rFonts w:cs="Arial"/>
                <w:szCs w:val="17"/>
              </w:rPr>
              <w:t>Year 2021</w:t>
            </w:r>
          </w:p>
        </w:tc>
        <w:tc>
          <w:tcPr>
            <w:tcW w:w="5091" w:type="dxa"/>
          </w:tcPr>
          <w:p w14:paraId="4CDE7EB6" w14:textId="77777777" w:rsidR="00152269" w:rsidRPr="00893EB3" w:rsidRDefault="00152269" w:rsidP="00021EF3">
            <w:pPr>
              <w:spacing w:after="0"/>
              <w:rPr>
                <w:rFonts w:cs="Arial"/>
                <w:color w:val="000000"/>
                <w:szCs w:val="17"/>
              </w:rPr>
            </w:pPr>
            <w:r w:rsidRPr="000D6E1B">
              <w:rPr>
                <w:rFonts w:cs="Arial"/>
                <w:color w:val="000000"/>
                <w:szCs w:val="17"/>
              </w:rPr>
              <w:t>8.451e-01***</w:t>
            </w:r>
          </w:p>
        </w:tc>
      </w:tr>
      <w:tr w:rsidR="00152269" w:rsidRPr="002F50BA" w14:paraId="12DF39AF" w14:textId="77777777" w:rsidTr="00893EB3">
        <w:trPr>
          <w:trHeight w:val="354"/>
        </w:trPr>
        <w:tc>
          <w:tcPr>
            <w:tcW w:w="4395" w:type="dxa"/>
          </w:tcPr>
          <w:p w14:paraId="0CA87E98" w14:textId="77777777" w:rsidR="00152269" w:rsidRPr="00893EB3" w:rsidRDefault="00152269" w:rsidP="00021EF3">
            <w:pPr>
              <w:spacing w:after="0"/>
              <w:rPr>
                <w:rFonts w:cs="Arial"/>
                <w:szCs w:val="17"/>
              </w:rPr>
            </w:pPr>
            <w:r w:rsidRPr="000D6E1B">
              <w:rPr>
                <w:rFonts w:cs="Arial"/>
                <w:szCs w:val="17"/>
              </w:rPr>
              <w:t>Grant total</w:t>
            </w:r>
          </w:p>
        </w:tc>
        <w:tc>
          <w:tcPr>
            <w:tcW w:w="5091" w:type="dxa"/>
          </w:tcPr>
          <w:p w14:paraId="370D4365" w14:textId="77777777" w:rsidR="00152269" w:rsidRPr="00893EB3" w:rsidRDefault="00152269" w:rsidP="00021EF3">
            <w:pPr>
              <w:spacing w:after="0"/>
              <w:rPr>
                <w:rFonts w:cs="Arial"/>
                <w:color w:val="000000"/>
                <w:szCs w:val="17"/>
              </w:rPr>
            </w:pPr>
            <w:r w:rsidRPr="000D6E1B">
              <w:rPr>
                <w:rFonts w:cs="Arial"/>
                <w:color w:val="000000"/>
                <w:szCs w:val="17"/>
              </w:rPr>
              <w:t>1.586e-09</w:t>
            </w:r>
          </w:p>
        </w:tc>
      </w:tr>
      <w:tr w:rsidR="00152269" w:rsidRPr="002F50BA" w14:paraId="750C074D" w14:textId="77777777" w:rsidTr="00893EB3">
        <w:trPr>
          <w:trHeight w:val="354"/>
        </w:trPr>
        <w:tc>
          <w:tcPr>
            <w:tcW w:w="4395" w:type="dxa"/>
          </w:tcPr>
          <w:p w14:paraId="18B4A6B3" w14:textId="77777777" w:rsidR="00152269" w:rsidRPr="00893EB3" w:rsidRDefault="00152269" w:rsidP="00021EF3">
            <w:pPr>
              <w:spacing w:after="0"/>
              <w:rPr>
                <w:rFonts w:cs="Arial"/>
                <w:szCs w:val="17"/>
              </w:rPr>
            </w:pPr>
            <w:r w:rsidRPr="000D6E1B">
              <w:rPr>
                <w:rFonts w:cs="Arial"/>
                <w:szCs w:val="17"/>
              </w:rPr>
              <w:t>Employees 2019</w:t>
            </w:r>
          </w:p>
        </w:tc>
        <w:tc>
          <w:tcPr>
            <w:tcW w:w="5091" w:type="dxa"/>
          </w:tcPr>
          <w:p w14:paraId="656BD660" w14:textId="77777777" w:rsidR="00152269" w:rsidRPr="00893EB3" w:rsidRDefault="00152269" w:rsidP="00021EF3">
            <w:pPr>
              <w:spacing w:after="0"/>
              <w:rPr>
                <w:rFonts w:cs="Arial"/>
                <w:color w:val="000000"/>
                <w:szCs w:val="17"/>
              </w:rPr>
            </w:pPr>
            <w:r w:rsidRPr="000D6E1B">
              <w:rPr>
                <w:rFonts w:cs="Arial"/>
                <w:color w:val="000000"/>
                <w:szCs w:val="17"/>
              </w:rPr>
              <w:t>8.028e-01***</w:t>
            </w:r>
          </w:p>
        </w:tc>
      </w:tr>
      <w:tr w:rsidR="00152269" w:rsidRPr="00AA7A6D" w14:paraId="5E377AFB" w14:textId="77777777" w:rsidTr="00893EB3">
        <w:trPr>
          <w:trHeight w:val="354"/>
        </w:trPr>
        <w:tc>
          <w:tcPr>
            <w:tcW w:w="4395" w:type="dxa"/>
          </w:tcPr>
          <w:p w14:paraId="6980FA6C" w14:textId="77777777" w:rsidR="00152269" w:rsidRPr="00893EB3" w:rsidRDefault="00152269" w:rsidP="00021EF3">
            <w:pPr>
              <w:spacing w:after="0"/>
              <w:rPr>
                <w:rFonts w:cs="Arial"/>
                <w:szCs w:val="17"/>
              </w:rPr>
            </w:pPr>
            <w:r w:rsidRPr="000D6E1B">
              <w:rPr>
                <w:rFonts w:cs="Arial"/>
                <w:szCs w:val="17"/>
              </w:rPr>
              <w:t>Grant total* Employees 2019</w:t>
            </w:r>
          </w:p>
        </w:tc>
        <w:tc>
          <w:tcPr>
            <w:tcW w:w="5091" w:type="dxa"/>
          </w:tcPr>
          <w:p w14:paraId="1413FF57" w14:textId="77777777" w:rsidR="00152269" w:rsidRPr="00893EB3" w:rsidRDefault="00152269" w:rsidP="00021EF3">
            <w:pPr>
              <w:spacing w:after="0"/>
              <w:rPr>
                <w:rFonts w:cs="Arial"/>
                <w:color w:val="000000"/>
                <w:szCs w:val="17"/>
              </w:rPr>
            </w:pPr>
            <w:r w:rsidRPr="000D6E1B">
              <w:rPr>
                <w:rFonts w:cs="Arial"/>
                <w:color w:val="000000"/>
                <w:szCs w:val="17"/>
              </w:rPr>
              <w:t>-1.221e-10</w:t>
            </w:r>
          </w:p>
        </w:tc>
      </w:tr>
      <w:tr w:rsidR="00152269" w:rsidRPr="002F50BA" w14:paraId="3DA5FCCE" w14:textId="77777777" w:rsidTr="00893EB3">
        <w:trPr>
          <w:trHeight w:val="354"/>
        </w:trPr>
        <w:tc>
          <w:tcPr>
            <w:tcW w:w="4395" w:type="dxa"/>
          </w:tcPr>
          <w:p w14:paraId="1175C8E0" w14:textId="77777777" w:rsidR="00152269" w:rsidRPr="00893EB3" w:rsidRDefault="00152269" w:rsidP="00021EF3">
            <w:pPr>
              <w:spacing w:after="0"/>
              <w:rPr>
                <w:rFonts w:cs="Arial"/>
                <w:szCs w:val="17"/>
              </w:rPr>
            </w:pPr>
            <w:r w:rsidRPr="000D6E1B">
              <w:rPr>
                <w:rFonts w:cs="Arial"/>
                <w:szCs w:val="17"/>
              </w:rPr>
              <w:t>2021* Grant total</w:t>
            </w:r>
          </w:p>
        </w:tc>
        <w:tc>
          <w:tcPr>
            <w:tcW w:w="5091" w:type="dxa"/>
          </w:tcPr>
          <w:p w14:paraId="6EA7FD1C" w14:textId="77777777" w:rsidR="00152269" w:rsidRPr="00893EB3" w:rsidRDefault="00152269" w:rsidP="00021EF3">
            <w:pPr>
              <w:spacing w:after="0"/>
              <w:rPr>
                <w:rFonts w:cs="Arial"/>
                <w:color w:val="000000"/>
                <w:szCs w:val="17"/>
              </w:rPr>
            </w:pPr>
            <w:r w:rsidRPr="000D6E1B">
              <w:rPr>
                <w:rFonts w:cs="Arial"/>
                <w:color w:val="000000"/>
                <w:szCs w:val="17"/>
              </w:rPr>
              <w:t>-3.265e-08**</w:t>
            </w:r>
          </w:p>
        </w:tc>
      </w:tr>
      <w:tr w:rsidR="00152269" w:rsidRPr="002F50BA" w14:paraId="0C955BA4" w14:textId="77777777" w:rsidTr="00893EB3">
        <w:trPr>
          <w:trHeight w:val="354"/>
        </w:trPr>
        <w:tc>
          <w:tcPr>
            <w:tcW w:w="4395" w:type="dxa"/>
          </w:tcPr>
          <w:p w14:paraId="23E03864" w14:textId="77777777" w:rsidR="00152269" w:rsidRPr="00893EB3" w:rsidRDefault="00152269" w:rsidP="00021EF3">
            <w:pPr>
              <w:spacing w:after="0"/>
              <w:rPr>
                <w:rFonts w:cs="Arial"/>
                <w:szCs w:val="17"/>
              </w:rPr>
            </w:pPr>
            <w:r w:rsidRPr="000D6E1B">
              <w:rPr>
                <w:rFonts w:cs="Arial"/>
                <w:szCs w:val="17"/>
              </w:rPr>
              <w:lastRenderedPageBreak/>
              <w:t>2021* Employees 2019</w:t>
            </w:r>
          </w:p>
        </w:tc>
        <w:tc>
          <w:tcPr>
            <w:tcW w:w="5091" w:type="dxa"/>
          </w:tcPr>
          <w:p w14:paraId="6BE007BA" w14:textId="77777777" w:rsidR="00152269" w:rsidRPr="00893EB3" w:rsidRDefault="00152269" w:rsidP="00021EF3">
            <w:pPr>
              <w:spacing w:after="0"/>
              <w:rPr>
                <w:rFonts w:cs="Arial"/>
                <w:color w:val="000000"/>
                <w:szCs w:val="17"/>
              </w:rPr>
            </w:pPr>
            <w:r w:rsidRPr="000D6E1B">
              <w:rPr>
                <w:rFonts w:cs="Arial"/>
                <w:color w:val="000000"/>
                <w:szCs w:val="17"/>
              </w:rPr>
              <w:t>-1.027e-01***</w:t>
            </w:r>
          </w:p>
        </w:tc>
      </w:tr>
      <w:tr w:rsidR="00152269" w:rsidRPr="002F50BA" w14:paraId="6DC42266" w14:textId="77777777" w:rsidTr="00893EB3">
        <w:trPr>
          <w:trHeight w:val="354"/>
        </w:trPr>
        <w:tc>
          <w:tcPr>
            <w:tcW w:w="4395" w:type="dxa"/>
          </w:tcPr>
          <w:p w14:paraId="58E959CD" w14:textId="77777777" w:rsidR="00152269" w:rsidRPr="00893EB3" w:rsidRDefault="00152269" w:rsidP="00021EF3">
            <w:pPr>
              <w:spacing w:after="0"/>
              <w:rPr>
                <w:rFonts w:cs="Arial"/>
                <w:szCs w:val="17"/>
              </w:rPr>
            </w:pPr>
            <w:r w:rsidRPr="000D6E1B">
              <w:rPr>
                <w:rFonts w:cs="Arial"/>
                <w:szCs w:val="17"/>
              </w:rPr>
              <w:t>2021* Grant total* Employees 2019</w:t>
            </w:r>
          </w:p>
        </w:tc>
        <w:tc>
          <w:tcPr>
            <w:tcW w:w="5091" w:type="dxa"/>
          </w:tcPr>
          <w:p w14:paraId="0B26E24C" w14:textId="77777777" w:rsidR="00152269" w:rsidRPr="00893EB3" w:rsidRDefault="00152269" w:rsidP="00021EF3">
            <w:pPr>
              <w:spacing w:after="0"/>
              <w:rPr>
                <w:rFonts w:cs="Arial"/>
                <w:color w:val="000000"/>
                <w:szCs w:val="17"/>
              </w:rPr>
            </w:pPr>
            <w:r w:rsidRPr="000D6E1B">
              <w:rPr>
                <w:rFonts w:cs="Arial"/>
                <w:color w:val="000000"/>
                <w:szCs w:val="17"/>
              </w:rPr>
              <w:t>3.178e-09***</w:t>
            </w:r>
          </w:p>
        </w:tc>
      </w:tr>
    </w:tbl>
    <w:p w14:paraId="18688404" w14:textId="24DCF226" w:rsidR="00152269" w:rsidRDefault="00704E6A" w:rsidP="00021EF3">
      <w:pPr>
        <w:pStyle w:val="Source"/>
        <w:rPr>
          <w:sz w:val="16"/>
          <w:szCs w:val="16"/>
        </w:rPr>
      </w:pPr>
      <w:r>
        <w:t>Source: Deloitte Access Economics.</w:t>
      </w:r>
      <w:r>
        <w:br/>
      </w:r>
      <w:r w:rsidR="00152269" w:rsidRPr="00AA7A6D">
        <w:t>* = p-value &lt;0.1, ** = p-value &lt;0.05, *** = p-value &lt;0.01</w:t>
      </w:r>
    </w:p>
    <w:p w14:paraId="7C9D42B9" w14:textId="48C44625" w:rsidR="00152269" w:rsidRDefault="00152269" w:rsidP="00021EF3">
      <w:pPr>
        <w:rPr>
          <w:rFonts w:cs="Arial"/>
        </w:rPr>
      </w:pPr>
      <w:r>
        <w:rPr>
          <w:rFonts w:eastAsiaTheme="minorEastAsia"/>
          <w:iCs/>
        </w:rPr>
        <w:t>This specification again fail</w:t>
      </w:r>
      <w:r w:rsidR="00793A6E">
        <w:rPr>
          <w:rFonts w:eastAsiaTheme="minorEastAsia"/>
          <w:iCs/>
        </w:rPr>
        <w:t>ed</w:t>
      </w:r>
      <w:r>
        <w:rPr>
          <w:rFonts w:eastAsiaTheme="minorEastAsia"/>
          <w:iCs/>
        </w:rPr>
        <w:t xml:space="preserve"> to provide any evidence that the grants program had a positive impact on employment, with the key variable being </w:t>
      </w:r>
      <w:r w:rsidRPr="00DA2F1B">
        <w:rPr>
          <w:rFonts w:cs="Arial"/>
          <w:i/>
          <w:iCs/>
        </w:rPr>
        <w:t>2021* Grant total</w:t>
      </w:r>
      <w:r>
        <w:rPr>
          <w:rFonts w:cs="Arial"/>
          <w:i/>
          <w:iCs/>
        </w:rPr>
        <w:t xml:space="preserve"> </w:t>
      </w:r>
      <w:r>
        <w:rPr>
          <w:rFonts w:cs="Arial"/>
        </w:rPr>
        <w:t>indicating a negative significant relationship between grant amount and hours worked</w:t>
      </w:r>
      <w:r w:rsidR="00F1661C">
        <w:rPr>
          <w:rFonts w:cs="Arial"/>
        </w:rPr>
        <w:t>, a</w:t>
      </w:r>
      <w:r>
        <w:rPr>
          <w:rFonts w:cs="Arial"/>
        </w:rPr>
        <w:t xml:space="preserve">lthough the magnitude of this estimated relationship </w:t>
      </w:r>
      <w:r w:rsidR="00793A6E">
        <w:rPr>
          <w:rFonts w:cs="Arial"/>
        </w:rPr>
        <w:t xml:space="preserve">was </w:t>
      </w:r>
      <w:r>
        <w:rPr>
          <w:rFonts w:cs="Arial"/>
        </w:rPr>
        <w:t>very low.</w:t>
      </w:r>
    </w:p>
    <w:p w14:paraId="3815B908" w14:textId="328E8505" w:rsidR="00152269" w:rsidRDefault="00152269" w:rsidP="00021EF3">
      <w:pPr>
        <w:rPr>
          <w:rFonts w:cs="Arial"/>
        </w:rPr>
      </w:pPr>
      <w:r>
        <w:rPr>
          <w:rFonts w:cs="Arial"/>
        </w:rPr>
        <w:t xml:space="preserve">This does not necessarily support the idea that the grants had a negative impact on employment. The evaluation analysis was limited in the </w:t>
      </w:r>
      <w:r w:rsidR="003505D7">
        <w:rPr>
          <w:rFonts w:cs="Arial"/>
        </w:rPr>
        <w:t xml:space="preserve">employment </w:t>
      </w:r>
      <w:r>
        <w:rPr>
          <w:rFonts w:cs="Arial"/>
        </w:rPr>
        <w:t>data it was able to access. It is likely that this analysis suffer</w:t>
      </w:r>
      <w:r w:rsidR="003505D7">
        <w:rPr>
          <w:rFonts w:cs="Arial"/>
        </w:rPr>
        <w:t>ed</w:t>
      </w:r>
      <w:r>
        <w:rPr>
          <w:rFonts w:cs="Arial"/>
        </w:rPr>
        <w:t xml:space="preserve"> from omitted variable bias. Industries were impacted heterogeneously by the COVID-19 pandemic and associated public health restrictions</w:t>
      </w:r>
      <w:r w:rsidR="00131B38">
        <w:rPr>
          <w:rFonts w:cs="Arial"/>
        </w:rPr>
        <w:t>. T</w:t>
      </w:r>
      <w:r>
        <w:rPr>
          <w:rFonts w:cs="Arial"/>
        </w:rPr>
        <w:t>hese industries would then have actual hours worked numbers fall. By design</w:t>
      </w:r>
      <w:r w:rsidR="002370AD">
        <w:rPr>
          <w:rFonts w:cs="Arial"/>
        </w:rPr>
        <w:t>,</w:t>
      </w:r>
      <w:r>
        <w:rPr>
          <w:rFonts w:cs="Arial"/>
        </w:rPr>
        <w:t xml:space="preserve"> the BCAP and LHVF grants were targeted towards struggling industries, </w:t>
      </w:r>
      <w:r w:rsidR="00131B38">
        <w:rPr>
          <w:rFonts w:cs="Arial"/>
        </w:rPr>
        <w:t xml:space="preserve">and </w:t>
      </w:r>
      <w:r>
        <w:rPr>
          <w:rFonts w:cs="Arial"/>
        </w:rPr>
        <w:t>the analysis would benefit from a variable or instrument which could proxy the level of disruption experienced by a particular industry.</w:t>
      </w:r>
    </w:p>
    <w:p w14:paraId="34ACDC7E" w14:textId="36DA6C10" w:rsidR="00A3729A" w:rsidRPr="00025B99" w:rsidRDefault="00406837" w:rsidP="00021EF3">
      <w:r>
        <w:rPr>
          <w:rFonts w:cs="Arial"/>
        </w:rPr>
        <w:t>Additionally,</w:t>
      </w:r>
      <w:r w:rsidR="002466BD">
        <w:rPr>
          <w:rFonts w:cs="Arial"/>
        </w:rPr>
        <w:t xml:space="preserve"> </w:t>
      </w:r>
      <w:r w:rsidR="00B7133D">
        <w:rPr>
          <w:rFonts w:cs="Arial"/>
        </w:rPr>
        <w:t xml:space="preserve">the evaluation did not have access to program data </w:t>
      </w:r>
      <w:r w:rsidR="00303512">
        <w:rPr>
          <w:rFonts w:cs="Arial"/>
        </w:rPr>
        <w:t xml:space="preserve">from the NSW </w:t>
      </w:r>
      <w:proofErr w:type="spellStart"/>
      <w:r w:rsidR="00303512">
        <w:rPr>
          <w:rFonts w:cs="Arial"/>
        </w:rPr>
        <w:t>Job</w:t>
      </w:r>
      <w:r w:rsidR="00227B16">
        <w:rPr>
          <w:rFonts w:cs="Arial"/>
        </w:rPr>
        <w:t>S</w:t>
      </w:r>
      <w:r w:rsidR="00303512">
        <w:rPr>
          <w:rFonts w:cs="Arial"/>
        </w:rPr>
        <w:t>aver</w:t>
      </w:r>
      <w:proofErr w:type="spellEnd"/>
      <w:r w:rsidR="00303512">
        <w:rPr>
          <w:rFonts w:cs="Arial"/>
        </w:rPr>
        <w:t xml:space="preserve"> program, </w:t>
      </w:r>
      <w:r w:rsidR="00227B16">
        <w:rPr>
          <w:rFonts w:cs="Arial"/>
        </w:rPr>
        <w:t xml:space="preserve">or other NSW business support grants, which were </w:t>
      </w:r>
      <w:r w:rsidR="00131B38">
        <w:rPr>
          <w:rFonts w:cs="Arial"/>
        </w:rPr>
        <w:t xml:space="preserve">of </w:t>
      </w:r>
      <w:r w:rsidR="00227B16">
        <w:rPr>
          <w:rFonts w:cs="Arial"/>
        </w:rPr>
        <w:t xml:space="preserve">similar magnitude to the level of intervention in Victoria. </w:t>
      </w:r>
      <w:r w:rsidR="009C19C1">
        <w:rPr>
          <w:rFonts w:cs="Arial"/>
        </w:rPr>
        <w:t xml:space="preserve">Grants in NSW and Victoria targeted </w:t>
      </w:r>
      <w:r w:rsidR="00C52C5F">
        <w:rPr>
          <w:rFonts w:cs="Arial"/>
        </w:rPr>
        <w:t xml:space="preserve">similar industries, </w:t>
      </w:r>
      <w:r w:rsidR="007B6FA1">
        <w:rPr>
          <w:rFonts w:cs="Arial"/>
        </w:rPr>
        <w:t xml:space="preserve">and as such, if </w:t>
      </w:r>
      <w:r w:rsidR="00C52C5F">
        <w:rPr>
          <w:rFonts w:cs="Arial"/>
        </w:rPr>
        <w:t xml:space="preserve">the grants in NSW did in fact support employment </w:t>
      </w:r>
      <w:r>
        <w:rPr>
          <w:rFonts w:cs="Arial"/>
        </w:rPr>
        <w:t>outcomes,</w:t>
      </w:r>
      <w:r w:rsidR="00FE40CA">
        <w:rPr>
          <w:rFonts w:cs="Arial"/>
        </w:rPr>
        <w:t xml:space="preserve"> then the estimates of the regressions would be biased downwards. </w:t>
      </w:r>
    </w:p>
    <w:p w14:paraId="2A271314" w14:textId="27C12C54" w:rsidR="00285ADE" w:rsidRDefault="000B0097" w:rsidP="00021EF3">
      <w:pPr>
        <w:pStyle w:val="Heading3un-numbered"/>
      </w:pPr>
      <w:bookmarkStart w:id="509" w:name="_Toc174118185"/>
      <w:bookmarkStart w:id="510" w:name="_Toc176516307"/>
      <w:r>
        <w:t>Estimates of changes in hours worked to inform CBA</w:t>
      </w:r>
      <w:bookmarkEnd w:id="509"/>
      <w:bookmarkEnd w:id="510"/>
    </w:p>
    <w:p w14:paraId="4B91D511" w14:textId="3C3DB4EF" w:rsidR="001B12AC" w:rsidRDefault="003147B9" w:rsidP="00021EF3">
      <w:pPr>
        <w:rPr>
          <w:rFonts w:eastAsiaTheme="majorEastAsia" w:cstheme="majorBidi"/>
        </w:rPr>
      </w:pPr>
      <w:r>
        <w:rPr>
          <w:rFonts w:eastAsiaTheme="majorEastAsia" w:cstheme="majorBidi"/>
        </w:rPr>
        <w:t xml:space="preserve">To estimate the employment benefits of the programs </w:t>
      </w:r>
      <w:r w:rsidR="007F11D2">
        <w:rPr>
          <w:rFonts w:eastAsiaTheme="majorEastAsia" w:cstheme="majorBidi"/>
        </w:rPr>
        <w:t>(S</w:t>
      </w:r>
      <w:r w:rsidR="00285ADE">
        <w:rPr>
          <w:rFonts w:eastAsiaTheme="majorEastAsia" w:cstheme="majorBidi"/>
        </w:rPr>
        <w:t xml:space="preserve">ection </w:t>
      </w:r>
      <w:r w:rsidR="00285ADE">
        <w:rPr>
          <w:rFonts w:eastAsiaTheme="majorEastAsia" w:cstheme="majorBidi"/>
        </w:rPr>
        <w:fldChar w:fldCharType="begin"/>
      </w:r>
      <w:r w:rsidR="00285ADE">
        <w:rPr>
          <w:rFonts w:eastAsiaTheme="majorEastAsia" w:cstheme="majorBidi"/>
        </w:rPr>
        <w:instrText xml:space="preserve"> REF _Ref174094778 \r \h </w:instrText>
      </w:r>
      <w:r w:rsidR="00021EF3">
        <w:rPr>
          <w:rFonts w:eastAsiaTheme="majorEastAsia" w:cstheme="majorBidi"/>
        </w:rPr>
        <w:instrText xml:space="preserve"> \* MERGEFORMAT </w:instrText>
      </w:r>
      <w:r w:rsidR="00285ADE">
        <w:rPr>
          <w:rFonts w:eastAsiaTheme="majorEastAsia" w:cstheme="majorBidi"/>
        </w:rPr>
      </w:r>
      <w:r w:rsidR="00285ADE">
        <w:rPr>
          <w:rFonts w:eastAsiaTheme="majorEastAsia" w:cstheme="majorBidi"/>
        </w:rPr>
        <w:fldChar w:fldCharType="separate"/>
      </w:r>
      <w:r w:rsidR="0016271C">
        <w:rPr>
          <w:rFonts w:eastAsiaTheme="majorEastAsia" w:cstheme="majorBidi"/>
        </w:rPr>
        <w:t>2.4</w:t>
      </w:r>
      <w:r w:rsidR="00285ADE">
        <w:rPr>
          <w:rFonts w:eastAsiaTheme="majorEastAsia" w:cstheme="majorBidi"/>
        </w:rPr>
        <w:fldChar w:fldCharType="end"/>
      </w:r>
      <w:r w:rsidR="007F11D2">
        <w:rPr>
          <w:rFonts w:eastAsiaTheme="majorEastAsia" w:cstheme="majorBidi"/>
        </w:rPr>
        <w:t xml:space="preserve">), this evaluation first estimated </w:t>
      </w:r>
      <w:r w:rsidR="001B12AC">
        <w:rPr>
          <w:rFonts w:eastAsiaTheme="majorEastAsia" w:cstheme="majorBidi"/>
        </w:rPr>
        <w:t>the change in hours worked that could be attributable to the programs</w:t>
      </w:r>
      <w:r w:rsidR="00285ADE">
        <w:rPr>
          <w:rFonts w:eastAsiaTheme="majorEastAsia" w:cstheme="majorBidi"/>
        </w:rPr>
        <w:t xml:space="preserve">. </w:t>
      </w:r>
    </w:p>
    <w:p w14:paraId="64BC1106" w14:textId="6254514B" w:rsidR="00285ADE" w:rsidRDefault="00285ADE" w:rsidP="00021EF3">
      <w:pPr>
        <w:rPr>
          <w:rFonts w:eastAsiaTheme="majorEastAsia" w:cstheme="majorBidi"/>
        </w:rPr>
      </w:pPr>
      <w:r>
        <w:rPr>
          <w:rFonts w:eastAsiaTheme="majorEastAsia" w:cstheme="majorBidi"/>
        </w:rPr>
        <w:t xml:space="preserve">The grants provided a direct incentive for businesses to continue trading within an uncertain economic environment </w:t>
      </w:r>
      <w:r w:rsidR="0086530B">
        <w:rPr>
          <w:rFonts w:eastAsiaTheme="majorEastAsia" w:cstheme="majorBidi"/>
        </w:rPr>
        <w:t xml:space="preserve">in 2021. </w:t>
      </w:r>
      <w:r w:rsidR="0091042D">
        <w:rPr>
          <w:rFonts w:eastAsiaTheme="majorEastAsia" w:cstheme="majorBidi"/>
        </w:rPr>
        <w:t>More than 97.5 per cent of businesses received all grant funding from the programs before 31 December 2021. As a result</w:t>
      </w:r>
      <w:r w:rsidR="00393781">
        <w:rPr>
          <w:rFonts w:eastAsiaTheme="majorEastAsia" w:cstheme="majorBidi"/>
        </w:rPr>
        <w:t>,</w:t>
      </w:r>
      <w:r w:rsidR="0091042D">
        <w:rPr>
          <w:rFonts w:eastAsiaTheme="majorEastAsia" w:cstheme="majorBidi"/>
        </w:rPr>
        <w:t xml:space="preserve"> no direct employment effects of the grants are assumed to have occurred beyond 2021. The grants may have improved employment outcomes </w:t>
      </w:r>
      <w:r w:rsidR="003C163F">
        <w:rPr>
          <w:rFonts w:eastAsiaTheme="majorEastAsia" w:cstheme="majorBidi"/>
        </w:rPr>
        <w:t>beyond</w:t>
      </w:r>
      <w:r w:rsidR="0091042D">
        <w:rPr>
          <w:rFonts w:eastAsiaTheme="majorEastAsia" w:cstheme="majorBidi"/>
        </w:rPr>
        <w:t xml:space="preserve"> this point, but </w:t>
      </w:r>
      <w:r w:rsidR="0071569E">
        <w:rPr>
          <w:rFonts w:eastAsiaTheme="majorEastAsia" w:cstheme="majorBidi"/>
        </w:rPr>
        <w:t>likely</w:t>
      </w:r>
      <w:r w:rsidR="0091042D">
        <w:rPr>
          <w:rFonts w:eastAsiaTheme="majorEastAsia" w:cstheme="majorBidi"/>
        </w:rPr>
        <w:t xml:space="preserve"> would have done so through</w:t>
      </w:r>
      <w:r w:rsidR="003C163F">
        <w:rPr>
          <w:rFonts w:eastAsiaTheme="majorEastAsia" w:cstheme="majorBidi"/>
        </w:rPr>
        <w:t xml:space="preserve"> general equilibrium effects, which are not quantified in this evaluation.</w:t>
      </w:r>
    </w:p>
    <w:p w14:paraId="3813AAFA" w14:textId="42EB4293" w:rsidR="00285ADE" w:rsidRDefault="003C163F" w:rsidP="00021EF3">
      <w:pPr>
        <w:rPr>
          <w:rFonts w:eastAsiaTheme="majorEastAsia" w:cstheme="majorBidi"/>
        </w:rPr>
      </w:pPr>
      <w:r>
        <w:rPr>
          <w:rFonts w:eastAsiaTheme="majorEastAsia" w:cstheme="majorBidi"/>
        </w:rPr>
        <w:t>Given that the above economic analysis on the employment impacts of grants was inconclusive</w:t>
      </w:r>
      <w:r w:rsidR="00263BFB">
        <w:rPr>
          <w:rFonts w:eastAsiaTheme="majorEastAsia" w:cstheme="majorBidi"/>
        </w:rPr>
        <w:t>,</w:t>
      </w:r>
      <w:r>
        <w:rPr>
          <w:rFonts w:eastAsiaTheme="majorEastAsia" w:cstheme="majorBidi"/>
        </w:rPr>
        <w:t xml:space="preserve"> an alternate approach was used. </w:t>
      </w:r>
      <w:r w:rsidR="002B6590">
        <w:rPr>
          <w:rFonts w:eastAsiaTheme="majorEastAsia" w:cstheme="majorBidi"/>
        </w:rPr>
        <w:t xml:space="preserve">There were 35 ANZSIC </w:t>
      </w:r>
      <w:r w:rsidR="00CE7B39">
        <w:rPr>
          <w:rFonts w:eastAsiaTheme="majorEastAsia" w:cstheme="majorBidi"/>
        </w:rPr>
        <w:t>groups in which employing businesses received at least $10 million in grant funding</w:t>
      </w:r>
      <w:r w:rsidR="0047264D">
        <w:rPr>
          <w:rFonts w:eastAsiaTheme="majorEastAsia" w:cstheme="majorBidi"/>
        </w:rPr>
        <w:t>. T</w:t>
      </w:r>
      <w:r w:rsidR="00FC1170">
        <w:rPr>
          <w:rFonts w:eastAsiaTheme="majorEastAsia" w:cstheme="majorBidi"/>
        </w:rPr>
        <w:t xml:space="preserve">hese were identified as </w:t>
      </w:r>
      <w:r w:rsidR="0047264D">
        <w:rPr>
          <w:rFonts w:eastAsiaTheme="majorEastAsia" w:cstheme="majorBidi"/>
        </w:rPr>
        <w:t>‘</w:t>
      </w:r>
      <w:r w:rsidR="00FC1170">
        <w:rPr>
          <w:rFonts w:eastAsiaTheme="majorEastAsia" w:cstheme="majorBidi"/>
        </w:rPr>
        <w:t>intensely</w:t>
      </w:r>
      <w:r w:rsidR="0047264D">
        <w:rPr>
          <w:rFonts w:eastAsiaTheme="majorEastAsia" w:cstheme="majorBidi"/>
        </w:rPr>
        <w:t>’</w:t>
      </w:r>
      <w:r w:rsidR="00FC1170">
        <w:rPr>
          <w:rFonts w:eastAsiaTheme="majorEastAsia" w:cstheme="majorBidi"/>
        </w:rPr>
        <w:t xml:space="preserve"> treated industries. </w:t>
      </w:r>
      <w:r w:rsidR="008C45B3">
        <w:rPr>
          <w:rFonts w:eastAsiaTheme="majorEastAsia" w:cstheme="majorBidi"/>
        </w:rPr>
        <w:t xml:space="preserve">Growth in hours actually worked </w:t>
      </w:r>
      <w:r w:rsidR="00C7640F">
        <w:rPr>
          <w:rFonts w:eastAsiaTheme="majorEastAsia" w:cstheme="majorBidi"/>
        </w:rPr>
        <w:t xml:space="preserve">within these industries </w:t>
      </w:r>
      <w:r w:rsidR="006804E1">
        <w:rPr>
          <w:rFonts w:eastAsiaTheme="majorEastAsia" w:cstheme="majorBidi"/>
        </w:rPr>
        <w:t>was calculated between 2019 and 2021 in both Victoria and NSW</w:t>
      </w:r>
      <w:r w:rsidR="00882A0C">
        <w:rPr>
          <w:rFonts w:eastAsiaTheme="majorEastAsia" w:cstheme="majorBidi"/>
        </w:rPr>
        <w:t xml:space="preserve"> using ABS Labour Force Detailed data from table EQ06.</w:t>
      </w:r>
    </w:p>
    <w:p w14:paraId="3A6332B8" w14:textId="596406A5" w:rsidR="00CB6F14" w:rsidRDefault="00CB6F14" w:rsidP="00021EF3">
      <w:pPr>
        <w:rPr>
          <w:rFonts w:eastAsiaTheme="majorEastAsia" w:cstheme="majorBidi"/>
        </w:rPr>
      </w:pPr>
      <w:r>
        <w:rPr>
          <w:rFonts w:eastAsiaTheme="majorEastAsia" w:cstheme="majorBidi"/>
        </w:rPr>
        <w:t xml:space="preserve">Growth rates in these industries in NSW were </w:t>
      </w:r>
      <w:r w:rsidR="0047264D">
        <w:rPr>
          <w:rFonts w:eastAsiaTheme="majorEastAsia" w:cstheme="majorBidi"/>
        </w:rPr>
        <w:t xml:space="preserve">then </w:t>
      </w:r>
      <w:r w:rsidR="00E742E4">
        <w:rPr>
          <w:rFonts w:eastAsiaTheme="majorEastAsia" w:cstheme="majorBidi"/>
        </w:rPr>
        <w:t>applied to hours worked in Victoria over the period to determine</w:t>
      </w:r>
      <w:r w:rsidR="007066F4">
        <w:rPr>
          <w:rFonts w:eastAsiaTheme="majorEastAsia" w:cstheme="majorBidi"/>
        </w:rPr>
        <w:t xml:space="preserve"> counterfactual hours worked in 2021.</w:t>
      </w:r>
      <w:r w:rsidR="003C74CD">
        <w:rPr>
          <w:rFonts w:eastAsiaTheme="majorEastAsia" w:cstheme="majorBidi"/>
        </w:rPr>
        <w:t xml:space="preserve"> NSW was used as a counterfactual</w:t>
      </w:r>
      <w:r w:rsidR="002370AD">
        <w:rPr>
          <w:rFonts w:eastAsiaTheme="majorEastAsia" w:cstheme="majorBidi"/>
        </w:rPr>
        <w:t>,</w:t>
      </w:r>
      <w:r w:rsidR="00836FA7">
        <w:rPr>
          <w:rFonts w:eastAsiaTheme="majorEastAsia" w:cstheme="majorBidi"/>
        </w:rPr>
        <w:t xml:space="preserve"> given </w:t>
      </w:r>
      <w:r w:rsidR="003C74CD">
        <w:rPr>
          <w:rFonts w:eastAsiaTheme="majorEastAsia" w:cstheme="majorBidi"/>
        </w:rPr>
        <w:t>NSW was the most similar in terms of COVID-19 impacts</w:t>
      </w:r>
      <w:r w:rsidR="00934917">
        <w:rPr>
          <w:rFonts w:eastAsiaTheme="majorEastAsia" w:cstheme="majorBidi"/>
        </w:rPr>
        <w:t xml:space="preserve"> (in addition to other factors such as population and GSP)</w:t>
      </w:r>
      <w:r w:rsidR="00836FA7">
        <w:rPr>
          <w:rFonts w:eastAsiaTheme="majorEastAsia" w:cstheme="majorBidi"/>
        </w:rPr>
        <w:t xml:space="preserve">. It should be noted that NSW </w:t>
      </w:r>
      <w:r w:rsidR="00760649">
        <w:rPr>
          <w:rFonts w:eastAsiaTheme="majorEastAsia" w:cstheme="majorBidi"/>
        </w:rPr>
        <w:t>also delivered</w:t>
      </w:r>
      <w:r w:rsidR="00836FA7">
        <w:rPr>
          <w:rFonts w:eastAsiaTheme="majorEastAsia" w:cstheme="majorBidi"/>
        </w:rPr>
        <w:t xml:space="preserve"> </w:t>
      </w:r>
      <w:r w:rsidR="00BC4165">
        <w:rPr>
          <w:rFonts w:eastAsiaTheme="majorEastAsia" w:cstheme="majorBidi"/>
        </w:rPr>
        <w:t xml:space="preserve">business </w:t>
      </w:r>
      <w:r w:rsidR="00836FA7">
        <w:rPr>
          <w:rFonts w:eastAsiaTheme="majorEastAsia" w:cstheme="majorBidi"/>
        </w:rPr>
        <w:t>support programs</w:t>
      </w:r>
      <w:r w:rsidR="00F5218D">
        <w:rPr>
          <w:rFonts w:eastAsiaTheme="majorEastAsia" w:cstheme="majorBidi"/>
        </w:rPr>
        <w:t>,</w:t>
      </w:r>
      <w:r w:rsidR="00934917">
        <w:rPr>
          <w:rFonts w:eastAsiaTheme="majorEastAsia" w:cstheme="majorBidi"/>
        </w:rPr>
        <w:t xml:space="preserve"> </w:t>
      </w:r>
      <w:r w:rsidR="00D674A9">
        <w:rPr>
          <w:rFonts w:eastAsiaTheme="majorEastAsia" w:cstheme="majorBidi"/>
        </w:rPr>
        <w:t>which would likely</w:t>
      </w:r>
      <w:r w:rsidR="00F5218D">
        <w:rPr>
          <w:rFonts w:eastAsiaTheme="majorEastAsia" w:cstheme="majorBidi"/>
        </w:rPr>
        <w:t xml:space="preserve"> bias down results.</w:t>
      </w:r>
    </w:p>
    <w:p w14:paraId="0B8EBFF8" w14:textId="2FBBC0DE" w:rsidR="005941D7" w:rsidRDefault="00752778" w:rsidP="00021EF3">
      <w:pPr>
        <w:rPr>
          <w:rFonts w:eastAsiaTheme="majorEastAsia" w:cstheme="majorBidi"/>
        </w:rPr>
      </w:pPr>
      <w:r>
        <w:rPr>
          <w:rFonts w:eastAsiaTheme="majorEastAsia" w:cstheme="majorBidi"/>
        </w:rPr>
        <w:t xml:space="preserve">The difference between hours worked in Victoria and a counterfactual number of hours worked based on NSW growth rates was estimated, and then aggerated by ANZSIC division. </w:t>
      </w:r>
      <w:r w:rsidR="009773E8">
        <w:rPr>
          <w:rFonts w:eastAsiaTheme="majorEastAsia" w:cstheme="majorBidi"/>
        </w:rPr>
        <w:t xml:space="preserve">For industries which were not </w:t>
      </w:r>
      <w:r w:rsidR="00F33286">
        <w:rPr>
          <w:rFonts w:eastAsiaTheme="majorEastAsia" w:cstheme="majorBidi"/>
        </w:rPr>
        <w:t xml:space="preserve">identified as </w:t>
      </w:r>
      <w:r w:rsidR="009773E8">
        <w:rPr>
          <w:rFonts w:eastAsiaTheme="majorEastAsia" w:cstheme="majorBidi"/>
        </w:rPr>
        <w:t>intensely treated</w:t>
      </w:r>
      <w:r w:rsidR="00F33286">
        <w:rPr>
          <w:rFonts w:eastAsiaTheme="majorEastAsia" w:cstheme="majorBidi"/>
        </w:rPr>
        <w:t xml:space="preserve">, or where no positive impact of the grants </w:t>
      </w:r>
      <w:r w:rsidR="0020649E">
        <w:rPr>
          <w:rFonts w:eastAsiaTheme="majorEastAsia" w:cstheme="majorBidi"/>
        </w:rPr>
        <w:t xml:space="preserve">was </w:t>
      </w:r>
      <w:r w:rsidR="00F33286">
        <w:rPr>
          <w:rFonts w:eastAsiaTheme="majorEastAsia" w:cstheme="majorBidi"/>
        </w:rPr>
        <w:t>estimated</w:t>
      </w:r>
      <w:r w:rsidR="0020649E">
        <w:rPr>
          <w:rFonts w:eastAsiaTheme="majorEastAsia" w:cstheme="majorBidi"/>
        </w:rPr>
        <w:t>,</w:t>
      </w:r>
      <w:r w:rsidR="00F33286">
        <w:rPr>
          <w:rFonts w:eastAsiaTheme="majorEastAsia" w:cstheme="majorBidi"/>
        </w:rPr>
        <w:t xml:space="preserve"> </w:t>
      </w:r>
      <w:r w:rsidR="00106777">
        <w:rPr>
          <w:rFonts w:eastAsiaTheme="majorEastAsia" w:cstheme="majorBidi"/>
        </w:rPr>
        <w:t>the change in hours is listed as zero</w:t>
      </w:r>
      <w:r w:rsidR="000859AA">
        <w:rPr>
          <w:rFonts w:eastAsiaTheme="majorEastAsia" w:cstheme="majorBidi"/>
        </w:rPr>
        <w:t>.</w:t>
      </w:r>
    </w:p>
    <w:p w14:paraId="5CBD5A7D" w14:textId="1260183E" w:rsidR="00752778" w:rsidRDefault="00752778" w:rsidP="00021EF3">
      <w:pPr>
        <w:rPr>
          <w:rFonts w:eastAsiaTheme="majorEastAsia" w:cstheme="majorBidi"/>
        </w:rPr>
      </w:pPr>
      <w:r>
        <w:rPr>
          <w:rFonts w:eastAsiaTheme="majorEastAsia" w:cstheme="majorBidi"/>
        </w:rPr>
        <w:t xml:space="preserve"> The </w:t>
      </w:r>
      <w:r w:rsidR="00050692">
        <w:rPr>
          <w:rFonts w:eastAsiaTheme="majorEastAsia" w:cstheme="majorBidi"/>
        </w:rPr>
        <w:t xml:space="preserve">change in hours </w:t>
      </w:r>
      <w:r w:rsidR="003816C4">
        <w:rPr>
          <w:rFonts w:eastAsiaTheme="majorEastAsia" w:cstheme="majorBidi"/>
        </w:rPr>
        <w:t>in a scenario without grants was then estimated to be:</w:t>
      </w:r>
    </w:p>
    <w:p w14:paraId="5EA02AF2" w14:textId="3B73FD9E" w:rsidR="00DF0E8E" w:rsidRDefault="00DF0E8E" w:rsidP="00021EF3">
      <w:pPr>
        <w:pStyle w:val="AppendixTableCaption"/>
        <w:rPr>
          <w:rFonts w:eastAsiaTheme="majorEastAsia"/>
        </w:rPr>
      </w:pPr>
      <w:bookmarkStart w:id="511" w:name="_Ref174098036"/>
      <w:r>
        <w:rPr>
          <w:rFonts w:eastAsiaTheme="majorEastAsia"/>
        </w:rPr>
        <w:t>: Change in hours worked relative to a counterfactual in Victoria in 2021</w:t>
      </w:r>
      <w:bookmarkEnd w:id="511"/>
      <w:r w:rsidR="00792D18">
        <w:rPr>
          <w:rFonts w:eastAsiaTheme="majorEastAsia"/>
        </w:rPr>
        <w:t>.</w:t>
      </w:r>
    </w:p>
    <w:tbl>
      <w:tblPr>
        <w:tblStyle w:val="Deloittetable"/>
        <w:tblW w:w="9322" w:type="dxa"/>
        <w:tblLook w:val="04A0" w:firstRow="1" w:lastRow="0" w:firstColumn="1" w:lastColumn="0" w:noHBand="0" w:noVBand="1"/>
      </w:tblPr>
      <w:tblGrid>
        <w:gridCol w:w="4661"/>
        <w:gridCol w:w="4661"/>
      </w:tblGrid>
      <w:tr w:rsidR="003816C4" w14:paraId="13A71C18" w14:textId="77777777" w:rsidTr="00051913">
        <w:trPr>
          <w:cnfStyle w:val="100000000000" w:firstRow="1" w:lastRow="0" w:firstColumn="0" w:lastColumn="0" w:oddVBand="0" w:evenVBand="0" w:oddHBand="0" w:evenHBand="0" w:firstRowFirstColumn="0" w:firstRowLastColumn="0" w:lastRowFirstColumn="0" w:lastRowLastColumn="0"/>
          <w:trHeight w:val="341"/>
          <w:tblHeader/>
        </w:trPr>
        <w:tc>
          <w:tcPr>
            <w:tcW w:w="4661" w:type="dxa"/>
          </w:tcPr>
          <w:p w14:paraId="669C9D7C" w14:textId="79121BFB" w:rsidR="003816C4" w:rsidRPr="00893EB3" w:rsidRDefault="003816C4" w:rsidP="00021EF3">
            <w:pPr>
              <w:rPr>
                <w:rFonts w:cs="Arial"/>
                <w:b/>
                <w:szCs w:val="17"/>
              </w:rPr>
            </w:pPr>
            <w:r>
              <w:rPr>
                <w:rFonts w:cs="Arial"/>
                <w:b/>
                <w:szCs w:val="17"/>
              </w:rPr>
              <w:t>Industry</w:t>
            </w:r>
          </w:p>
        </w:tc>
        <w:tc>
          <w:tcPr>
            <w:tcW w:w="4661" w:type="dxa"/>
          </w:tcPr>
          <w:p w14:paraId="21529183" w14:textId="5F7E274A" w:rsidR="003816C4" w:rsidRPr="00893EB3" w:rsidRDefault="003816C4" w:rsidP="00021EF3">
            <w:pPr>
              <w:rPr>
                <w:rFonts w:cs="Arial"/>
                <w:b/>
                <w:szCs w:val="17"/>
              </w:rPr>
            </w:pPr>
            <w:r>
              <w:rPr>
                <w:rFonts w:cs="Arial"/>
                <w:b/>
                <w:szCs w:val="17"/>
              </w:rPr>
              <w:t>Change in hours</w:t>
            </w:r>
            <w:r w:rsidR="00776D9C">
              <w:rPr>
                <w:rFonts w:cs="Arial"/>
                <w:b/>
                <w:szCs w:val="17"/>
              </w:rPr>
              <w:t xml:space="preserve"> in 2021</w:t>
            </w:r>
            <w:r w:rsidR="0027009D">
              <w:rPr>
                <w:rFonts w:cs="Arial"/>
                <w:b/>
                <w:szCs w:val="17"/>
              </w:rPr>
              <w:t xml:space="preserve"> relative to base case</w:t>
            </w:r>
          </w:p>
        </w:tc>
      </w:tr>
      <w:tr w:rsidR="003816C4" w:rsidRPr="002F50BA" w14:paraId="6CB3850A" w14:textId="77777777" w:rsidTr="00051913">
        <w:trPr>
          <w:trHeight w:val="341"/>
        </w:trPr>
        <w:tc>
          <w:tcPr>
            <w:tcW w:w="4661" w:type="dxa"/>
          </w:tcPr>
          <w:p w14:paraId="0CED720E" w14:textId="47F5BCDF" w:rsidR="003816C4" w:rsidRPr="00893EB3" w:rsidRDefault="007362D8" w:rsidP="00021EF3">
            <w:pPr>
              <w:rPr>
                <w:rFonts w:cs="Arial"/>
                <w:b/>
                <w:szCs w:val="17"/>
              </w:rPr>
            </w:pPr>
            <w:r w:rsidRPr="00581460">
              <w:t>Agriculture, Forestry and Fishing</w:t>
            </w:r>
          </w:p>
        </w:tc>
        <w:tc>
          <w:tcPr>
            <w:tcW w:w="4661" w:type="dxa"/>
          </w:tcPr>
          <w:p w14:paraId="0C3D3272" w14:textId="631FA78A" w:rsidR="003816C4" w:rsidRPr="00893EB3" w:rsidRDefault="00776D9C" w:rsidP="00021EF3">
            <w:pPr>
              <w:spacing w:after="0"/>
              <w:rPr>
                <w:rFonts w:cs="Arial"/>
                <w:b/>
                <w:color w:val="000000"/>
                <w:szCs w:val="17"/>
              </w:rPr>
            </w:pPr>
            <w:r w:rsidRPr="00D150C7">
              <w:t>0</w:t>
            </w:r>
          </w:p>
        </w:tc>
      </w:tr>
      <w:tr w:rsidR="003816C4" w:rsidRPr="002F50BA" w14:paraId="5F3F3133" w14:textId="77777777" w:rsidTr="00051913">
        <w:trPr>
          <w:trHeight w:val="341"/>
        </w:trPr>
        <w:tc>
          <w:tcPr>
            <w:tcW w:w="4661" w:type="dxa"/>
          </w:tcPr>
          <w:p w14:paraId="3E03B856" w14:textId="0ADBF555" w:rsidR="003816C4" w:rsidRPr="00893EB3" w:rsidRDefault="007362D8" w:rsidP="00021EF3">
            <w:pPr>
              <w:rPr>
                <w:rFonts w:cs="Arial"/>
                <w:szCs w:val="17"/>
              </w:rPr>
            </w:pPr>
            <w:r w:rsidRPr="00581460">
              <w:t>Mining</w:t>
            </w:r>
          </w:p>
        </w:tc>
        <w:tc>
          <w:tcPr>
            <w:tcW w:w="4661" w:type="dxa"/>
          </w:tcPr>
          <w:p w14:paraId="79BA40A6" w14:textId="3B9DAB7C" w:rsidR="003816C4" w:rsidRPr="00893EB3" w:rsidRDefault="00776D9C" w:rsidP="00021EF3">
            <w:pPr>
              <w:spacing w:after="0"/>
              <w:rPr>
                <w:rFonts w:cs="Arial"/>
                <w:color w:val="000000"/>
                <w:szCs w:val="17"/>
              </w:rPr>
            </w:pPr>
            <w:r w:rsidRPr="00D150C7">
              <w:t>0</w:t>
            </w:r>
          </w:p>
        </w:tc>
      </w:tr>
      <w:tr w:rsidR="003816C4" w:rsidRPr="002F50BA" w14:paraId="402929AE" w14:textId="77777777" w:rsidTr="00051913">
        <w:trPr>
          <w:trHeight w:val="341"/>
        </w:trPr>
        <w:tc>
          <w:tcPr>
            <w:tcW w:w="4661" w:type="dxa"/>
          </w:tcPr>
          <w:p w14:paraId="164F4AB2" w14:textId="721064C2" w:rsidR="003816C4" w:rsidRPr="00893EB3" w:rsidRDefault="007362D8" w:rsidP="00021EF3">
            <w:pPr>
              <w:rPr>
                <w:rFonts w:cs="Arial"/>
                <w:szCs w:val="17"/>
              </w:rPr>
            </w:pPr>
            <w:r w:rsidRPr="00581460">
              <w:t>Manufacturing</w:t>
            </w:r>
          </w:p>
        </w:tc>
        <w:tc>
          <w:tcPr>
            <w:tcW w:w="4661" w:type="dxa"/>
          </w:tcPr>
          <w:p w14:paraId="156366AA" w14:textId="537A5A6E" w:rsidR="003816C4" w:rsidRPr="00893EB3" w:rsidRDefault="0027009D" w:rsidP="00021EF3">
            <w:pPr>
              <w:spacing w:after="0"/>
              <w:rPr>
                <w:rFonts w:cs="Arial"/>
                <w:color w:val="000000"/>
                <w:szCs w:val="17"/>
              </w:rPr>
            </w:pPr>
            <w:r>
              <w:t>0</w:t>
            </w:r>
          </w:p>
        </w:tc>
      </w:tr>
      <w:tr w:rsidR="003816C4" w:rsidRPr="002F50BA" w14:paraId="2DF1F791" w14:textId="77777777" w:rsidTr="00051913">
        <w:trPr>
          <w:trHeight w:val="341"/>
        </w:trPr>
        <w:tc>
          <w:tcPr>
            <w:tcW w:w="4661" w:type="dxa"/>
          </w:tcPr>
          <w:p w14:paraId="0630D042" w14:textId="7C60B7DE" w:rsidR="003816C4" w:rsidRPr="00893EB3" w:rsidRDefault="007362D8" w:rsidP="00021EF3">
            <w:pPr>
              <w:rPr>
                <w:rFonts w:cs="Arial"/>
                <w:szCs w:val="17"/>
              </w:rPr>
            </w:pPr>
            <w:r w:rsidRPr="00581460">
              <w:t>Electricity, Gas, Water and Waste Services</w:t>
            </w:r>
          </w:p>
        </w:tc>
        <w:tc>
          <w:tcPr>
            <w:tcW w:w="4661" w:type="dxa"/>
          </w:tcPr>
          <w:p w14:paraId="19B22881" w14:textId="5246500E" w:rsidR="003816C4" w:rsidRPr="00893EB3" w:rsidRDefault="00776D9C" w:rsidP="00021EF3">
            <w:pPr>
              <w:spacing w:after="0"/>
              <w:rPr>
                <w:rFonts w:cs="Arial"/>
                <w:color w:val="000000"/>
                <w:szCs w:val="17"/>
              </w:rPr>
            </w:pPr>
            <w:r w:rsidRPr="00D150C7">
              <w:t>0</w:t>
            </w:r>
          </w:p>
        </w:tc>
      </w:tr>
      <w:tr w:rsidR="003816C4" w:rsidRPr="002F50BA" w14:paraId="7FD77380" w14:textId="77777777" w:rsidTr="00051913">
        <w:trPr>
          <w:trHeight w:val="341"/>
        </w:trPr>
        <w:tc>
          <w:tcPr>
            <w:tcW w:w="4661" w:type="dxa"/>
          </w:tcPr>
          <w:p w14:paraId="36B35416" w14:textId="72948F21" w:rsidR="003816C4" w:rsidRPr="00893EB3" w:rsidRDefault="003816C4" w:rsidP="00021EF3">
            <w:pPr>
              <w:rPr>
                <w:rFonts w:cs="Arial"/>
                <w:szCs w:val="17"/>
              </w:rPr>
            </w:pPr>
            <w:r w:rsidRPr="00581460">
              <w:lastRenderedPageBreak/>
              <w:t>Construction</w:t>
            </w:r>
          </w:p>
        </w:tc>
        <w:tc>
          <w:tcPr>
            <w:tcW w:w="4661" w:type="dxa"/>
          </w:tcPr>
          <w:p w14:paraId="18ADA4BD" w14:textId="5C449372" w:rsidR="003816C4" w:rsidRPr="00893EB3" w:rsidRDefault="00776D9C" w:rsidP="00021EF3">
            <w:pPr>
              <w:spacing w:after="0"/>
              <w:rPr>
                <w:rFonts w:cs="Arial"/>
                <w:color w:val="000000"/>
                <w:szCs w:val="17"/>
              </w:rPr>
            </w:pPr>
            <w:r w:rsidRPr="00D150C7">
              <w:t>0</w:t>
            </w:r>
          </w:p>
        </w:tc>
      </w:tr>
      <w:tr w:rsidR="003816C4" w:rsidRPr="002F50BA" w14:paraId="7089079A" w14:textId="77777777" w:rsidTr="00051913">
        <w:trPr>
          <w:trHeight w:val="341"/>
        </w:trPr>
        <w:tc>
          <w:tcPr>
            <w:tcW w:w="4661" w:type="dxa"/>
          </w:tcPr>
          <w:p w14:paraId="0776E110" w14:textId="6B2A6F1B" w:rsidR="003816C4" w:rsidRPr="00893EB3" w:rsidRDefault="007362D8" w:rsidP="00021EF3">
            <w:pPr>
              <w:rPr>
                <w:rFonts w:cs="Arial"/>
                <w:szCs w:val="17"/>
              </w:rPr>
            </w:pPr>
            <w:r w:rsidRPr="00581460">
              <w:t>Wholesale Trade</w:t>
            </w:r>
          </w:p>
        </w:tc>
        <w:tc>
          <w:tcPr>
            <w:tcW w:w="4661" w:type="dxa"/>
          </w:tcPr>
          <w:p w14:paraId="76A4DFBA" w14:textId="287AEE82" w:rsidR="003816C4" w:rsidRPr="00893EB3" w:rsidRDefault="00776D9C" w:rsidP="00021EF3">
            <w:pPr>
              <w:spacing w:after="0"/>
              <w:rPr>
                <w:rFonts w:cs="Arial"/>
                <w:color w:val="000000"/>
                <w:szCs w:val="17"/>
              </w:rPr>
            </w:pPr>
            <w:r w:rsidRPr="00D150C7">
              <w:t>0</w:t>
            </w:r>
          </w:p>
        </w:tc>
      </w:tr>
      <w:tr w:rsidR="003816C4" w:rsidRPr="002F50BA" w14:paraId="6ADD3BF6" w14:textId="77777777" w:rsidTr="00051913">
        <w:trPr>
          <w:trHeight w:val="341"/>
        </w:trPr>
        <w:tc>
          <w:tcPr>
            <w:tcW w:w="4661" w:type="dxa"/>
          </w:tcPr>
          <w:p w14:paraId="53F59DB9" w14:textId="3F9E7B2E" w:rsidR="003816C4" w:rsidRPr="00893EB3" w:rsidRDefault="007362D8" w:rsidP="00021EF3">
            <w:pPr>
              <w:rPr>
                <w:rFonts w:cs="Arial"/>
                <w:szCs w:val="17"/>
              </w:rPr>
            </w:pPr>
            <w:r w:rsidRPr="00581460">
              <w:t>Retail Trade</w:t>
            </w:r>
          </w:p>
        </w:tc>
        <w:tc>
          <w:tcPr>
            <w:tcW w:w="4661" w:type="dxa"/>
          </w:tcPr>
          <w:p w14:paraId="10B0A8F0" w14:textId="43ED7A70" w:rsidR="003816C4" w:rsidRPr="00893EB3" w:rsidRDefault="00776D9C" w:rsidP="00021EF3">
            <w:pPr>
              <w:spacing w:after="0"/>
              <w:rPr>
                <w:rFonts w:cs="Arial"/>
                <w:color w:val="000000"/>
                <w:szCs w:val="17"/>
              </w:rPr>
            </w:pPr>
            <w:r w:rsidRPr="00D150C7" w:rsidDel="00DF0E8E">
              <w:t>9,611,308</w:t>
            </w:r>
          </w:p>
        </w:tc>
      </w:tr>
      <w:tr w:rsidR="003816C4" w:rsidRPr="002F50BA" w14:paraId="78142B8D" w14:textId="77777777" w:rsidTr="00051913">
        <w:trPr>
          <w:trHeight w:val="341"/>
        </w:trPr>
        <w:tc>
          <w:tcPr>
            <w:tcW w:w="4661" w:type="dxa"/>
          </w:tcPr>
          <w:p w14:paraId="44523006" w14:textId="1ACD943B" w:rsidR="003816C4" w:rsidRPr="00893EB3" w:rsidRDefault="007362D8" w:rsidP="00021EF3">
            <w:pPr>
              <w:rPr>
                <w:rFonts w:cs="Arial"/>
                <w:szCs w:val="17"/>
              </w:rPr>
            </w:pPr>
            <w:r w:rsidRPr="00581460">
              <w:t>Accommodation</w:t>
            </w:r>
            <w:r w:rsidR="003816C4" w:rsidRPr="00581460">
              <w:t xml:space="preserve"> and </w:t>
            </w:r>
            <w:r w:rsidRPr="00581460">
              <w:t>Food</w:t>
            </w:r>
            <w:r w:rsidR="003816C4" w:rsidRPr="00581460">
              <w:t xml:space="preserve"> Services</w:t>
            </w:r>
          </w:p>
        </w:tc>
        <w:tc>
          <w:tcPr>
            <w:tcW w:w="4661" w:type="dxa"/>
          </w:tcPr>
          <w:p w14:paraId="20092023" w14:textId="087EFAC0" w:rsidR="003816C4" w:rsidRPr="00893EB3" w:rsidRDefault="00776D9C" w:rsidP="00021EF3">
            <w:pPr>
              <w:spacing w:after="0"/>
              <w:rPr>
                <w:rFonts w:cs="Arial"/>
                <w:color w:val="000000"/>
                <w:szCs w:val="17"/>
              </w:rPr>
            </w:pPr>
            <w:r w:rsidRPr="00D150C7" w:rsidDel="00DF0E8E">
              <w:t>10,020,618</w:t>
            </w:r>
          </w:p>
        </w:tc>
      </w:tr>
      <w:tr w:rsidR="003816C4" w:rsidRPr="002F50BA" w14:paraId="65B39531" w14:textId="77777777" w:rsidTr="00051913">
        <w:trPr>
          <w:trHeight w:val="341"/>
        </w:trPr>
        <w:tc>
          <w:tcPr>
            <w:tcW w:w="4661" w:type="dxa"/>
          </w:tcPr>
          <w:p w14:paraId="38D7AD78" w14:textId="6411DC75" w:rsidR="003816C4" w:rsidRPr="00893EB3" w:rsidRDefault="007362D8" w:rsidP="00021EF3">
            <w:pPr>
              <w:rPr>
                <w:rFonts w:cs="Arial"/>
                <w:szCs w:val="17"/>
              </w:rPr>
            </w:pPr>
            <w:r w:rsidRPr="00581460">
              <w:t>Transport, Postal and Warehousing</w:t>
            </w:r>
          </w:p>
        </w:tc>
        <w:tc>
          <w:tcPr>
            <w:tcW w:w="4661" w:type="dxa"/>
          </w:tcPr>
          <w:p w14:paraId="4526A824" w14:textId="0A6645FC" w:rsidR="003816C4" w:rsidRPr="00893EB3" w:rsidRDefault="00776D9C" w:rsidP="00021EF3">
            <w:pPr>
              <w:spacing w:after="0"/>
              <w:rPr>
                <w:rFonts w:cs="Arial"/>
                <w:color w:val="000000"/>
                <w:szCs w:val="17"/>
              </w:rPr>
            </w:pPr>
            <w:r w:rsidRPr="00D150C7" w:rsidDel="00DF0E8E">
              <w:t>6,039,921</w:t>
            </w:r>
          </w:p>
        </w:tc>
      </w:tr>
      <w:tr w:rsidR="003816C4" w:rsidRPr="002F50BA" w14:paraId="4A32ABD9" w14:textId="77777777" w:rsidTr="00051913">
        <w:trPr>
          <w:trHeight w:val="341"/>
        </w:trPr>
        <w:tc>
          <w:tcPr>
            <w:tcW w:w="4661" w:type="dxa"/>
          </w:tcPr>
          <w:p w14:paraId="356F6B84" w14:textId="529EA748" w:rsidR="003816C4" w:rsidRPr="00893EB3" w:rsidRDefault="003816C4" w:rsidP="00021EF3">
            <w:pPr>
              <w:rPr>
                <w:rFonts w:cs="Arial"/>
                <w:szCs w:val="17"/>
              </w:rPr>
            </w:pPr>
            <w:r w:rsidRPr="00581460">
              <w:t>Information Media and Telecommunications</w:t>
            </w:r>
          </w:p>
        </w:tc>
        <w:tc>
          <w:tcPr>
            <w:tcW w:w="4661" w:type="dxa"/>
          </w:tcPr>
          <w:p w14:paraId="0E7C8451" w14:textId="0EF56025" w:rsidR="003816C4" w:rsidRPr="00893EB3" w:rsidRDefault="0094399F" w:rsidP="00021EF3">
            <w:pPr>
              <w:spacing w:after="0"/>
              <w:rPr>
                <w:rFonts w:cs="Arial"/>
                <w:color w:val="000000"/>
                <w:szCs w:val="17"/>
              </w:rPr>
            </w:pPr>
            <w:r>
              <w:t>0</w:t>
            </w:r>
          </w:p>
        </w:tc>
      </w:tr>
      <w:tr w:rsidR="003816C4" w:rsidRPr="002F50BA" w14:paraId="3EFEE6B1" w14:textId="77777777" w:rsidTr="00051913">
        <w:trPr>
          <w:trHeight w:val="341"/>
        </w:trPr>
        <w:tc>
          <w:tcPr>
            <w:tcW w:w="4661" w:type="dxa"/>
          </w:tcPr>
          <w:p w14:paraId="14F76D6A" w14:textId="0D13E71B" w:rsidR="003816C4" w:rsidRPr="00893EB3" w:rsidRDefault="007362D8" w:rsidP="00021EF3">
            <w:pPr>
              <w:rPr>
                <w:rFonts w:cs="Arial"/>
                <w:szCs w:val="17"/>
              </w:rPr>
            </w:pPr>
            <w:r w:rsidRPr="00581460">
              <w:t>Financial and Insurance Services</w:t>
            </w:r>
          </w:p>
        </w:tc>
        <w:tc>
          <w:tcPr>
            <w:tcW w:w="4661" w:type="dxa"/>
          </w:tcPr>
          <w:p w14:paraId="732D3D38" w14:textId="07B6FEA1" w:rsidR="003816C4" w:rsidRPr="00893EB3" w:rsidRDefault="00776D9C" w:rsidP="00021EF3">
            <w:pPr>
              <w:spacing w:after="0"/>
              <w:rPr>
                <w:rFonts w:cs="Arial"/>
                <w:color w:val="000000"/>
                <w:szCs w:val="17"/>
              </w:rPr>
            </w:pPr>
            <w:r w:rsidRPr="00D150C7">
              <w:t>0</w:t>
            </w:r>
          </w:p>
        </w:tc>
      </w:tr>
      <w:tr w:rsidR="003816C4" w:rsidRPr="002F50BA" w14:paraId="15AA53D3" w14:textId="77777777" w:rsidTr="00051913">
        <w:trPr>
          <w:trHeight w:val="341"/>
        </w:trPr>
        <w:tc>
          <w:tcPr>
            <w:tcW w:w="4661" w:type="dxa"/>
          </w:tcPr>
          <w:p w14:paraId="53E4EC44" w14:textId="3D61B0CB" w:rsidR="003816C4" w:rsidRPr="00893EB3" w:rsidRDefault="007362D8" w:rsidP="00021EF3">
            <w:pPr>
              <w:rPr>
                <w:rFonts w:cs="Arial"/>
                <w:szCs w:val="17"/>
              </w:rPr>
            </w:pPr>
            <w:r w:rsidRPr="00581460">
              <w:t>Rental, Hiring and Real Estate Services</w:t>
            </w:r>
          </w:p>
        </w:tc>
        <w:tc>
          <w:tcPr>
            <w:tcW w:w="4661" w:type="dxa"/>
          </w:tcPr>
          <w:p w14:paraId="1048CFFD" w14:textId="0998CCE5" w:rsidR="003816C4" w:rsidRPr="00893EB3" w:rsidRDefault="00776D9C" w:rsidP="00021EF3">
            <w:pPr>
              <w:spacing w:after="0"/>
              <w:rPr>
                <w:rFonts w:cs="Arial"/>
                <w:color w:val="000000"/>
                <w:szCs w:val="17"/>
              </w:rPr>
            </w:pPr>
            <w:r w:rsidRPr="00D150C7">
              <w:t>2,611,778</w:t>
            </w:r>
          </w:p>
        </w:tc>
      </w:tr>
      <w:tr w:rsidR="003816C4" w:rsidRPr="002F50BA" w14:paraId="1FE9FA15" w14:textId="77777777" w:rsidTr="00051913">
        <w:trPr>
          <w:trHeight w:val="341"/>
        </w:trPr>
        <w:tc>
          <w:tcPr>
            <w:tcW w:w="4661" w:type="dxa"/>
          </w:tcPr>
          <w:p w14:paraId="425E85A4" w14:textId="06049572" w:rsidR="003816C4" w:rsidRPr="00893EB3" w:rsidRDefault="007362D8" w:rsidP="00021EF3">
            <w:pPr>
              <w:rPr>
                <w:rFonts w:cs="Arial"/>
                <w:szCs w:val="17"/>
              </w:rPr>
            </w:pPr>
            <w:r w:rsidRPr="00581460">
              <w:t>Professional, Scientific and Technical Services</w:t>
            </w:r>
          </w:p>
        </w:tc>
        <w:tc>
          <w:tcPr>
            <w:tcW w:w="4661" w:type="dxa"/>
          </w:tcPr>
          <w:p w14:paraId="3F39C310" w14:textId="7AA49E35" w:rsidR="003816C4" w:rsidRPr="00893EB3" w:rsidRDefault="00776D9C" w:rsidP="00021EF3">
            <w:pPr>
              <w:spacing w:after="0"/>
              <w:rPr>
                <w:rFonts w:cs="Arial"/>
                <w:color w:val="000000"/>
                <w:szCs w:val="17"/>
              </w:rPr>
            </w:pPr>
            <w:r w:rsidRPr="00D150C7" w:rsidDel="00DF0E8E">
              <w:t>2,085,523</w:t>
            </w:r>
          </w:p>
        </w:tc>
      </w:tr>
      <w:tr w:rsidR="003816C4" w:rsidRPr="002F50BA" w14:paraId="6B31E7B9" w14:textId="77777777" w:rsidTr="00051913">
        <w:trPr>
          <w:trHeight w:val="341"/>
        </w:trPr>
        <w:tc>
          <w:tcPr>
            <w:tcW w:w="4661" w:type="dxa"/>
          </w:tcPr>
          <w:p w14:paraId="6E2BC614" w14:textId="26816A8E" w:rsidR="003816C4" w:rsidRPr="00893EB3" w:rsidRDefault="007362D8" w:rsidP="00021EF3">
            <w:pPr>
              <w:rPr>
                <w:rFonts w:cs="Arial"/>
                <w:szCs w:val="17"/>
              </w:rPr>
            </w:pPr>
            <w:r w:rsidRPr="00581460">
              <w:t>Administrative and Support Services</w:t>
            </w:r>
          </w:p>
        </w:tc>
        <w:tc>
          <w:tcPr>
            <w:tcW w:w="4661" w:type="dxa"/>
          </w:tcPr>
          <w:p w14:paraId="205ACDED" w14:textId="3DD1FC9F" w:rsidR="003816C4" w:rsidRPr="00893EB3" w:rsidRDefault="00BF7B27" w:rsidP="00021EF3">
            <w:pPr>
              <w:spacing w:after="0"/>
              <w:rPr>
                <w:rFonts w:cs="Arial"/>
                <w:color w:val="000000"/>
                <w:szCs w:val="17"/>
              </w:rPr>
            </w:pPr>
            <w:r>
              <w:t>0</w:t>
            </w:r>
          </w:p>
        </w:tc>
      </w:tr>
      <w:tr w:rsidR="003816C4" w:rsidRPr="002F50BA" w14:paraId="12CAF9FF" w14:textId="77777777" w:rsidTr="00051913">
        <w:trPr>
          <w:trHeight w:val="341"/>
        </w:trPr>
        <w:tc>
          <w:tcPr>
            <w:tcW w:w="4661" w:type="dxa"/>
          </w:tcPr>
          <w:p w14:paraId="74939439" w14:textId="6172FEDC" w:rsidR="003816C4" w:rsidRPr="00893EB3" w:rsidRDefault="003816C4" w:rsidP="00021EF3">
            <w:pPr>
              <w:rPr>
                <w:rFonts w:cs="Arial"/>
                <w:szCs w:val="17"/>
              </w:rPr>
            </w:pPr>
            <w:r w:rsidRPr="00581460">
              <w:t>Public Administration and Safety</w:t>
            </w:r>
          </w:p>
        </w:tc>
        <w:tc>
          <w:tcPr>
            <w:tcW w:w="4661" w:type="dxa"/>
          </w:tcPr>
          <w:p w14:paraId="5CAA3DD3" w14:textId="1955441C" w:rsidR="003816C4" w:rsidRPr="00893EB3" w:rsidRDefault="00BF7B27" w:rsidP="00021EF3">
            <w:pPr>
              <w:spacing w:after="0"/>
              <w:rPr>
                <w:rFonts w:cs="Arial"/>
                <w:color w:val="000000"/>
                <w:szCs w:val="17"/>
              </w:rPr>
            </w:pPr>
            <w:r>
              <w:t>0</w:t>
            </w:r>
          </w:p>
        </w:tc>
      </w:tr>
      <w:tr w:rsidR="003816C4" w:rsidRPr="002F50BA" w14:paraId="1923C45F" w14:textId="77777777" w:rsidTr="00051913">
        <w:trPr>
          <w:trHeight w:val="341"/>
        </w:trPr>
        <w:tc>
          <w:tcPr>
            <w:tcW w:w="4661" w:type="dxa"/>
          </w:tcPr>
          <w:p w14:paraId="0FE55F6A" w14:textId="32FAA1A2" w:rsidR="003816C4" w:rsidRPr="00893EB3" w:rsidRDefault="007362D8" w:rsidP="00021EF3">
            <w:pPr>
              <w:rPr>
                <w:rFonts w:cs="Arial"/>
                <w:szCs w:val="17"/>
              </w:rPr>
            </w:pPr>
            <w:r w:rsidRPr="00581460">
              <w:t>Education and Training</w:t>
            </w:r>
          </w:p>
        </w:tc>
        <w:tc>
          <w:tcPr>
            <w:tcW w:w="4661" w:type="dxa"/>
          </w:tcPr>
          <w:p w14:paraId="6D8A2CB0" w14:textId="5F7B64F1" w:rsidR="003816C4" w:rsidRPr="00893EB3" w:rsidRDefault="00BF7B27" w:rsidP="00021EF3">
            <w:pPr>
              <w:spacing w:after="0"/>
              <w:rPr>
                <w:rFonts w:cs="Arial"/>
                <w:color w:val="000000"/>
                <w:szCs w:val="17"/>
              </w:rPr>
            </w:pPr>
            <w:r>
              <w:t>0</w:t>
            </w:r>
          </w:p>
        </w:tc>
      </w:tr>
      <w:tr w:rsidR="003816C4" w:rsidRPr="002F50BA" w14:paraId="37BC149C" w14:textId="77777777" w:rsidTr="00051913">
        <w:trPr>
          <w:trHeight w:val="341"/>
        </w:trPr>
        <w:tc>
          <w:tcPr>
            <w:tcW w:w="4661" w:type="dxa"/>
          </w:tcPr>
          <w:p w14:paraId="0C3132E7" w14:textId="27B0707E" w:rsidR="003816C4" w:rsidRPr="00893EB3" w:rsidRDefault="007362D8" w:rsidP="00021EF3">
            <w:pPr>
              <w:rPr>
                <w:rFonts w:cs="Arial"/>
                <w:szCs w:val="17"/>
              </w:rPr>
            </w:pPr>
            <w:r w:rsidRPr="00581460">
              <w:t>Health Care and Social Assistance</w:t>
            </w:r>
          </w:p>
        </w:tc>
        <w:tc>
          <w:tcPr>
            <w:tcW w:w="4661" w:type="dxa"/>
          </w:tcPr>
          <w:p w14:paraId="567A78D8" w14:textId="10978ACC" w:rsidR="003816C4" w:rsidRPr="00893EB3" w:rsidRDefault="00776D9C" w:rsidP="00021EF3">
            <w:pPr>
              <w:spacing w:after="0"/>
              <w:rPr>
                <w:rFonts w:cs="Arial"/>
                <w:color w:val="000000"/>
                <w:szCs w:val="17"/>
              </w:rPr>
            </w:pPr>
            <w:r w:rsidRPr="00D150C7" w:rsidDel="00DF0E8E">
              <w:t>3,885,207</w:t>
            </w:r>
          </w:p>
        </w:tc>
      </w:tr>
      <w:tr w:rsidR="003816C4" w:rsidRPr="002F50BA" w14:paraId="5A26F40D" w14:textId="77777777" w:rsidTr="00051913">
        <w:trPr>
          <w:trHeight w:val="341"/>
        </w:trPr>
        <w:tc>
          <w:tcPr>
            <w:tcW w:w="4661" w:type="dxa"/>
          </w:tcPr>
          <w:p w14:paraId="456F7AB1" w14:textId="26F2FFBA" w:rsidR="003816C4" w:rsidRPr="00893EB3" w:rsidRDefault="007362D8" w:rsidP="00021EF3">
            <w:pPr>
              <w:rPr>
                <w:rFonts w:cs="Arial"/>
                <w:szCs w:val="17"/>
              </w:rPr>
            </w:pPr>
            <w:r w:rsidRPr="00581460">
              <w:t>Arts and Recreation Services</w:t>
            </w:r>
          </w:p>
        </w:tc>
        <w:tc>
          <w:tcPr>
            <w:tcW w:w="4661" w:type="dxa"/>
          </w:tcPr>
          <w:p w14:paraId="60C29FDB" w14:textId="47C82456" w:rsidR="003816C4" w:rsidRPr="00893EB3" w:rsidRDefault="00BF7B27" w:rsidP="00021EF3">
            <w:pPr>
              <w:spacing w:after="0"/>
              <w:rPr>
                <w:rFonts w:cs="Arial"/>
                <w:color w:val="000000"/>
                <w:szCs w:val="17"/>
              </w:rPr>
            </w:pPr>
            <w:r>
              <w:t>0</w:t>
            </w:r>
          </w:p>
        </w:tc>
      </w:tr>
      <w:tr w:rsidR="003816C4" w:rsidRPr="002F50BA" w14:paraId="0005B21C" w14:textId="77777777" w:rsidTr="00051913">
        <w:trPr>
          <w:trHeight w:val="341"/>
        </w:trPr>
        <w:tc>
          <w:tcPr>
            <w:tcW w:w="4661" w:type="dxa"/>
          </w:tcPr>
          <w:p w14:paraId="236D8B2A" w14:textId="3E659118" w:rsidR="003816C4" w:rsidRPr="00893EB3" w:rsidRDefault="007362D8" w:rsidP="00021EF3">
            <w:pPr>
              <w:rPr>
                <w:rFonts w:cs="Arial"/>
                <w:szCs w:val="17"/>
              </w:rPr>
            </w:pPr>
            <w:r w:rsidRPr="00581460">
              <w:t>Other Services</w:t>
            </w:r>
          </w:p>
        </w:tc>
        <w:tc>
          <w:tcPr>
            <w:tcW w:w="4661" w:type="dxa"/>
          </w:tcPr>
          <w:p w14:paraId="3C808813" w14:textId="20B47B12" w:rsidR="003816C4" w:rsidRPr="00893EB3" w:rsidRDefault="00776D9C" w:rsidP="00021EF3">
            <w:pPr>
              <w:spacing w:after="0"/>
              <w:rPr>
                <w:rFonts w:cs="Arial"/>
                <w:color w:val="000000"/>
                <w:szCs w:val="17"/>
              </w:rPr>
            </w:pPr>
            <w:r w:rsidRPr="00D150C7" w:rsidDel="00DF0E8E">
              <w:t>2,784,711</w:t>
            </w:r>
          </w:p>
        </w:tc>
      </w:tr>
    </w:tbl>
    <w:p w14:paraId="6B534DCC" w14:textId="27AD7997" w:rsidR="00285ADE" w:rsidRPr="00025B99" w:rsidRDefault="00DF0E8E" w:rsidP="00021EF3">
      <w:pPr>
        <w:pStyle w:val="Source"/>
      </w:pPr>
      <w:r>
        <w:t>Source: Deloitte Access Economic</w:t>
      </w:r>
      <w:r w:rsidR="003A52E8">
        <w:t>s</w:t>
      </w:r>
      <w:r w:rsidR="00792D18">
        <w:t>.</w:t>
      </w:r>
    </w:p>
    <w:p w14:paraId="069F9BAF" w14:textId="77777777" w:rsidR="00C75B0D" w:rsidRDefault="00025B99" w:rsidP="00021EF3">
      <w:pPr>
        <w:pStyle w:val="Appendixhead2"/>
      </w:pPr>
      <w:bookmarkStart w:id="512" w:name="_Toc173915928"/>
      <w:bookmarkStart w:id="513" w:name="_Toc174118186"/>
      <w:bookmarkStart w:id="514" w:name="_Toc176516308"/>
      <w:r w:rsidRPr="00BD2AFC">
        <w:rPr>
          <w:rStyle w:val="Heading2Char"/>
          <w:b/>
        </w:rPr>
        <w:t>Wellbeing</w:t>
      </w:r>
      <w:bookmarkEnd w:id="512"/>
      <w:bookmarkEnd w:id="513"/>
      <w:bookmarkEnd w:id="514"/>
      <w:r w:rsidRPr="00025B99">
        <w:t xml:space="preserve"> </w:t>
      </w:r>
    </w:p>
    <w:p w14:paraId="24F923DD" w14:textId="51DBB0F5" w:rsidR="004F5476" w:rsidRDefault="000743C5" w:rsidP="00021EF3">
      <w:r>
        <w:t>T</w:t>
      </w:r>
      <w:r w:rsidR="00025B99" w:rsidRPr="00025B99">
        <w:t xml:space="preserve">he impact of the grants on the wellbeing of business owners and sole traders was assessed by using data from </w:t>
      </w:r>
      <w:r w:rsidR="00EF03E2">
        <w:t>the HILDA</w:t>
      </w:r>
      <w:r w:rsidR="00025B99" w:rsidRPr="00025B99" w:rsidDel="00EF03E2">
        <w:t xml:space="preserve"> </w:t>
      </w:r>
      <w:r w:rsidR="00EF03E2">
        <w:t>s</w:t>
      </w:r>
      <w:r w:rsidR="00025B99" w:rsidRPr="00025B99">
        <w:t xml:space="preserve">urvey. Comparisons were made across employment characteristics and geographies. </w:t>
      </w:r>
    </w:p>
    <w:p w14:paraId="4B1894D6" w14:textId="2653054D" w:rsidR="00751CD6" w:rsidRDefault="002D545C" w:rsidP="00021EF3">
      <w:r>
        <w:t xml:space="preserve">The data from </w:t>
      </w:r>
      <w:r w:rsidR="0080559C">
        <w:t xml:space="preserve">the </w:t>
      </w:r>
      <w:r>
        <w:t xml:space="preserve">HILDA </w:t>
      </w:r>
      <w:r w:rsidR="0080559C">
        <w:t xml:space="preserve">survey </w:t>
      </w:r>
      <w:r w:rsidR="000C727D">
        <w:t xml:space="preserve">indicates that </w:t>
      </w:r>
      <w:r w:rsidR="00303CC4">
        <w:t>in 2021</w:t>
      </w:r>
      <w:r w:rsidR="00344F8C">
        <w:t>,</w:t>
      </w:r>
      <w:r w:rsidR="00303CC4">
        <w:t xml:space="preserve"> overall life satisfaction amongst </w:t>
      </w:r>
      <w:r w:rsidR="00FC1D36">
        <w:t xml:space="preserve">Victorian </w:t>
      </w:r>
      <w:r w:rsidR="00344F8C">
        <w:t>e</w:t>
      </w:r>
      <w:r w:rsidR="00FC1D36">
        <w:t xml:space="preserve">mployers and </w:t>
      </w:r>
      <w:r w:rsidR="00290CC3">
        <w:t xml:space="preserve">employees of their </w:t>
      </w:r>
      <w:r w:rsidR="00060E72">
        <w:t>own business</w:t>
      </w:r>
      <w:r w:rsidR="00B9613A">
        <w:t xml:space="preserve">es </w:t>
      </w:r>
      <w:r w:rsidR="006645D8">
        <w:t>was lower than the rest of Australia</w:t>
      </w:r>
      <w:r w:rsidR="00344F8C">
        <w:t xml:space="preserve"> (see </w:t>
      </w:r>
      <w:r w:rsidR="00344F8C">
        <w:fldChar w:fldCharType="begin"/>
      </w:r>
      <w:r w:rsidR="00344F8C">
        <w:instrText xml:space="preserve"> REF _Ref173848641 \r \h </w:instrText>
      </w:r>
      <w:r w:rsidR="00021EF3">
        <w:instrText xml:space="preserve"> \* MERGEFORMAT </w:instrText>
      </w:r>
      <w:r w:rsidR="00344F8C">
        <w:fldChar w:fldCharType="separate"/>
      </w:r>
      <w:r w:rsidR="0016271C">
        <w:t>Chart A.2</w:t>
      </w:r>
      <w:r w:rsidR="00344F8C">
        <w:fldChar w:fldCharType="end"/>
      </w:r>
      <w:r w:rsidR="00344F8C">
        <w:t>)</w:t>
      </w:r>
      <w:r w:rsidR="006645D8">
        <w:t xml:space="preserve">. </w:t>
      </w:r>
      <w:r w:rsidR="00E2245F">
        <w:t>This</w:t>
      </w:r>
      <w:r w:rsidR="00E2245F" w:rsidDel="006A53A6">
        <w:t xml:space="preserve"> </w:t>
      </w:r>
      <w:r w:rsidR="006A53A6">
        <w:t>was</w:t>
      </w:r>
      <w:r w:rsidR="00E2245F">
        <w:t xml:space="preserve"> also reflected in </w:t>
      </w:r>
      <w:r w:rsidR="0086723E">
        <w:t xml:space="preserve">the mental health of business owners and employees of their own businesses. </w:t>
      </w:r>
    </w:p>
    <w:p w14:paraId="788751CD" w14:textId="2952DE05" w:rsidR="007C166F" w:rsidRDefault="007C166F" w:rsidP="00021EF3">
      <w:r>
        <w:t xml:space="preserve">There </w:t>
      </w:r>
      <w:r w:rsidR="006A53A6">
        <w:t xml:space="preserve">was </w:t>
      </w:r>
      <w:r>
        <w:t xml:space="preserve">a clear downward trend in </w:t>
      </w:r>
      <w:r w:rsidR="00344F8C">
        <w:t xml:space="preserve">the </w:t>
      </w:r>
      <w:r>
        <w:t xml:space="preserve">mental health </w:t>
      </w:r>
      <w:r w:rsidR="00344F8C">
        <w:t xml:space="preserve">of Victorian employers </w:t>
      </w:r>
      <w:r w:rsidR="00DC7A0D">
        <w:t>between</w:t>
      </w:r>
      <w:r>
        <w:t xml:space="preserve"> 2019 and 2021</w:t>
      </w:r>
      <w:r w:rsidR="004C28D4">
        <w:t xml:space="preserve"> in Victoria, with this trend </w:t>
      </w:r>
      <w:r w:rsidR="00D2688E">
        <w:t>also present among Victorian employees</w:t>
      </w:r>
      <w:r w:rsidR="006A53A6">
        <w:t xml:space="preserve"> (see </w:t>
      </w:r>
      <w:r w:rsidR="006A53A6">
        <w:fldChar w:fldCharType="begin"/>
      </w:r>
      <w:r w:rsidR="006A53A6">
        <w:instrText xml:space="preserve"> REF _Ref173848681 \r \h </w:instrText>
      </w:r>
      <w:r w:rsidR="00021EF3">
        <w:instrText xml:space="preserve"> \* MERGEFORMAT </w:instrText>
      </w:r>
      <w:r w:rsidR="006A53A6">
        <w:fldChar w:fldCharType="separate"/>
      </w:r>
      <w:r w:rsidR="0016271C">
        <w:t>Chart A.3</w:t>
      </w:r>
      <w:r w:rsidR="006A53A6">
        <w:fldChar w:fldCharType="end"/>
      </w:r>
      <w:r w:rsidR="006A53A6">
        <w:t>)</w:t>
      </w:r>
      <w:r w:rsidR="00D2688E">
        <w:t xml:space="preserve">. </w:t>
      </w:r>
      <w:r w:rsidR="00BF6CA6">
        <w:t>A similar but we</w:t>
      </w:r>
      <w:r w:rsidR="00C45286">
        <w:t xml:space="preserve">aker downward trend was observed in job stress concerns (see </w:t>
      </w:r>
      <w:r w:rsidR="00C45286">
        <w:fldChar w:fldCharType="begin"/>
      </w:r>
      <w:r w:rsidR="00C45286">
        <w:instrText xml:space="preserve"> REF _Ref173848791 \r \h </w:instrText>
      </w:r>
      <w:r w:rsidR="00021EF3">
        <w:instrText xml:space="preserve"> \* MERGEFORMAT </w:instrText>
      </w:r>
      <w:r w:rsidR="00C45286">
        <w:fldChar w:fldCharType="separate"/>
      </w:r>
      <w:r w:rsidR="0016271C">
        <w:t>Chart A.4</w:t>
      </w:r>
      <w:r w:rsidR="00C45286">
        <w:fldChar w:fldCharType="end"/>
      </w:r>
      <w:r w:rsidR="00C45286">
        <w:t>)</w:t>
      </w:r>
      <w:r w:rsidR="00F96382">
        <w:t>.</w:t>
      </w:r>
      <w:r w:rsidR="00D2688E">
        <w:t xml:space="preserve"> </w:t>
      </w:r>
      <w:r w:rsidR="000346CC">
        <w:t xml:space="preserve">The deterioration in mental health and life satisfaction can likely be explained by </w:t>
      </w:r>
      <w:r w:rsidR="00A34789">
        <w:t xml:space="preserve">significant impact of </w:t>
      </w:r>
      <w:r w:rsidR="00C16E20">
        <w:t xml:space="preserve">the </w:t>
      </w:r>
      <w:r w:rsidR="00A34789">
        <w:t xml:space="preserve">COVID-19 </w:t>
      </w:r>
      <w:r w:rsidR="00C16E20">
        <w:t>pandemic</w:t>
      </w:r>
      <w:r w:rsidR="00A34789">
        <w:t xml:space="preserve"> and the associated public health restrictions, which impacted Victoria </w:t>
      </w:r>
      <w:r w:rsidR="00344F8C">
        <w:t xml:space="preserve">relatively </w:t>
      </w:r>
      <w:r w:rsidR="00A34789">
        <w:t xml:space="preserve">more than the rest of Australia. </w:t>
      </w:r>
    </w:p>
    <w:p w14:paraId="47D754B8" w14:textId="5E336B09" w:rsidR="004B4B54" w:rsidRDefault="004B4B54" w:rsidP="00021EF3">
      <w:r>
        <w:t xml:space="preserve">Given the overall downwards trend of </w:t>
      </w:r>
      <w:r w:rsidR="00CD6D8C">
        <w:t>mental health</w:t>
      </w:r>
      <w:r w:rsidR="00344F8C">
        <w:t>.</w:t>
      </w:r>
      <w:r w:rsidR="00CD6D8C">
        <w:t xml:space="preserve"> </w:t>
      </w:r>
      <w:r w:rsidR="00AE7AA3">
        <w:t xml:space="preserve">it is difficult to </w:t>
      </w:r>
      <w:r w:rsidR="002A2ABC">
        <w:t>identify any impact from the grants, particularly as the evaluation was not able to identify treated individuals in the sample.</w:t>
      </w:r>
    </w:p>
    <w:p w14:paraId="6737CE25" w14:textId="6904989F" w:rsidR="00E44837" w:rsidRDefault="00E44837" w:rsidP="00021EF3">
      <w:pPr>
        <w:pStyle w:val="AppendixChartCaption"/>
      </w:pPr>
      <w:bookmarkStart w:id="515" w:name="_Ref173848641"/>
      <w:r>
        <w:lastRenderedPageBreak/>
        <w:t xml:space="preserve">: </w:t>
      </w:r>
      <w:r w:rsidR="003E1ED1">
        <w:t>Self</w:t>
      </w:r>
      <w:r w:rsidR="00344F8C">
        <w:t>-reported</w:t>
      </w:r>
      <w:r w:rsidR="003E1ED1">
        <w:t xml:space="preserve"> life satisfaction by state and employment status </w:t>
      </w:r>
      <w:r w:rsidR="00541D86">
        <w:t>(</w:t>
      </w:r>
      <w:r w:rsidR="00462EC4">
        <w:t>scale 1-10)</w:t>
      </w:r>
      <w:bookmarkEnd w:id="515"/>
      <w:r w:rsidR="007D4C0A">
        <w:t>.</w:t>
      </w:r>
    </w:p>
    <w:p w14:paraId="01640A14" w14:textId="0C58F5AF" w:rsidR="004F74EA" w:rsidRPr="00025B99" w:rsidRDefault="0091116E" w:rsidP="00021EF3">
      <w:r>
        <w:rPr>
          <w:noProof/>
        </w:rPr>
        <w:drawing>
          <wp:inline distT="0" distB="0" distL="0" distR="0" wp14:anchorId="4BD5F1F2" wp14:editId="655251EB">
            <wp:extent cx="5760000" cy="2880000"/>
            <wp:effectExtent l="0" t="0" r="0" b="0"/>
            <wp:docPr id="23" name="Chart 23" descr="This grouped column chart demonstrates the self-reported life satisfaction on a scale of 1-10 by state and employment status from 2019 to 2020. Victorian employees of their own business reported a drop in life satisfaction from 8.15 in 2019 to 7.92 in 2021, while Victorian employers/self-employed respondents reported relatively steady life satisfaction at a score of 8 over the three years. In 2021, the life satisfaction of other states employees of own business or employer/self-employed were higher than that in Victoria, at 8.17 for employees of own business in other states compared to 7.2 in Victoria, and 8.05 for employers/self-employed in other states compared to 7.97 in Victoria.">
              <a:extLst xmlns:a="http://schemas.openxmlformats.org/drawingml/2006/main">
                <a:ext uri="{FF2B5EF4-FFF2-40B4-BE49-F238E27FC236}">
                  <a16:creationId xmlns:a16="http://schemas.microsoft.com/office/drawing/2014/main" id="{2ED66638-59DB-875C-1258-9915DC558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F119D39" w14:textId="5A14F55D" w:rsidR="0042741F" w:rsidRPr="002E5B9A" w:rsidRDefault="0042741F" w:rsidP="00021EF3">
      <w:pPr>
        <w:pStyle w:val="Source"/>
      </w:pPr>
      <w:r w:rsidRPr="002E5B9A">
        <w:t xml:space="preserve">Source: </w:t>
      </w:r>
      <w:r w:rsidRPr="00792D18">
        <w:t>HILDA</w:t>
      </w:r>
      <w:r w:rsidRPr="002E5B9A">
        <w:t xml:space="preserve"> Survey</w:t>
      </w:r>
      <w:r w:rsidR="00C02F9D">
        <w:t>.</w:t>
      </w:r>
    </w:p>
    <w:p w14:paraId="5B04E670" w14:textId="12E33BE0" w:rsidR="00462EC4" w:rsidRDefault="00462EC4" w:rsidP="00021EF3">
      <w:pPr>
        <w:pStyle w:val="AppendixChartCaption"/>
      </w:pPr>
      <w:bookmarkStart w:id="516" w:name="_Ref173848681"/>
      <w:r>
        <w:t xml:space="preserve">: </w:t>
      </w:r>
      <w:r w:rsidR="0031531B">
        <w:t xml:space="preserve">Mental health score </w:t>
      </w:r>
      <w:r w:rsidR="00E2245F">
        <w:t>(out of 100)</w:t>
      </w:r>
      <w:bookmarkEnd w:id="516"/>
      <w:r w:rsidR="007D4C0A">
        <w:t>.</w:t>
      </w:r>
    </w:p>
    <w:p w14:paraId="1C44A097" w14:textId="7A4DACBB" w:rsidR="0042741F" w:rsidRPr="00025B99" w:rsidRDefault="00541D86" w:rsidP="00021EF3">
      <w:r>
        <w:rPr>
          <w:noProof/>
        </w:rPr>
        <w:drawing>
          <wp:inline distT="0" distB="0" distL="0" distR="0" wp14:anchorId="10E873FA" wp14:editId="313C3D56">
            <wp:extent cx="5731510" cy="3141980"/>
            <wp:effectExtent l="0" t="0" r="2540" b="1270"/>
            <wp:docPr id="32" name="Chart 32" descr="This grouped column chart demonstrates the mental health score of employees and employers in Victoria and in other states out of 100 from 2019 to 2021. Victorian employees of own business dropped from 76 out of 100 in 2019 to 73 in 2021, while other state employees of own business dropped from 79 out of 100 in 2019 to 77 in 2021. This is a slightly smaller drop than Victorians. Similarly Victorian employers/self-employed people experienced a drop in the mental health score from 76.5 in 2019 to 73.4 in 2021 while those in other states remained constant over the three years at approximately 74.">
              <a:extLst xmlns:a="http://schemas.openxmlformats.org/drawingml/2006/main">
                <a:ext uri="{FF2B5EF4-FFF2-40B4-BE49-F238E27FC236}">
                  <a16:creationId xmlns:a16="http://schemas.microsoft.com/office/drawing/2014/main" id="{557AEDAD-A992-7285-CA77-007F011E1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A46B3AF" w14:textId="50AFB02B" w:rsidR="00E2245F" w:rsidRDefault="00E2245F" w:rsidP="00021EF3">
      <w:pPr>
        <w:pStyle w:val="Source"/>
      </w:pPr>
      <w:r w:rsidRPr="002E5B9A">
        <w:t xml:space="preserve">Source: HILDA </w:t>
      </w:r>
      <w:r w:rsidRPr="00792D18">
        <w:t>Survey</w:t>
      </w:r>
      <w:r w:rsidR="00C02F9D">
        <w:t>.</w:t>
      </w:r>
    </w:p>
    <w:p w14:paraId="22C83B0C" w14:textId="7DE36D2A" w:rsidR="00FC0573" w:rsidRDefault="00FC0573" w:rsidP="00021EF3">
      <w:pPr>
        <w:pStyle w:val="AppendixChartCaption"/>
      </w:pPr>
      <w:bookmarkStart w:id="517" w:name="_Ref173848791"/>
      <w:r>
        <w:lastRenderedPageBreak/>
        <w:t xml:space="preserve">: </w:t>
      </w:r>
      <w:r w:rsidR="0096307F" w:rsidRPr="0096307F">
        <w:t>I fear that the amount of stress in my job will make me physically ill</w:t>
      </w:r>
      <w:bookmarkEnd w:id="517"/>
      <w:r w:rsidR="00886F5B">
        <w:t>.</w:t>
      </w:r>
    </w:p>
    <w:p w14:paraId="091E2919" w14:textId="44AB5BDE" w:rsidR="002A2ABC" w:rsidRDefault="00480AED" w:rsidP="00021EF3">
      <w:pPr>
        <w:rPr>
          <w:color w:val="75787B" w:themeColor="accent6"/>
          <w:sz w:val="17"/>
          <w:szCs w:val="17"/>
        </w:rPr>
      </w:pPr>
      <w:r>
        <w:rPr>
          <w:noProof/>
        </w:rPr>
        <w:drawing>
          <wp:inline distT="0" distB="0" distL="0" distR="0" wp14:anchorId="7CF022C5" wp14:editId="6C67C124">
            <wp:extent cx="5731510" cy="3375025"/>
            <wp:effectExtent l="0" t="0" r="2540" b="0"/>
            <wp:docPr id="38" name="Chart 38" descr="This grouped column chart demonstrates the rating of employees and employers in Victoria and in other states out of 10 from 2019 to 2021 for the statement: I fear that the amount of stress in my job will make me physically ill. Victorian employees of own business dropped from approximately 2.4 in 2019 to 2.2 in 2021, while other state employees of own business increased their rating from approximately 2.4 to 2.5 in 2020 and 2.45 in 2021. Similarly Victorian employers/self-employed people experienced a drop in their rating from 2.25 in 2019 to less than 2.1 in 2021 while those in other states increased from 2019-2020 by 0.1.">
              <a:extLst xmlns:a="http://schemas.openxmlformats.org/drawingml/2006/main">
                <a:ext uri="{FF2B5EF4-FFF2-40B4-BE49-F238E27FC236}">
                  <a16:creationId xmlns:a16="http://schemas.microsoft.com/office/drawing/2014/main" id="{92CAD8A1-1248-2B47-F34F-04FE4C37E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2635DD7" w14:textId="413A329C" w:rsidR="0096307F" w:rsidRDefault="0096307F" w:rsidP="00021EF3">
      <w:pPr>
        <w:pStyle w:val="Source"/>
      </w:pPr>
      <w:r w:rsidRPr="002E5B9A">
        <w:t>Source: HILDA Survey</w:t>
      </w:r>
      <w:r w:rsidR="00C02F9D">
        <w:t>.</w:t>
      </w:r>
    </w:p>
    <w:p w14:paraId="2D67DB78" w14:textId="210B17CC" w:rsidR="00BD2AFC" w:rsidRPr="00BD2AFC" w:rsidRDefault="00025B99" w:rsidP="00021EF3">
      <w:pPr>
        <w:pStyle w:val="Appendixhead2"/>
      </w:pPr>
      <w:bookmarkStart w:id="518" w:name="_Toc173915929"/>
      <w:bookmarkStart w:id="519" w:name="_Toc174118187"/>
      <w:bookmarkStart w:id="520" w:name="_Toc176516309"/>
      <w:r w:rsidRPr="00BD2AFC">
        <w:rPr>
          <w:rStyle w:val="Heading2Char"/>
          <w:b/>
        </w:rPr>
        <w:t>Cost coverage</w:t>
      </w:r>
      <w:bookmarkEnd w:id="518"/>
      <w:bookmarkEnd w:id="519"/>
      <w:bookmarkEnd w:id="520"/>
      <w:r w:rsidRPr="00025B99">
        <w:t xml:space="preserve"> </w:t>
      </w:r>
    </w:p>
    <w:p w14:paraId="79EB5094" w14:textId="59EC424B" w:rsidR="00025B99" w:rsidRDefault="00BD2AFC" w:rsidP="00021EF3">
      <w:r>
        <w:t>T</w:t>
      </w:r>
      <w:r w:rsidR="00025B99" w:rsidRPr="00025B99">
        <w:t>he extent to which the grants supported participat</w:t>
      </w:r>
      <w:r w:rsidR="006361A6">
        <w:t>ing</w:t>
      </w:r>
      <w:r w:rsidR="00025B99" w:rsidRPr="00025B99">
        <w:t xml:space="preserve"> business in covering costs during periods of shutdown was examined based on analysis of the ratio of grant revenue per business to estimated business costs over a defined period, using both the program data and ABS National Accounts data. This was also supported by data from the business survey.</w:t>
      </w:r>
    </w:p>
    <w:p w14:paraId="0BEA785E" w14:textId="591D77A5" w:rsidR="00AD677F" w:rsidRPr="00AD677F" w:rsidRDefault="00AD677F" w:rsidP="00021EF3">
      <w:r>
        <w:t>In particular, a</w:t>
      </w:r>
      <w:r w:rsidRPr="00AD677F">
        <w:t xml:space="preserve">nalysis of grant cost coverage by industry was undertaken based on an </w:t>
      </w:r>
      <w:r>
        <w:t>estimate</w:t>
      </w:r>
      <w:r w:rsidRPr="00AD677F">
        <w:t xml:space="preserve"> of </w:t>
      </w:r>
      <w:r>
        <w:t>average costs over restriction periods</w:t>
      </w:r>
      <w:r w:rsidRPr="00AD677F">
        <w:t>, proportionate to the average grant amount by industry:</w:t>
      </w:r>
    </w:p>
    <w:p w14:paraId="3D187089" w14:textId="7013BACA" w:rsidR="00AD677F" w:rsidRPr="00AD677F" w:rsidRDefault="00D66E6B" w:rsidP="00021EF3">
      <w:pPr>
        <w:pStyle w:val="ListBullet"/>
      </w:pPr>
      <w:r>
        <w:t>t</w:t>
      </w:r>
      <w:r w:rsidR="00AD677F" w:rsidRPr="00AD677F">
        <w:t>he assumption of forgone revenue was based on the average revenue per business by industry in 2019</w:t>
      </w:r>
      <w:r w:rsidR="00F32126">
        <w:t>.</w:t>
      </w:r>
    </w:p>
    <w:p w14:paraId="6DA20F0F" w14:textId="1459D398" w:rsidR="00AD677F" w:rsidRPr="00AD677F" w:rsidRDefault="00D66E6B" w:rsidP="00021EF3">
      <w:pPr>
        <w:pStyle w:val="ListBullet"/>
      </w:pPr>
      <w:r>
        <w:t>a</w:t>
      </w:r>
      <w:r w:rsidR="00AD677F" w:rsidRPr="00AD677F">
        <w:t>verage revenue was calculated based on ABS Industry Performance data and ABS Counts of Australian businesses</w:t>
      </w:r>
      <w:r w:rsidR="00F32126">
        <w:t>.</w:t>
      </w:r>
    </w:p>
    <w:p w14:paraId="46870169" w14:textId="0D4C6DA2" w:rsidR="00D66E6B" w:rsidRPr="00893EB3" w:rsidRDefault="00D66E6B" w:rsidP="00021EF3">
      <w:pPr>
        <w:pStyle w:val="ListBullet"/>
      </w:pPr>
      <w:r>
        <w:t>t</w:t>
      </w:r>
      <w:r w:rsidR="00AD677F" w:rsidRPr="00AD677F">
        <w:t>otal industry revenue was adjusted to exclude revenue from large firms ($5</w:t>
      </w:r>
      <w:r>
        <w:t xml:space="preserve"> million or more in</w:t>
      </w:r>
      <w:r w:rsidR="00AD677F" w:rsidRPr="00AD677F">
        <w:t xml:space="preserve"> revenue) to avoid skewing the results</w:t>
      </w:r>
      <w:r w:rsidR="00776305">
        <w:t>.</w:t>
      </w:r>
      <w:r w:rsidR="00776305" w:rsidRPr="00776305">
        <w:rPr>
          <w:rFonts w:asciiTheme="minorHAnsi" w:eastAsiaTheme="minorEastAsia"/>
          <w:color w:val="000000" w:themeColor="text1"/>
          <w:kern w:val="24"/>
          <w:sz w:val="16"/>
          <w:szCs w:val="16"/>
          <w:lang w:val="en-US"/>
        </w:rPr>
        <w:t xml:space="preserve"> </w:t>
      </w:r>
    </w:p>
    <w:p w14:paraId="7D28A3BD" w14:textId="320DAF84" w:rsidR="00AD677F" w:rsidRPr="00AD677F" w:rsidRDefault="00D66E6B" w:rsidP="00021EF3">
      <w:pPr>
        <w:pStyle w:val="ListBullet"/>
      </w:pPr>
      <w:r>
        <w:rPr>
          <w:lang w:val="en-US"/>
        </w:rPr>
        <w:t>t</w:t>
      </w:r>
      <w:r w:rsidR="00776305" w:rsidRPr="00776305">
        <w:rPr>
          <w:lang w:val="en-US"/>
        </w:rPr>
        <w:t>he share of revenue attributed to large firms was calculated as the implied share of revenue of $</w:t>
      </w:r>
      <w:r>
        <w:rPr>
          <w:lang w:val="en-US"/>
        </w:rPr>
        <w:t>5 million or more</w:t>
      </w:r>
      <w:r w:rsidR="00776305" w:rsidRPr="00776305">
        <w:rPr>
          <w:lang w:val="en-US"/>
        </w:rPr>
        <w:t xml:space="preserve"> turnover businesses in the ABS Counts of Australian business by turnover size</w:t>
      </w:r>
      <w:r w:rsidR="00F32126">
        <w:rPr>
          <w:lang w:val="en-US"/>
        </w:rPr>
        <w:t>.</w:t>
      </w:r>
    </w:p>
    <w:p w14:paraId="1B1E7C14" w14:textId="6BF6672F" w:rsidR="00AD677F" w:rsidRPr="00AD677F" w:rsidRDefault="00D66E6B" w:rsidP="00021EF3">
      <w:pPr>
        <w:pStyle w:val="ListBullet"/>
      </w:pPr>
      <w:r>
        <w:t>t</w:t>
      </w:r>
      <w:r w:rsidR="00AD677F" w:rsidRPr="00AD677F">
        <w:t xml:space="preserve">otal industry revenue </w:t>
      </w:r>
      <w:r>
        <w:t>was</w:t>
      </w:r>
      <w:r w:rsidR="00AD677F" w:rsidRPr="00AD677F">
        <w:t xml:space="preserve"> then adjusted to account for the portion associated with costs such as intermediate goods and services, wages and production taxes (profit excluded)</w:t>
      </w:r>
      <w:r w:rsidR="008406D9">
        <w:t xml:space="preserve"> based on ABS Input Output Tables</w:t>
      </w:r>
      <w:r w:rsidR="00F32126">
        <w:t>.</w:t>
      </w:r>
    </w:p>
    <w:p w14:paraId="7B8ACCD3" w14:textId="34677F6F" w:rsidR="00AD677F" w:rsidRDefault="008406D9" w:rsidP="00021EF3">
      <w:pPr>
        <w:pStyle w:val="ListBullet"/>
      </w:pPr>
      <w:r>
        <w:t>t</w:t>
      </w:r>
      <w:r w:rsidR="00AD677F" w:rsidRPr="00AD677F">
        <w:t>he assumptions of average revenue directed towards costs per business were then converted to a daily figure so that it could be compared over the timeframe for which Victoria was under lockdown restrictions</w:t>
      </w:r>
      <w:r w:rsidR="00F32126">
        <w:t>.</w:t>
      </w:r>
    </w:p>
    <w:p w14:paraId="78D37C31" w14:textId="6679FF6A" w:rsidR="00AD677F" w:rsidRPr="00AD677F" w:rsidRDefault="002C5F2F" w:rsidP="00021EF3">
      <w:pPr>
        <w:pStyle w:val="AppendixFigureCaption"/>
      </w:pPr>
      <w:r>
        <w:t>: Calculation of % cost coverage</w:t>
      </w:r>
      <w:r w:rsidR="009136CE">
        <w:t>.</w:t>
      </w:r>
    </w:p>
    <w:p w14:paraId="4181EA82" w14:textId="465E7904" w:rsidR="00AD677F" w:rsidRDefault="002C5F2F" w:rsidP="00021EF3">
      <w:r>
        <w:rPr>
          <w:noProof/>
        </w:rPr>
        <w:drawing>
          <wp:inline distT="0" distB="0" distL="0" distR="0" wp14:anchorId="031DAE04" wp14:editId="791E57DC">
            <wp:extent cx="4581525" cy="1000287"/>
            <wp:effectExtent l="0" t="0" r="0" b="9525"/>
            <wp:docPr id="1489793625" name="Picture 1489793625" descr="This figure shows the method used to calculate the percentage of cost coverage. The cost covered is equal to the average daily revenue multiplied by the revenue share used for costs multiplied by the number of days in lockdown. The average grant amount is divided by these costs covered to establish the percentage of cost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25" name="Picture 1489793625" descr="This figure shows the method used to calculate the percentage of cost coverage. The cost covered is equal to the average daily revenue multiplied by the revenue share used for costs multiplied by the number of days in lockdown. The average grant amount is divided by these costs covered to establish the percentage of cost cover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0518" cy="1010984"/>
                    </a:xfrm>
                    <a:prstGeom prst="rect">
                      <a:avLst/>
                    </a:prstGeom>
                    <a:noFill/>
                  </pic:spPr>
                </pic:pic>
              </a:graphicData>
            </a:graphic>
          </wp:inline>
        </w:drawing>
      </w:r>
    </w:p>
    <w:p w14:paraId="2F832833" w14:textId="00F7777A" w:rsidR="002C5F2F" w:rsidRDefault="002C5F2F" w:rsidP="00021EF3">
      <w:pPr>
        <w:pStyle w:val="Source"/>
      </w:pPr>
      <w:r>
        <w:t>Source: Deloitte Access Economics</w:t>
      </w:r>
      <w:r w:rsidR="008406D9">
        <w:t>.</w:t>
      </w:r>
    </w:p>
    <w:p w14:paraId="0FCA7EC0" w14:textId="46EF93FF" w:rsidR="006F70E9" w:rsidRDefault="006F70E9" w:rsidP="00021EF3">
      <w:r>
        <w:lastRenderedPageBreak/>
        <w:t>The results were as follows:</w:t>
      </w:r>
    </w:p>
    <w:p w14:paraId="3B75693A" w14:textId="6C8174AC" w:rsidR="00C97CD3" w:rsidRDefault="00C97CD3" w:rsidP="00021EF3">
      <w:pPr>
        <w:pStyle w:val="AppendixTableCaption"/>
      </w:pPr>
      <w:r>
        <w:t>:</w:t>
      </w:r>
      <w:r w:rsidR="009E08F1" w:rsidRPr="009E08F1">
        <w:rPr>
          <w:rFonts w:eastAsiaTheme="minorHAnsi" w:cstheme="minorBidi"/>
          <w:color w:val="auto"/>
          <w:sz w:val="18"/>
          <w:szCs w:val="18"/>
          <w:lang w:eastAsia="en-US"/>
        </w:rPr>
        <w:t xml:space="preserve"> </w:t>
      </w:r>
      <w:r w:rsidR="009E08F1" w:rsidRPr="009E08F1">
        <w:t>Proportion of average revenue covered by the grants, based on 2019 average revenue, average grant amounts and average duration of payments by industry</w:t>
      </w:r>
      <w:r w:rsidR="009136CE">
        <w:t>.</w:t>
      </w:r>
    </w:p>
    <w:tbl>
      <w:tblPr>
        <w:tblStyle w:val="Deloittetable"/>
        <w:tblW w:w="9255" w:type="dxa"/>
        <w:tblLook w:val="0420" w:firstRow="1" w:lastRow="0" w:firstColumn="0" w:lastColumn="0" w:noHBand="0" w:noVBand="1"/>
      </w:tblPr>
      <w:tblGrid>
        <w:gridCol w:w="5417"/>
        <w:gridCol w:w="1919"/>
        <w:gridCol w:w="1919"/>
      </w:tblGrid>
      <w:tr w:rsidR="00E17778" w:rsidRPr="00704E6A" w14:paraId="6B13EBE9" w14:textId="77777777" w:rsidTr="00893EB3">
        <w:trPr>
          <w:cnfStyle w:val="100000000000" w:firstRow="1" w:lastRow="0" w:firstColumn="0" w:lastColumn="0" w:oddVBand="0" w:evenVBand="0" w:oddHBand="0" w:evenHBand="0" w:firstRowFirstColumn="0" w:firstRowLastColumn="0" w:lastRowFirstColumn="0" w:lastRowLastColumn="0"/>
          <w:trHeight w:val="20"/>
        </w:trPr>
        <w:tc>
          <w:tcPr>
            <w:tcW w:w="0" w:type="dxa"/>
            <w:hideMark/>
          </w:tcPr>
          <w:p w14:paraId="586905EF" w14:textId="3CFEEE45" w:rsidR="00E17778" w:rsidRPr="00893EB3" w:rsidRDefault="00E17778" w:rsidP="00021EF3">
            <w:pPr>
              <w:spacing w:after="0"/>
              <w:rPr>
                <w:rFonts w:eastAsia="Times New Roman" w:cs="Arial"/>
                <w:b/>
                <w:szCs w:val="17"/>
                <w:lang w:eastAsia="en-AU"/>
              </w:rPr>
            </w:pPr>
            <w:r w:rsidRPr="00893EB3">
              <w:rPr>
                <w:rFonts w:eastAsia="Times New Roman" w:cs="Arial"/>
                <w:b/>
                <w:lang w:eastAsia="en-AU"/>
              </w:rPr>
              <w:t>Industry</w:t>
            </w:r>
          </w:p>
        </w:tc>
        <w:tc>
          <w:tcPr>
            <w:tcW w:w="0" w:type="dxa"/>
            <w:hideMark/>
          </w:tcPr>
          <w:p w14:paraId="5015980F" w14:textId="0DD86C33" w:rsidR="00E17778" w:rsidRPr="00893EB3" w:rsidRDefault="00E17778" w:rsidP="00021EF3">
            <w:pPr>
              <w:spacing w:after="0"/>
              <w:rPr>
                <w:rFonts w:eastAsia="Times New Roman" w:cs="Arial"/>
                <w:b/>
                <w:sz w:val="18"/>
                <w:szCs w:val="17"/>
                <w:lang w:eastAsia="en-AU"/>
              </w:rPr>
            </w:pPr>
            <w:r w:rsidRPr="00893EB3">
              <w:rPr>
                <w:rFonts w:eastAsia="Calibri Light" w:cs="Arial"/>
                <w:b/>
                <w:kern w:val="24"/>
                <w:lang w:val="en-GB" w:eastAsia="en-AU"/>
              </w:rPr>
              <w:t>BCAP</w:t>
            </w:r>
          </w:p>
        </w:tc>
        <w:tc>
          <w:tcPr>
            <w:tcW w:w="0" w:type="dxa"/>
            <w:hideMark/>
          </w:tcPr>
          <w:p w14:paraId="6777696A" w14:textId="2BD9D213" w:rsidR="00E17778" w:rsidRPr="00893EB3" w:rsidRDefault="00E17778" w:rsidP="00021EF3">
            <w:pPr>
              <w:spacing w:after="0"/>
              <w:rPr>
                <w:rFonts w:eastAsia="Times New Roman" w:cs="Arial"/>
                <w:b/>
                <w:szCs w:val="17"/>
                <w:lang w:eastAsia="en-AU"/>
              </w:rPr>
            </w:pPr>
            <w:r w:rsidRPr="00893EB3">
              <w:rPr>
                <w:rFonts w:eastAsia="Calibri Light" w:cs="Arial"/>
                <w:b/>
                <w:kern w:val="24"/>
                <w:lang w:val="en-GB" w:eastAsia="en-AU"/>
              </w:rPr>
              <w:t>LH</w:t>
            </w:r>
            <w:r w:rsidRPr="008D2E61">
              <w:rPr>
                <w:rFonts w:eastAsia="Calibri Light" w:cs="Arial"/>
                <w:b/>
                <w:kern w:val="24"/>
                <w:szCs w:val="17"/>
                <w:lang w:val="en-GB" w:eastAsia="en-AU"/>
              </w:rPr>
              <w:t>VF</w:t>
            </w:r>
          </w:p>
        </w:tc>
      </w:tr>
      <w:tr w:rsidR="00E17778" w:rsidRPr="00704E6A" w14:paraId="4FBA0026" w14:textId="77777777" w:rsidTr="00893EB3">
        <w:trPr>
          <w:trHeight w:val="20"/>
        </w:trPr>
        <w:tc>
          <w:tcPr>
            <w:tcW w:w="0" w:type="dxa"/>
            <w:hideMark/>
          </w:tcPr>
          <w:p w14:paraId="764E32C4"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Agriculture, Forestry and Fishing</w:t>
            </w:r>
          </w:p>
        </w:tc>
        <w:tc>
          <w:tcPr>
            <w:tcW w:w="0" w:type="dxa"/>
            <w:hideMark/>
          </w:tcPr>
          <w:p w14:paraId="30FE836A"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39.4%</w:t>
            </w:r>
          </w:p>
        </w:tc>
        <w:tc>
          <w:tcPr>
            <w:tcW w:w="0" w:type="dxa"/>
            <w:hideMark/>
          </w:tcPr>
          <w:p w14:paraId="2F0436E0"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77.0%</w:t>
            </w:r>
          </w:p>
        </w:tc>
      </w:tr>
      <w:tr w:rsidR="00E17778" w:rsidRPr="00704E6A" w14:paraId="594529F3" w14:textId="77777777" w:rsidTr="00893EB3">
        <w:trPr>
          <w:trHeight w:val="20"/>
        </w:trPr>
        <w:tc>
          <w:tcPr>
            <w:tcW w:w="0" w:type="dxa"/>
            <w:hideMark/>
          </w:tcPr>
          <w:p w14:paraId="2DA4844D"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val="en-US" w:eastAsia="en-AU"/>
              </w:rPr>
              <w:t>Mining</w:t>
            </w:r>
          </w:p>
        </w:tc>
        <w:tc>
          <w:tcPr>
            <w:tcW w:w="0" w:type="dxa"/>
            <w:hideMark/>
          </w:tcPr>
          <w:p w14:paraId="1B74574A"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b/>
                <w:kern w:val="24"/>
                <w:sz w:val="18"/>
                <w:szCs w:val="17"/>
                <w:lang w:eastAsia="en-AU"/>
              </w:rPr>
              <w:t>*</w:t>
            </w:r>
          </w:p>
        </w:tc>
        <w:tc>
          <w:tcPr>
            <w:tcW w:w="0" w:type="dxa"/>
            <w:hideMark/>
          </w:tcPr>
          <w:p w14:paraId="59457923"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w:t>
            </w:r>
          </w:p>
        </w:tc>
      </w:tr>
      <w:tr w:rsidR="00E17778" w:rsidRPr="00704E6A" w14:paraId="63075A7A" w14:textId="77777777" w:rsidTr="00893EB3">
        <w:trPr>
          <w:trHeight w:val="20"/>
        </w:trPr>
        <w:tc>
          <w:tcPr>
            <w:tcW w:w="0" w:type="dxa"/>
            <w:hideMark/>
          </w:tcPr>
          <w:p w14:paraId="4D67413E"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Manufacturing</w:t>
            </w:r>
          </w:p>
        </w:tc>
        <w:tc>
          <w:tcPr>
            <w:tcW w:w="0" w:type="dxa"/>
            <w:hideMark/>
          </w:tcPr>
          <w:p w14:paraId="0D3ECBEE"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5.6%</w:t>
            </w:r>
          </w:p>
        </w:tc>
        <w:tc>
          <w:tcPr>
            <w:tcW w:w="0" w:type="dxa"/>
            <w:hideMark/>
          </w:tcPr>
          <w:p w14:paraId="3D222C39"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10.3%</w:t>
            </w:r>
          </w:p>
        </w:tc>
      </w:tr>
      <w:tr w:rsidR="00E17778" w:rsidRPr="00704E6A" w14:paraId="4FCE501B" w14:textId="77777777" w:rsidTr="00893EB3">
        <w:trPr>
          <w:trHeight w:val="20"/>
        </w:trPr>
        <w:tc>
          <w:tcPr>
            <w:tcW w:w="0" w:type="dxa"/>
            <w:hideMark/>
          </w:tcPr>
          <w:p w14:paraId="2C26D702"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val="en-GB" w:eastAsia="en-AU"/>
              </w:rPr>
              <w:t>Electricity, Gas, Water and Waste Services</w:t>
            </w:r>
          </w:p>
        </w:tc>
        <w:tc>
          <w:tcPr>
            <w:tcW w:w="0" w:type="dxa"/>
            <w:hideMark/>
          </w:tcPr>
          <w:p w14:paraId="691335A6"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b/>
                <w:kern w:val="24"/>
                <w:sz w:val="18"/>
                <w:szCs w:val="17"/>
                <w:lang w:eastAsia="en-AU"/>
              </w:rPr>
              <w:t>*</w:t>
            </w:r>
          </w:p>
        </w:tc>
        <w:tc>
          <w:tcPr>
            <w:tcW w:w="0" w:type="dxa"/>
            <w:hideMark/>
          </w:tcPr>
          <w:p w14:paraId="20FE1DEA"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w:t>
            </w:r>
          </w:p>
        </w:tc>
      </w:tr>
      <w:tr w:rsidR="00E17778" w:rsidRPr="00704E6A" w14:paraId="3E6BE6D9" w14:textId="77777777" w:rsidTr="00893EB3">
        <w:trPr>
          <w:trHeight w:val="20"/>
        </w:trPr>
        <w:tc>
          <w:tcPr>
            <w:tcW w:w="0" w:type="dxa"/>
            <w:hideMark/>
          </w:tcPr>
          <w:p w14:paraId="38E3FB31"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Construction</w:t>
            </w:r>
          </w:p>
        </w:tc>
        <w:tc>
          <w:tcPr>
            <w:tcW w:w="0" w:type="dxa"/>
            <w:hideMark/>
          </w:tcPr>
          <w:p w14:paraId="1D286969"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48.6%</w:t>
            </w:r>
          </w:p>
        </w:tc>
        <w:tc>
          <w:tcPr>
            <w:tcW w:w="0" w:type="dxa"/>
            <w:hideMark/>
          </w:tcPr>
          <w:p w14:paraId="3260961F" w14:textId="77777777" w:rsidR="00E17778" w:rsidRPr="00893EB3" w:rsidRDefault="00E17778" w:rsidP="00021EF3">
            <w:pPr>
              <w:spacing w:after="0"/>
              <w:rPr>
                <w:rFonts w:eastAsia="Times New Roman" w:cs="Arial"/>
                <w:szCs w:val="17"/>
                <w:lang w:eastAsia="en-AU"/>
              </w:rPr>
            </w:pPr>
          </w:p>
        </w:tc>
      </w:tr>
      <w:tr w:rsidR="00E17778" w:rsidRPr="00704E6A" w14:paraId="78F98A68" w14:textId="77777777" w:rsidTr="00893EB3">
        <w:trPr>
          <w:trHeight w:val="20"/>
        </w:trPr>
        <w:tc>
          <w:tcPr>
            <w:tcW w:w="0" w:type="dxa"/>
            <w:hideMark/>
          </w:tcPr>
          <w:p w14:paraId="4C83E687"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Wholesale Trade</w:t>
            </w:r>
          </w:p>
        </w:tc>
        <w:tc>
          <w:tcPr>
            <w:tcW w:w="0" w:type="dxa"/>
            <w:hideMark/>
          </w:tcPr>
          <w:p w14:paraId="7B2F9EC2"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6.0%</w:t>
            </w:r>
          </w:p>
        </w:tc>
        <w:tc>
          <w:tcPr>
            <w:tcW w:w="0" w:type="dxa"/>
            <w:hideMark/>
          </w:tcPr>
          <w:p w14:paraId="6CEA70E2"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32.3%</w:t>
            </w:r>
          </w:p>
        </w:tc>
      </w:tr>
      <w:tr w:rsidR="00E17778" w:rsidRPr="00704E6A" w14:paraId="25F9D949" w14:textId="77777777" w:rsidTr="00893EB3">
        <w:trPr>
          <w:trHeight w:val="20"/>
        </w:trPr>
        <w:tc>
          <w:tcPr>
            <w:tcW w:w="0" w:type="dxa"/>
            <w:hideMark/>
          </w:tcPr>
          <w:p w14:paraId="183F9ECF"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Retail Trade</w:t>
            </w:r>
          </w:p>
        </w:tc>
        <w:tc>
          <w:tcPr>
            <w:tcW w:w="0" w:type="dxa"/>
            <w:hideMark/>
          </w:tcPr>
          <w:p w14:paraId="5BBC3BBF"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7.7%</w:t>
            </w:r>
          </w:p>
        </w:tc>
        <w:tc>
          <w:tcPr>
            <w:tcW w:w="0" w:type="dxa"/>
            <w:hideMark/>
          </w:tcPr>
          <w:p w14:paraId="5F4CF257"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9.5%</w:t>
            </w:r>
          </w:p>
        </w:tc>
      </w:tr>
      <w:tr w:rsidR="00E17778" w:rsidRPr="00704E6A" w14:paraId="5175B2F0" w14:textId="77777777" w:rsidTr="00893EB3">
        <w:trPr>
          <w:trHeight w:val="20"/>
        </w:trPr>
        <w:tc>
          <w:tcPr>
            <w:tcW w:w="0" w:type="dxa"/>
            <w:hideMark/>
          </w:tcPr>
          <w:p w14:paraId="7D118BA6"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Accommodation and Food Services</w:t>
            </w:r>
          </w:p>
        </w:tc>
        <w:tc>
          <w:tcPr>
            <w:tcW w:w="0" w:type="dxa"/>
            <w:hideMark/>
          </w:tcPr>
          <w:p w14:paraId="2527601C"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16.6%</w:t>
            </w:r>
          </w:p>
        </w:tc>
        <w:tc>
          <w:tcPr>
            <w:tcW w:w="0" w:type="dxa"/>
            <w:hideMark/>
          </w:tcPr>
          <w:p w14:paraId="729ECEF0"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40.2%</w:t>
            </w:r>
          </w:p>
        </w:tc>
      </w:tr>
      <w:tr w:rsidR="00E17778" w:rsidRPr="00704E6A" w14:paraId="2873E07E" w14:textId="77777777" w:rsidTr="00893EB3">
        <w:trPr>
          <w:trHeight w:val="20"/>
        </w:trPr>
        <w:tc>
          <w:tcPr>
            <w:tcW w:w="0" w:type="dxa"/>
            <w:hideMark/>
          </w:tcPr>
          <w:p w14:paraId="2B5E94CE"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Transport, Postal and Warehousing</w:t>
            </w:r>
          </w:p>
        </w:tc>
        <w:tc>
          <w:tcPr>
            <w:tcW w:w="0" w:type="dxa"/>
            <w:hideMark/>
          </w:tcPr>
          <w:p w14:paraId="667F60BA"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30.7%</w:t>
            </w:r>
          </w:p>
        </w:tc>
        <w:tc>
          <w:tcPr>
            <w:tcW w:w="0" w:type="dxa"/>
            <w:hideMark/>
          </w:tcPr>
          <w:p w14:paraId="3FAE9AC2"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w:t>
            </w:r>
          </w:p>
        </w:tc>
      </w:tr>
      <w:tr w:rsidR="00E17778" w:rsidRPr="00704E6A" w14:paraId="1037D708" w14:textId="77777777" w:rsidTr="00893EB3">
        <w:trPr>
          <w:trHeight w:val="20"/>
        </w:trPr>
        <w:tc>
          <w:tcPr>
            <w:tcW w:w="0" w:type="dxa"/>
            <w:hideMark/>
          </w:tcPr>
          <w:p w14:paraId="0077F75A"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Information Media and Telecommunications</w:t>
            </w:r>
          </w:p>
        </w:tc>
        <w:tc>
          <w:tcPr>
            <w:tcW w:w="0" w:type="dxa"/>
            <w:hideMark/>
          </w:tcPr>
          <w:p w14:paraId="1558E64E"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5.9%</w:t>
            </w:r>
          </w:p>
        </w:tc>
        <w:tc>
          <w:tcPr>
            <w:tcW w:w="0" w:type="dxa"/>
            <w:hideMark/>
          </w:tcPr>
          <w:p w14:paraId="0E87F111"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w:t>
            </w:r>
          </w:p>
        </w:tc>
      </w:tr>
      <w:tr w:rsidR="00E17778" w:rsidRPr="00704E6A" w14:paraId="779CA8B5" w14:textId="77777777" w:rsidTr="00893EB3">
        <w:trPr>
          <w:trHeight w:val="20"/>
        </w:trPr>
        <w:tc>
          <w:tcPr>
            <w:tcW w:w="0" w:type="dxa"/>
            <w:hideMark/>
          </w:tcPr>
          <w:p w14:paraId="4941126E"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Financial and Insurance Services</w:t>
            </w:r>
          </w:p>
        </w:tc>
        <w:tc>
          <w:tcPr>
            <w:tcW w:w="0" w:type="dxa"/>
            <w:hideMark/>
          </w:tcPr>
          <w:p w14:paraId="606CD0DA"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27.4%</w:t>
            </w:r>
          </w:p>
        </w:tc>
        <w:tc>
          <w:tcPr>
            <w:tcW w:w="0" w:type="dxa"/>
            <w:hideMark/>
          </w:tcPr>
          <w:p w14:paraId="499516E8"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57.2%</w:t>
            </w:r>
          </w:p>
        </w:tc>
      </w:tr>
      <w:tr w:rsidR="00E17778" w:rsidRPr="00704E6A" w14:paraId="7B7A66C7" w14:textId="77777777" w:rsidTr="00893EB3">
        <w:trPr>
          <w:trHeight w:val="20"/>
        </w:trPr>
        <w:tc>
          <w:tcPr>
            <w:tcW w:w="0" w:type="dxa"/>
            <w:hideMark/>
          </w:tcPr>
          <w:p w14:paraId="50010D35"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val="en-GB" w:eastAsia="en-AU"/>
              </w:rPr>
              <w:t>Rental, Hiring and Real Estate Services</w:t>
            </w:r>
          </w:p>
        </w:tc>
        <w:tc>
          <w:tcPr>
            <w:tcW w:w="0" w:type="dxa"/>
            <w:hideMark/>
          </w:tcPr>
          <w:p w14:paraId="536481FE"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88.4%</w:t>
            </w:r>
          </w:p>
        </w:tc>
        <w:tc>
          <w:tcPr>
            <w:tcW w:w="0" w:type="dxa"/>
            <w:hideMark/>
          </w:tcPr>
          <w:p w14:paraId="51DBE203" w14:textId="77777777" w:rsidR="00E17778" w:rsidRPr="00893EB3" w:rsidRDefault="00E17778" w:rsidP="00021EF3">
            <w:pPr>
              <w:spacing w:after="0"/>
              <w:rPr>
                <w:rFonts w:eastAsia="Times New Roman" w:cs="Arial"/>
                <w:szCs w:val="17"/>
                <w:lang w:eastAsia="en-AU"/>
              </w:rPr>
            </w:pPr>
          </w:p>
        </w:tc>
      </w:tr>
      <w:tr w:rsidR="00E17778" w:rsidRPr="00704E6A" w14:paraId="462A6A44" w14:textId="77777777" w:rsidTr="00893EB3">
        <w:trPr>
          <w:trHeight w:val="20"/>
        </w:trPr>
        <w:tc>
          <w:tcPr>
            <w:tcW w:w="0" w:type="dxa"/>
            <w:hideMark/>
          </w:tcPr>
          <w:p w14:paraId="21C5CA65"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val="en-GB" w:eastAsia="en-AU"/>
              </w:rPr>
              <w:t>Professional, Scientific and Technical Services</w:t>
            </w:r>
          </w:p>
        </w:tc>
        <w:tc>
          <w:tcPr>
            <w:tcW w:w="0" w:type="dxa"/>
            <w:hideMark/>
          </w:tcPr>
          <w:p w14:paraId="3BF23FF6"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22.5%</w:t>
            </w:r>
          </w:p>
        </w:tc>
        <w:tc>
          <w:tcPr>
            <w:tcW w:w="0" w:type="dxa"/>
            <w:hideMark/>
          </w:tcPr>
          <w:p w14:paraId="578C8DD8"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56.2%</w:t>
            </w:r>
          </w:p>
        </w:tc>
      </w:tr>
      <w:tr w:rsidR="00E17778" w:rsidRPr="00704E6A" w14:paraId="46E28482" w14:textId="77777777" w:rsidTr="00893EB3">
        <w:trPr>
          <w:trHeight w:val="20"/>
        </w:trPr>
        <w:tc>
          <w:tcPr>
            <w:tcW w:w="0" w:type="dxa"/>
            <w:hideMark/>
          </w:tcPr>
          <w:p w14:paraId="643B8187"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Administrative and Support Services</w:t>
            </w:r>
          </w:p>
        </w:tc>
        <w:tc>
          <w:tcPr>
            <w:tcW w:w="0" w:type="dxa"/>
            <w:hideMark/>
          </w:tcPr>
          <w:p w14:paraId="59E4F52D"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18.6%</w:t>
            </w:r>
          </w:p>
        </w:tc>
        <w:tc>
          <w:tcPr>
            <w:tcW w:w="0" w:type="dxa"/>
            <w:hideMark/>
          </w:tcPr>
          <w:p w14:paraId="3F9EB715"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37.3%</w:t>
            </w:r>
          </w:p>
        </w:tc>
      </w:tr>
      <w:tr w:rsidR="00E17778" w:rsidRPr="00704E6A" w14:paraId="61B42DFB" w14:textId="77777777" w:rsidTr="00893EB3">
        <w:trPr>
          <w:trHeight w:val="20"/>
        </w:trPr>
        <w:tc>
          <w:tcPr>
            <w:tcW w:w="0" w:type="dxa"/>
            <w:hideMark/>
          </w:tcPr>
          <w:p w14:paraId="7B024DEF"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Public Administration and Safety</w:t>
            </w:r>
          </w:p>
        </w:tc>
        <w:tc>
          <w:tcPr>
            <w:tcW w:w="0" w:type="dxa"/>
            <w:hideMark/>
          </w:tcPr>
          <w:p w14:paraId="2274BA72"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22.1%</w:t>
            </w:r>
          </w:p>
        </w:tc>
        <w:tc>
          <w:tcPr>
            <w:tcW w:w="0" w:type="dxa"/>
            <w:hideMark/>
          </w:tcPr>
          <w:p w14:paraId="73215B30"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25.6%</w:t>
            </w:r>
          </w:p>
        </w:tc>
      </w:tr>
      <w:tr w:rsidR="00E17778" w:rsidRPr="00704E6A" w14:paraId="4526361D" w14:textId="77777777" w:rsidTr="00893EB3">
        <w:trPr>
          <w:trHeight w:val="20"/>
        </w:trPr>
        <w:tc>
          <w:tcPr>
            <w:tcW w:w="0" w:type="dxa"/>
            <w:hideMark/>
          </w:tcPr>
          <w:p w14:paraId="5854E59A"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Education and Training</w:t>
            </w:r>
          </w:p>
        </w:tc>
        <w:tc>
          <w:tcPr>
            <w:tcW w:w="0" w:type="dxa"/>
            <w:hideMark/>
          </w:tcPr>
          <w:p w14:paraId="4BF9229B"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46.0%</w:t>
            </w:r>
          </w:p>
        </w:tc>
        <w:tc>
          <w:tcPr>
            <w:tcW w:w="0" w:type="dxa"/>
            <w:hideMark/>
          </w:tcPr>
          <w:p w14:paraId="2FB17019"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w:t>
            </w:r>
          </w:p>
        </w:tc>
      </w:tr>
      <w:tr w:rsidR="00E17778" w:rsidRPr="00704E6A" w14:paraId="2FB9A1C1" w14:textId="77777777" w:rsidTr="00893EB3">
        <w:trPr>
          <w:trHeight w:val="20"/>
        </w:trPr>
        <w:tc>
          <w:tcPr>
            <w:tcW w:w="0" w:type="dxa"/>
            <w:hideMark/>
          </w:tcPr>
          <w:p w14:paraId="65F6D7DD"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val="en-GB" w:eastAsia="en-AU"/>
              </w:rPr>
              <w:t>Health Care and Social Assistance</w:t>
            </w:r>
          </w:p>
        </w:tc>
        <w:tc>
          <w:tcPr>
            <w:tcW w:w="0" w:type="dxa"/>
            <w:hideMark/>
          </w:tcPr>
          <w:p w14:paraId="49C4379D"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12.4%</w:t>
            </w:r>
          </w:p>
        </w:tc>
        <w:tc>
          <w:tcPr>
            <w:tcW w:w="0" w:type="dxa"/>
            <w:hideMark/>
          </w:tcPr>
          <w:p w14:paraId="07966552"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w:t>
            </w:r>
          </w:p>
        </w:tc>
      </w:tr>
      <w:tr w:rsidR="00E17778" w:rsidRPr="00704E6A" w14:paraId="43A23155" w14:textId="77777777" w:rsidTr="00893EB3">
        <w:trPr>
          <w:trHeight w:val="20"/>
        </w:trPr>
        <w:tc>
          <w:tcPr>
            <w:tcW w:w="0" w:type="dxa"/>
            <w:hideMark/>
          </w:tcPr>
          <w:p w14:paraId="7F7F2DF8"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Arts and Recreation Services</w:t>
            </w:r>
          </w:p>
        </w:tc>
        <w:tc>
          <w:tcPr>
            <w:tcW w:w="0" w:type="dxa"/>
            <w:hideMark/>
          </w:tcPr>
          <w:p w14:paraId="4D138086"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22.1%</w:t>
            </w:r>
          </w:p>
        </w:tc>
        <w:tc>
          <w:tcPr>
            <w:tcW w:w="0" w:type="dxa"/>
            <w:hideMark/>
          </w:tcPr>
          <w:p w14:paraId="00367138"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70.6%</w:t>
            </w:r>
          </w:p>
        </w:tc>
      </w:tr>
      <w:tr w:rsidR="00E17778" w:rsidRPr="00704E6A" w14:paraId="4F80C5C6" w14:textId="77777777" w:rsidTr="00893EB3">
        <w:trPr>
          <w:trHeight w:val="20"/>
        </w:trPr>
        <w:tc>
          <w:tcPr>
            <w:tcW w:w="0" w:type="dxa"/>
            <w:hideMark/>
          </w:tcPr>
          <w:p w14:paraId="404B685E" w14:textId="77777777" w:rsidR="00E17778" w:rsidRPr="00893EB3" w:rsidRDefault="00E17778" w:rsidP="00021EF3">
            <w:pPr>
              <w:spacing w:after="0"/>
              <w:textAlignment w:val="top"/>
              <w:rPr>
                <w:rFonts w:eastAsia="Times New Roman" w:cs="Arial"/>
                <w:szCs w:val="17"/>
                <w:lang w:eastAsia="en-AU"/>
              </w:rPr>
            </w:pPr>
            <w:r w:rsidRPr="00893EB3">
              <w:rPr>
                <w:rFonts w:eastAsia="Times New Roman" w:cs="Arial"/>
                <w:kern w:val="24"/>
                <w:sz w:val="18"/>
                <w:szCs w:val="17"/>
                <w:lang w:eastAsia="en-AU"/>
              </w:rPr>
              <w:t>Other Services</w:t>
            </w:r>
          </w:p>
        </w:tc>
        <w:tc>
          <w:tcPr>
            <w:tcW w:w="0" w:type="dxa"/>
            <w:hideMark/>
          </w:tcPr>
          <w:p w14:paraId="27EFA1E3"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12.6%</w:t>
            </w:r>
          </w:p>
        </w:tc>
        <w:tc>
          <w:tcPr>
            <w:tcW w:w="0" w:type="dxa"/>
            <w:hideMark/>
          </w:tcPr>
          <w:p w14:paraId="2F223CBC"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kern w:val="24"/>
                <w:sz w:val="18"/>
                <w:szCs w:val="17"/>
                <w:lang w:eastAsia="en-AU"/>
              </w:rPr>
              <w:t>*</w:t>
            </w:r>
          </w:p>
        </w:tc>
      </w:tr>
      <w:tr w:rsidR="00E17778" w:rsidRPr="00704E6A" w14:paraId="35412264" w14:textId="77777777" w:rsidTr="00893EB3">
        <w:trPr>
          <w:trHeight w:val="20"/>
        </w:trPr>
        <w:tc>
          <w:tcPr>
            <w:tcW w:w="0" w:type="dxa"/>
            <w:hideMark/>
          </w:tcPr>
          <w:p w14:paraId="1A300FBA"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b/>
                <w:kern w:val="24"/>
                <w:sz w:val="18"/>
                <w:szCs w:val="17"/>
                <w:lang w:eastAsia="en-AU"/>
              </w:rPr>
              <w:t>Total</w:t>
            </w:r>
          </w:p>
        </w:tc>
        <w:tc>
          <w:tcPr>
            <w:tcW w:w="0" w:type="dxa"/>
            <w:hideMark/>
          </w:tcPr>
          <w:p w14:paraId="40D82165"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b/>
                <w:kern w:val="24"/>
                <w:sz w:val="18"/>
                <w:szCs w:val="17"/>
                <w:lang w:eastAsia="en-AU"/>
              </w:rPr>
              <w:t>16.0%</w:t>
            </w:r>
          </w:p>
        </w:tc>
        <w:tc>
          <w:tcPr>
            <w:tcW w:w="0" w:type="dxa"/>
            <w:hideMark/>
          </w:tcPr>
          <w:p w14:paraId="3E85FCD4" w14:textId="77777777" w:rsidR="00E17778" w:rsidRPr="00893EB3" w:rsidRDefault="00E17778" w:rsidP="00021EF3">
            <w:pPr>
              <w:spacing w:after="0"/>
              <w:textAlignment w:val="bottom"/>
              <w:rPr>
                <w:rFonts w:eastAsia="Times New Roman" w:cs="Arial"/>
                <w:szCs w:val="17"/>
                <w:lang w:eastAsia="en-AU"/>
              </w:rPr>
            </w:pPr>
            <w:r w:rsidRPr="00893EB3">
              <w:rPr>
                <w:rFonts w:eastAsia="Times New Roman" w:cs="Arial"/>
                <w:b/>
                <w:kern w:val="24"/>
                <w:sz w:val="18"/>
                <w:szCs w:val="17"/>
                <w:lang w:eastAsia="en-AU"/>
              </w:rPr>
              <w:t>33.4%</w:t>
            </w:r>
          </w:p>
        </w:tc>
      </w:tr>
    </w:tbl>
    <w:p w14:paraId="511D836D" w14:textId="19234A89" w:rsidR="009E08F1" w:rsidRPr="009E08F1" w:rsidRDefault="009E08F1" w:rsidP="00021EF3">
      <w:pPr>
        <w:pStyle w:val="Source"/>
      </w:pPr>
      <w:r>
        <w:t>Source: Deloitte Access Economics</w:t>
      </w:r>
      <w:r w:rsidR="008406D9">
        <w:t>.</w:t>
      </w:r>
      <w:r>
        <w:br/>
        <w:t>*</w:t>
      </w:r>
      <w:r w:rsidR="00986AC1" w:rsidRPr="00986AC1">
        <w:t xml:space="preserve">Industries with less than 50 businesses </w:t>
      </w:r>
      <w:r w:rsidR="003469AD">
        <w:t>that</w:t>
      </w:r>
      <w:r w:rsidR="003469AD" w:rsidRPr="00986AC1">
        <w:t xml:space="preserve"> </w:t>
      </w:r>
      <w:r w:rsidR="00986AC1" w:rsidRPr="00986AC1">
        <w:t xml:space="preserve">received grants </w:t>
      </w:r>
      <w:r w:rsidR="00986AC1">
        <w:t>were</w:t>
      </w:r>
      <w:r w:rsidR="00986AC1" w:rsidRPr="00986AC1">
        <w:t xml:space="preserve"> excluded due to small sample size.</w:t>
      </w:r>
    </w:p>
    <w:p w14:paraId="4CC2310C" w14:textId="796ED397" w:rsidR="006364B4" w:rsidRPr="006364B4" w:rsidRDefault="00025B99" w:rsidP="00021EF3">
      <w:pPr>
        <w:pStyle w:val="Appendixhead2"/>
        <w:rPr>
          <w:rStyle w:val="Heading2Char"/>
          <w:iCs/>
        </w:rPr>
      </w:pPr>
      <w:bookmarkStart w:id="521" w:name="_Toc173915930"/>
      <w:bookmarkStart w:id="522" w:name="_Toc174118188"/>
      <w:bookmarkStart w:id="523" w:name="_Toc176516310"/>
      <w:r w:rsidRPr="001C44EA">
        <w:rPr>
          <w:rStyle w:val="Heading2Char"/>
          <w:rFonts w:cs="Times New Roman"/>
          <w:b/>
          <w:szCs w:val="28"/>
        </w:rPr>
        <w:t>Business</w:t>
      </w:r>
      <w:r w:rsidRPr="00BD2AFC">
        <w:rPr>
          <w:rStyle w:val="Heading2Char"/>
          <w:b/>
        </w:rPr>
        <w:t xml:space="preserve"> confidence</w:t>
      </w:r>
      <w:bookmarkEnd w:id="521"/>
      <w:bookmarkEnd w:id="522"/>
      <w:bookmarkEnd w:id="523"/>
    </w:p>
    <w:p w14:paraId="4E8AB35F" w14:textId="17D6C73F" w:rsidR="006364B4" w:rsidRDefault="002864C9" w:rsidP="00021EF3">
      <w:r>
        <w:t xml:space="preserve">Business sentiment </w:t>
      </w:r>
      <w:r w:rsidR="00670CF2">
        <w:t xml:space="preserve">was collected from the </w:t>
      </w:r>
      <w:r w:rsidR="00670CF2" w:rsidRPr="00670CF2">
        <w:t>NAB Quarterly Business Survey</w:t>
      </w:r>
      <w:r w:rsidR="00506653">
        <w:t xml:space="preserve"> which reports both </w:t>
      </w:r>
      <w:r w:rsidR="002E7E11">
        <w:t xml:space="preserve">reported confidence of businesses and </w:t>
      </w:r>
      <w:r w:rsidR="002E0A7D">
        <w:t xml:space="preserve">perceptions of business conditions. </w:t>
      </w:r>
    </w:p>
    <w:p w14:paraId="780AED73" w14:textId="52F701B2" w:rsidR="009A7333" w:rsidRDefault="00E81001" w:rsidP="00021EF3">
      <w:pPr>
        <w:pStyle w:val="AppendixFigureCaption"/>
      </w:pPr>
      <w:r>
        <w:lastRenderedPageBreak/>
        <w:t>: Perceptions of business conditions and business confidence in Victoria</w:t>
      </w:r>
      <w:r w:rsidR="00634186">
        <w:t>.</w:t>
      </w:r>
    </w:p>
    <w:p w14:paraId="3E3985C0" w14:textId="000CB2B5" w:rsidR="00CB2301" w:rsidRDefault="00CB2301" w:rsidP="00021EF3">
      <w:r w:rsidRPr="00CB2301">
        <w:rPr>
          <w:noProof/>
        </w:rPr>
        <mc:AlternateContent>
          <mc:Choice Requires="wpg">
            <w:drawing>
              <wp:inline distT="0" distB="0" distL="0" distR="0" wp14:anchorId="023070F2" wp14:editId="5721B147">
                <wp:extent cx="5759450" cy="2880000"/>
                <wp:effectExtent l="0" t="0" r="0" b="0"/>
                <wp:docPr id="22" name="Group 25" descr="This line chart shows the perceptions of business conditions and business confidence in Victoria overtime from June 2019 to June 2023. Each of the periods of COVID-19 lockdowns in Victoria are highlighted in the graph. Both business conditions and business confidence start in June 2019 with a score of two, and experience a sharp decline during each COVID-19 lockdown. The lowest dip for business conditions occurs in April 2020 with -38 and the lowest dip for business confidence occurs in March 2020 at -64.&#10;&#10;Both increase from their lowest over the selected period. Business conditions peaking in May 2021 with 35 and business confidence peaking in October 2021 with 23. &#10;&#10;Post October 2021, business confidence cycles through peaks and troughs between -10 and 16 and finishes in June 2023 at -4. &#10;&#10;Post its peak in May 2021, business conditions cycles through low point and high points between -4 and 30. It finishes in June 2023 at 15."/>
                <wp:cNvGraphicFramePr/>
                <a:graphic xmlns:a="http://schemas.openxmlformats.org/drawingml/2006/main">
                  <a:graphicData uri="http://schemas.microsoft.com/office/word/2010/wordprocessingGroup">
                    <wpg:wgp>
                      <wpg:cNvGrpSpPr/>
                      <wpg:grpSpPr>
                        <a:xfrm>
                          <a:off x="0" y="0"/>
                          <a:ext cx="5759450" cy="2880000"/>
                          <a:chOff x="0" y="0"/>
                          <a:chExt cx="5759450" cy="2799660"/>
                        </a:xfrm>
                      </wpg:grpSpPr>
                      <wps:wsp>
                        <wps:cNvPr id="1489793605" name="Rectangle 1489793605"/>
                        <wps:cNvSpPr/>
                        <wps:spPr bwMode="gray">
                          <a:xfrm>
                            <a:off x="3221208" y="139121"/>
                            <a:ext cx="198000" cy="2090885"/>
                          </a:xfrm>
                          <a:prstGeom prst="rect">
                            <a:avLst/>
                          </a:prstGeom>
                          <a:solidFill>
                            <a:schemeClr val="accent6">
                              <a:lumMod val="40000"/>
                              <a:lumOff val="60000"/>
                            </a:schemeClr>
                          </a:solidFill>
                          <a:ln w="19050" algn="ctr">
                            <a:noFill/>
                            <a:miter lim="800000"/>
                            <a:headEnd/>
                            <a:tailEnd/>
                          </a:ln>
                        </wps:spPr>
                        <wps:bodyPr wrap="square" lIns="88900" tIns="88900" rIns="88900" bIns="88900" rtlCol="0" anchor="ctr"/>
                      </wps:wsp>
                      <wps:wsp>
                        <wps:cNvPr id="1489793606" name="Rectangle 1489793606"/>
                        <wps:cNvSpPr/>
                        <wps:spPr bwMode="gray">
                          <a:xfrm>
                            <a:off x="3107649" y="139121"/>
                            <a:ext cx="53858" cy="2090885"/>
                          </a:xfrm>
                          <a:prstGeom prst="rect">
                            <a:avLst/>
                          </a:prstGeom>
                          <a:solidFill>
                            <a:schemeClr val="accent6">
                              <a:lumMod val="40000"/>
                              <a:lumOff val="60000"/>
                            </a:schemeClr>
                          </a:solidFill>
                          <a:ln w="19050" algn="ctr">
                            <a:noFill/>
                            <a:miter lim="800000"/>
                            <a:headEnd/>
                            <a:tailEnd/>
                          </a:ln>
                        </wps:spPr>
                        <wps:bodyPr wrap="square" lIns="88900" tIns="88900" rIns="88900" bIns="88900" rtlCol="0" anchor="ctr"/>
                      </wps:wsp>
                      <wps:wsp>
                        <wps:cNvPr id="1489793607" name="Rectangle 1489793607"/>
                        <wps:cNvSpPr/>
                        <wps:spPr bwMode="gray">
                          <a:xfrm>
                            <a:off x="2913498" y="139121"/>
                            <a:ext cx="53858" cy="2090885"/>
                          </a:xfrm>
                          <a:prstGeom prst="rect">
                            <a:avLst/>
                          </a:prstGeom>
                          <a:solidFill>
                            <a:schemeClr val="accent6">
                              <a:lumMod val="40000"/>
                              <a:lumOff val="60000"/>
                            </a:schemeClr>
                          </a:solidFill>
                          <a:ln w="19050" algn="ctr">
                            <a:noFill/>
                            <a:miter lim="800000"/>
                            <a:headEnd/>
                            <a:tailEnd/>
                          </a:ln>
                        </wps:spPr>
                        <wps:bodyPr wrap="square" lIns="88900" tIns="88900" rIns="88900" bIns="88900" rtlCol="0" anchor="ctr"/>
                      </wps:wsp>
                      <wps:wsp>
                        <wps:cNvPr id="1489793608" name="Rectangle 1489793608"/>
                        <wps:cNvSpPr/>
                        <wps:spPr bwMode="gray">
                          <a:xfrm>
                            <a:off x="2535579" y="139121"/>
                            <a:ext cx="45719" cy="2090885"/>
                          </a:xfrm>
                          <a:prstGeom prst="rect">
                            <a:avLst/>
                          </a:prstGeom>
                          <a:solidFill>
                            <a:schemeClr val="accent6">
                              <a:lumMod val="40000"/>
                              <a:lumOff val="60000"/>
                            </a:schemeClr>
                          </a:solidFill>
                          <a:ln w="19050" algn="ctr">
                            <a:noFill/>
                            <a:miter lim="800000"/>
                            <a:headEnd/>
                            <a:tailEnd/>
                          </a:ln>
                        </wps:spPr>
                        <wps:bodyPr wrap="square" lIns="88900" tIns="88900" rIns="88900" bIns="88900" rtlCol="0" anchor="ctr"/>
                      </wps:wsp>
                      <wps:wsp>
                        <wps:cNvPr id="1489793609" name="Rectangle 1489793609"/>
                        <wps:cNvSpPr/>
                        <wps:spPr bwMode="gray">
                          <a:xfrm>
                            <a:off x="1812514" y="139121"/>
                            <a:ext cx="390865" cy="2090885"/>
                          </a:xfrm>
                          <a:prstGeom prst="rect">
                            <a:avLst/>
                          </a:prstGeom>
                          <a:solidFill>
                            <a:schemeClr val="accent6">
                              <a:lumMod val="40000"/>
                              <a:lumOff val="60000"/>
                            </a:schemeClr>
                          </a:solidFill>
                          <a:ln w="19050" algn="ctr">
                            <a:noFill/>
                            <a:miter lim="800000"/>
                            <a:headEnd/>
                            <a:tailEnd/>
                          </a:ln>
                        </wps:spPr>
                        <wps:bodyPr wrap="square" lIns="88900" tIns="88900" rIns="88900" bIns="88900" rtlCol="0" anchor="ctr"/>
                      </wps:wsp>
                      <wps:wsp>
                        <wps:cNvPr id="1489793610" name="Rectangle 1489793610"/>
                        <wps:cNvSpPr/>
                        <wps:spPr bwMode="gray">
                          <a:xfrm>
                            <a:off x="1435442" y="139121"/>
                            <a:ext cx="212514" cy="2090885"/>
                          </a:xfrm>
                          <a:prstGeom prst="rect">
                            <a:avLst/>
                          </a:prstGeom>
                          <a:solidFill>
                            <a:schemeClr val="accent6">
                              <a:lumMod val="40000"/>
                              <a:lumOff val="60000"/>
                            </a:schemeClr>
                          </a:solidFill>
                          <a:ln w="19050" algn="ctr">
                            <a:noFill/>
                            <a:miter lim="800000"/>
                            <a:headEnd/>
                            <a:tailEnd/>
                          </a:ln>
                        </wps:spPr>
                        <wps:bodyPr wrap="square" lIns="88900" tIns="88900" rIns="88900" bIns="88900" rtlCol="0" anchor="ctr"/>
                      </wps:wsp>
                      <wpg:graphicFrame>
                        <wpg:cNvPr id="1489793611" name="Chart 1489793611"/>
                        <wpg:cNvFrPr/>
                        <wpg:xfrm>
                          <a:off x="0" y="0"/>
                          <a:ext cx="5759450" cy="2799660"/>
                        </wpg:xfrm>
                        <a:graphic>
                          <a:graphicData uri="http://schemas.openxmlformats.org/drawingml/2006/chart">
                            <c:chart xmlns:c="http://schemas.openxmlformats.org/drawingml/2006/chart" xmlns:r="http://schemas.openxmlformats.org/officeDocument/2006/relationships" r:id="rId50"/>
                          </a:graphicData>
                        </a:graphic>
                      </wpg:graphicFrame>
                      <wps:wsp>
                        <wps:cNvPr id="1489793612" name="Straight Connector 1489793612"/>
                        <wps:cNvCnPr>
                          <a:cxnSpLocks/>
                        </wps:cNvCnPr>
                        <wps:spPr>
                          <a:xfrm flipV="1">
                            <a:off x="2048992" y="139121"/>
                            <a:ext cx="0" cy="209088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89793613" name="Straight Connector 1489793613"/>
                        <wps:cNvCnPr>
                          <a:cxnSpLocks/>
                        </wps:cNvCnPr>
                        <wps:spPr>
                          <a:xfrm flipV="1">
                            <a:off x="2628713" y="139121"/>
                            <a:ext cx="0" cy="209088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89793623" name="Straight Connector 1489793623"/>
                        <wps:cNvCnPr>
                          <a:cxnSpLocks/>
                        </wps:cNvCnPr>
                        <wps:spPr>
                          <a:xfrm flipV="1">
                            <a:off x="3489168" y="139121"/>
                            <a:ext cx="0" cy="209088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C6C906F" id="Group 25" o:spid="_x0000_s1026" alt="This line chart shows the perceptions of business conditions and business confidence in Victoria overtime from June 2019 to June 2023. Each of the periods of COVID-19 lockdowns in Victoria are highlighted in the graph. Both business conditions and business confidence start in June 2019 with a score of two, and experience a sharp decline during each COVID-19 lockdown. The lowest dip for business conditions occurs in April 2020 with -38 and the lowest dip for business confidence occurs in March 2020 at -64.&#10;&#10;Both increase from their lowest over the selected period. Business conditions peaking in May 2021 with 35 and business confidence peaking in October 2021 with 23. &#10;&#10;Post October 2021, business confidence cycles through peaks and troughs between -10 and 16 and finishes in June 2023 at -4. &#10;&#10;Post its peak in May 2021, business conditions cycles through low point and high points between -4 and 30. It finishes in June 2023 at 15." style="width:453.5pt;height:226.75pt;mso-position-horizontal-relative:char;mso-position-vertical-relative:line" coordsize="57594,2799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">
                <v:rect id="Rectangle 1489793605" o:spid="_x0000_s1027" style="position:absolute;left:32212;top:1391;width:1980;height:2090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" fillcolor="#c7c8ca [1305]" stroked="f" strokeweight="1.5pt">
                  <v:textbox inset="7pt,7pt,7pt,7pt"/>
                </v:rect>
                <v:rect id="Rectangle 1489793606" o:spid="_x0000_s1028" style="position:absolute;left:31076;top:1391;width:539;height:2090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" fillcolor="#c7c8ca [1305]" stroked="f" strokeweight="1.5pt">
                  <v:textbox inset="7pt,7pt,7pt,7pt"/>
                </v:rect>
                <v:rect id="Rectangle 1489793607" o:spid="_x0000_s1029" style="position:absolute;left:29134;top:1391;width:539;height:2090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" fillcolor="#c7c8ca [1305]" stroked="f" strokeweight="1.5pt">
                  <v:textbox inset="7pt,7pt,7pt,7pt"/>
                </v:rect>
                <v:rect id="Rectangle 1489793608" o:spid="_x0000_s1030" style="position:absolute;left:25355;top:1391;width:457;height:2090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" fillcolor="#c7c8ca [1305]" stroked="f" strokeweight="1.5pt">
                  <v:textbox inset="7pt,7pt,7pt,7pt"/>
                </v:rect>
                <v:rect id="Rectangle 1489793609" o:spid="_x0000_s1031" style="position:absolute;left:18125;top:1391;width:3908;height:2090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" fillcolor="#c7c8ca [1305]" stroked="f" strokeweight="1.5pt">
                  <v:textbox inset="7pt,7pt,7pt,7pt"/>
                </v:rect>
                <v:rect id="Rectangle 1489793610" o:spid="_x0000_s1032" style="position:absolute;left:14354;top:1391;width:2125;height:2090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" fillcolor="#c7c8ca [1305]" stroked="f" strokeweight="1.5pt">
                  <v:textbox inset="7pt,7pt,7pt,7pt"/>
                </v:rect>
                <v:shape id="Chart 1489793611" o:spid="_x0000_s1033" type="#_x0000_t75" style="position:absolute;left:731;top:651;width:56876;height:26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">
                  <v:imagedata r:id="rId51" o:title=""/>
                  <o:lock v:ext="edit" aspectratio="f"/>
                </v:shape>
                <v:line id="Straight Connector 1489793612" o:spid="_x0000_s1034" style="position:absolute;flip:y;visibility:visible;mso-wrap-style:square" from="20489,1391" to="20489,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" strokecolor="black [3213]">
                  <v:stroke dashstyle="dash"/>
                  <o:lock v:ext="edit" shapetype="f"/>
                </v:line>
                <v:line id="Straight Connector 1489793613" o:spid="_x0000_s1035" style="position:absolute;flip:y;visibility:visible;mso-wrap-style:square" from="26287,1391" to="26287,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" strokecolor="black [3213]">
                  <v:stroke dashstyle="dash"/>
                  <o:lock v:ext="edit" shapetype="f"/>
                </v:line>
                <v:line id="Straight Connector 1489793623" o:spid="_x0000_s1036" style="position:absolute;flip:y;visibility:visible;mso-wrap-style:square" from="34891,1391" to="34891,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" strokecolor="black [3213]">
                  <v:stroke dashstyle="dash"/>
                  <o:lock v:ext="edit" shapetype="f"/>
                </v:line>
                <w10:anchorlock/>
              </v:group>
            </w:pict>
          </mc:Fallback>
        </mc:AlternateContent>
      </w:r>
    </w:p>
    <w:p w14:paraId="53E3BA46" w14:textId="20E69542" w:rsidR="005F7230" w:rsidRDefault="005F7230" w:rsidP="00021EF3">
      <w:pPr>
        <w:pStyle w:val="Source"/>
      </w:pPr>
      <w:r>
        <w:t>Source:</w:t>
      </w:r>
      <w:r w:rsidR="00E81001">
        <w:t xml:space="preserve"> NAB Quarterly Business Survey.</w:t>
      </w:r>
    </w:p>
    <w:p w14:paraId="188CDC61" w14:textId="77777777" w:rsidR="002E0A7D" w:rsidRDefault="00552CCC" w:rsidP="00021EF3">
      <w:r>
        <w:t>The period from 2019 to 2023 was marked by significant fluctuations in business conditions and confidence, reflecting the broader economic and public health challenges of the time. In early 2020, both business conditions and confidence experienced sharp declines as the onset of the COVID-19 pandemic introduced unprecedented uncertainty. The implementation of strict public health measures and widespread economic disruptions contributed to this initial downturn. However, by the end of 2020, a notable recovery had taken place, with both indicators returning to their pre-pandemic levels. This rebound can be attributed to the gradual easing of restrictions and the adaptation of businesses to the new operating environment.</w:t>
      </w:r>
    </w:p>
    <w:p w14:paraId="14979325" w14:textId="21EA9D4A" w:rsidR="00D133E8" w:rsidRDefault="00552CCC" w:rsidP="00021EF3">
      <w:r>
        <w:t xml:space="preserve">The year 2021 </w:t>
      </w:r>
      <w:r w:rsidR="006361A6">
        <w:t>specifically</w:t>
      </w:r>
      <w:r>
        <w:t xml:space="preserve"> was characteri</w:t>
      </w:r>
      <w:r w:rsidR="006361A6">
        <w:t>s</w:t>
      </w:r>
      <w:r>
        <w:t>ed by heightened volatility in both business conditions and confidence. Frequent changes in public health restrictions, including</w:t>
      </w:r>
      <w:r w:rsidR="00D76B18">
        <w:t xml:space="preserve"> snap</w:t>
      </w:r>
      <w:r>
        <w:t xml:space="preserve"> lockdowns and phased </w:t>
      </w:r>
      <w:r w:rsidR="002E6CAC">
        <w:t>reopening</w:t>
      </w:r>
      <w:r>
        <w:t xml:space="preserve">, created an unstable environment that made it challenging for businesses to plan and operate consistently. This volatility underscored the correlation between changes in business sentiment and the intensity of public health measures. </w:t>
      </w:r>
      <w:r w:rsidR="00D133E8">
        <w:t xml:space="preserve">Business sentiment </w:t>
      </w:r>
      <w:r w:rsidR="00073AB2">
        <w:t xml:space="preserve">in the first half of 2021 was significantly above its </w:t>
      </w:r>
      <w:r w:rsidR="003A5DE3">
        <w:t>p</w:t>
      </w:r>
      <w:r w:rsidR="00097522">
        <w:t>andemic</w:t>
      </w:r>
      <w:r w:rsidR="003A5DE3">
        <w:t xml:space="preserve"> </w:t>
      </w:r>
      <w:r w:rsidR="00073AB2">
        <w:t>level</w:t>
      </w:r>
      <w:r w:rsidR="00F32126">
        <w:t>;</w:t>
      </w:r>
      <w:r w:rsidR="00073AB2">
        <w:t xml:space="preserve"> however</w:t>
      </w:r>
      <w:r w:rsidR="00F32126">
        <w:t>,</w:t>
      </w:r>
      <w:r w:rsidR="00073AB2">
        <w:t xml:space="preserve"> both conditions and confidence declined in the second half of the year as </w:t>
      </w:r>
      <w:r w:rsidR="004753FF">
        <w:t xml:space="preserve">COVID-19 case numbers </w:t>
      </w:r>
      <w:r w:rsidR="0014721E">
        <w:t>once again increased.</w:t>
      </w:r>
    </w:p>
    <w:p w14:paraId="3B7C0C89" w14:textId="7B655202" w:rsidR="00D210F3" w:rsidRDefault="00552CCC" w:rsidP="00021EF3">
      <w:r>
        <w:t>While there was a</w:t>
      </w:r>
      <w:r w:rsidR="001731F6">
        <w:t>n</w:t>
      </w:r>
      <w:r>
        <w:t xml:space="preserve"> increase in business conditions and confidence following the introduction of </w:t>
      </w:r>
      <w:r w:rsidR="001A162A">
        <w:t>both LHVF and BCAP</w:t>
      </w:r>
      <w:r>
        <w:t xml:space="preserve">, it is important to note the complexity of the economic and political context </w:t>
      </w:r>
      <w:r w:rsidR="0045173C">
        <w:t>of</w:t>
      </w:r>
      <w:r>
        <w:t xml:space="preserve"> th</w:t>
      </w:r>
      <w:r w:rsidR="0045173C">
        <w:t>e</w:t>
      </w:r>
      <w:r>
        <w:t xml:space="preserve"> time.</w:t>
      </w:r>
      <w:r w:rsidR="001731F6">
        <w:t xml:space="preserve"> </w:t>
      </w:r>
      <w:r w:rsidR="00C20811">
        <w:t xml:space="preserve">The improvement in </w:t>
      </w:r>
      <w:r w:rsidR="00053E74">
        <w:t xml:space="preserve">business sentiment cannot </w:t>
      </w:r>
      <w:r w:rsidR="00097522">
        <w:t xml:space="preserve">solely </w:t>
      </w:r>
      <w:r w:rsidR="00053E74">
        <w:t>be attributed to the</w:t>
      </w:r>
      <w:r w:rsidR="00642F46">
        <w:t xml:space="preserve"> impact of the</w:t>
      </w:r>
      <w:r w:rsidR="00053E74">
        <w:t xml:space="preserve"> grant programs</w:t>
      </w:r>
      <w:r w:rsidR="00642F46">
        <w:t>. The interplay of various factors, including ongoing public health developments, global economic trends and domestic political dynamics, complicates the establishment of a clear causal link between the grants program and the observed changes in business confidence.</w:t>
      </w:r>
    </w:p>
    <w:p w14:paraId="57385365" w14:textId="1D571836" w:rsidR="00886E22" w:rsidRDefault="00886E22" w:rsidP="00021EF3">
      <w:pPr>
        <w:pStyle w:val="Appendixhead2"/>
      </w:pPr>
      <w:bookmarkStart w:id="524" w:name="_Toc174118189"/>
      <w:bookmarkStart w:id="525" w:name="_Toc176516311"/>
      <w:r>
        <w:t>CBA assumptions</w:t>
      </w:r>
      <w:bookmarkEnd w:id="524"/>
      <w:bookmarkEnd w:id="525"/>
    </w:p>
    <w:p w14:paraId="429C00FE" w14:textId="171EBCD7" w:rsidR="00886E22" w:rsidRPr="00886E22" w:rsidRDefault="00D210F3" w:rsidP="00021EF3">
      <w:pPr>
        <w:pStyle w:val="AppendixTableCaption"/>
      </w:pPr>
      <w:r>
        <w:t xml:space="preserve">: </w:t>
      </w:r>
      <w:r w:rsidR="000615B3">
        <w:t>Key i</w:t>
      </w:r>
      <w:r w:rsidR="004D7040">
        <w:t>nputs used to inform CBA modelling</w:t>
      </w:r>
      <w:r w:rsidR="009136CE">
        <w:t>.</w:t>
      </w:r>
    </w:p>
    <w:tbl>
      <w:tblPr>
        <w:tblStyle w:val="Deloittetable"/>
        <w:tblW w:w="5000" w:type="pct"/>
        <w:tblLook w:val="04A0" w:firstRow="1" w:lastRow="0" w:firstColumn="1" w:lastColumn="0" w:noHBand="0" w:noVBand="1"/>
      </w:tblPr>
      <w:tblGrid>
        <w:gridCol w:w="3330"/>
        <w:gridCol w:w="1504"/>
        <w:gridCol w:w="1407"/>
        <w:gridCol w:w="2785"/>
      </w:tblGrid>
      <w:tr w:rsidR="00D210F3" w:rsidRPr="004D40F3" w14:paraId="1DD2267C" w14:textId="77777777" w:rsidTr="00E50687">
        <w:trPr>
          <w:cnfStyle w:val="100000000000" w:firstRow="1" w:lastRow="0" w:firstColumn="0" w:lastColumn="0" w:oddVBand="0" w:evenVBand="0" w:oddHBand="0" w:evenHBand="0" w:firstRowFirstColumn="0" w:firstRowLastColumn="0" w:lastRowFirstColumn="0" w:lastRowLastColumn="0"/>
          <w:trHeight w:val="20"/>
          <w:tblHeader/>
        </w:trPr>
        <w:tc>
          <w:tcPr>
            <w:tcW w:w="3337" w:type="dxa"/>
            <w:noWrap/>
            <w:vAlign w:val="center"/>
            <w:hideMark/>
          </w:tcPr>
          <w:p w14:paraId="035C9B19" w14:textId="77777777" w:rsidR="005B2E68" w:rsidRPr="004D40F3" w:rsidRDefault="005B2E68" w:rsidP="00021EF3">
            <w:pPr>
              <w:spacing w:after="120"/>
              <w:ind w:left="58" w:right="58"/>
              <w:rPr>
                <w:b/>
              </w:rPr>
            </w:pPr>
            <w:r w:rsidRPr="004D40F3">
              <w:rPr>
                <w:b/>
              </w:rPr>
              <w:t xml:space="preserve">Description of input </w:t>
            </w:r>
          </w:p>
        </w:tc>
        <w:tc>
          <w:tcPr>
            <w:tcW w:w="1499" w:type="dxa"/>
            <w:noWrap/>
            <w:vAlign w:val="center"/>
            <w:hideMark/>
          </w:tcPr>
          <w:p w14:paraId="12B6BF8A" w14:textId="77777777" w:rsidR="005B2E68" w:rsidRPr="004D40F3" w:rsidRDefault="005B2E68" w:rsidP="00021EF3">
            <w:pPr>
              <w:spacing w:after="120"/>
              <w:ind w:left="58" w:right="58"/>
              <w:rPr>
                <w:b/>
              </w:rPr>
            </w:pPr>
            <w:r w:rsidRPr="004D40F3">
              <w:rPr>
                <w:b/>
              </w:rPr>
              <w:t>Unit of measurement</w:t>
            </w:r>
          </w:p>
        </w:tc>
        <w:tc>
          <w:tcPr>
            <w:tcW w:w="1401" w:type="dxa"/>
            <w:noWrap/>
            <w:vAlign w:val="center"/>
            <w:hideMark/>
          </w:tcPr>
          <w:p w14:paraId="07DEC01E" w14:textId="70B609B1" w:rsidR="005B2E68" w:rsidRPr="004D40F3" w:rsidRDefault="005B2E68" w:rsidP="00021EF3">
            <w:pPr>
              <w:spacing w:after="120"/>
              <w:ind w:left="58" w:right="58"/>
              <w:rPr>
                <w:b/>
              </w:rPr>
            </w:pPr>
            <w:r w:rsidRPr="004D40F3">
              <w:rPr>
                <w:b/>
              </w:rPr>
              <w:t>Value</w:t>
            </w:r>
          </w:p>
        </w:tc>
        <w:tc>
          <w:tcPr>
            <w:tcW w:w="2789" w:type="dxa"/>
            <w:noWrap/>
            <w:vAlign w:val="center"/>
            <w:hideMark/>
          </w:tcPr>
          <w:p w14:paraId="5EC745EB" w14:textId="77777777" w:rsidR="005B2E68" w:rsidRPr="004D40F3" w:rsidRDefault="005B2E68" w:rsidP="00021EF3">
            <w:pPr>
              <w:spacing w:after="120"/>
              <w:ind w:left="58" w:right="58"/>
              <w:rPr>
                <w:b/>
              </w:rPr>
            </w:pPr>
            <w:r w:rsidRPr="004D40F3">
              <w:rPr>
                <w:b/>
              </w:rPr>
              <w:t>Source</w:t>
            </w:r>
          </w:p>
        </w:tc>
      </w:tr>
      <w:tr w:rsidR="000615B3" w:rsidRPr="004D40F3" w14:paraId="4983D21B" w14:textId="77777777" w:rsidTr="00E50687">
        <w:trPr>
          <w:trHeight w:val="20"/>
        </w:trPr>
        <w:tc>
          <w:tcPr>
            <w:tcW w:w="3337" w:type="dxa"/>
            <w:noWrap/>
            <w:vAlign w:val="center"/>
          </w:tcPr>
          <w:p w14:paraId="1B87015A" w14:textId="572873A7" w:rsidR="000615B3" w:rsidRDefault="000615B3" w:rsidP="00021EF3">
            <w:pPr>
              <w:spacing w:after="120"/>
              <w:ind w:left="58" w:right="58"/>
            </w:pPr>
            <w:r>
              <w:t>Number of grant recipients by industry</w:t>
            </w:r>
          </w:p>
        </w:tc>
        <w:tc>
          <w:tcPr>
            <w:tcW w:w="1499" w:type="dxa"/>
            <w:noWrap/>
            <w:vAlign w:val="center"/>
          </w:tcPr>
          <w:p w14:paraId="254B88FA" w14:textId="6EF40BB3" w:rsidR="000615B3" w:rsidRDefault="000615B3" w:rsidP="00021EF3">
            <w:pPr>
              <w:spacing w:after="120"/>
              <w:ind w:left="58" w:right="58"/>
            </w:pPr>
            <w:r>
              <w:t>#</w:t>
            </w:r>
          </w:p>
        </w:tc>
        <w:tc>
          <w:tcPr>
            <w:tcW w:w="1401" w:type="dxa"/>
            <w:noWrap/>
            <w:vAlign w:val="center"/>
          </w:tcPr>
          <w:p w14:paraId="5DD2A9E6" w14:textId="23EF371A" w:rsidR="000615B3" w:rsidRDefault="000615B3" w:rsidP="00021EF3">
            <w:pPr>
              <w:spacing w:after="120"/>
              <w:ind w:left="58" w:right="58"/>
            </w:pPr>
            <w:r>
              <w:t>Multiple</w:t>
            </w:r>
          </w:p>
        </w:tc>
        <w:tc>
          <w:tcPr>
            <w:tcW w:w="2789" w:type="dxa"/>
            <w:noWrap/>
            <w:vAlign w:val="center"/>
          </w:tcPr>
          <w:p w14:paraId="75CCB68A" w14:textId="0685EB4A" w:rsidR="000615B3" w:rsidRDefault="000615B3" w:rsidP="00021EF3">
            <w:pPr>
              <w:spacing w:after="120"/>
              <w:ind w:left="58" w:right="58"/>
            </w:pPr>
            <w:r>
              <w:t>The Department</w:t>
            </w:r>
            <w:r w:rsidR="007D331C">
              <w:t>’</w:t>
            </w:r>
            <w:r>
              <w:t>s grants database</w:t>
            </w:r>
          </w:p>
        </w:tc>
      </w:tr>
      <w:tr w:rsidR="00A571FB" w:rsidRPr="004D40F3" w14:paraId="78255D47" w14:textId="77777777" w:rsidTr="00E50687">
        <w:trPr>
          <w:trHeight w:val="20"/>
        </w:trPr>
        <w:tc>
          <w:tcPr>
            <w:tcW w:w="3337" w:type="dxa"/>
            <w:noWrap/>
            <w:vAlign w:val="center"/>
          </w:tcPr>
          <w:p w14:paraId="221B1BEB" w14:textId="25A94A6E" w:rsidR="005B2E68" w:rsidRPr="004D40F3" w:rsidRDefault="00584EB7" w:rsidP="00021EF3">
            <w:pPr>
              <w:spacing w:after="120"/>
              <w:ind w:left="58" w:right="58"/>
            </w:pPr>
            <w:r>
              <w:t xml:space="preserve">Uplift </w:t>
            </w:r>
            <w:r w:rsidR="00F624D8">
              <w:t xml:space="preserve">in </w:t>
            </w:r>
            <w:r w:rsidR="00221174">
              <w:t>survival rate</w:t>
            </w:r>
            <w:r w:rsidR="00F624D8">
              <w:t xml:space="preserve"> relative to base case - 2021</w:t>
            </w:r>
          </w:p>
        </w:tc>
        <w:tc>
          <w:tcPr>
            <w:tcW w:w="1499" w:type="dxa"/>
            <w:noWrap/>
            <w:vAlign w:val="center"/>
          </w:tcPr>
          <w:p w14:paraId="050ADB0B" w14:textId="4D7A88E5" w:rsidR="005B2E68" w:rsidRPr="004D40F3" w:rsidRDefault="00F624D8" w:rsidP="00021EF3">
            <w:pPr>
              <w:spacing w:after="120"/>
              <w:ind w:left="58" w:right="58"/>
            </w:pPr>
            <w:r>
              <w:t>%</w:t>
            </w:r>
          </w:p>
        </w:tc>
        <w:tc>
          <w:tcPr>
            <w:tcW w:w="1401" w:type="dxa"/>
            <w:noWrap/>
            <w:vAlign w:val="center"/>
          </w:tcPr>
          <w:p w14:paraId="0C81F237" w14:textId="2CD94C46" w:rsidR="005B2E68" w:rsidRPr="004D40F3" w:rsidRDefault="00054A7D" w:rsidP="00021EF3">
            <w:pPr>
              <w:spacing w:after="120"/>
              <w:ind w:left="58" w:right="58"/>
            </w:pPr>
            <w:r>
              <w:t>4.0%</w:t>
            </w:r>
          </w:p>
        </w:tc>
        <w:tc>
          <w:tcPr>
            <w:tcW w:w="2789" w:type="dxa"/>
            <w:noWrap/>
            <w:vAlign w:val="center"/>
          </w:tcPr>
          <w:p w14:paraId="5F7E2EAA" w14:textId="4821E2B6" w:rsidR="005B2E68" w:rsidRPr="004D40F3" w:rsidRDefault="00054A7D" w:rsidP="00021EF3">
            <w:pPr>
              <w:spacing w:after="120"/>
              <w:ind w:left="58" w:right="58"/>
            </w:pPr>
            <w:r>
              <w:t>Regression analysis</w:t>
            </w:r>
          </w:p>
        </w:tc>
      </w:tr>
      <w:tr w:rsidR="00D210F3" w:rsidRPr="004D40F3" w14:paraId="751B66B5" w14:textId="77777777" w:rsidTr="00E50687">
        <w:trPr>
          <w:trHeight w:val="20"/>
        </w:trPr>
        <w:tc>
          <w:tcPr>
            <w:tcW w:w="3337" w:type="dxa"/>
            <w:noWrap/>
            <w:vAlign w:val="center"/>
          </w:tcPr>
          <w:p w14:paraId="1C3C0653" w14:textId="7B6543FC" w:rsidR="000F57EB" w:rsidRPr="004D40F3" w:rsidRDefault="000F57EB" w:rsidP="00021EF3">
            <w:pPr>
              <w:spacing w:after="120"/>
              <w:ind w:left="58" w:right="58"/>
            </w:pPr>
            <w:r>
              <w:t xml:space="preserve">Uplift in </w:t>
            </w:r>
            <w:r w:rsidR="00221174">
              <w:t>survival rate</w:t>
            </w:r>
            <w:r>
              <w:t xml:space="preserve"> relative to base case - 2022</w:t>
            </w:r>
          </w:p>
        </w:tc>
        <w:tc>
          <w:tcPr>
            <w:tcW w:w="1499" w:type="dxa"/>
            <w:noWrap/>
            <w:vAlign w:val="center"/>
          </w:tcPr>
          <w:p w14:paraId="45CB6CC1" w14:textId="588A4889" w:rsidR="000F57EB" w:rsidRPr="004D40F3" w:rsidRDefault="000F57EB" w:rsidP="00021EF3">
            <w:pPr>
              <w:spacing w:after="120"/>
              <w:ind w:left="58" w:right="58"/>
            </w:pPr>
            <w:r>
              <w:t>%</w:t>
            </w:r>
          </w:p>
        </w:tc>
        <w:tc>
          <w:tcPr>
            <w:tcW w:w="1401" w:type="dxa"/>
            <w:noWrap/>
            <w:vAlign w:val="center"/>
          </w:tcPr>
          <w:p w14:paraId="2817F059" w14:textId="567CEC5B" w:rsidR="000F57EB" w:rsidRPr="004D40F3" w:rsidRDefault="000F57EB" w:rsidP="00021EF3">
            <w:pPr>
              <w:spacing w:after="120"/>
              <w:ind w:left="58" w:right="58"/>
            </w:pPr>
            <w:r>
              <w:t>7.0%</w:t>
            </w:r>
          </w:p>
        </w:tc>
        <w:tc>
          <w:tcPr>
            <w:tcW w:w="2789" w:type="dxa"/>
            <w:noWrap/>
            <w:vAlign w:val="center"/>
          </w:tcPr>
          <w:p w14:paraId="08880526" w14:textId="0D0689E0" w:rsidR="000F57EB" w:rsidRPr="004D40F3" w:rsidRDefault="000F57EB" w:rsidP="00021EF3">
            <w:pPr>
              <w:spacing w:after="120"/>
              <w:ind w:left="58" w:right="58"/>
            </w:pPr>
            <w:r w:rsidRPr="009C425E">
              <w:t>Regression analysis</w:t>
            </w:r>
          </w:p>
        </w:tc>
      </w:tr>
      <w:tr w:rsidR="00D210F3" w:rsidRPr="004D40F3" w14:paraId="6BE406C6" w14:textId="77777777" w:rsidTr="00E50687">
        <w:trPr>
          <w:trHeight w:val="20"/>
        </w:trPr>
        <w:tc>
          <w:tcPr>
            <w:tcW w:w="3337" w:type="dxa"/>
            <w:noWrap/>
            <w:vAlign w:val="center"/>
          </w:tcPr>
          <w:p w14:paraId="07915F31" w14:textId="0871F0C6" w:rsidR="000F57EB" w:rsidRPr="004D40F3" w:rsidRDefault="000F57EB" w:rsidP="00021EF3">
            <w:pPr>
              <w:spacing w:after="120"/>
              <w:ind w:left="58" w:right="58"/>
            </w:pPr>
            <w:r>
              <w:t>Base case</w:t>
            </w:r>
            <w:r w:rsidR="00011DE2">
              <w:t xml:space="preserve"> </w:t>
            </w:r>
            <w:r w:rsidR="009F43DB">
              <w:t>failure</w:t>
            </w:r>
            <w:r>
              <w:t xml:space="preserve"> rate</w:t>
            </w:r>
            <w:r w:rsidR="00740EC4">
              <w:t xml:space="preserve"> - 2021</w:t>
            </w:r>
          </w:p>
        </w:tc>
        <w:tc>
          <w:tcPr>
            <w:tcW w:w="1499" w:type="dxa"/>
            <w:noWrap/>
            <w:vAlign w:val="center"/>
          </w:tcPr>
          <w:p w14:paraId="6EFD88E1" w14:textId="1EAEF29D" w:rsidR="000F57EB" w:rsidRPr="004D40F3" w:rsidRDefault="000F57EB" w:rsidP="00021EF3">
            <w:pPr>
              <w:spacing w:after="120"/>
              <w:ind w:left="58" w:right="58"/>
            </w:pPr>
            <w:r>
              <w:t>%</w:t>
            </w:r>
          </w:p>
        </w:tc>
        <w:tc>
          <w:tcPr>
            <w:tcW w:w="1401" w:type="dxa"/>
            <w:noWrap/>
            <w:vAlign w:val="center"/>
          </w:tcPr>
          <w:p w14:paraId="0F7914C8" w14:textId="492EA6B2" w:rsidR="000F57EB" w:rsidRPr="004D40F3" w:rsidRDefault="000F57EB" w:rsidP="00021EF3">
            <w:pPr>
              <w:spacing w:after="120"/>
              <w:ind w:left="58" w:right="58"/>
            </w:pPr>
            <w:r>
              <w:t>4.9%</w:t>
            </w:r>
          </w:p>
        </w:tc>
        <w:tc>
          <w:tcPr>
            <w:tcW w:w="2789" w:type="dxa"/>
            <w:noWrap/>
            <w:vAlign w:val="center"/>
          </w:tcPr>
          <w:p w14:paraId="435CAC21" w14:textId="1FE74483" w:rsidR="000F57EB" w:rsidRPr="004D40F3" w:rsidRDefault="000F57EB" w:rsidP="00021EF3">
            <w:pPr>
              <w:spacing w:after="120"/>
              <w:ind w:left="58" w:right="58"/>
            </w:pPr>
            <w:r w:rsidRPr="009C425E">
              <w:t>Regression analysis</w:t>
            </w:r>
          </w:p>
        </w:tc>
      </w:tr>
      <w:tr w:rsidR="00D210F3" w:rsidRPr="004D40F3" w14:paraId="727208EC" w14:textId="77777777" w:rsidTr="00E50687">
        <w:trPr>
          <w:trHeight w:val="20"/>
        </w:trPr>
        <w:tc>
          <w:tcPr>
            <w:tcW w:w="3337" w:type="dxa"/>
            <w:noWrap/>
            <w:vAlign w:val="center"/>
          </w:tcPr>
          <w:p w14:paraId="37AC9FE1" w14:textId="58CBA0A0" w:rsidR="00D15A22" w:rsidRPr="004D40F3" w:rsidRDefault="00D15A22" w:rsidP="00021EF3">
            <w:pPr>
              <w:spacing w:after="120"/>
              <w:ind w:left="58" w:right="58"/>
            </w:pPr>
            <w:r>
              <w:t>Base case failure rate - 2022</w:t>
            </w:r>
          </w:p>
        </w:tc>
        <w:tc>
          <w:tcPr>
            <w:tcW w:w="1499" w:type="dxa"/>
            <w:noWrap/>
            <w:vAlign w:val="center"/>
          </w:tcPr>
          <w:p w14:paraId="747E40CB" w14:textId="7A54C336" w:rsidR="00D15A22" w:rsidRPr="004D40F3" w:rsidRDefault="00D15A22" w:rsidP="00021EF3">
            <w:pPr>
              <w:spacing w:after="120"/>
              <w:ind w:left="58" w:right="58"/>
            </w:pPr>
            <w:r>
              <w:t>%</w:t>
            </w:r>
          </w:p>
        </w:tc>
        <w:tc>
          <w:tcPr>
            <w:tcW w:w="1401" w:type="dxa"/>
            <w:noWrap/>
            <w:vAlign w:val="center"/>
          </w:tcPr>
          <w:p w14:paraId="2A88A595" w14:textId="63B1FF34" w:rsidR="00D15A22" w:rsidRPr="004D40F3" w:rsidRDefault="00D15A22" w:rsidP="00021EF3">
            <w:pPr>
              <w:spacing w:after="120"/>
              <w:ind w:left="58" w:right="58"/>
            </w:pPr>
            <w:r>
              <w:t>8.9%</w:t>
            </w:r>
          </w:p>
        </w:tc>
        <w:tc>
          <w:tcPr>
            <w:tcW w:w="2789" w:type="dxa"/>
            <w:noWrap/>
            <w:vAlign w:val="center"/>
          </w:tcPr>
          <w:p w14:paraId="0E078CB5" w14:textId="740F45A3" w:rsidR="00D15A22" w:rsidRPr="004D40F3" w:rsidRDefault="00D15A22" w:rsidP="00021EF3">
            <w:pPr>
              <w:spacing w:after="120"/>
              <w:ind w:left="58" w:right="58"/>
            </w:pPr>
            <w:r w:rsidRPr="009C425E">
              <w:t>Regression analysis</w:t>
            </w:r>
          </w:p>
        </w:tc>
      </w:tr>
      <w:tr w:rsidR="00A571FB" w:rsidRPr="004D40F3" w14:paraId="14EF2B8D" w14:textId="77777777" w:rsidTr="00E50687">
        <w:trPr>
          <w:trHeight w:val="20"/>
        </w:trPr>
        <w:tc>
          <w:tcPr>
            <w:tcW w:w="3337" w:type="dxa"/>
            <w:noWrap/>
            <w:vAlign w:val="center"/>
          </w:tcPr>
          <w:p w14:paraId="6A289320" w14:textId="1BD7E9A6" w:rsidR="00D15A22" w:rsidRPr="004D40F3" w:rsidRDefault="008F1D90" w:rsidP="00021EF3">
            <w:pPr>
              <w:spacing w:after="120"/>
              <w:ind w:left="58" w:right="58"/>
            </w:pPr>
            <w:r>
              <w:lastRenderedPageBreak/>
              <w:t>Employing businesses – Average revenue</w:t>
            </w:r>
            <w:r w:rsidR="006E1CE1">
              <w:t xml:space="preserve"> (varies by industry)</w:t>
            </w:r>
          </w:p>
        </w:tc>
        <w:tc>
          <w:tcPr>
            <w:tcW w:w="1499" w:type="dxa"/>
            <w:noWrap/>
            <w:vAlign w:val="center"/>
          </w:tcPr>
          <w:p w14:paraId="31A110A9" w14:textId="77777777" w:rsidR="00D15A22" w:rsidRPr="004D40F3" w:rsidRDefault="00D15A22" w:rsidP="00021EF3">
            <w:pPr>
              <w:spacing w:after="120"/>
              <w:ind w:left="58" w:right="58"/>
            </w:pPr>
            <w:r w:rsidRPr="004D40F3">
              <w:t>$ p.a.</w:t>
            </w:r>
          </w:p>
        </w:tc>
        <w:tc>
          <w:tcPr>
            <w:tcW w:w="1401" w:type="dxa"/>
            <w:noWrap/>
            <w:vAlign w:val="center"/>
          </w:tcPr>
          <w:p w14:paraId="0B08FBAA" w14:textId="1D5188DF" w:rsidR="00D15A22" w:rsidRPr="004D40F3" w:rsidRDefault="00B34B95" w:rsidP="00021EF3">
            <w:pPr>
              <w:spacing w:after="120"/>
              <w:ind w:left="58" w:right="58"/>
            </w:pPr>
            <w:r>
              <w:t>3</w:t>
            </w:r>
            <w:r w:rsidR="00584FBD">
              <w:t xml:space="preserve">73,749 </w:t>
            </w:r>
            <w:r w:rsidR="00616468">
              <w:t>–</w:t>
            </w:r>
            <w:r w:rsidR="00584FBD">
              <w:t xml:space="preserve"> </w:t>
            </w:r>
            <w:r w:rsidR="00616468">
              <w:t>7,937</w:t>
            </w:r>
            <w:r w:rsidR="008355AA">
              <w:t>,303</w:t>
            </w:r>
          </w:p>
        </w:tc>
        <w:tc>
          <w:tcPr>
            <w:tcW w:w="2789" w:type="dxa"/>
            <w:noWrap/>
            <w:vAlign w:val="center"/>
          </w:tcPr>
          <w:p w14:paraId="32D5FD48" w14:textId="35D85344" w:rsidR="00D15A22" w:rsidRPr="004D40F3" w:rsidRDefault="00D210F3" w:rsidP="00021EF3">
            <w:pPr>
              <w:spacing w:after="120"/>
              <w:ind w:left="58" w:right="58"/>
            </w:pPr>
            <w:r>
              <w:t xml:space="preserve">Calculated from </w:t>
            </w:r>
            <w:r w:rsidR="008355AA">
              <w:t>ABS</w:t>
            </w:r>
            <w:r w:rsidR="007B10B2">
              <w:t>: Australian</w:t>
            </w:r>
            <w:r w:rsidR="008355AA">
              <w:t xml:space="preserve"> Industry</w:t>
            </w:r>
            <w:r w:rsidR="00AE48F5">
              <w:t xml:space="preserve"> (2021)</w:t>
            </w:r>
            <w:r w:rsidR="008355AA">
              <w:t xml:space="preserve"> and ABS</w:t>
            </w:r>
            <w:r w:rsidR="007B10B2">
              <w:t>:</w:t>
            </w:r>
            <w:r w:rsidR="008355AA">
              <w:t xml:space="preserve"> Australian </w:t>
            </w:r>
            <w:r w:rsidR="008B6E37">
              <w:t xml:space="preserve">Counts of Australian </w:t>
            </w:r>
            <w:r w:rsidR="00164931">
              <w:t>Businesses</w:t>
            </w:r>
            <w:r w:rsidR="00AE48F5">
              <w:t xml:space="preserve"> (2021)</w:t>
            </w:r>
          </w:p>
        </w:tc>
      </w:tr>
      <w:tr w:rsidR="00D210F3" w:rsidRPr="004D40F3" w14:paraId="5B7FD8F4" w14:textId="77777777" w:rsidTr="00E50687">
        <w:trPr>
          <w:trHeight w:val="20"/>
        </w:trPr>
        <w:tc>
          <w:tcPr>
            <w:tcW w:w="3337" w:type="dxa"/>
            <w:noWrap/>
            <w:vAlign w:val="center"/>
          </w:tcPr>
          <w:p w14:paraId="1ADC85F0" w14:textId="2F04CDB3" w:rsidR="00D15A22" w:rsidRPr="004D40F3" w:rsidRDefault="003B24DD" w:rsidP="00021EF3">
            <w:pPr>
              <w:spacing w:after="120"/>
              <w:ind w:left="58" w:right="58"/>
            </w:pPr>
            <w:r>
              <w:t>Non-employing businesses – Average revenue</w:t>
            </w:r>
            <w:r w:rsidR="006E1CE1">
              <w:t xml:space="preserve"> (varies by industry)</w:t>
            </w:r>
          </w:p>
        </w:tc>
        <w:tc>
          <w:tcPr>
            <w:tcW w:w="1499" w:type="dxa"/>
            <w:noWrap/>
            <w:vAlign w:val="center"/>
          </w:tcPr>
          <w:p w14:paraId="190AF885" w14:textId="77777777" w:rsidR="00D15A22" w:rsidRPr="004D40F3" w:rsidRDefault="00D15A22" w:rsidP="00021EF3">
            <w:pPr>
              <w:spacing w:after="120"/>
              <w:ind w:left="58" w:right="58"/>
            </w:pPr>
            <w:r w:rsidRPr="004D40F3">
              <w:t>$ p.a.</w:t>
            </w:r>
          </w:p>
        </w:tc>
        <w:tc>
          <w:tcPr>
            <w:tcW w:w="1401" w:type="dxa"/>
            <w:noWrap/>
            <w:vAlign w:val="center"/>
          </w:tcPr>
          <w:p w14:paraId="54ECBFDC" w14:textId="7657BC8A" w:rsidR="00D15A22" w:rsidRPr="004D40F3" w:rsidRDefault="006E1CE1" w:rsidP="00021EF3">
            <w:pPr>
              <w:spacing w:after="120"/>
              <w:ind w:left="58" w:right="58"/>
            </w:pPr>
            <w:r>
              <w:t xml:space="preserve">80,982 </w:t>
            </w:r>
            <w:r w:rsidR="00695C53">
              <w:t>– 1,203,366</w:t>
            </w:r>
          </w:p>
        </w:tc>
        <w:tc>
          <w:tcPr>
            <w:tcW w:w="2789" w:type="dxa"/>
            <w:noWrap/>
            <w:vAlign w:val="center"/>
          </w:tcPr>
          <w:p w14:paraId="4299CD68" w14:textId="5F179619" w:rsidR="00D15A22" w:rsidRPr="004D40F3" w:rsidRDefault="00846050" w:rsidP="00021EF3">
            <w:pPr>
              <w:spacing w:after="120"/>
              <w:ind w:left="58" w:right="58"/>
            </w:pPr>
            <w:r>
              <w:t>ABS</w:t>
            </w:r>
            <w:r w:rsidR="007B3D2F">
              <w:t>: Australian Industry</w:t>
            </w:r>
            <w:r>
              <w:t xml:space="preserve"> (2021)</w:t>
            </w:r>
          </w:p>
        </w:tc>
      </w:tr>
      <w:tr w:rsidR="00D210F3" w:rsidRPr="004D40F3" w14:paraId="5F495222" w14:textId="77777777" w:rsidTr="00E50687">
        <w:trPr>
          <w:trHeight w:val="20"/>
        </w:trPr>
        <w:tc>
          <w:tcPr>
            <w:tcW w:w="3337" w:type="dxa"/>
            <w:noWrap/>
            <w:vAlign w:val="center"/>
          </w:tcPr>
          <w:p w14:paraId="741CCF50" w14:textId="331933D4" w:rsidR="00D15A22" w:rsidRPr="004D40F3" w:rsidRDefault="00EC72FA" w:rsidP="00021EF3">
            <w:pPr>
              <w:spacing w:after="120"/>
              <w:ind w:left="58" w:right="58"/>
            </w:pPr>
            <w:r>
              <w:t>GOS as a share of revenue (varies by industry)</w:t>
            </w:r>
          </w:p>
        </w:tc>
        <w:tc>
          <w:tcPr>
            <w:tcW w:w="1499" w:type="dxa"/>
            <w:noWrap/>
            <w:vAlign w:val="center"/>
          </w:tcPr>
          <w:p w14:paraId="104A355D" w14:textId="35C2D605" w:rsidR="00D15A22" w:rsidRPr="004D40F3" w:rsidRDefault="00EC72FA" w:rsidP="00021EF3">
            <w:pPr>
              <w:spacing w:after="120"/>
              <w:ind w:left="58" w:right="58"/>
            </w:pPr>
            <w:r>
              <w:t>%</w:t>
            </w:r>
          </w:p>
        </w:tc>
        <w:tc>
          <w:tcPr>
            <w:tcW w:w="1401" w:type="dxa"/>
            <w:noWrap/>
            <w:vAlign w:val="center"/>
          </w:tcPr>
          <w:p w14:paraId="09EDE9A9" w14:textId="1D109EA1" w:rsidR="00D15A22" w:rsidRPr="004D40F3" w:rsidRDefault="008D7924" w:rsidP="00021EF3">
            <w:pPr>
              <w:spacing w:after="120"/>
              <w:ind w:left="58" w:right="58"/>
            </w:pPr>
            <w:r>
              <w:t xml:space="preserve">8.5% - </w:t>
            </w:r>
            <w:r w:rsidR="00052265">
              <w:t>52.7%</w:t>
            </w:r>
          </w:p>
        </w:tc>
        <w:tc>
          <w:tcPr>
            <w:tcW w:w="2789" w:type="dxa"/>
            <w:noWrap/>
            <w:vAlign w:val="center"/>
          </w:tcPr>
          <w:p w14:paraId="63ED049B" w14:textId="05F6C1B1" w:rsidR="00D15A22" w:rsidRPr="004D40F3" w:rsidRDefault="00D210F3" w:rsidP="00021EF3">
            <w:pPr>
              <w:spacing w:after="120"/>
              <w:ind w:left="58" w:right="58"/>
            </w:pPr>
            <w:r>
              <w:t xml:space="preserve">Calculated from </w:t>
            </w:r>
            <w:r w:rsidR="00846050">
              <w:t>ABS Australian National Accounts: Input-Output Tables (2021-22)</w:t>
            </w:r>
          </w:p>
        </w:tc>
      </w:tr>
      <w:tr w:rsidR="00910A3E" w:rsidRPr="004D40F3" w14:paraId="29195EDE" w14:textId="77777777" w:rsidTr="00E50687">
        <w:trPr>
          <w:trHeight w:val="20"/>
        </w:trPr>
        <w:tc>
          <w:tcPr>
            <w:tcW w:w="3337" w:type="dxa"/>
            <w:noWrap/>
            <w:vAlign w:val="center"/>
          </w:tcPr>
          <w:p w14:paraId="4484097F" w14:textId="3C48E515" w:rsidR="00D00199" w:rsidRDefault="00D00199" w:rsidP="00021EF3">
            <w:pPr>
              <w:spacing w:after="120"/>
              <w:ind w:left="58" w:right="58"/>
            </w:pPr>
            <w:r>
              <w:t xml:space="preserve">Change in hours worked </w:t>
            </w:r>
            <w:r w:rsidR="00441811">
              <w:t xml:space="preserve">(2021) </w:t>
            </w:r>
            <w:r w:rsidR="003B3972">
              <w:t>–</w:t>
            </w:r>
            <w:r>
              <w:t xml:space="preserve"> </w:t>
            </w:r>
            <w:r w:rsidR="00441811">
              <w:t>Retail Trade</w:t>
            </w:r>
          </w:p>
        </w:tc>
        <w:tc>
          <w:tcPr>
            <w:tcW w:w="1499" w:type="dxa"/>
            <w:noWrap/>
            <w:vAlign w:val="center"/>
          </w:tcPr>
          <w:p w14:paraId="186D1884" w14:textId="4C55AE0B" w:rsidR="00D00199" w:rsidRDefault="00441811" w:rsidP="00021EF3">
            <w:pPr>
              <w:spacing w:after="120"/>
              <w:ind w:left="58" w:right="58"/>
            </w:pPr>
            <w:r>
              <w:t>#</w:t>
            </w:r>
          </w:p>
        </w:tc>
        <w:tc>
          <w:tcPr>
            <w:tcW w:w="1401" w:type="dxa"/>
            <w:noWrap/>
            <w:vAlign w:val="center"/>
          </w:tcPr>
          <w:p w14:paraId="2C524F74" w14:textId="05B08952" w:rsidR="00D00199" w:rsidRDefault="00441811" w:rsidP="00021EF3">
            <w:pPr>
              <w:spacing w:after="120"/>
              <w:ind w:left="58" w:right="58"/>
            </w:pPr>
            <w:r>
              <w:t>9,611,308</w:t>
            </w:r>
          </w:p>
        </w:tc>
        <w:tc>
          <w:tcPr>
            <w:tcW w:w="2789" w:type="dxa"/>
            <w:noWrap/>
            <w:vAlign w:val="center"/>
          </w:tcPr>
          <w:p w14:paraId="6CBEE443" w14:textId="42351FBE" w:rsidR="00D00199" w:rsidRDefault="00D210F3" w:rsidP="00021EF3">
            <w:pPr>
              <w:spacing w:after="120"/>
              <w:ind w:left="58" w:right="58"/>
            </w:pPr>
            <w:r>
              <w:t xml:space="preserve">Hours worked analysis </w:t>
            </w:r>
          </w:p>
        </w:tc>
      </w:tr>
      <w:tr w:rsidR="00910A3E" w:rsidRPr="004D40F3" w14:paraId="5E46D6AB" w14:textId="77777777" w:rsidTr="00E50687">
        <w:trPr>
          <w:trHeight w:val="20"/>
        </w:trPr>
        <w:tc>
          <w:tcPr>
            <w:tcW w:w="3337" w:type="dxa"/>
            <w:noWrap/>
            <w:vAlign w:val="center"/>
          </w:tcPr>
          <w:p w14:paraId="4FD4AB62" w14:textId="17F4FF25" w:rsidR="00D00199" w:rsidRDefault="00441811" w:rsidP="00021EF3">
            <w:pPr>
              <w:spacing w:after="120"/>
              <w:ind w:left="58" w:right="58"/>
            </w:pPr>
            <w:r w:rsidRPr="00EB7DE1">
              <w:t xml:space="preserve">Change in hours worked (2021) – </w:t>
            </w:r>
            <w:r>
              <w:t>Accommodation and Food Services</w:t>
            </w:r>
          </w:p>
        </w:tc>
        <w:tc>
          <w:tcPr>
            <w:tcW w:w="1499" w:type="dxa"/>
            <w:noWrap/>
            <w:vAlign w:val="center"/>
          </w:tcPr>
          <w:p w14:paraId="2CBFA632" w14:textId="1B40D4FC" w:rsidR="00D00199" w:rsidRDefault="00441811" w:rsidP="00021EF3">
            <w:pPr>
              <w:spacing w:after="120"/>
              <w:ind w:left="58" w:right="58"/>
            </w:pPr>
            <w:r>
              <w:t>#</w:t>
            </w:r>
          </w:p>
        </w:tc>
        <w:tc>
          <w:tcPr>
            <w:tcW w:w="1401" w:type="dxa"/>
            <w:noWrap/>
            <w:vAlign w:val="center"/>
          </w:tcPr>
          <w:p w14:paraId="4F578C9A" w14:textId="21EB1003" w:rsidR="00D00199" w:rsidRDefault="00441811" w:rsidP="00021EF3">
            <w:pPr>
              <w:spacing w:after="120"/>
              <w:ind w:left="58" w:right="58"/>
            </w:pPr>
            <w:r>
              <w:t>10,020,618</w:t>
            </w:r>
          </w:p>
        </w:tc>
        <w:tc>
          <w:tcPr>
            <w:tcW w:w="2789" w:type="dxa"/>
            <w:noWrap/>
            <w:vAlign w:val="center"/>
          </w:tcPr>
          <w:p w14:paraId="6CB9D1E0" w14:textId="691CEE17" w:rsidR="00D00199" w:rsidRDefault="00D210F3" w:rsidP="00021EF3">
            <w:pPr>
              <w:spacing w:after="120"/>
              <w:ind w:left="58" w:right="58"/>
            </w:pPr>
            <w:r w:rsidRPr="000A418D">
              <w:t xml:space="preserve">Hours worked analysis </w:t>
            </w:r>
          </w:p>
        </w:tc>
      </w:tr>
      <w:tr w:rsidR="00910A3E" w:rsidRPr="004D40F3" w14:paraId="1C979FF0" w14:textId="77777777" w:rsidTr="00E50687">
        <w:trPr>
          <w:trHeight w:val="20"/>
        </w:trPr>
        <w:tc>
          <w:tcPr>
            <w:tcW w:w="3337" w:type="dxa"/>
            <w:noWrap/>
            <w:vAlign w:val="center"/>
          </w:tcPr>
          <w:p w14:paraId="79C8733B" w14:textId="1FA76D2E" w:rsidR="00D00199" w:rsidRDefault="00441811" w:rsidP="00021EF3">
            <w:pPr>
              <w:spacing w:after="120"/>
              <w:ind w:left="58" w:right="58"/>
            </w:pPr>
            <w:r w:rsidRPr="00EB7DE1">
              <w:t xml:space="preserve">Change in hours worked (2021) – </w:t>
            </w:r>
            <w:r w:rsidR="00103FFF">
              <w:t>Transport, Postal and Warehousing</w:t>
            </w:r>
          </w:p>
        </w:tc>
        <w:tc>
          <w:tcPr>
            <w:tcW w:w="1499" w:type="dxa"/>
            <w:noWrap/>
            <w:vAlign w:val="center"/>
          </w:tcPr>
          <w:p w14:paraId="19F98919" w14:textId="40A27EEF" w:rsidR="00D00199" w:rsidRDefault="00103FFF" w:rsidP="00021EF3">
            <w:pPr>
              <w:spacing w:after="120"/>
              <w:ind w:left="58" w:right="58"/>
            </w:pPr>
            <w:r>
              <w:t>#</w:t>
            </w:r>
          </w:p>
        </w:tc>
        <w:tc>
          <w:tcPr>
            <w:tcW w:w="1401" w:type="dxa"/>
            <w:noWrap/>
            <w:vAlign w:val="center"/>
          </w:tcPr>
          <w:p w14:paraId="150D3A1C" w14:textId="03F8EED6" w:rsidR="00D00199" w:rsidRDefault="00103FFF" w:rsidP="00021EF3">
            <w:pPr>
              <w:spacing w:after="120"/>
              <w:ind w:left="58" w:right="58"/>
            </w:pPr>
            <w:r>
              <w:t>6,039,921</w:t>
            </w:r>
          </w:p>
        </w:tc>
        <w:tc>
          <w:tcPr>
            <w:tcW w:w="2789" w:type="dxa"/>
            <w:noWrap/>
            <w:vAlign w:val="center"/>
          </w:tcPr>
          <w:p w14:paraId="377AF63A" w14:textId="15E6D215" w:rsidR="00D00199" w:rsidRDefault="00D210F3" w:rsidP="00021EF3">
            <w:pPr>
              <w:spacing w:after="120"/>
              <w:ind w:left="58" w:right="58"/>
            </w:pPr>
            <w:r w:rsidRPr="000A418D">
              <w:t xml:space="preserve">Hours worked analysis </w:t>
            </w:r>
          </w:p>
        </w:tc>
      </w:tr>
      <w:tr w:rsidR="00910A3E" w:rsidRPr="004D40F3" w14:paraId="7C2D3E69" w14:textId="77777777" w:rsidTr="00E50687">
        <w:trPr>
          <w:trHeight w:val="20"/>
        </w:trPr>
        <w:tc>
          <w:tcPr>
            <w:tcW w:w="3337" w:type="dxa"/>
            <w:noWrap/>
            <w:vAlign w:val="center"/>
          </w:tcPr>
          <w:p w14:paraId="313FBC7C" w14:textId="6428F7D6" w:rsidR="00D00199" w:rsidRDefault="00441811" w:rsidP="00021EF3">
            <w:pPr>
              <w:spacing w:after="120"/>
              <w:ind w:left="58" w:right="58"/>
            </w:pPr>
            <w:r w:rsidRPr="00EB7DE1">
              <w:t xml:space="preserve">Change in hours worked (2021) – </w:t>
            </w:r>
            <w:r w:rsidR="00932E75">
              <w:t>Professional, Scientific and Technical Services</w:t>
            </w:r>
          </w:p>
        </w:tc>
        <w:tc>
          <w:tcPr>
            <w:tcW w:w="1499" w:type="dxa"/>
            <w:noWrap/>
            <w:vAlign w:val="center"/>
          </w:tcPr>
          <w:p w14:paraId="752EB75D" w14:textId="6D76DDFA" w:rsidR="00D00199" w:rsidRDefault="00F44C11" w:rsidP="00021EF3">
            <w:pPr>
              <w:spacing w:after="120"/>
              <w:ind w:left="58" w:right="58"/>
            </w:pPr>
            <w:r>
              <w:t>#</w:t>
            </w:r>
          </w:p>
        </w:tc>
        <w:tc>
          <w:tcPr>
            <w:tcW w:w="1401" w:type="dxa"/>
            <w:noWrap/>
            <w:vAlign w:val="center"/>
          </w:tcPr>
          <w:p w14:paraId="1C3D4E38" w14:textId="47EE721C" w:rsidR="00D00199" w:rsidRDefault="00F44C11" w:rsidP="00021EF3">
            <w:pPr>
              <w:spacing w:after="120"/>
              <w:ind w:left="58" w:right="58"/>
            </w:pPr>
            <w:r>
              <w:t>2,085,523</w:t>
            </w:r>
          </w:p>
        </w:tc>
        <w:tc>
          <w:tcPr>
            <w:tcW w:w="2789" w:type="dxa"/>
            <w:noWrap/>
            <w:vAlign w:val="center"/>
          </w:tcPr>
          <w:p w14:paraId="76EE6F51" w14:textId="53162E6B" w:rsidR="00D00199" w:rsidRDefault="00D210F3" w:rsidP="00021EF3">
            <w:pPr>
              <w:spacing w:after="120"/>
              <w:ind w:left="58" w:right="58"/>
            </w:pPr>
            <w:r w:rsidRPr="000A418D">
              <w:t xml:space="preserve">Hours worked analysis </w:t>
            </w:r>
          </w:p>
        </w:tc>
      </w:tr>
      <w:tr w:rsidR="00910A3E" w:rsidRPr="004D40F3" w14:paraId="361DC8CF" w14:textId="77777777" w:rsidTr="00E50687">
        <w:trPr>
          <w:trHeight w:val="20"/>
        </w:trPr>
        <w:tc>
          <w:tcPr>
            <w:tcW w:w="3337" w:type="dxa"/>
            <w:noWrap/>
            <w:vAlign w:val="center"/>
          </w:tcPr>
          <w:p w14:paraId="70895674" w14:textId="3E7063FF" w:rsidR="00D00199" w:rsidRDefault="00441811" w:rsidP="00021EF3">
            <w:pPr>
              <w:spacing w:after="120"/>
              <w:ind w:left="58" w:right="58"/>
            </w:pPr>
            <w:r w:rsidRPr="00EB7DE1">
              <w:t xml:space="preserve">Change in hours worked (2021) – </w:t>
            </w:r>
            <w:r w:rsidR="00F44C11">
              <w:t>Health</w:t>
            </w:r>
            <w:r w:rsidR="00F32126">
              <w:t xml:space="preserve"> C</w:t>
            </w:r>
            <w:r w:rsidR="00F44C11">
              <w:t>are and Social Assistance</w:t>
            </w:r>
          </w:p>
        </w:tc>
        <w:tc>
          <w:tcPr>
            <w:tcW w:w="1499" w:type="dxa"/>
            <w:noWrap/>
            <w:vAlign w:val="center"/>
          </w:tcPr>
          <w:p w14:paraId="5FC68C7C" w14:textId="042EA427" w:rsidR="00D00199" w:rsidRDefault="00F44C11" w:rsidP="00021EF3">
            <w:pPr>
              <w:spacing w:after="120"/>
              <w:ind w:left="58" w:right="58"/>
            </w:pPr>
            <w:r>
              <w:t>#</w:t>
            </w:r>
          </w:p>
        </w:tc>
        <w:tc>
          <w:tcPr>
            <w:tcW w:w="1401" w:type="dxa"/>
            <w:noWrap/>
            <w:vAlign w:val="center"/>
          </w:tcPr>
          <w:p w14:paraId="5F08640F" w14:textId="41716031" w:rsidR="00D00199" w:rsidRDefault="00F44C11" w:rsidP="00021EF3">
            <w:pPr>
              <w:spacing w:after="120"/>
              <w:ind w:left="58" w:right="58"/>
            </w:pPr>
            <w:r>
              <w:t>3,885,207</w:t>
            </w:r>
          </w:p>
        </w:tc>
        <w:tc>
          <w:tcPr>
            <w:tcW w:w="2789" w:type="dxa"/>
            <w:noWrap/>
            <w:vAlign w:val="center"/>
          </w:tcPr>
          <w:p w14:paraId="5FF38CAE" w14:textId="14FFA0F5" w:rsidR="00D00199" w:rsidRDefault="00D210F3" w:rsidP="00021EF3">
            <w:pPr>
              <w:spacing w:after="120"/>
              <w:ind w:left="58" w:right="58"/>
            </w:pPr>
            <w:r w:rsidRPr="000A418D">
              <w:t xml:space="preserve">Hours worked analysis </w:t>
            </w:r>
          </w:p>
        </w:tc>
      </w:tr>
      <w:tr w:rsidR="00910A3E" w:rsidRPr="004D40F3" w14:paraId="66F68A67" w14:textId="77777777" w:rsidTr="00E50687">
        <w:trPr>
          <w:trHeight w:val="20"/>
        </w:trPr>
        <w:tc>
          <w:tcPr>
            <w:tcW w:w="3337" w:type="dxa"/>
            <w:noWrap/>
            <w:vAlign w:val="center"/>
          </w:tcPr>
          <w:p w14:paraId="199EF5EE" w14:textId="42ECA010" w:rsidR="008733E8" w:rsidRDefault="00441811" w:rsidP="00021EF3">
            <w:pPr>
              <w:spacing w:after="120"/>
              <w:ind w:left="58" w:right="58"/>
            </w:pPr>
            <w:r w:rsidRPr="00EB7DE1">
              <w:t xml:space="preserve">Change in hours worked (2021) – </w:t>
            </w:r>
            <w:r w:rsidR="00F44C11">
              <w:t>Other Services</w:t>
            </w:r>
          </w:p>
        </w:tc>
        <w:tc>
          <w:tcPr>
            <w:tcW w:w="1499" w:type="dxa"/>
            <w:noWrap/>
            <w:vAlign w:val="center"/>
          </w:tcPr>
          <w:p w14:paraId="024D6469" w14:textId="0C5C280A" w:rsidR="008733E8" w:rsidRDefault="00F44C11" w:rsidP="00021EF3">
            <w:pPr>
              <w:spacing w:after="120"/>
              <w:ind w:left="58" w:right="58"/>
            </w:pPr>
            <w:r>
              <w:t>#</w:t>
            </w:r>
          </w:p>
        </w:tc>
        <w:tc>
          <w:tcPr>
            <w:tcW w:w="1401" w:type="dxa"/>
            <w:noWrap/>
            <w:vAlign w:val="center"/>
          </w:tcPr>
          <w:p w14:paraId="6E11C56B" w14:textId="00782E01" w:rsidR="008733E8" w:rsidRDefault="00F44C11" w:rsidP="00021EF3">
            <w:pPr>
              <w:spacing w:after="120"/>
              <w:ind w:left="58" w:right="58"/>
            </w:pPr>
            <w:r>
              <w:t>2,784,711</w:t>
            </w:r>
          </w:p>
        </w:tc>
        <w:tc>
          <w:tcPr>
            <w:tcW w:w="2789" w:type="dxa"/>
            <w:noWrap/>
            <w:vAlign w:val="center"/>
          </w:tcPr>
          <w:p w14:paraId="3ACF7955" w14:textId="2DCE8191" w:rsidR="008733E8" w:rsidRDefault="00D210F3" w:rsidP="00021EF3">
            <w:pPr>
              <w:spacing w:after="120"/>
              <w:ind w:left="58" w:right="58"/>
            </w:pPr>
            <w:r w:rsidRPr="000A418D">
              <w:t xml:space="preserve">Hours worked analysis </w:t>
            </w:r>
          </w:p>
        </w:tc>
      </w:tr>
      <w:tr w:rsidR="00910A3E" w:rsidRPr="004D40F3" w14:paraId="2D09A2EC" w14:textId="77777777" w:rsidTr="00E50687">
        <w:trPr>
          <w:trHeight w:val="20"/>
        </w:trPr>
        <w:tc>
          <w:tcPr>
            <w:tcW w:w="3337" w:type="dxa"/>
            <w:noWrap/>
            <w:vAlign w:val="center"/>
          </w:tcPr>
          <w:p w14:paraId="59F85CD2" w14:textId="54AF01B9" w:rsidR="008733E8" w:rsidRDefault="00262F7A" w:rsidP="00021EF3">
            <w:pPr>
              <w:spacing w:after="120"/>
              <w:ind w:left="58" w:right="58"/>
            </w:pPr>
            <w:r w:rsidRPr="00EB7DE1">
              <w:t>Change in hours worked (2021) –</w:t>
            </w:r>
            <w:r>
              <w:t xml:space="preserve"> All other industries</w:t>
            </w:r>
          </w:p>
        </w:tc>
        <w:tc>
          <w:tcPr>
            <w:tcW w:w="1499" w:type="dxa"/>
            <w:noWrap/>
            <w:vAlign w:val="center"/>
          </w:tcPr>
          <w:p w14:paraId="280DD25C" w14:textId="7C46A418" w:rsidR="008733E8" w:rsidRDefault="00262F7A" w:rsidP="00021EF3">
            <w:pPr>
              <w:spacing w:after="120"/>
              <w:ind w:left="58" w:right="58"/>
            </w:pPr>
            <w:r>
              <w:t>#</w:t>
            </w:r>
          </w:p>
        </w:tc>
        <w:tc>
          <w:tcPr>
            <w:tcW w:w="1401" w:type="dxa"/>
            <w:noWrap/>
            <w:vAlign w:val="center"/>
          </w:tcPr>
          <w:p w14:paraId="354BE6BE" w14:textId="52B34962" w:rsidR="008733E8" w:rsidRDefault="00262F7A" w:rsidP="00021EF3">
            <w:pPr>
              <w:spacing w:after="120"/>
              <w:ind w:left="58" w:right="58"/>
            </w:pPr>
            <w:r>
              <w:t>0</w:t>
            </w:r>
          </w:p>
        </w:tc>
        <w:tc>
          <w:tcPr>
            <w:tcW w:w="2789" w:type="dxa"/>
            <w:noWrap/>
            <w:vAlign w:val="center"/>
          </w:tcPr>
          <w:p w14:paraId="3BDFE043" w14:textId="664D51BE" w:rsidR="008733E8" w:rsidRDefault="00D210F3" w:rsidP="00021EF3">
            <w:pPr>
              <w:spacing w:after="120"/>
              <w:ind w:left="58" w:right="58"/>
            </w:pPr>
            <w:r w:rsidRPr="000A418D">
              <w:t xml:space="preserve">Hours worked analysis </w:t>
            </w:r>
          </w:p>
        </w:tc>
      </w:tr>
      <w:tr w:rsidR="00910A3E" w:rsidRPr="004D40F3" w14:paraId="095C660E" w14:textId="77777777" w:rsidTr="00E50687">
        <w:trPr>
          <w:trHeight w:val="20"/>
        </w:trPr>
        <w:tc>
          <w:tcPr>
            <w:tcW w:w="3337" w:type="dxa"/>
            <w:noWrap/>
            <w:vAlign w:val="center"/>
          </w:tcPr>
          <w:p w14:paraId="68DE59CC" w14:textId="1CCB1D70" w:rsidR="008733E8" w:rsidRDefault="00262F7A" w:rsidP="00021EF3">
            <w:pPr>
              <w:spacing w:after="120"/>
              <w:ind w:left="58" w:right="58"/>
            </w:pPr>
            <w:r>
              <w:t>Average hourly wage</w:t>
            </w:r>
            <w:r w:rsidR="00DD5E3B">
              <w:t xml:space="preserve"> (2021) (varies by industry)</w:t>
            </w:r>
          </w:p>
        </w:tc>
        <w:tc>
          <w:tcPr>
            <w:tcW w:w="1499" w:type="dxa"/>
            <w:noWrap/>
            <w:vAlign w:val="center"/>
          </w:tcPr>
          <w:p w14:paraId="3527D82D" w14:textId="4F0AF57C" w:rsidR="008733E8" w:rsidRDefault="00DD5E3B" w:rsidP="00021EF3">
            <w:pPr>
              <w:spacing w:after="120"/>
              <w:ind w:left="58" w:right="58"/>
            </w:pPr>
            <w:r>
              <w:t>$ per hour</w:t>
            </w:r>
          </w:p>
        </w:tc>
        <w:tc>
          <w:tcPr>
            <w:tcW w:w="1401" w:type="dxa"/>
            <w:noWrap/>
            <w:vAlign w:val="center"/>
          </w:tcPr>
          <w:p w14:paraId="549D13DB" w14:textId="3FEC5F3E" w:rsidR="008733E8" w:rsidRDefault="0027712B" w:rsidP="00021EF3">
            <w:pPr>
              <w:spacing w:after="120"/>
              <w:ind w:left="58" w:right="58"/>
            </w:pPr>
            <w:r>
              <w:t>32-55</w:t>
            </w:r>
          </w:p>
        </w:tc>
        <w:tc>
          <w:tcPr>
            <w:tcW w:w="2789" w:type="dxa"/>
            <w:noWrap/>
            <w:vAlign w:val="center"/>
          </w:tcPr>
          <w:p w14:paraId="290FACC6" w14:textId="63E477AE" w:rsidR="008733E8" w:rsidRDefault="00D210F3" w:rsidP="00021EF3">
            <w:pPr>
              <w:spacing w:after="120"/>
              <w:ind w:left="58" w:right="58"/>
            </w:pPr>
            <w:r>
              <w:t xml:space="preserve">Calculated from </w:t>
            </w:r>
            <w:r w:rsidR="00B82FBC">
              <w:t>ABS: Average Weekly Earnings</w:t>
            </w:r>
            <w:r w:rsidR="001D7EF3">
              <w:t>, Australia</w:t>
            </w:r>
            <w:r w:rsidR="003B1DE2">
              <w:t xml:space="preserve"> (2023)</w:t>
            </w:r>
          </w:p>
        </w:tc>
      </w:tr>
      <w:tr w:rsidR="00910A3E" w:rsidRPr="004D40F3" w14:paraId="575A69B4" w14:textId="77777777" w:rsidTr="00E50687">
        <w:trPr>
          <w:trHeight w:val="20"/>
        </w:trPr>
        <w:tc>
          <w:tcPr>
            <w:tcW w:w="3337" w:type="dxa"/>
            <w:noWrap/>
            <w:vAlign w:val="center"/>
          </w:tcPr>
          <w:p w14:paraId="2FCD7BE0" w14:textId="59851524" w:rsidR="008733E8" w:rsidRDefault="007F2CDB" w:rsidP="00021EF3">
            <w:pPr>
              <w:spacing w:after="120"/>
              <w:ind w:left="58" w:right="58"/>
            </w:pPr>
            <w:r>
              <w:t>Opportunity cost of time – minimum wage per hour</w:t>
            </w:r>
          </w:p>
        </w:tc>
        <w:tc>
          <w:tcPr>
            <w:tcW w:w="1499" w:type="dxa"/>
            <w:noWrap/>
            <w:vAlign w:val="center"/>
          </w:tcPr>
          <w:p w14:paraId="791605D5" w14:textId="557DBAE5" w:rsidR="008733E8" w:rsidRDefault="007F2CDB" w:rsidP="00021EF3">
            <w:pPr>
              <w:spacing w:after="120"/>
              <w:ind w:left="58" w:right="58"/>
            </w:pPr>
            <w:r>
              <w:t>$ per hour</w:t>
            </w:r>
          </w:p>
        </w:tc>
        <w:tc>
          <w:tcPr>
            <w:tcW w:w="1401" w:type="dxa"/>
            <w:noWrap/>
            <w:vAlign w:val="center"/>
          </w:tcPr>
          <w:p w14:paraId="5CEAA4D4" w14:textId="58386862" w:rsidR="008733E8" w:rsidRDefault="0087498B" w:rsidP="00021EF3">
            <w:pPr>
              <w:spacing w:after="120"/>
              <w:ind w:left="58" w:right="58"/>
            </w:pPr>
            <w:r>
              <w:t>24</w:t>
            </w:r>
          </w:p>
        </w:tc>
        <w:tc>
          <w:tcPr>
            <w:tcW w:w="2789" w:type="dxa"/>
            <w:noWrap/>
            <w:vAlign w:val="center"/>
          </w:tcPr>
          <w:p w14:paraId="30C23AF3" w14:textId="62C60943" w:rsidR="008733E8" w:rsidRDefault="008F599B" w:rsidP="00021EF3">
            <w:pPr>
              <w:spacing w:after="120"/>
              <w:ind w:left="58" w:right="58"/>
            </w:pPr>
            <w:r>
              <w:t xml:space="preserve">Australian Government </w:t>
            </w:r>
            <w:proofErr w:type="spellStart"/>
            <w:r>
              <w:t>FairWork</w:t>
            </w:r>
            <w:proofErr w:type="spellEnd"/>
            <w:r>
              <w:t xml:space="preserve"> Ombudsman – Minimum wages</w:t>
            </w:r>
          </w:p>
        </w:tc>
      </w:tr>
      <w:tr w:rsidR="00910A3E" w:rsidRPr="004D40F3" w14:paraId="54C294B1" w14:textId="77777777" w:rsidTr="00E50687">
        <w:trPr>
          <w:trHeight w:val="20"/>
        </w:trPr>
        <w:tc>
          <w:tcPr>
            <w:tcW w:w="3337" w:type="dxa"/>
            <w:noWrap/>
            <w:vAlign w:val="center"/>
          </w:tcPr>
          <w:p w14:paraId="2957B21E" w14:textId="31444F1E" w:rsidR="008733E8" w:rsidRDefault="00734B13" w:rsidP="00021EF3">
            <w:pPr>
              <w:spacing w:after="120"/>
              <w:ind w:left="58" w:right="58"/>
            </w:pPr>
            <w:r>
              <w:t>Inflation rate</w:t>
            </w:r>
            <w:r w:rsidR="00170F1D">
              <w:t xml:space="preserve"> (compound annual rate, 2021 to 2024)</w:t>
            </w:r>
          </w:p>
        </w:tc>
        <w:tc>
          <w:tcPr>
            <w:tcW w:w="1499" w:type="dxa"/>
            <w:noWrap/>
            <w:vAlign w:val="center"/>
          </w:tcPr>
          <w:p w14:paraId="2458E5F8" w14:textId="142EFFF5" w:rsidR="008733E8" w:rsidRDefault="00734B13" w:rsidP="00021EF3">
            <w:pPr>
              <w:spacing w:after="120"/>
              <w:ind w:left="58" w:right="58"/>
            </w:pPr>
            <w:r>
              <w:t>% p.a.</w:t>
            </w:r>
          </w:p>
        </w:tc>
        <w:tc>
          <w:tcPr>
            <w:tcW w:w="1401" w:type="dxa"/>
            <w:noWrap/>
            <w:vAlign w:val="center"/>
          </w:tcPr>
          <w:p w14:paraId="017B0FFF" w14:textId="149F3CB9" w:rsidR="008733E8" w:rsidRDefault="00734B13" w:rsidP="00021EF3">
            <w:pPr>
              <w:spacing w:after="120"/>
              <w:ind w:left="58" w:right="58"/>
            </w:pPr>
            <w:r>
              <w:t>5.3</w:t>
            </w:r>
          </w:p>
        </w:tc>
        <w:tc>
          <w:tcPr>
            <w:tcW w:w="2789" w:type="dxa"/>
            <w:noWrap/>
            <w:vAlign w:val="center"/>
          </w:tcPr>
          <w:p w14:paraId="69216640" w14:textId="408779DE" w:rsidR="008733E8" w:rsidRDefault="00D210F3" w:rsidP="00021EF3">
            <w:pPr>
              <w:spacing w:after="120"/>
              <w:ind w:left="58" w:right="58"/>
            </w:pPr>
            <w:r>
              <w:t xml:space="preserve">Calculated from </w:t>
            </w:r>
            <w:r w:rsidR="00011DE2">
              <w:t>ABS: Consumer Price Index, Australia (2024)</w:t>
            </w:r>
          </w:p>
        </w:tc>
      </w:tr>
      <w:tr w:rsidR="0063667D" w:rsidRPr="004D40F3" w14:paraId="0B133F17" w14:textId="77777777" w:rsidTr="000C4EDF">
        <w:trPr>
          <w:trHeight w:val="20"/>
        </w:trPr>
        <w:tc>
          <w:tcPr>
            <w:tcW w:w="3337" w:type="dxa"/>
            <w:noWrap/>
            <w:vAlign w:val="center"/>
          </w:tcPr>
          <w:p w14:paraId="0285D948" w14:textId="34F1DF26" w:rsidR="007C384B" w:rsidRDefault="00045099" w:rsidP="00021EF3">
            <w:pPr>
              <w:spacing w:after="120"/>
              <w:ind w:left="58" w:right="58"/>
            </w:pPr>
            <w:r>
              <w:t>Discount rate</w:t>
            </w:r>
          </w:p>
        </w:tc>
        <w:tc>
          <w:tcPr>
            <w:tcW w:w="1499" w:type="dxa"/>
            <w:noWrap/>
            <w:vAlign w:val="center"/>
          </w:tcPr>
          <w:p w14:paraId="63ED588D" w14:textId="2D27BB35" w:rsidR="007C384B" w:rsidRDefault="00045099" w:rsidP="00021EF3">
            <w:pPr>
              <w:spacing w:after="120"/>
              <w:ind w:left="58" w:right="58"/>
            </w:pPr>
            <w:r>
              <w:t>% p.a.</w:t>
            </w:r>
          </w:p>
        </w:tc>
        <w:tc>
          <w:tcPr>
            <w:tcW w:w="1401" w:type="dxa"/>
            <w:noWrap/>
            <w:vAlign w:val="center"/>
          </w:tcPr>
          <w:p w14:paraId="236AF850" w14:textId="127B449B" w:rsidR="007C384B" w:rsidRDefault="00045099" w:rsidP="00021EF3">
            <w:pPr>
              <w:spacing w:after="120"/>
              <w:ind w:left="58" w:right="58"/>
            </w:pPr>
            <w:r>
              <w:t>7.0</w:t>
            </w:r>
          </w:p>
        </w:tc>
        <w:tc>
          <w:tcPr>
            <w:tcW w:w="2789" w:type="dxa"/>
            <w:noWrap/>
            <w:vAlign w:val="center"/>
          </w:tcPr>
          <w:p w14:paraId="59C4CC6F" w14:textId="31A9AEE9" w:rsidR="007C384B" w:rsidRDefault="00BD6804" w:rsidP="00021EF3">
            <w:pPr>
              <w:spacing w:after="120"/>
              <w:ind w:left="58" w:right="58"/>
            </w:pPr>
            <w:r>
              <w:t>Department of Treasury and Finance</w:t>
            </w:r>
            <w:r w:rsidR="00E86729">
              <w:t>.</w:t>
            </w:r>
            <w:r>
              <w:t xml:space="preserve"> (2013)</w:t>
            </w:r>
            <w:r w:rsidR="00E86729">
              <w:t>.</w:t>
            </w:r>
            <w:r>
              <w:t xml:space="preserve"> Economic Evaluation for Business Cases Technical Guidelines</w:t>
            </w:r>
          </w:p>
        </w:tc>
      </w:tr>
      <w:tr w:rsidR="0063667D" w:rsidRPr="004D40F3" w14:paraId="18B7208E" w14:textId="77777777" w:rsidTr="000C4EDF">
        <w:trPr>
          <w:trHeight w:val="20"/>
        </w:trPr>
        <w:tc>
          <w:tcPr>
            <w:tcW w:w="3337" w:type="dxa"/>
            <w:noWrap/>
            <w:vAlign w:val="center"/>
          </w:tcPr>
          <w:p w14:paraId="1D364C61" w14:textId="39D9B9FE" w:rsidR="00221BFE" w:rsidRDefault="00221BFE" w:rsidP="00021EF3">
            <w:pPr>
              <w:spacing w:after="120"/>
              <w:ind w:left="58" w:right="58"/>
            </w:pPr>
            <w:r>
              <w:t>T</w:t>
            </w:r>
            <w:r w:rsidR="00C8449F">
              <w:t>en-year Australian government bond rate (2021 average)</w:t>
            </w:r>
          </w:p>
        </w:tc>
        <w:tc>
          <w:tcPr>
            <w:tcW w:w="1499" w:type="dxa"/>
            <w:noWrap/>
            <w:vAlign w:val="center"/>
          </w:tcPr>
          <w:p w14:paraId="471CD5A4" w14:textId="16283191" w:rsidR="00221BFE" w:rsidRDefault="00C8449F" w:rsidP="00021EF3">
            <w:pPr>
              <w:spacing w:after="120"/>
              <w:ind w:left="58" w:right="58"/>
            </w:pPr>
            <w:r>
              <w:t>% p.a.</w:t>
            </w:r>
          </w:p>
        </w:tc>
        <w:tc>
          <w:tcPr>
            <w:tcW w:w="1401" w:type="dxa"/>
            <w:noWrap/>
            <w:vAlign w:val="center"/>
          </w:tcPr>
          <w:p w14:paraId="383CDB75" w14:textId="6455EA29" w:rsidR="00221BFE" w:rsidRDefault="00C8449F" w:rsidP="00021EF3">
            <w:pPr>
              <w:spacing w:after="120"/>
              <w:ind w:left="58" w:right="58"/>
            </w:pPr>
            <w:r>
              <w:t>1.5</w:t>
            </w:r>
          </w:p>
        </w:tc>
        <w:tc>
          <w:tcPr>
            <w:tcW w:w="2789" w:type="dxa"/>
            <w:noWrap/>
            <w:vAlign w:val="center"/>
          </w:tcPr>
          <w:p w14:paraId="11BBDA0B" w14:textId="5C210089" w:rsidR="00221BFE" w:rsidRDefault="00A80927" w:rsidP="00021EF3">
            <w:pPr>
              <w:spacing w:after="120"/>
              <w:ind w:left="58" w:right="58"/>
            </w:pPr>
            <w:r>
              <w:t>Reserve Bank of Australia. (2024). Statistical tables – F2 Capital Market Yields – Government Bonds</w:t>
            </w:r>
          </w:p>
        </w:tc>
      </w:tr>
      <w:tr w:rsidR="006B293C" w:rsidRPr="004D40F3" w14:paraId="1F5E9DD1" w14:textId="77777777" w:rsidTr="00E50687">
        <w:trPr>
          <w:trHeight w:val="20"/>
        </w:trPr>
        <w:tc>
          <w:tcPr>
            <w:tcW w:w="3337" w:type="dxa"/>
            <w:noWrap/>
            <w:vAlign w:val="center"/>
          </w:tcPr>
          <w:p w14:paraId="384F5751" w14:textId="735423EA" w:rsidR="006B293C" w:rsidRDefault="006B293C" w:rsidP="00021EF3">
            <w:pPr>
              <w:spacing w:after="120"/>
              <w:ind w:left="58" w:right="58"/>
            </w:pPr>
            <w:r>
              <w:t>Marginal excess burden of taxation</w:t>
            </w:r>
          </w:p>
        </w:tc>
        <w:tc>
          <w:tcPr>
            <w:tcW w:w="1499" w:type="dxa"/>
            <w:noWrap/>
            <w:vAlign w:val="center"/>
          </w:tcPr>
          <w:p w14:paraId="56D58FB9" w14:textId="5F79AD1E" w:rsidR="006B293C" w:rsidRDefault="006B293C" w:rsidP="00021EF3">
            <w:pPr>
              <w:spacing w:after="120"/>
              <w:ind w:left="58" w:right="58"/>
            </w:pPr>
            <w:r>
              <w:t>%</w:t>
            </w:r>
          </w:p>
        </w:tc>
        <w:tc>
          <w:tcPr>
            <w:tcW w:w="1401" w:type="dxa"/>
            <w:noWrap/>
            <w:vAlign w:val="center"/>
          </w:tcPr>
          <w:p w14:paraId="59F7891E" w14:textId="259E7298" w:rsidR="006B293C" w:rsidRDefault="00C151AA" w:rsidP="00021EF3">
            <w:pPr>
              <w:spacing w:after="120"/>
              <w:ind w:left="58" w:right="58"/>
            </w:pPr>
            <w:r>
              <w:t>8</w:t>
            </w:r>
            <w:r w:rsidR="00135CFD">
              <w:t>.0</w:t>
            </w:r>
            <w:r>
              <w:t xml:space="preserve"> </w:t>
            </w:r>
            <w:r w:rsidR="00135CFD">
              <w:t>–</w:t>
            </w:r>
            <w:r>
              <w:t xml:space="preserve"> 41</w:t>
            </w:r>
            <w:r w:rsidR="00135CFD">
              <w:t>.</w:t>
            </w:r>
            <w:r w:rsidR="006B293C" w:rsidDel="0091232A">
              <w:t>0</w:t>
            </w:r>
          </w:p>
        </w:tc>
        <w:tc>
          <w:tcPr>
            <w:tcW w:w="2789" w:type="dxa"/>
            <w:noWrap/>
            <w:vAlign w:val="center"/>
          </w:tcPr>
          <w:p w14:paraId="085426BC" w14:textId="4A9EFBD9" w:rsidR="006B293C" w:rsidRDefault="00C151AA" w:rsidP="00021EF3">
            <w:pPr>
              <w:spacing w:after="120"/>
              <w:ind w:left="58" w:right="58"/>
            </w:pPr>
            <w:r w:rsidRPr="00C151AA">
              <w:t xml:space="preserve">KPMG </w:t>
            </w:r>
            <w:proofErr w:type="spellStart"/>
            <w:r w:rsidRPr="00C151AA">
              <w:t>Econtech</w:t>
            </w:r>
            <w:proofErr w:type="spellEnd"/>
            <w:r w:rsidRPr="00C151AA">
              <w:t xml:space="preserve"> for Commonwealth Treasury (2010). CGE Analysis of the current Australian tax system - Final Report.</w:t>
            </w:r>
          </w:p>
        </w:tc>
      </w:tr>
    </w:tbl>
    <w:p w14:paraId="2830D83E" w14:textId="560F78C6" w:rsidR="001731F6" w:rsidRDefault="00D210F3" w:rsidP="00021EF3">
      <w:pPr>
        <w:pStyle w:val="Source"/>
      </w:pPr>
      <w:r>
        <w:t>Source: Multiple (see table)</w:t>
      </w:r>
      <w:r w:rsidR="009136CE">
        <w:t>.</w:t>
      </w:r>
    </w:p>
    <w:p w14:paraId="1BF64F11" w14:textId="32ABFFD2" w:rsidR="003F29D6" w:rsidRDefault="003F29D6" w:rsidP="00021EF3">
      <w:pPr>
        <w:pStyle w:val="Appendixhead1"/>
      </w:pPr>
      <w:bookmarkStart w:id="526" w:name="_Toc173244982"/>
      <w:bookmarkStart w:id="527" w:name="_Toc176516312"/>
      <w:r>
        <w:lastRenderedPageBreak/>
        <w:t>Public health response from other states and territories</w:t>
      </w:r>
      <w:bookmarkEnd w:id="526"/>
      <w:bookmarkEnd w:id="527"/>
    </w:p>
    <w:p w14:paraId="74ABF534" w14:textId="77777777" w:rsidR="003F29D6" w:rsidRDefault="003F29D6" w:rsidP="00021EF3">
      <w:r>
        <w:t xml:space="preserve">All other Australian states and territories implemented public health restrictions aimed at curbing the spread of the virus. While the specifics varied, there were common themes, particularly in how essential and non-essential businesses were defined and the types of restrictions imposed. However, </w:t>
      </w:r>
      <w:r w:rsidRPr="006F1DBC">
        <w:t xml:space="preserve">Victoria </w:t>
      </w:r>
      <w:r>
        <w:t>implemented</w:t>
      </w:r>
      <w:r w:rsidRPr="006F1DBC">
        <w:t xml:space="preserve"> the strictest measures, including curfews and travel limits, setting it apart from other states.</w:t>
      </w:r>
    </w:p>
    <w:p w14:paraId="03EAB8D7" w14:textId="657EC988" w:rsidR="003F29D6" w:rsidRDefault="00FD5D9A" w:rsidP="00021EF3">
      <w:r>
        <w:rPr>
          <w:b/>
        </w:rPr>
        <w:t>NSW</w:t>
      </w:r>
      <w:r w:rsidR="003F29D6">
        <w:t>, being one of the most densely populous states with a relatively higher risk of transmission from overseas arrivals, experienced mult</w:t>
      </w:r>
      <w:r w:rsidR="003F29D6" w:rsidRPr="006F1DBC">
        <w:t xml:space="preserve">iple extended lockdowns with </w:t>
      </w:r>
      <w:r w:rsidR="003F29D6" w:rsidRPr="005C302F">
        <w:t>phased easing</w:t>
      </w:r>
      <w:r w:rsidR="003F29D6">
        <w:t xml:space="preserve"> of restrictions (assessing the reduction in restrictions by stage). It focused </w:t>
      </w:r>
      <w:r w:rsidR="003F29D6" w:rsidRPr="006F1DBC">
        <w:t>heavily on essential versus non-essential designations</w:t>
      </w:r>
      <w:r w:rsidR="003F29D6">
        <w:t xml:space="preserve">, but these were generally less severe than those in Victoria. NSW first implemented stay-at-home orders from 31 March </w:t>
      </w:r>
      <w:r w:rsidR="003A7106">
        <w:t xml:space="preserve">2020 </w:t>
      </w:r>
      <w:r w:rsidR="003F29D6">
        <w:t xml:space="preserve">to 15 May 2020, requiring residents to remain at home except for essential activities such as shopping for groceries, medical care, exercise, and work or education if not possible from home. During this period, only essential services like supermarkets, pharmacies and medical services remained open, while non-essential businesses such as gyms, entertainment venues and beauty services were closed—similar to Victoria's initial restrictions. </w:t>
      </w:r>
    </w:p>
    <w:p w14:paraId="5EC1C7C7" w14:textId="0D5B34C1" w:rsidR="003F29D6" w:rsidRDefault="003F29D6" w:rsidP="00021EF3">
      <w:r>
        <w:t>The Greater Sydney lockdown from 26 June</w:t>
      </w:r>
      <w:r w:rsidR="003A7106">
        <w:t xml:space="preserve"> 2021</w:t>
      </w:r>
      <w:r>
        <w:t xml:space="preserve"> to 9 July 2021, while stringent, was less so than Victoria's ‘Stage 4’ restrictions. Victoria’s Stage 4 Restrictions from 2 August 2020 to 27 September 2020 included a curfew from 8 PM to 5 AM, mandatory face masks and limitations on travel to within a 5 km radius. Subsequent lockdowns in NSW varied in terms of their requirements, with phased easing of restrictions, mask mandates and social distancing, but without the prolonged and intense restrictions seen in Victoria. </w:t>
      </w:r>
    </w:p>
    <w:p w14:paraId="4B19F58F" w14:textId="58D380BF" w:rsidR="003F29D6" w:rsidRDefault="003F29D6" w:rsidP="00021EF3">
      <w:r>
        <w:t xml:space="preserve">The </w:t>
      </w:r>
      <w:r w:rsidR="00FD5D9A">
        <w:rPr>
          <w:b/>
        </w:rPr>
        <w:t>ACT</w:t>
      </w:r>
      <w:r>
        <w:t xml:space="preserve"> also implemented stay-at-home orders and essential and non-essential business designations between 30 March </w:t>
      </w:r>
      <w:r w:rsidR="003A7106">
        <w:t xml:space="preserve">2020 </w:t>
      </w:r>
      <w:r>
        <w:t xml:space="preserve">to 15 May 2020 and during the ACT lockdown from </w:t>
      </w:r>
      <w:r w:rsidR="003A7106">
        <w:t xml:space="preserve">12 </w:t>
      </w:r>
      <w:r>
        <w:t xml:space="preserve">August </w:t>
      </w:r>
      <w:r w:rsidR="003A7106">
        <w:t xml:space="preserve">2021 </w:t>
      </w:r>
      <w:r>
        <w:t xml:space="preserve">to </w:t>
      </w:r>
      <w:r w:rsidR="003A7106">
        <w:t xml:space="preserve">15 </w:t>
      </w:r>
      <w:r>
        <w:t xml:space="preserve">October 2021. Once these periods concluded, restrictions were fewer and less prolonged compared to other jurisdictions. </w:t>
      </w:r>
    </w:p>
    <w:p w14:paraId="3DEE47BD" w14:textId="5AC76470" w:rsidR="003F29D6" w:rsidRDefault="00FD5D9A" w:rsidP="00021EF3">
      <w:r>
        <w:rPr>
          <w:b/>
        </w:rPr>
        <w:t>QLD’s</w:t>
      </w:r>
      <w:r w:rsidR="003F29D6" w:rsidRPr="001E7046">
        <w:rPr>
          <w:b/>
        </w:rPr>
        <w:t xml:space="preserve"> </w:t>
      </w:r>
      <w:r w:rsidR="003F29D6">
        <w:t xml:space="preserve">approach was more lenient than other jurisdictions. The initial stay-at-home orders from 30 March </w:t>
      </w:r>
      <w:r w:rsidR="0087445E">
        <w:t xml:space="preserve">2020 </w:t>
      </w:r>
      <w:r w:rsidR="003F29D6">
        <w:t>to 15 May 2020 mirrored those in NSW and Victoria, with essential services remaining open and non-essential businesses including gyms and entertainment venues closed. However,</w:t>
      </w:r>
      <w:r w:rsidR="003F29D6" w:rsidDel="00FD5D9A">
        <w:t xml:space="preserve"> </w:t>
      </w:r>
      <w:r>
        <w:t>QLD</w:t>
      </w:r>
      <w:r w:rsidR="003F29D6">
        <w:t xml:space="preserve"> avoided prolonged lockdowns akin to Victoria’s ‘Stage 3’ and ‘Stage 4’ restrictions. The Greater Brisbane Lockdown from 29 March</w:t>
      </w:r>
      <w:r w:rsidR="0087445E">
        <w:t xml:space="preserve"> 2021</w:t>
      </w:r>
      <w:r w:rsidR="003F29D6">
        <w:t xml:space="preserve"> to 15 April 2021 featured brief, targeted lockdowns used strategically to contain outbreaks. These short-term measures were effective in managing the virus without the extended disruptions seen in Victoria. A similar approach was taken by </w:t>
      </w:r>
      <w:r w:rsidR="003F29D6">
        <w:rPr>
          <w:b/>
          <w:bCs/>
        </w:rPr>
        <w:t>SA</w:t>
      </w:r>
      <w:r w:rsidR="003F29D6">
        <w:t>, where stay-at-home orders from 18 November</w:t>
      </w:r>
      <w:r w:rsidR="0087445E">
        <w:t xml:space="preserve"> 2020</w:t>
      </w:r>
      <w:r w:rsidR="003F29D6">
        <w:t xml:space="preserve"> to 22 November 2020, and the Circuit Breaker lockdown from 20 July</w:t>
      </w:r>
      <w:r w:rsidR="0087445E">
        <w:t xml:space="preserve"> 2021</w:t>
      </w:r>
      <w:r w:rsidR="003F29D6">
        <w:t xml:space="preserve"> to 27 July 2021 involved short, sharp lockdowns to quickly contain a cluster. SA’s circuit breaker lockdown included extensive restrictions including a 2.5km travel limit, mandatory face masks and only five reasons to leave home: exercise, essential work, compassionate and care giving, shopping for essential goods and medical reasons. For both SA and QLD, types of business closures were similar to those in Victoria and NSW. </w:t>
      </w:r>
    </w:p>
    <w:p w14:paraId="7D0414C7" w14:textId="68FB1B30" w:rsidR="003F29D6" w:rsidRPr="00ED1D80" w:rsidRDefault="00FD5D9A" w:rsidP="00021EF3">
      <w:pPr>
        <w:spacing w:after="0"/>
        <w:rPr>
          <w:rFonts w:cs="Arial"/>
        </w:rPr>
      </w:pPr>
      <w:r>
        <w:rPr>
          <w:b/>
        </w:rPr>
        <w:t>WA</w:t>
      </w:r>
      <w:r w:rsidR="003F29D6">
        <w:t xml:space="preserve"> maintained a hard border policy for the majority of the COVID-19 pandemic. The state’s focus on border controls allowed greater flexibility in local restrictions, resulting in fewer and shorter internal lockdowns. The contrast between essential and non-essential businesses remained similar to other states and territories during the pandemic. Similarly, the </w:t>
      </w:r>
      <w:r w:rsidR="003F29D6" w:rsidRPr="003B3157">
        <w:rPr>
          <w:b/>
        </w:rPr>
        <w:t>Northern Territory (NT)</w:t>
      </w:r>
      <w:r w:rsidR="003F29D6">
        <w:t xml:space="preserve"> border closures from 24 March </w:t>
      </w:r>
      <w:r w:rsidR="0087445E">
        <w:t xml:space="preserve">2020 </w:t>
      </w:r>
      <w:r w:rsidR="003F29D6">
        <w:t xml:space="preserve">to 23 November 2020 imposed quarantine requirements for interstate travellers, allowing local businesses to operate more freely compared to other states and territories. The Greater Darwin Lockdown from 16 August </w:t>
      </w:r>
      <w:r w:rsidR="0087445E">
        <w:t xml:space="preserve">2021 </w:t>
      </w:r>
      <w:r w:rsidR="003F29D6">
        <w:t>to 23 August 2021 imposed stay-at-home orders and closed non-essential businesses.</w:t>
      </w:r>
    </w:p>
    <w:p w14:paraId="209E1A52" w14:textId="77777777" w:rsidR="003F29D6" w:rsidRPr="00ED1D80" w:rsidRDefault="003F29D6" w:rsidP="00021EF3">
      <w:pPr>
        <w:spacing w:after="0"/>
        <w:rPr>
          <w:rFonts w:cs="Arial"/>
        </w:rPr>
      </w:pPr>
    </w:p>
    <w:p w14:paraId="6C64715C" w14:textId="77777777" w:rsidR="003F29D6" w:rsidRPr="00ED1D80" w:rsidRDefault="003F29D6" w:rsidP="00021EF3">
      <w:pPr>
        <w:rPr>
          <w:rFonts w:cs="Arial"/>
        </w:rPr>
        <w:sectPr w:rsidR="003F29D6" w:rsidRPr="00ED1D80" w:rsidSect="005235DE">
          <w:footnotePr>
            <w:numFmt w:val="chicago"/>
          </w:footnotePr>
          <w:endnotePr>
            <w:numFmt w:val="decimal"/>
          </w:endnotePr>
          <w:pgSz w:w="11906" w:h="16838" w:code="9"/>
          <w:pgMar w:top="1440" w:right="1440" w:bottom="1440" w:left="1440" w:header="680" w:footer="425" w:gutter="0"/>
          <w:cols w:space="284"/>
          <w:noEndnote/>
          <w:docGrid w:linePitch="360"/>
        </w:sectPr>
      </w:pPr>
    </w:p>
    <w:p w14:paraId="6E4A278E" w14:textId="1CB33820" w:rsidR="00AD2C19" w:rsidRPr="00ED1D80" w:rsidRDefault="00FF2C13" w:rsidP="00021EF3">
      <w:pPr>
        <w:pStyle w:val="Appendixhead1"/>
      </w:pPr>
      <w:bookmarkStart w:id="528" w:name="_Toc173244984"/>
      <w:bookmarkStart w:id="529" w:name="_Ref173256712"/>
      <w:bookmarkStart w:id="530" w:name="_Ref173308180"/>
      <w:bookmarkStart w:id="531" w:name="_Toc176516313"/>
      <w:r>
        <w:lastRenderedPageBreak/>
        <w:t>E</w:t>
      </w:r>
      <w:r w:rsidR="00AD2C19">
        <w:t>conomic policy responses to the COVID-19 pandemic in other jurisdictions</w:t>
      </w:r>
      <w:bookmarkEnd w:id="528"/>
      <w:bookmarkEnd w:id="529"/>
      <w:bookmarkEnd w:id="530"/>
      <w:bookmarkEnd w:id="531"/>
    </w:p>
    <w:p w14:paraId="4AB08A42" w14:textId="3CC16DD0" w:rsidR="009F39B0" w:rsidRDefault="009F39B0" w:rsidP="00021EF3">
      <w:r>
        <w:t xml:space="preserve">The disruption to economic activity placed enormous pressure on business’ revenue, profits and jobs, and as such, many governments intervened with response and recovery measures to financially support businesses. Across the </w:t>
      </w:r>
      <w:r w:rsidRPr="007C2C75">
        <w:t>Organisation for Economic Co-operation and Development</w:t>
      </w:r>
      <w:r>
        <w:t xml:space="preserve"> (OECD) member countries, economic and financial policies to mitigate the effects of </w:t>
      </w:r>
      <w:r w:rsidR="00C16E20">
        <w:t xml:space="preserve">the </w:t>
      </w:r>
      <w:r w:rsidDel="00C16E20">
        <w:t>COVID-19</w:t>
      </w:r>
      <w:r w:rsidR="00C16E20">
        <w:t xml:space="preserve"> pandemic</w:t>
      </w:r>
      <w:r>
        <w:t xml:space="preserve"> on businesses</w:t>
      </w:r>
      <w:r w:rsidDel="004F5230">
        <w:t xml:space="preserve"> </w:t>
      </w:r>
      <w:r>
        <w:t>generally included one or more of the following:</w:t>
      </w:r>
    </w:p>
    <w:p w14:paraId="71B4D313" w14:textId="328D0D34" w:rsidR="009F39B0" w:rsidRDefault="00D448F1" w:rsidP="00021EF3">
      <w:pPr>
        <w:pStyle w:val="ListBullet"/>
      </w:pPr>
      <w:r>
        <w:rPr>
          <w:b/>
        </w:rPr>
        <w:t>t</w:t>
      </w:r>
      <w:r w:rsidR="009F39B0" w:rsidRPr="002F6D6D">
        <w:rPr>
          <w:b/>
        </w:rPr>
        <w:t>ax-based measures</w:t>
      </w:r>
      <w:r w:rsidR="009F39B0" w:rsidDel="0035483A">
        <w:t>,</w:t>
      </w:r>
      <w:r w:rsidR="009F39B0">
        <w:t xml:space="preserve"> including deferring tax payments and providing tax </w:t>
      </w:r>
      <w:proofErr w:type="gramStart"/>
      <w:r w:rsidR="009F39B0">
        <w:t>credits;</w:t>
      </w:r>
      <w:proofErr w:type="gramEnd"/>
    </w:p>
    <w:p w14:paraId="41127C95" w14:textId="6840490C" w:rsidR="009F39B0" w:rsidRDefault="00D448F1" w:rsidP="00021EF3">
      <w:pPr>
        <w:pStyle w:val="ListBullet"/>
      </w:pPr>
      <w:r>
        <w:rPr>
          <w:b/>
        </w:rPr>
        <w:t>b</w:t>
      </w:r>
      <w:r w:rsidR="009F39B0" w:rsidRPr="002F6D6D">
        <w:rPr>
          <w:b/>
        </w:rPr>
        <w:t>alance-sheet measures</w:t>
      </w:r>
      <w:r w:rsidR="009F39B0">
        <w:t xml:space="preserve">, including loans and liability guarantees to delay the impact of cash </w:t>
      </w:r>
      <w:proofErr w:type="gramStart"/>
      <w:r w:rsidR="009F39B0">
        <w:t>deficits;</w:t>
      </w:r>
      <w:proofErr w:type="gramEnd"/>
    </w:p>
    <w:p w14:paraId="7D42438E" w14:textId="053F444E" w:rsidR="009F39B0" w:rsidRDefault="00D448F1" w:rsidP="00021EF3">
      <w:pPr>
        <w:pStyle w:val="ListBullet"/>
      </w:pPr>
      <w:r>
        <w:rPr>
          <w:b/>
        </w:rPr>
        <w:t>s</w:t>
      </w:r>
      <w:r w:rsidR="009F39B0" w:rsidRPr="002F6D6D">
        <w:rPr>
          <w:b/>
        </w:rPr>
        <w:t>pending measures</w:t>
      </w:r>
      <w:r w:rsidR="009F39B0">
        <w:t>, including the provision of grants and subsidies.</w:t>
      </w:r>
      <w:r w:rsidR="009F39B0">
        <w:rPr>
          <w:rStyle w:val="EndnoteReference"/>
        </w:rPr>
        <w:endnoteReference w:id="45"/>
      </w:r>
    </w:p>
    <w:p w14:paraId="7226A036" w14:textId="53CBE0D3" w:rsidR="009F39B0" w:rsidRDefault="009F39B0" w:rsidP="00021EF3">
      <w:r>
        <w:t>This chapter provides an overview of spending measures (i.e., business subsidies and direct business grants) across jurisdictions similar to Victoria, including Australia, New Zealand, Canada, France, the UK and all Australian states and territories.</w:t>
      </w:r>
      <w:r>
        <w:rPr>
          <w:rStyle w:val="FootnoteReference"/>
        </w:rPr>
        <w:footnoteReference w:id="9"/>
      </w:r>
      <w:r>
        <w:t xml:space="preserve">   </w:t>
      </w:r>
    </w:p>
    <w:p w14:paraId="05AF1E62" w14:textId="4F1ECC0C" w:rsidR="002B355B" w:rsidRPr="00401048" w:rsidRDefault="002B355B" w:rsidP="00021EF3">
      <w:pPr>
        <w:pStyle w:val="Appendixhead2"/>
      </w:pPr>
      <w:bookmarkStart w:id="532" w:name="_Toc173244985"/>
      <w:bookmarkStart w:id="533" w:name="_Toc173246322"/>
      <w:bookmarkStart w:id="534" w:name="_Toc173308318"/>
      <w:bookmarkStart w:id="535" w:name="_Toc173344740"/>
      <w:bookmarkStart w:id="536" w:name="_Toc173344967"/>
      <w:bookmarkStart w:id="537" w:name="_Toc173915933"/>
      <w:bookmarkStart w:id="538" w:name="_Toc174118192"/>
      <w:bookmarkStart w:id="539" w:name="_Toc176516314"/>
      <w:r w:rsidRPr="00401048">
        <w:t>Commonwealth</w:t>
      </w:r>
      <w:r w:rsidR="00EC2A86" w:rsidRPr="00401048">
        <w:t xml:space="preserve"> policy responses</w:t>
      </w:r>
      <w:bookmarkEnd w:id="532"/>
      <w:bookmarkEnd w:id="533"/>
      <w:bookmarkEnd w:id="534"/>
      <w:bookmarkEnd w:id="535"/>
      <w:bookmarkEnd w:id="536"/>
      <w:bookmarkEnd w:id="537"/>
      <w:bookmarkEnd w:id="538"/>
      <w:bookmarkEnd w:id="539"/>
    </w:p>
    <w:p w14:paraId="4545FC87" w14:textId="77777777" w:rsidR="003B310A" w:rsidRDefault="003B310A" w:rsidP="00021EF3">
      <w:pPr>
        <w:pStyle w:val="Appendixhead3"/>
      </w:pPr>
      <w:bookmarkStart w:id="540" w:name="_Toc173244986"/>
      <w:bookmarkStart w:id="541" w:name="_Toc173246323"/>
      <w:bookmarkStart w:id="542" w:name="_Toc173308319"/>
      <w:bookmarkStart w:id="543" w:name="_Toc173344741"/>
      <w:bookmarkStart w:id="544" w:name="_Toc173344968"/>
      <w:bookmarkStart w:id="545" w:name="_Toc173915934"/>
      <w:bookmarkStart w:id="546" w:name="_Toc174118193"/>
      <w:bookmarkStart w:id="547" w:name="_Toc176516315"/>
      <w:r>
        <w:t>Subsidies</w:t>
      </w:r>
      <w:bookmarkEnd w:id="540"/>
      <w:bookmarkEnd w:id="541"/>
      <w:bookmarkEnd w:id="542"/>
      <w:bookmarkEnd w:id="543"/>
      <w:bookmarkEnd w:id="544"/>
      <w:bookmarkEnd w:id="545"/>
      <w:bookmarkEnd w:id="546"/>
      <w:bookmarkEnd w:id="547"/>
    </w:p>
    <w:p w14:paraId="28F59FFC" w14:textId="596E3809" w:rsidR="003B310A" w:rsidRDefault="003B310A" w:rsidP="00021EF3">
      <w:r>
        <w:t xml:space="preserve">In </w:t>
      </w:r>
      <w:r w:rsidRPr="004834F7">
        <w:rPr>
          <w:b/>
        </w:rPr>
        <w:t>Australia</w:t>
      </w:r>
      <w:r>
        <w:t xml:space="preserve">, the </w:t>
      </w:r>
      <w:proofErr w:type="spellStart"/>
      <w:r>
        <w:t>JobKeeper</w:t>
      </w:r>
      <w:proofErr w:type="spellEnd"/>
      <w:r>
        <w:t xml:space="preserve"> wage subsidy introduced by the Commonwealth Government was the largest economic stimulus policy for the country, totalling $88.9 billion (4.5 per cent of GDP) over the life of the scheme from March 2020 to March 2021.</w:t>
      </w:r>
      <w:r>
        <w:rPr>
          <w:rStyle w:val="EndnoteReference"/>
        </w:rPr>
        <w:endnoteReference w:id="46"/>
      </w:r>
      <w:r>
        <w:t xml:space="preserve"> </w:t>
      </w:r>
      <w:proofErr w:type="spellStart"/>
      <w:r>
        <w:t>JobKeeper</w:t>
      </w:r>
      <w:proofErr w:type="spellEnd"/>
      <w:r>
        <w:t xml:space="preserve"> sought to cover the cost of employee wages and assist businesses in retaining staff. It</w:t>
      </w:r>
      <w:r w:rsidDel="00EA74FA">
        <w:t xml:space="preserve"> was </w:t>
      </w:r>
      <w:r>
        <w:t xml:space="preserve">accompanied by several other Commonwealth expenditure programs, including the Cashflow Boost for </w:t>
      </w:r>
      <w:r w:rsidR="00E94F97">
        <w:t>small to medium enterprises (</w:t>
      </w:r>
      <w:r w:rsidDel="00E94F97">
        <w:t>SME</w:t>
      </w:r>
      <w:r>
        <w:t>s</w:t>
      </w:r>
      <w:r w:rsidR="00E94F97">
        <w:t>)</w:t>
      </w:r>
      <w:r>
        <w:t xml:space="preserve"> and not-for</w:t>
      </w:r>
      <w:r w:rsidR="001250AC">
        <w:t>-</w:t>
      </w:r>
      <w:r>
        <w:t>profits (NFPs),</w:t>
      </w:r>
      <w:r>
        <w:rPr>
          <w:rStyle w:val="EndnoteReference"/>
        </w:rPr>
        <w:endnoteReference w:id="47"/>
      </w:r>
      <w:r>
        <w:t xml:space="preserve"> an apprenticeship-specific wage subsidy,</w:t>
      </w:r>
      <w:r>
        <w:rPr>
          <w:rStyle w:val="EndnoteReference"/>
        </w:rPr>
        <w:endnoteReference w:id="48"/>
      </w:r>
      <w:r>
        <w:t xml:space="preserve"> and the SME Recovery Loan Scheme</w:t>
      </w:r>
      <w:r w:rsidDel="00655AC5">
        <w:t>.</w:t>
      </w:r>
      <w:r>
        <w:rPr>
          <w:rStyle w:val="EndnoteReference"/>
        </w:rPr>
        <w:endnoteReference w:id="49"/>
      </w:r>
      <w:r>
        <w:t xml:space="preserve"> Eligible employers under the </w:t>
      </w:r>
      <w:proofErr w:type="spellStart"/>
      <w:r>
        <w:t>JobKeeper</w:t>
      </w:r>
      <w:proofErr w:type="spellEnd"/>
      <w:r>
        <w:t xml:space="preserve"> program were paid $1,500 per eligible </w:t>
      </w:r>
      <w:r w:rsidR="00FD5D9A">
        <w:t>FTE</w:t>
      </w:r>
      <w:r w:rsidR="005F06D9">
        <w:t xml:space="preserve"> </w:t>
      </w:r>
      <w:r>
        <w:t>per fortnight. Eligibility included employers who had an annual turnover of $1 billion or less</w:t>
      </w:r>
      <w:r w:rsidR="0072662C">
        <w:t>,</w:t>
      </w:r>
      <w:r>
        <w:t xml:space="preserve"> were not subject to the Major Bank Levy and had an estimated 30 per cent fall in turnover.</w:t>
      </w:r>
      <w:r>
        <w:rPr>
          <w:rStyle w:val="EndnoteReference"/>
        </w:rPr>
        <w:endnoteReference w:id="50"/>
      </w:r>
      <w:r>
        <w:t xml:space="preserve"> </w:t>
      </w:r>
    </w:p>
    <w:p w14:paraId="72075153" w14:textId="77777777" w:rsidR="003B310A" w:rsidRDefault="003B310A" w:rsidP="00021EF3">
      <w:r w:rsidRPr="004834F7">
        <w:rPr>
          <w:b/>
        </w:rPr>
        <w:t>New Zealand</w:t>
      </w:r>
      <w:r>
        <w:t xml:space="preserve"> implemented a NZ$18.8 billion wage subsidy for businesses, amounting to a similar spend at approximately 4.6 per cent of GDP. Employers who predicted or experienced a 40 per cent decline in revenue over a consecutive 14-day period compared to the six weeks prior were eligible to receive up to NZ$585.80 per week for each employee previously working more than 20 hours per week.</w:t>
      </w:r>
      <w:r>
        <w:rPr>
          <w:rStyle w:val="EndnoteReference"/>
        </w:rPr>
        <w:endnoteReference w:id="51"/>
      </w:r>
      <w:r>
        <w:t xml:space="preserve"> </w:t>
      </w:r>
    </w:p>
    <w:p w14:paraId="1DC7C1A2" w14:textId="77777777" w:rsidR="003B310A" w:rsidRDefault="003B310A" w:rsidP="00021EF3">
      <w:r>
        <w:t xml:space="preserve">Likewise, the </w:t>
      </w:r>
      <w:r w:rsidRPr="004834F7">
        <w:rPr>
          <w:b/>
        </w:rPr>
        <w:t xml:space="preserve">Canada </w:t>
      </w:r>
      <w:r>
        <w:t>Emergency Wage Subsidy provided a wage subsidy in 2020 and 2021 to businesses that experienced a decline in revenue, at a rate based on the business’ drop in revenue. It had the same objectives of preventing job losses and keeping employees on payroll but spent relatively more than New Zealand and Australia at approximately 5.5 per cent of GDP (C$105.2 billion).</w:t>
      </w:r>
      <w:r>
        <w:rPr>
          <w:rStyle w:val="EndnoteReference"/>
        </w:rPr>
        <w:endnoteReference w:id="52"/>
      </w:r>
      <w:r w:rsidDel="003A539D">
        <w:t xml:space="preserve"> </w:t>
      </w:r>
      <w:r>
        <w:t>Canada also introduced the Canada Recovery Hiring Program (C$814 million), whereby Canadian businesses could receive a subsidy of up to 50 per cent on incremental renumeration of wages, capped at C$1,129 per employee per week.</w:t>
      </w:r>
      <w:r>
        <w:rPr>
          <w:rStyle w:val="EndnoteReference"/>
        </w:rPr>
        <w:endnoteReference w:id="53"/>
      </w:r>
    </w:p>
    <w:p w14:paraId="135C2DA9" w14:textId="50DA8FF9" w:rsidR="003B310A" w:rsidRDefault="003B310A" w:rsidP="00021EF3">
      <w:r>
        <w:t xml:space="preserve">The </w:t>
      </w:r>
      <w:r>
        <w:rPr>
          <w:rFonts w:cs="Arial"/>
        </w:rPr>
        <w:t>€</w:t>
      </w:r>
      <w:r>
        <w:t xml:space="preserve">8.4 billion </w:t>
      </w:r>
      <w:r w:rsidRPr="008575B2">
        <w:rPr>
          <w:b/>
        </w:rPr>
        <w:t>French</w:t>
      </w:r>
      <w:r>
        <w:t xml:space="preserve"> wage subsidy for SMEs, to the value of 80 per cent of salaries of beneficiary staff, also had objectives to support businesses to resume activities and prevent layoffs.</w:t>
      </w:r>
      <w:r>
        <w:rPr>
          <w:rStyle w:val="EndnoteReference"/>
        </w:rPr>
        <w:endnoteReference w:id="54"/>
      </w:r>
      <w:r>
        <w:t xml:space="preserve"> Although France provided less relative support through this wage subsidy at 1.1 per cent of GDP,</w:t>
      </w:r>
      <w:r>
        <w:rPr>
          <w:rStyle w:val="EndnoteReference"/>
        </w:rPr>
        <w:endnoteReference w:id="55"/>
      </w:r>
      <w:r>
        <w:t xml:space="preserve"> it was also accompanied by other large programs such as the Solidarity Fund (</w:t>
      </w:r>
      <w:r w:rsidRPr="00494F99">
        <w:t xml:space="preserve">see </w:t>
      </w:r>
      <w:r w:rsidR="00206AF8">
        <w:t>S</w:t>
      </w:r>
      <w:r w:rsidR="00CE28C8" w:rsidRPr="00494F99">
        <w:t xml:space="preserve">ection </w:t>
      </w:r>
      <w:r w:rsidR="00CE28C8" w:rsidRPr="00494F99">
        <w:fldChar w:fldCharType="begin"/>
      </w:r>
      <w:r w:rsidR="00CE28C8" w:rsidRPr="00494F99">
        <w:instrText xml:space="preserve"> REF _Ref170918383 \r \h </w:instrText>
      </w:r>
      <w:r w:rsidR="00494F99">
        <w:instrText xml:space="preserve"> \* MERGEFORMAT </w:instrText>
      </w:r>
      <w:r w:rsidR="00CE28C8" w:rsidRPr="00494F99">
        <w:fldChar w:fldCharType="separate"/>
      </w:r>
      <w:r w:rsidR="0016271C">
        <w:t>C.1.2</w:t>
      </w:r>
      <w:r w:rsidR="00CE28C8" w:rsidRPr="00494F99">
        <w:fldChar w:fldCharType="end"/>
      </w:r>
      <w:r w:rsidRPr="00494F99">
        <w:t>).</w:t>
      </w:r>
      <w:r w:rsidRPr="00494F99">
        <w:rPr>
          <w:rStyle w:val="EndnoteReference"/>
        </w:rPr>
        <w:endnoteReference w:id="56"/>
      </w:r>
      <w:r w:rsidRPr="00494F99">
        <w:t xml:space="preserve"> </w:t>
      </w:r>
    </w:p>
    <w:p w14:paraId="52505CA6" w14:textId="76AF3ECC" w:rsidR="003B310A" w:rsidRDefault="003B310A" w:rsidP="00021EF3">
      <w:r>
        <w:lastRenderedPageBreak/>
        <w:t xml:space="preserve">In the </w:t>
      </w:r>
      <w:r w:rsidRPr="008575B2">
        <w:rPr>
          <w:b/>
        </w:rPr>
        <w:t>UK</w:t>
      </w:r>
      <w:r w:rsidDel="002C0C8A">
        <w:t xml:space="preserve">, </w:t>
      </w:r>
      <w:r>
        <w:t>the Coronavirus Job Retention Scheme spent relatively less than Australia, New Zealand and Canada at approximately 3.0 per cent of GDP (</w:t>
      </w:r>
      <w:r>
        <w:rPr>
          <w:rFonts w:cs="Arial"/>
        </w:rPr>
        <w:t>£</w:t>
      </w:r>
      <w:r>
        <w:t xml:space="preserve">70 billion) but was accompanied by a number of other </w:t>
      </w:r>
      <w:r w:rsidRPr="00494F99">
        <w:t xml:space="preserve">grants (see </w:t>
      </w:r>
      <w:r w:rsidR="00206AF8">
        <w:t>S</w:t>
      </w:r>
      <w:r w:rsidR="00CE28C8" w:rsidRPr="00494F99">
        <w:t xml:space="preserve">ection </w:t>
      </w:r>
      <w:r w:rsidR="00CE28C8" w:rsidRPr="00494F99">
        <w:fldChar w:fldCharType="begin"/>
      </w:r>
      <w:r w:rsidR="00CE28C8" w:rsidRPr="00494F99">
        <w:instrText xml:space="preserve"> REF _Ref170918383 \r \h </w:instrText>
      </w:r>
      <w:r w:rsidR="00494F99">
        <w:instrText xml:space="preserve"> \* MERGEFORMAT </w:instrText>
      </w:r>
      <w:r w:rsidR="00CE28C8" w:rsidRPr="00494F99">
        <w:fldChar w:fldCharType="separate"/>
      </w:r>
      <w:r w:rsidR="0016271C">
        <w:t>C.1.2</w:t>
      </w:r>
      <w:r w:rsidR="00CE28C8" w:rsidRPr="00494F99">
        <w:fldChar w:fldCharType="end"/>
      </w:r>
      <w:r w:rsidRPr="00494F99">
        <w:t>).</w:t>
      </w:r>
      <w:r>
        <w:t xml:space="preserve"> The UK wage subsidy was more broadly targeted than other countries that</w:t>
      </w:r>
      <w:r w:rsidDel="0059374C">
        <w:t xml:space="preserve"> </w:t>
      </w:r>
      <w:r>
        <w:t xml:space="preserve">limited eligibility to certain levels of turnover or revenue decline. It subsidised 80 per cent of wages up to </w:t>
      </w:r>
      <w:r>
        <w:rPr>
          <w:rFonts w:cs="Arial"/>
        </w:rPr>
        <w:t>£</w:t>
      </w:r>
      <w:r>
        <w:t xml:space="preserve">2,500 per month per employee for all UK firms registered with government </w:t>
      </w:r>
      <w:r w:rsidR="00670D54">
        <w:t>pay-as-you-earn</w:t>
      </w:r>
      <w:r>
        <w:t xml:space="preserve"> (PAYE) payroll. It also</w:t>
      </w:r>
      <w:r w:rsidDel="007F156C">
        <w:t xml:space="preserve"> </w:t>
      </w:r>
      <w:r>
        <w:t>paid an additional grant to cover the cost of Employer National Insurance and pension contributions.</w:t>
      </w:r>
      <w:r>
        <w:rPr>
          <w:rStyle w:val="EndnoteReference"/>
        </w:rPr>
        <w:endnoteReference w:id="57"/>
      </w:r>
    </w:p>
    <w:p w14:paraId="6FFF253E" w14:textId="27357D70" w:rsidR="003B310A" w:rsidRDefault="003B310A" w:rsidP="00021EF3">
      <w:r>
        <w:t>In addition to wage subsidies, some jurisdictions provided subsidies for other costs. For instance, the Canada Emergency Rent Subsidy</w:t>
      </w:r>
      <w:r w:rsidR="00207FE0">
        <w:t xml:space="preserve"> (CERS)</w:t>
      </w:r>
      <w:r>
        <w:t xml:space="preserve"> was introduced in September 2020 (C$6.55 billion) and subsidised up to 65 per cent of commercial rent and other property expenses faced by businesses depending on the percentage of revenue decline.</w:t>
      </w:r>
      <w:r>
        <w:rPr>
          <w:rStyle w:val="EndnoteReference"/>
        </w:rPr>
        <w:endnoteReference w:id="58"/>
      </w:r>
      <w:r>
        <w:t xml:space="preserve"> On top of this, businesses could receive a 25 per cent top</w:t>
      </w:r>
      <w:r w:rsidR="003F3A24">
        <w:t>-</w:t>
      </w:r>
      <w:r>
        <w:t>up on the rent subsidy through the Lockdown Support Program (C$1.11 billion).</w:t>
      </w:r>
      <w:r>
        <w:rPr>
          <w:rStyle w:val="EndnoteReference"/>
        </w:rPr>
        <w:endnoteReference w:id="59"/>
      </w:r>
    </w:p>
    <w:p w14:paraId="2A44ACAB" w14:textId="3039DF5E" w:rsidR="003B310A" w:rsidRDefault="003B310A" w:rsidP="00021EF3">
      <w:pPr>
        <w:rPr>
          <w:rFonts w:cs="Arial"/>
        </w:rPr>
      </w:pPr>
      <w:r>
        <w:t xml:space="preserve">Some jurisdictions provided more targeted business support for particular sectors. For instance, a smaller </w:t>
      </w:r>
      <w:r>
        <w:rPr>
          <w:rFonts w:cs="Arial"/>
        </w:rPr>
        <w:t>€</w:t>
      </w:r>
      <w:r>
        <w:t xml:space="preserve">200 million </w:t>
      </w:r>
      <w:r w:rsidRPr="00EC49EA">
        <w:rPr>
          <w:b/>
        </w:rPr>
        <w:t xml:space="preserve">French </w:t>
      </w:r>
      <w:r>
        <w:t xml:space="preserve">aid scheme provided a wage subsidy to businesses hospitality, tourism and catering and events </w:t>
      </w:r>
      <w:r w:rsidR="00E66CB5">
        <w:t xml:space="preserve">that </w:t>
      </w:r>
      <w:r>
        <w:t>were forced to cease activities for at least 140 days or experienced a drop in turnover exceeding 90 per cent.</w:t>
      </w:r>
      <w:r>
        <w:rPr>
          <w:rStyle w:val="EndnoteReference"/>
        </w:rPr>
        <w:endnoteReference w:id="60"/>
      </w:r>
      <w:r>
        <w:t xml:space="preserve"> </w:t>
      </w:r>
      <w:r>
        <w:rPr>
          <w:rFonts w:cs="Arial"/>
        </w:rPr>
        <w:t xml:space="preserve">Similarly, </w:t>
      </w:r>
      <w:r w:rsidRPr="00EC49EA">
        <w:rPr>
          <w:rFonts w:cs="Arial"/>
          <w:b/>
        </w:rPr>
        <w:t>Canada</w:t>
      </w:r>
      <w:r>
        <w:rPr>
          <w:rFonts w:cs="Arial"/>
        </w:rPr>
        <w:t xml:space="preserve"> implemented the Tourism and Hospitality Recovery Program and Hardest-Hit Business Recovery Program targeted at tourism and hospitality businesses. These two programs subsidised wages and rent at a rate of 75 per cent and 50 per cent</w:t>
      </w:r>
      <w:r w:rsidR="00E66CB5">
        <w:rPr>
          <w:rFonts w:cs="Arial"/>
        </w:rPr>
        <w:t>,</w:t>
      </w:r>
      <w:r>
        <w:rPr>
          <w:rFonts w:cs="Arial"/>
        </w:rPr>
        <w:t xml:space="preserve"> respectively</w:t>
      </w:r>
      <w:r w:rsidR="00E66CB5">
        <w:rPr>
          <w:rFonts w:cs="Arial"/>
        </w:rPr>
        <w:t>,</w:t>
      </w:r>
      <w:r>
        <w:rPr>
          <w:rFonts w:cs="Arial"/>
        </w:rPr>
        <w:t xml:space="preserve"> for businesses experiencing a loss of turnover between 40 </w:t>
      </w:r>
      <w:r w:rsidR="00E66CB5">
        <w:rPr>
          <w:rFonts w:cs="Arial"/>
        </w:rPr>
        <w:t xml:space="preserve">per cent </w:t>
      </w:r>
      <w:r>
        <w:rPr>
          <w:rFonts w:cs="Arial"/>
        </w:rPr>
        <w:t>and 50 per cent.</w:t>
      </w:r>
      <w:r>
        <w:rPr>
          <w:rStyle w:val="EndnoteReference"/>
          <w:rFonts w:cs="Arial"/>
        </w:rPr>
        <w:endnoteReference w:id="61"/>
      </w:r>
      <w:r>
        <w:rPr>
          <w:rFonts w:cs="Arial"/>
        </w:rPr>
        <w:t xml:space="preserve"> </w:t>
      </w:r>
      <w:r>
        <w:rPr>
          <w:rStyle w:val="EndnoteReference"/>
          <w:rFonts w:cs="Arial"/>
        </w:rPr>
        <w:endnoteReference w:id="62"/>
      </w:r>
      <w:r>
        <w:rPr>
          <w:rFonts w:cs="Arial"/>
        </w:rPr>
        <w:t xml:space="preserve"> </w:t>
      </w:r>
    </w:p>
    <w:p w14:paraId="27A0DA63" w14:textId="40A3AD17" w:rsidR="003B310A" w:rsidRDefault="003B310A" w:rsidP="00021EF3">
      <w:pPr>
        <w:rPr>
          <w:rFonts w:cs="Arial"/>
        </w:rPr>
      </w:pPr>
      <w:r>
        <w:rPr>
          <w:rFonts w:cs="Arial"/>
        </w:rPr>
        <w:t xml:space="preserve">A summary of key federal subsidies implemented for businesses is provided in </w:t>
      </w:r>
      <w:r w:rsidR="00CE28C8" w:rsidRPr="00494F99">
        <w:rPr>
          <w:rFonts w:cs="Arial"/>
        </w:rPr>
        <w:fldChar w:fldCharType="begin"/>
      </w:r>
      <w:r w:rsidR="00CE28C8" w:rsidRPr="00494F99">
        <w:rPr>
          <w:rFonts w:cs="Arial"/>
        </w:rPr>
        <w:instrText xml:space="preserve"> REF _Ref170485589 \r \h  \* MERGEFORMAT </w:instrText>
      </w:r>
      <w:r w:rsidR="00CE28C8" w:rsidRPr="00494F99">
        <w:rPr>
          <w:rFonts w:cs="Arial"/>
        </w:rPr>
      </w:r>
      <w:r w:rsidR="00CE28C8" w:rsidRPr="00494F99">
        <w:rPr>
          <w:rFonts w:cs="Arial"/>
        </w:rPr>
        <w:fldChar w:fldCharType="separate"/>
      </w:r>
      <w:r w:rsidR="0016271C">
        <w:rPr>
          <w:rFonts w:cs="Arial"/>
        </w:rPr>
        <w:t>Table C.1</w:t>
      </w:r>
      <w:r w:rsidR="00CE28C8" w:rsidRPr="00494F99">
        <w:rPr>
          <w:rFonts w:cs="Arial"/>
        </w:rPr>
        <w:fldChar w:fldCharType="end"/>
      </w:r>
      <w:r w:rsidR="00E6276E" w:rsidRPr="00494F99">
        <w:rPr>
          <w:rFonts w:cs="Arial"/>
        </w:rPr>
        <w:t>.</w:t>
      </w:r>
    </w:p>
    <w:p w14:paraId="11FF0FC6" w14:textId="509ED642" w:rsidR="0031529E" w:rsidRDefault="0031529E" w:rsidP="00021EF3">
      <w:pPr>
        <w:pStyle w:val="AppendixTableCaption"/>
      </w:pPr>
      <w:bookmarkStart w:id="548" w:name="_Ref170485589"/>
      <w:r>
        <w:t>: Federal subsidies to support businesses impacted by COVID-19</w:t>
      </w:r>
      <w:bookmarkEnd w:id="548"/>
      <w:r w:rsidR="006D5674">
        <w:t xml:space="preserve"> – Wage subsidies</w:t>
      </w:r>
    </w:p>
    <w:tbl>
      <w:tblPr>
        <w:tblStyle w:val="Deloittetable"/>
        <w:tblW w:w="9072" w:type="dxa"/>
        <w:tblLook w:val="04A0" w:firstRow="1" w:lastRow="0" w:firstColumn="1" w:lastColumn="0" w:noHBand="0" w:noVBand="1"/>
      </w:tblPr>
      <w:tblGrid>
        <w:gridCol w:w="1172"/>
        <w:gridCol w:w="1447"/>
        <w:gridCol w:w="946"/>
        <w:gridCol w:w="1059"/>
        <w:gridCol w:w="1506"/>
        <w:gridCol w:w="2942"/>
      </w:tblGrid>
      <w:tr w:rsidR="0031529E" w14:paraId="3BD5F84E" w14:textId="77777777" w:rsidTr="006D5674">
        <w:trPr>
          <w:cnfStyle w:val="100000000000" w:firstRow="1" w:lastRow="0" w:firstColumn="0" w:lastColumn="0" w:oddVBand="0" w:evenVBand="0" w:oddHBand="0" w:evenHBand="0" w:firstRowFirstColumn="0" w:firstRowLastColumn="0" w:lastRowFirstColumn="0" w:lastRowLastColumn="0"/>
          <w:tblHeader/>
        </w:trPr>
        <w:tc>
          <w:tcPr>
            <w:tcW w:w="1172" w:type="dxa"/>
          </w:tcPr>
          <w:p w14:paraId="010CCD04" w14:textId="77777777" w:rsidR="0031529E" w:rsidRPr="00403149" w:rsidRDefault="0031529E" w:rsidP="00021EF3">
            <w:pPr>
              <w:spacing w:after="0"/>
              <w:rPr>
                <w:b/>
                <w:bCs/>
              </w:rPr>
            </w:pPr>
            <w:r w:rsidRPr="00403149">
              <w:rPr>
                <w:b/>
                <w:bCs/>
              </w:rPr>
              <w:t>Jurisdiction</w:t>
            </w:r>
          </w:p>
        </w:tc>
        <w:tc>
          <w:tcPr>
            <w:tcW w:w="1447" w:type="dxa"/>
          </w:tcPr>
          <w:p w14:paraId="6321BAC3" w14:textId="77777777" w:rsidR="0031529E" w:rsidRPr="00403149" w:rsidRDefault="0031529E" w:rsidP="00021EF3">
            <w:pPr>
              <w:spacing w:after="0"/>
              <w:rPr>
                <w:b/>
                <w:bCs/>
              </w:rPr>
            </w:pPr>
            <w:r w:rsidRPr="00403149">
              <w:rPr>
                <w:b/>
                <w:bCs/>
              </w:rPr>
              <w:t>Subsidy</w:t>
            </w:r>
          </w:p>
        </w:tc>
        <w:tc>
          <w:tcPr>
            <w:tcW w:w="946" w:type="dxa"/>
          </w:tcPr>
          <w:p w14:paraId="2006C068" w14:textId="77777777" w:rsidR="0031529E" w:rsidRPr="00A3772F" w:rsidRDefault="0031529E" w:rsidP="00021EF3">
            <w:pPr>
              <w:spacing w:after="0"/>
              <w:rPr>
                <w:b/>
                <w:bCs/>
              </w:rPr>
            </w:pPr>
            <w:r>
              <w:rPr>
                <w:b/>
                <w:bCs/>
              </w:rPr>
              <w:t>Dates</w:t>
            </w:r>
          </w:p>
        </w:tc>
        <w:tc>
          <w:tcPr>
            <w:tcW w:w="1059" w:type="dxa"/>
          </w:tcPr>
          <w:p w14:paraId="3E10147F" w14:textId="77777777" w:rsidR="0031529E" w:rsidRPr="00403149" w:rsidRDefault="0031529E" w:rsidP="00021EF3">
            <w:pPr>
              <w:spacing w:after="0"/>
              <w:rPr>
                <w:b/>
                <w:bCs/>
              </w:rPr>
            </w:pPr>
            <w:r>
              <w:rPr>
                <w:b/>
                <w:bCs/>
              </w:rPr>
              <w:t>S</w:t>
            </w:r>
            <w:r w:rsidRPr="00403149">
              <w:rPr>
                <w:b/>
                <w:bCs/>
              </w:rPr>
              <w:t>pend as % of GDP (dollar value)</w:t>
            </w:r>
          </w:p>
        </w:tc>
        <w:tc>
          <w:tcPr>
            <w:tcW w:w="1506" w:type="dxa"/>
          </w:tcPr>
          <w:p w14:paraId="09EF2741" w14:textId="77777777" w:rsidR="0031529E" w:rsidRPr="00403149" w:rsidRDefault="0031529E" w:rsidP="00021EF3">
            <w:pPr>
              <w:spacing w:after="0"/>
              <w:rPr>
                <w:b/>
                <w:bCs/>
              </w:rPr>
            </w:pPr>
            <w:r w:rsidRPr="00403149">
              <w:rPr>
                <w:b/>
                <w:bCs/>
              </w:rPr>
              <w:t>Value of subsidy</w:t>
            </w:r>
          </w:p>
        </w:tc>
        <w:tc>
          <w:tcPr>
            <w:tcW w:w="2942" w:type="dxa"/>
          </w:tcPr>
          <w:p w14:paraId="36C1974B" w14:textId="77777777" w:rsidR="0031529E" w:rsidRPr="00403149" w:rsidRDefault="0031529E" w:rsidP="00021EF3">
            <w:pPr>
              <w:spacing w:after="0"/>
              <w:rPr>
                <w:b/>
                <w:bCs/>
              </w:rPr>
            </w:pPr>
            <w:r w:rsidRPr="00403149">
              <w:rPr>
                <w:b/>
                <w:bCs/>
              </w:rPr>
              <w:t>Type of business eligible</w:t>
            </w:r>
          </w:p>
        </w:tc>
      </w:tr>
      <w:tr w:rsidR="0031529E" w14:paraId="5A5F2FDD" w14:textId="77777777" w:rsidTr="006D5674">
        <w:tc>
          <w:tcPr>
            <w:tcW w:w="1172" w:type="dxa"/>
          </w:tcPr>
          <w:p w14:paraId="485C26DC" w14:textId="77777777" w:rsidR="0031529E" w:rsidRPr="00A64BA2" w:rsidRDefault="0031529E" w:rsidP="00021EF3">
            <w:pPr>
              <w:spacing w:after="0"/>
              <w:rPr>
                <w:b/>
              </w:rPr>
            </w:pPr>
            <w:r w:rsidRPr="00A64BA2">
              <w:rPr>
                <w:b/>
              </w:rPr>
              <w:t>Australia</w:t>
            </w:r>
          </w:p>
        </w:tc>
        <w:tc>
          <w:tcPr>
            <w:tcW w:w="1447" w:type="dxa"/>
          </w:tcPr>
          <w:p w14:paraId="124BA04A" w14:textId="77777777" w:rsidR="0031529E" w:rsidRDefault="0031529E" w:rsidP="00021EF3">
            <w:pPr>
              <w:spacing w:after="0"/>
            </w:pPr>
            <w:proofErr w:type="spellStart"/>
            <w:r>
              <w:t>JobKeeper</w:t>
            </w:r>
            <w:proofErr w:type="spellEnd"/>
          </w:p>
        </w:tc>
        <w:tc>
          <w:tcPr>
            <w:tcW w:w="946" w:type="dxa"/>
          </w:tcPr>
          <w:p w14:paraId="7A50EC9A" w14:textId="77777777" w:rsidR="0031529E" w:rsidRDefault="0031529E" w:rsidP="00021EF3">
            <w:pPr>
              <w:spacing w:after="0"/>
            </w:pPr>
            <w:r>
              <w:t>March 2020 to March 2021</w:t>
            </w:r>
          </w:p>
        </w:tc>
        <w:tc>
          <w:tcPr>
            <w:tcW w:w="1059" w:type="dxa"/>
          </w:tcPr>
          <w:p w14:paraId="0D91D938" w14:textId="77777777" w:rsidR="0031529E" w:rsidRDefault="0031529E" w:rsidP="00021EF3">
            <w:pPr>
              <w:spacing w:after="0"/>
            </w:pPr>
            <w:r>
              <w:t>4.5% (AU$88.9 billion)</w:t>
            </w:r>
          </w:p>
        </w:tc>
        <w:tc>
          <w:tcPr>
            <w:tcW w:w="1506" w:type="dxa"/>
          </w:tcPr>
          <w:p w14:paraId="2F46E3D4" w14:textId="77777777" w:rsidR="0031529E" w:rsidRDefault="0031529E" w:rsidP="00021EF3">
            <w:pPr>
              <w:spacing w:after="0"/>
            </w:pPr>
            <w:r w:rsidRPr="00403149">
              <w:rPr>
                <w:b/>
                <w:bCs/>
              </w:rPr>
              <w:t>AU$1,500</w:t>
            </w:r>
            <w:r>
              <w:t xml:space="preserve"> per fortnight per eligible FTE </w:t>
            </w:r>
          </w:p>
        </w:tc>
        <w:tc>
          <w:tcPr>
            <w:tcW w:w="2942" w:type="dxa"/>
          </w:tcPr>
          <w:p w14:paraId="4D9F157B" w14:textId="77777777" w:rsidR="0031529E" w:rsidRPr="00A67E5F" w:rsidRDefault="0031529E" w:rsidP="00021EF3">
            <w:pPr>
              <w:pStyle w:val="ListParagraph"/>
              <w:numPr>
                <w:ilvl w:val="0"/>
                <w:numId w:val="16"/>
              </w:numPr>
            </w:pPr>
            <w:r w:rsidRPr="00A67E5F">
              <w:t>Annual turnover less than AU$1 billion</w:t>
            </w:r>
          </w:p>
          <w:p w14:paraId="6B07E4E0" w14:textId="77777777" w:rsidR="0031529E" w:rsidRPr="00A67E5F" w:rsidRDefault="0031529E" w:rsidP="00021EF3">
            <w:pPr>
              <w:pStyle w:val="ListParagraph"/>
              <w:numPr>
                <w:ilvl w:val="0"/>
                <w:numId w:val="16"/>
              </w:numPr>
            </w:pPr>
            <w:r w:rsidRPr="00A67E5F">
              <w:t>30% or mor</w:t>
            </w:r>
            <w:r>
              <w:t>e</w:t>
            </w:r>
            <w:r w:rsidRPr="00A67E5F">
              <w:t xml:space="preserve"> fall in turnover</w:t>
            </w:r>
          </w:p>
          <w:p w14:paraId="28E4535F" w14:textId="77777777" w:rsidR="0031529E" w:rsidRPr="00A67E5F" w:rsidRDefault="0031529E" w:rsidP="00021EF3">
            <w:pPr>
              <w:pStyle w:val="ListParagraph"/>
              <w:numPr>
                <w:ilvl w:val="0"/>
                <w:numId w:val="16"/>
              </w:numPr>
            </w:pPr>
            <w:r w:rsidRPr="00A67E5F">
              <w:t>Not subject to Major Bank Levy</w:t>
            </w:r>
          </w:p>
        </w:tc>
      </w:tr>
      <w:tr w:rsidR="006D5674" w14:paraId="3BF906B2" w14:textId="77777777" w:rsidTr="006D5674">
        <w:tc>
          <w:tcPr>
            <w:tcW w:w="1172" w:type="dxa"/>
          </w:tcPr>
          <w:p w14:paraId="10BC0EA6" w14:textId="2CAA086B" w:rsidR="006D5674" w:rsidRPr="00A64BA2" w:rsidRDefault="006D5674" w:rsidP="006D5674">
            <w:pPr>
              <w:spacing w:after="0"/>
              <w:rPr>
                <w:b/>
              </w:rPr>
            </w:pPr>
            <w:r w:rsidRPr="00A64BA2">
              <w:rPr>
                <w:b/>
              </w:rPr>
              <w:t>Australia</w:t>
            </w:r>
          </w:p>
        </w:tc>
        <w:tc>
          <w:tcPr>
            <w:tcW w:w="1447" w:type="dxa"/>
          </w:tcPr>
          <w:p w14:paraId="198AB639" w14:textId="77777777" w:rsidR="006D5674" w:rsidRDefault="006D5674" w:rsidP="006D5674">
            <w:pPr>
              <w:spacing w:after="0"/>
            </w:pPr>
            <w:r>
              <w:t>Supporting Apprentices and Trainees and Boosting Apprenticeship Commencements Wage Subsidy</w:t>
            </w:r>
          </w:p>
        </w:tc>
        <w:tc>
          <w:tcPr>
            <w:tcW w:w="946" w:type="dxa"/>
          </w:tcPr>
          <w:p w14:paraId="797D59DB" w14:textId="77777777" w:rsidR="006D5674" w:rsidRDefault="006D5674" w:rsidP="006D5674">
            <w:pPr>
              <w:spacing w:after="0"/>
            </w:pPr>
            <w:r>
              <w:t>April 2020 to June 2021</w:t>
            </w:r>
          </w:p>
        </w:tc>
        <w:tc>
          <w:tcPr>
            <w:tcW w:w="1059" w:type="dxa"/>
          </w:tcPr>
          <w:p w14:paraId="58ED2CC1" w14:textId="77777777" w:rsidR="006D5674" w:rsidRDefault="006D5674" w:rsidP="006D5674">
            <w:pPr>
              <w:spacing w:after="0"/>
            </w:pPr>
            <w:r>
              <w:t>0.1% (AU$2.8 billion)</w:t>
            </w:r>
          </w:p>
        </w:tc>
        <w:tc>
          <w:tcPr>
            <w:tcW w:w="1506" w:type="dxa"/>
          </w:tcPr>
          <w:p w14:paraId="1DDACE3E" w14:textId="77777777" w:rsidR="006D5674" w:rsidRDefault="006D5674" w:rsidP="006D5674">
            <w:pPr>
              <w:spacing w:after="0"/>
            </w:pPr>
            <w:r w:rsidRPr="00403149">
              <w:rPr>
                <w:b/>
                <w:bCs/>
              </w:rPr>
              <w:t>50%</w:t>
            </w:r>
            <w:r>
              <w:t xml:space="preserve"> wage subsidy for apprentices up to AU$7,000 per quarter</w:t>
            </w:r>
          </w:p>
        </w:tc>
        <w:tc>
          <w:tcPr>
            <w:tcW w:w="2942" w:type="dxa"/>
          </w:tcPr>
          <w:p w14:paraId="6E26EA1A" w14:textId="77777777" w:rsidR="006D5674" w:rsidRDefault="006D5674" w:rsidP="006D5674">
            <w:pPr>
              <w:pStyle w:val="ListParagraph"/>
              <w:numPr>
                <w:ilvl w:val="0"/>
                <w:numId w:val="16"/>
              </w:numPr>
            </w:pPr>
            <w:r>
              <w:t>Employing less than 200 people</w:t>
            </w:r>
          </w:p>
          <w:p w14:paraId="65EFCF85" w14:textId="77777777" w:rsidR="006D5674" w:rsidRPr="00A67E5F" w:rsidRDefault="006D5674" w:rsidP="006D5674">
            <w:pPr>
              <w:pStyle w:val="ListParagraph"/>
              <w:numPr>
                <w:ilvl w:val="0"/>
                <w:numId w:val="16"/>
              </w:numPr>
            </w:pPr>
            <w:r>
              <w:t>An apprentice or trainee is undertaking an Australian Apprenticeship in the businesses</w:t>
            </w:r>
          </w:p>
        </w:tc>
      </w:tr>
      <w:tr w:rsidR="006D5674" w14:paraId="3E4C25D8" w14:textId="77777777" w:rsidTr="006D5674">
        <w:tc>
          <w:tcPr>
            <w:tcW w:w="1172" w:type="dxa"/>
          </w:tcPr>
          <w:p w14:paraId="5B82AB49" w14:textId="77777777" w:rsidR="006D5674" w:rsidRPr="00A64BA2" w:rsidRDefault="006D5674" w:rsidP="006D5674">
            <w:pPr>
              <w:spacing w:after="0"/>
              <w:rPr>
                <w:b/>
              </w:rPr>
            </w:pPr>
            <w:r w:rsidRPr="00A64BA2">
              <w:rPr>
                <w:b/>
              </w:rPr>
              <w:t>New Zealand</w:t>
            </w:r>
          </w:p>
        </w:tc>
        <w:tc>
          <w:tcPr>
            <w:tcW w:w="1447" w:type="dxa"/>
          </w:tcPr>
          <w:p w14:paraId="3EF1FA71" w14:textId="77777777" w:rsidR="006D5674" w:rsidRDefault="006D5674" w:rsidP="006D5674">
            <w:pPr>
              <w:spacing w:after="0"/>
            </w:pPr>
            <w:r>
              <w:t>Wage Subsidy Scheme</w:t>
            </w:r>
          </w:p>
        </w:tc>
        <w:tc>
          <w:tcPr>
            <w:tcW w:w="946" w:type="dxa"/>
          </w:tcPr>
          <w:p w14:paraId="6421A29B" w14:textId="77777777" w:rsidR="006D5674" w:rsidRDefault="006D5674" w:rsidP="006D5674">
            <w:pPr>
              <w:spacing w:after="0"/>
            </w:pPr>
            <w:r>
              <w:t>March 2020 to August 2021</w:t>
            </w:r>
          </w:p>
        </w:tc>
        <w:tc>
          <w:tcPr>
            <w:tcW w:w="1059" w:type="dxa"/>
          </w:tcPr>
          <w:p w14:paraId="7968012D" w14:textId="77777777" w:rsidR="006D5674" w:rsidRDefault="006D5674" w:rsidP="006D5674">
            <w:pPr>
              <w:spacing w:after="0"/>
            </w:pPr>
            <w:r>
              <w:t>4.6% (NZ$18.8 billion)</w:t>
            </w:r>
          </w:p>
        </w:tc>
        <w:tc>
          <w:tcPr>
            <w:tcW w:w="1506" w:type="dxa"/>
          </w:tcPr>
          <w:p w14:paraId="260218A1" w14:textId="77777777" w:rsidR="006D5674" w:rsidRDefault="006D5674" w:rsidP="006D5674">
            <w:pPr>
              <w:spacing w:after="0"/>
            </w:pPr>
            <w:r w:rsidRPr="00403149">
              <w:rPr>
                <w:b/>
                <w:bCs/>
              </w:rPr>
              <w:t>NZ$585.80</w:t>
            </w:r>
            <w:r w:rsidRPr="0084247B">
              <w:t xml:space="preserve"> per week </w:t>
            </w:r>
            <w:r>
              <w:t>per</w:t>
            </w:r>
            <w:r w:rsidRPr="0084247B">
              <w:t xml:space="preserve"> employee previously working more than 20 hours</w:t>
            </w:r>
            <w:r>
              <w:t xml:space="preserve"> per week</w:t>
            </w:r>
          </w:p>
        </w:tc>
        <w:tc>
          <w:tcPr>
            <w:tcW w:w="2942" w:type="dxa"/>
          </w:tcPr>
          <w:p w14:paraId="3977A6F0" w14:textId="77777777" w:rsidR="006D5674" w:rsidRPr="00A67E5F" w:rsidRDefault="006D5674" w:rsidP="006D5674">
            <w:pPr>
              <w:pStyle w:val="ListParagraph"/>
              <w:numPr>
                <w:ilvl w:val="0"/>
                <w:numId w:val="16"/>
              </w:numPr>
            </w:pPr>
            <w:r>
              <w:t>40% decline in revenue over consecutive 14 days compared to the six weeks prior</w:t>
            </w:r>
          </w:p>
        </w:tc>
      </w:tr>
      <w:tr w:rsidR="006D5674" w14:paraId="4820AA2F" w14:textId="77777777" w:rsidTr="006D5674">
        <w:tc>
          <w:tcPr>
            <w:tcW w:w="1172" w:type="dxa"/>
          </w:tcPr>
          <w:p w14:paraId="0A54B573" w14:textId="77777777" w:rsidR="006D5674" w:rsidRPr="00A64BA2" w:rsidRDefault="006D5674" w:rsidP="006D5674">
            <w:pPr>
              <w:spacing w:after="0"/>
              <w:rPr>
                <w:b/>
              </w:rPr>
            </w:pPr>
            <w:r w:rsidRPr="00A64BA2">
              <w:rPr>
                <w:b/>
              </w:rPr>
              <w:t>Canada</w:t>
            </w:r>
          </w:p>
        </w:tc>
        <w:tc>
          <w:tcPr>
            <w:tcW w:w="1447" w:type="dxa"/>
          </w:tcPr>
          <w:p w14:paraId="6EC1B86B" w14:textId="77777777" w:rsidR="006D5674" w:rsidRDefault="006D5674" w:rsidP="006D5674">
            <w:pPr>
              <w:spacing w:after="0"/>
            </w:pPr>
            <w:r>
              <w:t>Canada Emergency Wage Subsidy</w:t>
            </w:r>
          </w:p>
        </w:tc>
        <w:tc>
          <w:tcPr>
            <w:tcW w:w="946" w:type="dxa"/>
          </w:tcPr>
          <w:p w14:paraId="18CCD131" w14:textId="77777777" w:rsidR="006D5674" w:rsidRDefault="006D5674" w:rsidP="006D5674">
            <w:pPr>
              <w:spacing w:after="0"/>
            </w:pPr>
            <w:r>
              <w:t>March 2020 to April 2022</w:t>
            </w:r>
          </w:p>
        </w:tc>
        <w:tc>
          <w:tcPr>
            <w:tcW w:w="1059" w:type="dxa"/>
          </w:tcPr>
          <w:p w14:paraId="04820312" w14:textId="77777777" w:rsidR="006D5674" w:rsidRDefault="006D5674" w:rsidP="006D5674">
            <w:pPr>
              <w:spacing w:after="0"/>
            </w:pPr>
            <w:r>
              <w:t>5.5% (C$105.2 billion)</w:t>
            </w:r>
          </w:p>
        </w:tc>
        <w:tc>
          <w:tcPr>
            <w:tcW w:w="1506" w:type="dxa"/>
          </w:tcPr>
          <w:p w14:paraId="0ABC7AD8" w14:textId="77777777" w:rsidR="006D5674" w:rsidRPr="0084247B" w:rsidRDefault="006D5674" w:rsidP="006D5674">
            <w:pPr>
              <w:spacing w:after="0"/>
            </w:pPr>
            <w:r w:rsidRPr="00403149">
              <w:rPr>
                <w:b/>
                <w:bCs/>
              </w:rPr>
              <w:t>75%</w:t>
            </w:r>
            <w:r>
              <w:t xml:space="preserve"> of employee wages on the first C$58,700 per employee, up to C$847 per week</w:t>
            </w:r>
          </w:p>
        </w:tc>
        <w:tc>
          <w:tcPr>
            <w:tcW w:w="2942" w:type="dxa"/>
          </w:tcPr>
          <w:p w14:paraId="7BC177DF" w14:textId="77777777" w:rsidR="006D5674" w:rsidRDefault="006D5674" w:rsidP="006D5674">
            <w:pPr>
              <w:pStyle w:val="ListParagraph"/>
              <w:numPr>
                <w:ilvl w:val="0"/>
                <w:numId w:val="16"/>
              </w:numPr>
            </w:pPr>
            <w:r>
              <w:t>Employers with at least 30% decline in revenue during an eligible period</w:t>
            </w:r>
          </w:p>
        </w:tc>
      </w:tr>
      <w:tr w:rsidR="006D5674" w14:paraId="53665E57" w14:textId="77777777" w:rsidTr="006D5674">
        <w:tc>
          <w:tcPr>
            <w:tcW w:w="1172" w:type="dxa"/>
          </w:tcPr>
          <w:p w14:paraId="282DB6CD" w14:textId="56135059" w:rsidR="006D5674" w:rsidRPr="00A64BA2" w:rsidRDefault="006D5674" w:rsidP="006D5674">
            <w:pPr>
              <w:spacing w:after="0"/>
              <w:rPr>
                <w:b/>
              </w:rPr>
            </w:pPr>
            <w:r w:rsidRPr="00A64BA2">
              <w:rPr>
                <w:b/>
              </w:rPr>
              <w:t>Canada</w:t>
            </w:r>
          </w:p>
        </w:tc>
        <w:tc>
          <w:tcPr>
            <w:tcW w:w="1447" w:type="dxa"/>
          </w:tcPr>
          <w:p w14:paraId="7CCA9542" w14:textId="77777777" w:rsidR="006D5674" w:rsidRDefault="006D5674" w:rsidP="006D5674">
            <w:pPr>
              <w:spacing w:after="0"/>
            </w:pPr>
            <w:r>
              <w:t>Canada Recovery Hiring Program</w:t>
            </w:r>
          </w:p>
        </w:tc>
        <w:tc>
          <w:tcPr>
            <w:tcW w:w="946" w:type="dxa"/>
          </w:tcPr>
          <w:p w14:paraId="02CD0D6D" w14:textId="77777777" w:rsidR="006D5674" w:rsidRDefault="006D5674" w:rsidP="006D5674">
            <w:pPr>
              <w:spacing w:after="0"/>
            </w:pPr>
            <w:r>
              <w:t>June 2021 to May 2022</w:t>
            </w:r>
          </w:p>
        </w:tc>
        <w:tc>
          <w:tcPr>
            <w:tcW w:w="1059" w:type="dxa"/>
          </w:tcPr>
          <w:p w14:paraId="0F88B93C" w14:textId="77777777" w:rsidR="006D5674" w:rsidRDefault="006D5674" w:rsidP="006D5674">
            <w:pPr>
              <w:spacing w:after="0"/>
            </w:pPr>
            <w:r>
              <w:t>0.03% (C$814 million)</w:t>
            </w:r>
          </w:p>
        </w:tc>
        <w:tc>
          <w:tcPr>
            <w:tcW w:w="1506" w:type="dxa"/>
          </w:tcPr>
          <w:p w14:paraId="0B36F3D7" w14:textId="77777777" w:rsidR="006D5674" w:rsidRDefault="006D5674" w:rsidP="006D5674">
            <w:pPr>
              <w:spacing w:after="0"/>
            </w:pPr>
            <w:r w:rsidRPr="00403149">
              <w:rPr>
                <w:b/>
                <w:bCs/>
              </w:rPr>
              <w:t>50%</w:t>
            </w:r>
            <w:r>
              <w:t xml:space="preserve"> </w:t>
            </w:r>
            <w:r w:rsidRPr="009E3510">
              <w:t>of wages, capped at C$1,129 per employee per week</w:t>
            </w:r>
          </w:p>
        </w:tc>
        <w:tc>
          <w:tcPr>
            <w:tcW w:w="2942" w:type="dxa"/>
          </w:tcPr>
          <w:p w14:paraId="56353CB2" w14:textId="77777777" w:rsidR="006D5674" w:rsidRDefault="006D5674" w:rsidP="006D5674">
            <w:pPr>
              <w:pStyle w:val="ListParagraph"/>
              <w:numPr>
                <w:ilvl w:val="0"/>
                <w:numId w:val="16"/>
              </w:numPr>
            </w:pPr>
            <w:r>
              <w:t>Employers with at least 30% decline in revenue during an eligible period</w:t>
            </w:r>
          </w:p>
        </w:tc>
      </w:tr>
      <w:tr w:rsidR="006D5674" w14:paraId="76D68522" w14:textId="77777777" w:rsidTr="006D5674">
        <w:tc>
          <w:tcPr>
            <w:tcW w:w="1172" w:type="dxa"/>
          </w:tcPr>
          <w:p w14:paraId="193E1C1B" w14:textId="77777777" w:rsidR="006D5674" w:rsidRPr="00A64BA2" w:rsidRDefault="006D5674" w:rsidP="006D5674">
            <w:pPr>
              <w:spacing w:after="0"/>
              <w:rPr>
                <w:b/>
              </w:rPr>
            </w:pPr>
            <w:r w:rsidRPr="00A64BA2">
              <w:rPr>
                <w:b/>
              </w:rPr>
              <w:t>France</w:t>
            </w:r>
          </w:p>
        </w:tc>
        <w:tc>
          <w:tcPr>
            <w:tcW w:w="1447" w:type="dxa"/>
          </w:tcPr>
          <w:p w14:paraId="7EC8EBE1" w14:textId="77777777" w:rsidR="006D5674" w:rsidRDefault="006D5674" w:rsidP="006D5674">
            <w:pPr>
              <w:spacing w:after="0"/>
            </w:pPr>
            <w:proofErr w:type="spellStart"/>
            <w:r>
              <w:t>A</w:t>
            </w:r>
            <w:r w:rsidRPr="0060788A">
              <w:t>ctivité</w:t>
            </w:r>
            <w:proofErr w:type="spellEnd"/>
            <w:r w:rsidRPr="0060788A">
              <w:t xml:space="preserve"> </w:t>
            </w:r>
            <w:proofErr w:type="spellStart"/>
            <w:r w:rsidRPr="0060788A">
              <w:t>partielle</w:t>
            </w:r>
            <w:proofErr w:type="spellEnd"/>
          </w:p>
        </w:tc>
        <w:tc>
          <w:tcPr>
            <w:tcW w:w="946" w:type="dxa"/>
          </w:tcPr>
          <w:p w14:paraId="7D0E2027" w14:textId="77777777" w:rsidR="006D5674" w:rsidRDefault="006D5674" w:rsidP="006D5674">
            <w:pPr>
              <w:spacing w:after="0"/>
            </w:pPr>
            <w:r>
              <w:t>March 2020 to September 2021</w:t>
            </w:r>
          </w:p>
        </w:tc>
        <w:tc>
          <w:tcPr>
            <w:tcW w:w="1059" w:type="dxa"/>
          </w:tcPr>
          <w:p w14:paraId="21F47D78" w14:textId="77777777" w:rsidR="006D5674" w:rsidRDefault="006D5674" w:rsidP="006D5674">
            <w:pPr>
              <w:spacing w:after="0"/>
            </w:pPr>
            <w:r>
              <w:t>1.1% (</w:t>
            </w:r>
            <w:r>
              <w:rPr>
                <w:rFonts w:cs="Arial"/>
              </w:rPr>
              <w:t>€</w:t>
            </w:r>
            <w:r>
              <w:t>8.4 billion)</w:t>
            </w:r>
          </w:p>
        </w:tc>
        <w:tc>
          <w:tcPr>
            <w:tcW w:w="1506" w:type="dxa"/>
          </w:tcPr>
          <w:p w14:paraId="3B7E1D77" w14:textId="77777777" w:rsidR="006D5674" w:rsidRDefault="006D5674" w:rsidP="006D5674">
            <w:pPr>
              <w:spacing w:after="0"/>
            </w:pPr>
            <w:r w:rsidRPr="00403149">
              <w:rPr>
                <w:b/>
                <w:bCs/>
              </w:rPr>
              <w:t>100%</w:t>
            </w:r>
            <w:r>
              <w:t xml:space="preserve"> of wages at minimum wage or 84% of higher gross wages up to a maximum of 4.5 times the minimum wage, with employer </w:t>
            </w:r>
            <w:r>
              <w:lastRenderedPageBreak/>
              <w:t>contributions required from June 2020</w:t>
            </w:r>
          </w:p>
        </w:tc>
        <w:tc>
          <w:tcPr>
            <w:tcW w:w="2942" w:type="dxa"/>
          </w:tcPr>
          <w:p w14:paraId="703D32E6" w14:textId="77777777" w:rsidR="006D5674" w:rsidRDefault="006D5674" w:rsidP="006D5674">
            <w:pPr>
              <w:pStyle w:val="ListParagraph"/>
              <w:numPr>
                <w:ilvl w:val="0"/>
                <w:numId w:val="16"/>
              </w:numPr>
            </w:pPr>
            <w:r>
              <w:lastRenderedPageBreak/>
              <w:t>All private employers could access the scheme as it was a previously existing temporary scheme for certain classes of workers, with increased scope and duration during COVID-19</w:t>
            </w:r>
          </w:p>
        </w:tc>
      </w:tr>
      <w:tr w:rsidR="006D5674" w14:paraId="0A8D4AC2" w14:textId="77777777" w:rsidTr="006D5674">
        <w:tc>
          <w:tcPr>
            <w:tcW w:w="1172" w:type="dxa"/>
          </w:tcPr>
          <w:p w14:paraId="1EBE52A1" w14:textId="77777777" w:rsidR="006D5674" w:rsidRPr="00A64BA2" w:rsidRDefault="006D5674" w:rsidP="006D5674">
            <w:pPr>
              <w:spacing w:after="0"/>
              <w:rPr>
                <w:b/>
              </w:rPr>
            </w:pPr>
            <w:r w:rsidRPr="00A64BA2">
              <w:rPr>
                <w:b/>
              </w:rPr>
              <w:t>UK</w:t>
            </w:r>
          </w:p>
        </w:tc>
        <w:tc>
          <w:tcPr>
            <w:tcW w:w="1447" w:type="dxa"/>
          </w:tcPr>
          <w:p w14:paraId="0674A5E9" w14:textId="77777777" w:rsidR="006D5674" w:rsidRDefault="006D5674" w:rsidP="006D5674">
            <w:pPr>
              <w:spacing w:after="0"/>
            </w:pPr>
            <w:r>
              <w:t>Coronavirus Job Retention Scheme</w:t>
            </w:r>
          </w:p>
        </w:tc>
        <w:tc>
          <w:tcPr>
            <w:tcW w:w="946" w:type="dxa"/>
          </w:tcPr>
          <w:p w14:paraId="440D90B2" w14:textId="77777777" w:rsidR="006D5674" w:rsidRDefault="006D5674" w:rsidP="006D5674">
            <w:pPr>
              <w:spacing w:after="0"/>
            </w:pPr>
            <w:r>
              <w:t>March 2020 to September 2021</w:t>
            </w:r>
          </w:p>
        </w:tc>
        <w:tc>
          <w:tcPr>
            <w:tcW w:w="1059" w:type="dxa"/>
          </w:tcPr>
          <w:p w14:paraId="5774C737" w14:textId="77777777" w:rsidR="006D5674" w:rsidRDefault="006D5674" w:rsidP="006D5674">
            <w:pPr>
              <w:spacing w:after="0"/>
            </w:pPr>
            <w:r>
              <w:t>3.0% (</w:t>
            </w:r>
            <w:r>
              <w:rPr>
                <w:rFonts w:cs="Arial"/>
              </w:rPr>
              <w:t>£</w:t>
            </w:r>
            <w:r>
              <w:t>70 billion)</w:t>
            </w:r>
          </w:p>
        </w:tc>
        <w:tc>
          <w:tcPr>
            <w:tcW w:w="1506" w:type="dxa"/>
          </w:tcPr>
          <w:p w14:paraId="360B7EEB" w14:textId="77777777" w:rsidR="006D5674" w:rsidRDefault="006D5674" w:rsidP="006D5674">
            <w:pPr>
              <w:spacing w:after="0"/>
            </w:pPr>
            <w:r w:rsidRPr="00403149">
              <w:rPr>
                <w:b/>
                <w:bCs/>
              </w:rPr>
              <w:t>80%</w:t>
            </w:r>
            <w:r>
              <w:t xml:space="preserve"> of wages up to </w:t>
            </w:r>
            <w:r>
              <w:rPr>
                <w:rFonts w:cs="Arial"/>
              </w:rPr>
              <w:t>£</w:t>
            </w:r>
            <w:r>
              <w:t>2,500, with a reduction to 60% in September 2020</w:t>
            </w:r>
          </w:p>
        </w:tc>
        <w:tc>
          <w:tcPr>
            <w:tcW w:w="2942" w:type="dxa"/>
          </w:tcPr>
          <w:p w14:paraId="7210D376" w14:textId="77777777" w:rsidR="006D5674" w:rsidRDefault="006D5674" w:rsidP="006D5674">
            <w:pPr>
              <w:pStyle w:val="ListParagraph"/>
              <w:numPr>
                <w:ilvl w:val="0"/>
                <w:numId w:val="16"/>
              </w:numPr>
            </w:pPr>
            <w:r>
              <w:t>All firms registered for PAYE payroll</w:t>
            </w:r>
          </w:p>
        </w:tc>
      </w:tr>
    </w:tbl>
    <w:p w14:paraId="276D8789" w14:textId="77777777" w:rsidR="0031529E" w:rsidRDefault="0031529E" w:rsidP="00021EF3">
      <w:pPr>
        <w:pStyle w:val="Source"/>
      </w:pPr>
      <w:r>
        <w:t>Source: Deloitte Access Economics.</w:t>
      </w:r>
      <w:r>
        <w:rPr>
          <w:rStyle w:val="EndnoteReference"/>
        </w:rPr>
        <w:endnoteReference w:id="63"/>
      </w:r>
    </w:p>
    <w:p w14:paraId="13F9120C" w14:textId="7A917F04" w:rsidR="006D5674" w:rsidRDefault="006D5674" w:rsidP="006D5674">
      <w:pPr>
        <w:pStyle w:val="AppendixTableCaption"/>
      </w:pPr>
      <w:r>
        <w:t>: Federal subsidies to support businesses impacted by COVID-19 – Other subsidies.</w:t>
      </w:r>
    </w:p>
    <w:tbl>
      <w:tblPr>
        <w:tblStyle w:val="Deloittetable"/>
        <w:tblW w:w="9072" w:type="dxa"/>
        <w:tblLook w:val="04A0" w:firstRow="1" w:lastRow="0" w:firstColumn="1" w:lastColumn="0" w:noHBand="0" w:noVBand="1"/>
      </w:tblPr>
      <w:tblGrid>
        <w:gridCol w:w="1172"/>
        <w:gridCol w:w="1447"/>
        <w:gridCol w:w="946"/>
        <w:gridCol w:w="1059"/>
        <w:gridCol w:w="4448"/>
      </w:tblGrid>
      <w:tr w:rsidR="006D5674" w14:paraId="231AE526" w14:textId="77777777">
        <w:trPr>
          <w:cnfStyle w:val="100000000000" w:firstRow="1" w:lastRow="0" w:firstColumn="0" w:lastColumn="0" w:oddVBand="0" w:evenVBand="0" w:oddHBand="0" w:evenHBand="0" w:firstRowFirstColumn="0" w:firstRowLastColumn="0" w:lastRowFirstColumn="0" w:lastRowLastColumn="0"/>
          <w:tblHeader/>
        </w:trPr>
        <w:tc>
          <w:tcPr>
            <w:tcW w:w="1172" w:type="dxa"/>
          </w:tcPr>
          <w:p w14:paraId="55360D5B" w14:textId="77777777" w:rsidR="006D5674" w:rsidRPr="00403149" w:rsidRDefault="006D5674">
            <w:pPr>
              <w:spacing w:after="0"/>
              <w:rPr>
                <w:b/>
                <w:bCs/>
              </w:rPr>
            </w:pPr>
            <w:r w:rsidRPr="00403149">
              <w:rPr>
                <w:b/>
                <w:bCs/>
              </w:rPr>
              <w:t>Jurisdiction</w:t>
            </w:r>
          </w:p>
        </w:tc>
        <w:tc>
          <w:tcPr>
            <w:tcW w:w="1447" w:type="dxa"/>
          </w:tcPr>
          <w:p w14:paraId="15AB4257" w14:textId="77777777" w:rsidR="006D5674" w:rsidRPr="00403149" w:rsidRDefault="006D5674">
            <w:pPr>
              <w:spacing w:after="0"/>
              <w:rPr>
                <w:b/>
                <w:bCs/>
              </w:rPr>
            </w:pPr>
            <w:r w:rsidRPr="00403149">
              <w:rPr>
                <w:b/>
                <w:bCs/>
              </w:rPr>
              <w:t>Subsidy</w:t>
            </w:r>
          </w:p>
        </w:tc>
        <w:tc>
          <w:tcPr>
            <w:tcW w:w="946" w:type="dxa"/>
          </w:tcPr>
          <w:p w14:paraId="661CB4C2" w14:textId="77777777" w:rsidR="006D5674" w:rsidRPr="00A3772F" w:rsidRDefault="006D5674">
            <w:pPr>
              <w:spacing w:after="0"/>
              <w:rPr>
                <w:b/>
                <w:bCs/>
              </w:rPr>
            </w:pPr>
            <w:r>
              <w:rPr>
                <w:b/>
                <w:bCs/>
              </w:rPr>
              <w:t>Dates</w:t>
            </w:r>
          </w:p>
        </w:tc>
        <w:tc>
          <w:tcPr>
            <w:tcW w:w="1059" w:type="dxa"/>
          </w:tcPr>
          <w:p w14:paraId="764F564F" w14:textId="77777777" w:rsidR="006D5674" w:rsidRPr="00403149" w:rsidRDefault="006D5674">
            <w:pPr>
              <w:spacing w:after="0"/>
              <w:rPr>
                <w:b/>
                <w:bCs/>
              </w:rPr>
            </w:pPr>
            <w:r>
              <w:rPr>
                <w:b/>
                <w:bCs/>
              </w:rPr>
              <w:t>S</w:t>
            </w:r>
            <w:r w:rsidRPr="00403149">
              <w:rPr>
                <w:b/>
                <w:bCs/>
              </w:rPr>
              <w:t>pend as % of GDP (dollar value)</w:t>
            </w:r>
          </w:p>
        </w:tc>
        <w:tc>
          <w:tcPr>
            <w:tcW w:w="4448" w:type="dxa"/>
          </w:tcPr>
          <w:p w14:paraId="6D46754C" w14:textId="77777777" w:rsidR="006D5674" w:rsidRPr="00403149" w:rsidRDefault="006D5674">
            <w:pPr>
              <w:spacing w:after="0"/>
              <w:rPr>
                <w:b/>
                <w:bCs/>
              </w:rPr>
            </w:pPr>
            <w:r w:rsidRPr="00403149">
              <w:rPr>
                <w:b/>
                <w:bCs/>
              </w:rPr>
              <w:t>Value of subsidy</w:t>
            </w:r>
          </w:p>
          <w:p w14:paraId="3FD680E0" w14:textId="7197F2B1" w:rsidR="006D5674" w:rsidRPr="00403149" w:rsidRDefault="006D5674">
            <w:pPr>
              <w:spacing w:after="0"/>
              <w:rPr>
                <w:b/>
                <w:bCs/>
              </w:rPr>
            </w:pPr>
            <w:r w:rsidRPr="00403149">
              <w:rPr>
                <w:b/>
                <w:bCs/>
              </w:rPr>
              <w:t>Type of business eligible</w:t>
            </w:r>
          </w:p>
        </w:tc>
      </w:tr>
      <w:tr w:rsidR="006D5674" w14:paraId="79AEFD65" w14:textId="77777777" w:rsidTr="006D5674">
        <w:tc>
          <w:tcPr>
            <w:tcW w:w="1172" w:type="dxa"/>
          </w:tcPr>
          <w:p w14:paraId="2C485254" w14:textId="77777777" w:rsidR="006D5674" w:rsidRPr="00A64BA2" w:rsidRDefault="006D5674">
            <w:pPr>
              <w:spacing w:after="0"/>
              <w:rPr>
                <w:b/>
              </w:rPr>
            </w:pPr>
            <w:r w:rsidRPr="00A64BA2">
              <w:rPr>
                <w:b/>
              </w:rPr>
              <w:t>Canada</w:t>
            </w:r>
          </w:p>
        </w:tc>
        <w:tc>
          <w:tcPr>
            <w:tcW w:w="1447" w:type="dxa"/>
          </w:tcPr>
          <w:p w14:paraId="6D8B242C" w14:textId="77777777" w:rsidR="006D5674" w:rsidRDefault="006D5674">
            <w:pPr>
              <w:spacing w:after="0"/>
            </w:pPr>
            <w:r>
              <w:t>CERS and Lockdown Support Program</w:t>
            </w:r>
          </w:p>
        </w:tc>
        <w:tc>
          <w:tcPr>
            <w:tcW w:w="946" w:type="dxa"/>
          </w:tcPr>
          <w:p w14:paraId="0DF7AD04" w14:textId="77777777" w:rsidR="006D5674" w:rsidRDefault="006D5674">
            <w:pPr>
              <w:spacing w:after="0"/>
            </w:pPr>
            <w:r>
              <w:t>September 2020 to October 2021</w:t>
            </w:r>
          </w:p>
        </w:tc>
        <w:tc>
          <w:tcPr>
            <w:tcW w:w="1059" w:type="dxa"/>
          </w:tcPr>
          <w:p w14:paraId="71B51DD5" w14:textId="77777777" w:rsidR="006D5674" w:rsidRDefault="006D5674">
            <w:pPr>
              <w:spacing w:after="0"/>
            </w:pPr>
            <w:r>
              <w:t>0.2% (C$7.66 billion)</w:t>
            </w:r>
          </w:p>
        </w:tc>
        <w:tc>
          <w:tcPr>
            <w:tcW w:w="4448" w:type="dxa"/>
          </w:tcPr>
          <w:p w14:paraId="4C467B19" w14:textId="77777777" w:rsidR="006D5674" w:rsidRDefault="006D5674" w:rsidP="006D5674">
            <w:pPr>
              <w:spacing w:after="0"/>
              <w:ind w:left="0"/>
            </w:pPr>
            <w:r>
              <w:t>CERS subsidy of commercial rent and other property, capped at C$75,000:</w:t>
            </w:r>
          </w:p>
          <w:p w14:paraId="46ED5EB3" w14:textId="77777777" w:rsidR="006D5674" w:rsidRDefault="006D5674" w:rsidP="006D5674">
            <w:pPr>
              <w:spacing w:after="0"/>
              <w:ind w:left="0"/>
            </w:pPr>
            <w:r w:rsidRPr="00403149">
              <w:rPr>
                <w:b/>
                <w:bCs/>
              </w:rPr>
              <w:t>80% of revenue drop</w:t>
            </w:r>
            <w:r>
              <w:t xml:space="preserve"> for businesses with 1% - 49% drop in revenue</w:t>
            </w:r>
          </w:p>
          <w:p w14:paraId="1B56D318" w14:textId="77777777" w:rsidR="006D5674" w:rsidRDefault="006D5674" w:rsidP="006D5674">
            <w:pPr>
              <w:spacing w:after="0"/>
              <w:ind w:left="0"/>
            </w:pPr>
            <w:r w:rsidRPr="00403149">
              <w:rPr>
                <w:b/>
                <w:bCs/>
              </w:rPr>
              <w:t>40% of expenses + (revenue drop – 50%) x 1.25</w:t>
            </w:r>
            <w:r>
              <w:t xml:space="preserve"> for businesses with a 50% - 69% revenue drop</w:t>
            </w:r>
          </w:p>
          <w:p w14:paraId="6CECFFEE" w14:textId="77777777" w:rsidR="006D5674" w:rsidRDefault="006D5674" w:rsidP="006D5674">
            <w:pPr>
              <w:spacing w:after="0"/>
              <w:ind w:left="0"/>
            </w:pPr>
            <w:r w:rsidRPr="00403149">
              <w:rPr>
                <w:b/>
                <w:bCs/>
              </w:rPr>
              <w:t>65% of expenses</w:t>
            </w:r>
            <w:r>
              <w:t xml:space="preserve"> for businesses with 70% or more drop in revenue.</w:t>
            </w:r>
          </w:p>
          <w:p w14:paraId="5B2340D9" w14:textId="77777777" w:rsidR="006D5674" w:rsidRDefault="006D5674">
            <w:pPr>
              <w:spacing w:after="0"/>
              <w:ind w:left="0"/>
            </w:pPr>
          </w:p>
          <w:p w14:paraId="727BBA8B" w14:textId="77777777" w:rsidR="006D5674" w:rsidRDefault="006D5674">
            <w:pPr>
              <w:spacing w:after="0"/>
              <w:ind w:left="0"/>
            </w:pPr>
            <w:r w:rsidRPr="00471441">
              <w:t xml:space="preserve">Lockdown payment: </w:t>
            </w:r>
          </w:p>
          <w:p w14:paraId="0FB04E0D" w14:textId="77777777" w:rsidR="006D5674" w:rsidRPr="00471441" w:rsidRDefault="006D5674" w:rsidP="006D5674">
            <w:pPr>
              <w:spacing w:after="0"/>
              <w:ind w:left="0"/>
            </w:pPr>
            <w:r w:rsidRPr="00471441">
              <w:t>Top</w:t>
            </w:r>
            <w:r>
              <w:t>-</w:t>
            </w:r>
            <w:r w:rsidRPr="00471441">
              <w:t xml:space="preserve">up </w:t>
            </w:r>
            <w:r w:rsidRPr="00403149">
              <w:rPr>
                <w:b/>
                <w:bCs/>
              </w:rPr>
              <w:t>25% of expenses</w:t>
            </w:r>
            <w:r w:rsidRPr="00471441">
              <w:t xml:space="preserve"> covered by CERS for businesses receiving CERS affected by more than one week of restrictions</w:t>
            </w:r>
          </w:p>
        </w:tc>
      </w:tr>
    </w:tbl>
    <w:p w14:paraId="493C0021" w14:textId="77777777" w:rsidR="006D5674" w:rsidRPr="005E5973" w:rsidRDefault="006D5674" w:rsidP="006D5674">
      <w:pPr>
        <w:pStyle w:val="Source"/>
      </w:pPr>
      <w:r>
        <w:t>Source: Deloitte Access Economics.</w:t>
      </w:r>
      <w:r>
        <w:rPr>
          <w:rStyle w:val="EndnoteReference"/>
        </w:rPr>
        <w:endnoteReference w:id="64"/>
      </w:r>
    </w:p>
    <w:p w14:paraId="55D97F64" w14:textId="77777777" w:rsidR="006D5674" w:rsidRPr="006D5674" w:rsidRDefault="006D5674" w:rsidP="006D5674"/>
    <w:p w14:paraId="101B4398" w14:textId="77777777" w:rsidR="00CC5CAA" w:rsidRDefault="00CC5CAA" w:rsidP="00021EF3">
      <w:pPr>
        <w:pStyle w:val="Appendixhead3"/>
      </w:pPr>
      <w:bookmarkStart w:id="549" w:name="_Ref170918383"/>
      <w:bookmarkStart w:id="550" w:name="_Toc173244987"/>
      <w:bookmarkStart w:id="551" w:name="_Toc173246324"/>
      <w:bookmarkStart w:id="552" w:name="_Toc173308320"/>
      <w:bookmarkStart w:id="553" w:name="_Toc173344742"/>
      <w:bookmarkStart w:id="554" w:name="_Toc173344969"/>
      <w:bookmarkStart w:id="555" w:name="_Toc173915935"/>
      <w:bookmarkStart w:id="556" w:name="_Toc174118194"/>
      <w:bookmarkStart w:id="557" w:name="_Toc176516316"/>
      <w:r>
        <w:t>Direct business grants</w:t>
      </w:r>
      <w:bookmarkEnd w:id="549"/>
      <w:bookmarkEnd w:id="550"/>
      <w:bookmarkEnd w:id="551"/>
      <w:bookmarkEnd w:id="552"/>
      <w:bookmarkEnd w:id="553"/>
      <w:bookmarkEnd w:id="554"/>
      <w:bookmarkEnd w:id="555"/>
      <w:bookmarkEnd w:id="556"/>
      <w:bookmarkEnd w:id="557"/>
    </w:p>
    <w:p w14:paraId="00FCD359" w14:textId="639E9136" w:rsidR="00CC5CAA" w:rsidRDefault="00CC5CAA" w:rsidP="00021EF3">
      <w:r>
        <w:t xml:space="preserve">Many federal governments also provided direct grants to businesses to assist in meeting costs and lost turnover as a result of </w:t>
      </w:r>
      <w:r w:rsidR="001A63B1">
        <w:t xml:space="preserve">the </w:t>
      </w:r>
      <w:r w:rsidDel="001A63B1">
        <w:t>COVID-19</w:t>
      </w:r>
      <w:r w:rsidR="001A63B1">
        <w:t xml:space="preserve"> pandemic</w:t>
      </w:r>
      <w:r>
        <w:t xml:space="preserve">. However, these reflected relatively less expenditure than subsidies. </w:t>
      </w:r>
    </w:p>
    <w:p w14:paraId="7E44A87D" w14:textId="15AF9C39" w:rsidR="00CC5CAA" w:rsidRDefault="00CC5CAA" w:rsidP="00021EF3">
      <w:r>
        <w:t xml:space="preserve">In </w:t>
      </w:r>
      <w:r w:rsidRPr="00403149">
        <w:rPr>
          <w:b/>
        </w:rPr>
        <w:t>New Zealand</w:t>
      </w:r>
      <w:r>
        <w:t xml:space="preserve">, a Resurgence Support Payment (NZ$2.9 billion) was introduced in February 2021 to assist businesses </w:t>
      </w:r>
      <w:r w:rsidR="00905A1A">
        <w:t xml:space="preserve">that </w:t>
      </w:r>
      <w:r>
        <w:t>experienced more than seven consecutive days of public health restrictions at Alert Level 2.</w:t>
      </w:r>
      <w:r>
        <w:rPr>
          <w:rStyle w:val="EndnoteReference"/>
        </w:rPr>
        <w:endnoteReference w:id="65"/>
      </w:r>
      <w:r>
        <w:t xml:space="preserve"> It provided $1,500 per business plus an additional $400 per </w:t>
      </w:r>
      <w:r w:rsidR="00652BBD">
        <w:t>FTE</w:t>
      </w:r>
      <w:r>
        <w:t xml:space="preserve"> to the lesser of a total of 50 FTEs or four times the experienced revenue drop over the period of restrictions.</w:t>
      </w:r>
      <w:r>
        <w:rPr>
          <w:rStyle w:val="EndnoteReference"/>
        </w:rPr>
        <w:endnoteReference w:id="66"/>
      </w:r>
      <w:r>
        <w:t xml:space="preserve">  </w:t>
      </w:r>
    </w:p>
    <w:p w14:paraId="2B00B53B" w14:textId="612CB305" w:rsidR="00CC5CAA" w:rsidRDefault="00CC5CAA" w:rsidP="00021EF3">
      <w:r>
        <w:t xml:space="preserve">In </w:t>
      </w:r>
      <w:r w:rsidRPr="00403149">
        <w:rPr>
          <w:b/>
        </w:rPr>
        <w:t>Australia</w:t>
      </w:r>
      <w:r>
        <w:t xml:space="preserve">, the SME Cashflow Boost ($35.4 billion) provided temporary cash flow boosts for SMEs and NFPs between March and June 2020, varying between $20,000 and $100,000, depending on the amount of </w:t>
      </w:r>
      <w:r w:rsidR="00652BBD">
        <w:t>pay</w:t>
      </w:r>
      <w:r w:rsidR="00343121">
        <w:t xml:space="preserve"> </w:t>
      </w:r>
      <w:r w:rsidR="00652BBD">
        <w:t>as</w:t>
      </w:r>
      <w:r w:rsidR="00343121">
        <w:t xml:space="preserve"> </w:t>
      </w:r>
      <w:r w:rsidR="00652BBD">
        <w:t>you</w:t>
      </w:r>
      <w:r w:rsidR="00343121">
        <w:t xml:space="preserve"> </w:t>
      </w:r>
      <w:r w:rsidR="00652BBD">
        <w:t>go (</w:t>
      </w:r>
      <w:r>
        <w:t>PAYG</w:t>
      </w:r>
      <w:r w:rsidR="00652BBD">
        <w:t>)</w:t>
      </w:r>
      <w:r>
        <w:t xml:space="preserve"> tax withheld. While businesses did not need to apply, lodging an activity statement with the tax office for GST subsequently delivered credits to businesses with an ABN and turnover less than $50 million through the system.</w:t>
      </w:r>
      <w:r>
        <w:rPr>
          <w:rStyle w:val="EndnoteReference"/>
        </w:rPr>
        <w:endnoteReference w:id="67"/>
      </w:r>
      <w:r>
        <w:t xml:space="preserve"> </w:t>
      </w:r>
    </w:p>
    <w:p w14:paraId="55355427" w14:textId="09EF60D2" w:rsidR="00CC5CAA" w:rsidRDefault="00CC5CAA" w:rsidP="00021EF3">
      <w:r>
        <w:t xml:space="preserve">In the </w:t>
      </w:r>
      <w:r w:rsidRPr="00403149">
        <w:rPr>
          <w:b/>
        </w:rPr>
        <w:t>UK</w:t>
      </w:r>
      <w:r>
        <w:t xml:space="preserve">, multiple business grants were introduced at different times, varying in quantum. The Small Business Grants Fund </w:t>
      </w:r>
      <w:r w:rsidR="00FE7162">
        <w:t xml:space="preserve">(SBGF) </w:t>
      </w:r>
      <w:r>
        <w:t xml:space="preserve">was distributed by Local Authorities and provided </w:t>
      </w:r>
      <w:r>
        <w:rPr>
          <w:rFonts w:cs="Arial"/>
        </w:rPr>
        <w:t>£</w:t>
      </w:r>
      <w:r>
        <w:t xml:space="preserve">10,000 to </w:t>
      </w:r>
      <w:r>
        <w:rPr>
          <w:rFonts w:cs="Arial"/>
        </w:rPr>
        <w:t>£</w:t>
      </w:r>
      <w:r>
        <w:t xml:space="preserve">25,000 one-off payments to all UK businesses eligible for the existing Small Business Rates Relief and Rural Rates Relief programs between March and September 2020. This was supported by targeted grants for hospitality, retail and leisure businesses more adversely affected by </w:t>
      </w:r>
      <w:r w:rsidR="001A63B1">
        <w:t>the</w:t>
      </w:r>
      <w:r>
        <w:t xml:space="preserve"> </w:t>
      </w:r>
      <w:r w:rsidDel="001A63B1">
        <w:t>COVID-19</w:t>
      </w:r>
      <w:r w:rsidR="001A63B1">
        <w:t xml:space="preserve"> pandemic</w:t>
      </w:r>
      <w:r>
        <w:t xml:space="preserve"> through the Retail Hospitality and Leisure Grant Fund</w:t>
      </w:r>
      <w:r w:rsidR="00FE7162">
        <w:t xml:space="preserve"> (RHL</w:t>
      </w:r>
      <w:r w:rsidR="00454509">
        <w:t>GF)</w:t>
      </w:r>
      <w:r>
        <w:t xml:space="preserve">, which provided one-off payments of </w:t>
      </w:r>
      <w:r>
        <w:rPr>
          <w:rFonts w:cs="Arial"/>
        </w:rPr>
        <w:t>£</w:t>
      </w:r>
      <w:r>
        <w:t xml:space="preserve">25,000 per property. Combined, the </w:t>
      </w:r>
      <w:r w:rsidR="00454509">
        <w:t>SBGF</w:t>
      </w:r>
      <w:r>
        <w:t xml:space="preserve"> and </w:t>
      </w:r>
      <w:r w:rsidR="00454509">
        <w:t>RHLGF</w:t>
      </w:r>
      <w:r>
        <w:t xml:space="preserve"> distributed </w:t>
      </w:r>
      <w:r>
        <w:rPr>
          <w:rFonts w:cs="Arial"/>
        </w:rPr>
        <w:t>£</w:t>
      </w:r>
      <w:r>
        <w:t>22.2 billion to businesses.</w:t>
      </w:r>
      <w:r>
        <w:rPr>
          <w:rStyle w:val="EndnoteReference"/>
        </w:rPr>
        <w:endnoteReference w:id="68"/>
      </w:r>
      <w:r>
        <w:t xml:space="preserve"> </w:t>
      </w:r>
    </w:p>
    <w:p w14:paraId="79EA2D16" w14:textId="3A069720" w:rsidR="00CC5CAA" w:rsidRDefault="00CC5CAA" w:rsidP="00021EF3">
      <w:r>
        <w:t xml:space="preserve">To support small and micro businesses not eligible for the Rates Relief programs and therefore not eligible for either the </w:t>
      </w:r>
      <w:r w:rsidR="00454509">
        <w:t>SBGF</w:t>
      </w:r>
      <w:r>
        <w:t xml:space="preserve"> </w:t>
      </w:r>
      <w:proofErr w:type="gramStart"/>
      <w:r>
        <w:t>and</w:t>
      </w:r>
      <w:proofErr w:type="gramEnd"/>
      <w:r>
        <w:t xml:space="preserve"> </w:t>
      </w:r>
      <w:r w:rsidR="00454509">
        <w:t>RHLGF</w:t>
      </w:r>
      <w:r w:rsidDel="00624DA4">
        <w:t xml:space="preserve">, </w:t>
      </w:r>
      <w:r>
        <w:t>the Local Authority Discretionary Grant Fund was introduced. This fund (</w:t>
      </w:r>
      <w:r>
        <w:rPr>
          <w:rFonts w:cs="Arial"/>
        </w:rPr>
        <w:t>£</w:t>
      </w:r>
      <w:r>
        <w:t xml:space="preserve">4.1 billion) covered fixed property costs up to the value of </w:t>
      </w:r>
      <w:r>
        <w:rPr>
          <w:rFonts w:cs="Arial"/>
        </w:rPr>
        <w:t>£</w:t>
      </w:r>
      <w:r>
        <w:t>25,000, distributed at the discretion of Local Authorities to businesses. As the pandemic progressed, further one-off grants were also provided by the UK Government, including through the:</w:t>
      </w:r>
    </w:p>
    <w:p w14:paraId="27D0ABCA" w14:textId="1AE570F8" w:rsidR="00CC5CAA" w:rsidRDefault="00CC5CAA" w:rsidP="00021EF3">
      <w:pPr>
        <w:pStyle w:val="ListBullet"/>
      </w:pPr>
      <w:r w:rsidRPr="00403149">
        <w:rPr>
          <w:b/>
        </w:rPr>
        <w:lastRenderedPageBreak/>
        <w:t>Christmas Support Payment</w:t>
      </w:r>
      <w:r>
        <w:rPr>
          <w:b/>
        </w:rPr>
        <w:t xml:space="preserve"> </w:t>
      </w:r>
      <w:r>
        <w:rPr>
          <w:bCs/>
        </w:rPr>
        <w:t>(</w:t>
      </w:r>
      <w:r>
        <w:rPr>
          <w:rFonts w:cs="Arial"/>
          <w:bCs/>
        </w:rPr>
        <w:t>£</w:t>
      </w:r>
      <w:r>
        <w:rPr>
          <w:bCs/>
        </w:rPr>
        <w:t>46 million)</w:t>
      </w:r>
      <w:r>
        <w:t>, providing a one</w:t>
      </w:r>
      <w:r w:rsidR="0026302D">
        <w:t>-</w:t>
      </w:r>
      <w:r>
        <w:t xml:space="preserve">off </w:t>
      </w:r>
      <w:r>
        <w:rPr>
          <w:rFonts w:cs="Arial"/>
        </w:rPr>
        <w:t>£</w:t>
      </w:r>
      <w:r>
        <w:t>1,000 payment per business for all wet-led pubs in areas experiencing Tiers 2-4 restrictions during December 2020.</w:t>
      </w:r>
    </w:p>
    <w:p w14:paraId="0B5B3589" w14:textId="77777777" w:rsidR="00CC5CAA" w:rsidRDefault="00CC5CAA" w:rsidP="00021EF3">
      <w:pPr>
        <w:pStyle w:val="ListBullet"/>
      </w:pPr>
      <w:r w:rsidRPr="00403149">
        <w:rPr>
          <w:b/>
        </w:rPr>
        <w:t>Restart program</w:t>
      </w:r>
      <w:r w:rsidRPr="00EA684E">
        <w:t xml:space="preserve"> </w:t>
      </w:r>
      <w:r w:rsidRPr="00403149">
        <w:t>(</w:t>
      </w:r>
      <w:r w:rsidRPr="00403149">
        <w:rPr>
          <w:rFonts w:cs="Arial"/>
        </w:rPr>
        <w:t>£</w:t>
      </w:r>
      <w:r w:rsidRPr="00403149">
        <w:t>6 billion)</w:t>
      </w:r>
      <w:r w:rsidRPr="00EA684E">
        <w:t>,</w:t>
      </w:r>
      <w:r>
        <w:t xml:space="preserve"> providing </w:t>
      </w:r>
      <w:r w:rsidRPr="00B72720">
        <w:rPr>
          <w:rFonts w:cs="Arial"/>
        </w:rPr>
        <w:t>£</w:t>
      </w:r>
      <w:r>
        <w:t xml:space="preserve">6,000 for non-essential retail and up to </w:t>
      </w:r>
      <w:r w:rsidRPr="00B72720">
        <w:rPr>
          <w:rFonts w:cs="Arial"/>
        </w:rPr>
        <w:t>€</w:t>
      </w:r>
      <w:r>
        <w:t>18,000 for hospitality, leisure, personal care and accommodation businesses in 2021.</w:t>
      </w:r>
    </w:p>
    <w:p w14:paraId="45217161" w14:textId="77777777" w:rsidR="00CC5CAA" w:rsidRDefault="00CC5CAA" w:rsidP="00021EF3">
      <w:pPr>
        <w:pStyle w:val="ListBullet"/>
      </w:pPr>
      <w:r w:rsidRPr="00403149">
        <w:rPr>
          <w:b/>
        </w:rPr>
        <w:t>Omicron Hospitality and Leisure Grant</w:t>
      </w:r>
      <w:r>
        <w:rPr>
          <w:b/>
        </w:rPr>
        <w:t xml:space="preserve"> </w:t>
      </w:r>
      <w:r>
        <w:rPr>
          <w:bCs/>
        </w:rPr>
        <w:t>(</w:t>
      </w:r>
      <w:r>
        <w:rPr>
          <w:rFonts w:cs="Arial"/>
        </w:rPr>
        <w:t>£912.5 million)</w:t>
      </w:r>
      <w:r>
        <w:t xml:space="preserve">, providing a one-off payment of </w:t>
      </w:r>
      <w:r>
        <w:rPr>
          <w:rFonts w:cs="Arial"/>
        </w:rPr>
        <w:t>£6,000 to hospitality, leisure and accommodation businesses operating in fixed rate paying premises in 2021 to 2022.</w:t>
      </w:r>
      <w:r>
        <w:rPr>
          <w:rStyle w:val="EndnoteReference"/>
          <w:rFonts w:cs="Arial"/>
        </w:rPr>
        <w:endnoteReference w:id="69"/>
      </w:r>
    </w:p>
    <w:p w14:paraId="2F078150" w14:textId="09C129FE" w:rsidR="00CC5CAA" w:rsidRDefault="00CC5CAA" w:rsidP="00021EF3">
      <w:pPr>
        <w:rPr>
          <w:rFonts w:cs="Arial"/>
        </w:rPr>
      </w:pPr>
      <w:r w:rsidRPr="00403149">
        <w:rPr>
          <w:b/>
        </w:rPr>
        <w:t xml:space="preserve">France’s </w:t>
      </w:r>
      <w:r>
        <w:t>Solidarity Fund (</w:t>
      </w:r>
      <w:r>
        <w:rPr>
          <w:rFonts w:cs="Arial"/>
        </w:rPr>
        <w:t>€</w:t>
      </w:r>
      <w:r>
        <w:t xml:space="preserve">38.8 billion) sought to support microenterprises and self-employed people affected by the economic repercussions of </w:t>
      </w:r>
      <w:r w:rsidR="001A63B1">
        <w:t xml:space="preserve">the </w:t>
      </w:r>
      <w:r w:rsidDel="001A63B1">
        <w:t>COVID-19</w:t>
      </w:r>
      <w:r w:rsidR="001A63B1">
        <w:t xml:space="preserve"> pandemic</w:t>
      </w:r>
      <w:r>
        <w:t xml:space="preserve">. These direct grants initially allowed beneficiaries to face the operating costs and lost turnover of the business up to the value of </w:t>
      </w:r>
      <w:r>
        <w:rPr>
          <w:rFonts w:cs="Arial"/>
        </w:rPr>
        <w:t>€1,500, with additional top-ups of €2,000 to €5,000 if severe economic consequences to the business were demonstrated.</w:t>
      </w:r>
      <w:r>
        <w:rPr>
          <w:rStyle w:val="EndnoteReference"/>
          <w:rFonts w:cs="Arial"/>
        </w:rPr>
        <w:endnoteReference w:id="70"/>
      </w:r>
      <w:r>
        <w:rPr>
          <w:rFonts w:cs="Arial"/>
        </w:rPr>
        <w:t xml:space="preserve"> A second tranche allowed initial beneficiaries of the Solidarity Fund to receive an additional lump sum proportional to lost turnover if their balance sheet was negative and they could not access a cash loan.</w:t>
      </w:r>
      <w:r>
        <w:rPr>
          <w:rStyle w:val="EndnoteReference"/>
          <w:rFonts w:cs="Arial"/>
        </w:rPr>
        <w:endnoteReference w:id="71"/>
      </w:r>
      <w:r>
        <w:rPr>
          <w:rFonts w:cs="Arial"/>
        </w:rPr>
        <w:t xml:space="preserve"> </w:t>
      </w:r>
    </w:p>
    <w:p w14:paraId="4DF8A331" w14:textId="77777777" w:rsidR="00CC5CAA" w:rsidRDefault="00CC5CAA" w:rsidP="00021EF3">
      <w:pPr>
        <w:rPr>
          <w:rFonts w:cs="Arial"/>
        </w:rPr>
      </w:pPr>
      <w:r>
        <w:rPr>
          <w:rFonts w:cs="Arial"/>
        </w:rPr>
        <w:t>Additional larger grants and subsidised loans for French SMEs and large corporates provided up to €800,000 in all sectors</w:t>
      </w:r>
      <w:r w:rsidRPr="008C3810">
        <w:rPr>
          <w:rFonts w:cs="Arial"/>
        </w:rPr>
        <w:t xml:space="preserve"> </w:t>
      </w:r>
      <w:r>
        <w:rPr>
          <w:rFonts w:cs="Arial"/>
        </w:rPr>
        <w:t xml:space="preserve">under the ‘Regime Cadre </w:t>
      </w:r>
      <w:proofErr w:type="spellStart"/>
      <w:r>
        <w:rPr>
          <w:rFonts w:cs="Arial"/>
        </w:rPr>
        <w:t>Temporaire</w:t>
      </w:r>
      <w:proofErr w:type="spellEnd"/>
      <w:r>
        <w:rPr>
          <w:rFonts w:cs="Arial"/>
        </w:rPr>
        <w:t>’ scheme (</w:t>
      </w:r>
      <w:r w:rsidRPr="00643196">
        <w:rPr>
          <w:rFonts w:cs="Arial"/>
        </w:rPr>
        <w:t>€7 billion</w:t>
      </w:r>
      <w:r>
        <w:rPr>
          <w:rFonts w:cs="Arial"/>
        </w:rPr>
        <w:t>), with the exception of those in the primary agricultural and fishery and aquaculture sectors who received a smaller amount.</w:t>
      </w:r>
      <w:r>
        <w:rPr>
          <w:rStyle w:val="EndnoteReference"/>
          <w:rFonts w:cs="Arial"/>
        </w:rPr>
        <w:endnoteReference w:id="72"/>
      </w:r>
      <w:r>
        <w:rPr>
          <w:rFonts w:cs="Arial"/>
        </w:rPr>
        <w:t xml:space="preserve"> Subsequent grants were introduced to completement these measures and mitigate liquidity shortages as the pandemic progressed into 2021, including a €2 billion scheme to provide direct grants to all companies, irrespective of size or sector, suffering a monthly turnover decline of at least 30 per cent, up to the value of €10 million per company. </w:t>
      </w:r>
    </w:p>
    <w:p w14:paraId="5699736E" w14:textId="77777777" w:rsidR="00CC5CAA" w:rsidRDefault="00CC5CAA" w:rsidP="00021EF3">
      <w:pPr>
        <w:rPr>
          <w:rFonts w:cs="Arial"/>
        </w:rPr>
      </w:pPr>
      <w:r>
        <w:rPr>
          <w:rFonts w:cs="Arial"/>
        </w:rPr>
        <w:t>Further, the French Government provided one-off grants to specifically affected sectors such as furniture, clothing, IT and sport retailers, household good repair, hairdressing and beauty care services, and catering, events, accommodation, travel agency, gym and museum businesses to assist in covering rent and turnover losses during COVID-19 shutdown periods.</w:t>
      </w:r>
      <w:r>
        <w:rPr>
          <w:rStyle w:val="EndnoteReference"/>
          <w:rFonts w:cs="Arial"/>
        </w:rPr>
        <w:endnoteReference w:id="73"/>
      </w:r>
      <w:r>
        <w:rPr>
          <w:rFonts w:cs="Arial"/>
        </w:rPr>
        <w:t xml:space="preserve"> Similarly, grants were provided for French businesses in the beef cattle, horticulture, sports and ski sectors at various points during the pandemic. The quantum of each of these grants depended on the extent of turnover loss the business experienced.</w:t>
      </w:r>
      <w:r>
        <w:rPr>
          <w:rStyle w:val="EndnoteReference"/>
          <w:rFonts w:cs="Arial"/>
        </w:rPr>
        <w:endnoteReference w:id="74"/>
      </w:r>
    </w:p>
    <w:p w14:paraId="57EE1AA0" w14:textId="0552E30A" w:rsidR="00CC5CAA" w:rsidRPr="003B310A" w:rsidRDefault="00CC5CAA" w:rsidP="00021EF3">
      <w:pPr>
        <w:rPr>
          <w:lang w:eastAsia="en-AU"/>
        </w:rPr>
      </w:pPr>
      <w:r w:rsidRPr="006F67DD">
        <w:rPr>
          <w:rFonts w:cs="Arial"/>
        </w:rPr>
        <w:t xml:space="preserve">A summary of key federal </w:t>
      </w:r>
      <w:r>
        <w:rPr>
          <w:rFonts w:cs="Arial"/>
        </w:rPr>
        <w:t>grants</w:t>
      </w:r>
      <w:r w:rsidRPr="006F67DD">
        <w:rPr>
          <w:rFonts w:cs="Arial"/>
        </w:rPr>
        <w:t xml:space="preserve"> implemented for businesses is provided in</w:t>
      </w:r>
      <w:r>
        <w:rPr>
          <w:rFonts w:cs="Arial"/>
        </w:rPr>
        <w:t xml:space="preserve"> </w:t>
      </w:r>
      <w:r w:rsidR="00CE28C8" w:rsidRPr="00494F99">
        <w:rPr>
          <w:rFonts w:cs="Arial"/>
        </w:rPr>
        <w:fldChar w:fldCharType="begin"/>
      </w:r>
      <w:r w:rsidR="00CE28C8" w:rsidRPr="00494F99">
        <w:rPr>
          <w:rFonts w:cs="Arial"/>
        </w:rPr>
        <w:instrText xml:space="preserve"> REF _Ref170828906 \r \h  \* MERGEFORMAT </w:instrText>
      </w:r>
      <w:r w:rsidR="00CE28C8" w:rsidRPr="00494F99">
        <w:rPr>
          <w:rFonts w:cs="Arial"/>
        </w:rPr>
      </w:r>
      <w:r w:rsidR="00CE28C8" w:rsidRPr="00494F99">
        <w:rPr>
          <w:rFonts w:cs="Arial"/>
        </w:rPr>
        <w:fldChar w:fldCharType="separate"/>
      </w:r>
      <w:r w:rsidR="0016271C">
        <w:rPr>
          <w:rFonts w:cs="Arial"/>
        </w:rPr>
        <w:t>Table C.2</w:t>
      </w:r>
      <w:r w:rsidR="00CE28C8" w:rsidRPr="00494F99">
        <w:rPr>
          <w:rFonts w:cs="Arial"/>
        </w:rPr>
        <w:fldChar w:fldCharType="end"/>
      </w:r>
      <w:r w:rsidRPr="00494F99">
        <w:rPr>
          <w:rFonts w:cs="Arial"/>
        </w:rPr>
        <w:t>.</w:t>
      </w:r>
    </w:p>
    <w:p w14:paraId="347DCB28" w14:textId="6C2E5CA6" w:rsidR="006F67DD" w:rsidRDefault="006F67DD" w:rsidP="00021EF3">
      <w:pPr>
        <w:pStyle w:val="AppendixTableCaption"/>
      </w:pPr>
      <w:bookmarkStart w:id="558" w:name="_Ref170828906"/>
      <w:r>
        <w:t>: Summary of key federal grants to support businesses impacted by COVID-19</w:t>
      </w:r>
      <w:bookmarkEnd w:id="558"/>
      <w:r w:rsidR="009136CE">
        <w:t>.</w:t>
      </w:r>
    </w:p>
    <w:tbl>
      <w:tblPr>
        <w:tblStyle w:val="Deloittetable"/>
        <w:tblW w:w="9026" w:type="dxa"/>
        <w:tblLook w:val="04A0" w:firstRow="1" w:lastRow="0" w:firstColumn="1" w:lastColumn="0" w:noHBand="0" w:noVBand="1"/>
      </w:tblPr>
      <w:tblGrid>
        <w:gridCol w:w="1134"/>
        <w:gridCol w:w="1843"/>
        <w:gridCol w:w="1134"/>
        <w:gridCol w:w="1276"/>
        <w:gridCol w:w="3639"/>
      </w:tblGrid>
      <w:tr w:rsidR="006F67DD" w:rsidRPr="000A72F7" w14:paraId="07E179F4" w14:textId="77777777" w:rsidTr="007946FD">
        <w:trPr>
          <w:cnfStyle w:val="100000000000" w:firstRow="1" w:lastRow="0" w:firstColumn="0" w:lastColumn="0" w:oddVBand="0" w:evenVBand="0" w:oddHBand="0" w:evenHBand="0" w:firstRowFirstColumn="0" w:firstRowLastColumn="0" w:lastRowFirstColumn="0" w:lastRowLastColumn="0"/>
          <w:trHeight w:val="525"/>
        </w:trPr>
        <w:tc>
          <w:tcPr>
            <w:tcW w:w="1134" w:type="dxa"/>
          </w:tcPr>
          <w:p w14:paraId="58E77DBE" w14:textId="77777777" w:rsidR="006F67DD" w:rsidRPr="000A72F7" w:rsidRDefault="006F67DD" w:rsidP="00021EF3">
            <w:pPr>
              <w:spacing w:after="0"/>
              <w:rPr>
                <w:rFonts w:cs="Arial"/>
                <w:b/>
                <w:bCs/>
                <w:szCs w:val="17"/>
              </w:rPr>
            </w:pPr>
            <w:r w:rsidRPr="000A72F7">
              <w:rPr>
                <w:rFonts w:cs="Arial"/>
                <w:b/>
                <w:bCs/>
                <w:szCs w:val="17"/>
              </w:rPr>
              <w:t>Jurisdiction</w:t>
            </w:r>
          </w:p>
        </w:tc>
        <w:tc>
          <w:tcPr>
            <w:tcW w:w="1843" w:type="dxa"/>
          </w:tcPr>
          <w:p w14:paraId="43CFD56A" w14:textId="77777777" w:rsidR="006F67DD" w:rsidRPr="000A72F7" w:rsidRDefault="006F67DD" w:rsidP="00021EF3">
            <w:pPr>
              <w:spacing w:after="0"/>
              <w:rPr>
                <w:rFonts w:cs="Arial"/>
                <w:b/>
                <w:bCs/>
                <w:szCs w:val="17"/>
              </w:rPr>
            </w:pPr>
            <w:r w:rsidRPr="000A72F7">
              <w:rPr>
                <w:rFonts w:cs="Arial"/>
                <w:b/>
                <w:bCs/>
                <w:szCs w:val="17"/>
              </w:rPr>
              <w:t>Subsidy</w:t>
            </w:r>
          </w:p>
        </w:tc>
        <w:tc>
          <w:tcPr>
            <w:tcW w:w="1134" w:type="dxa"/>
          </w:tcPr>
          <w:p w14:paraId="173B12DC" w14:textId="77777777" w:rsidR="006F67DD" w:rsidRPr="000A72F7" w:rsidRDefault="006F67DD" w:rsidP="00021EF3">
            <w:pPr>
              <w:spacing w:after="0"/>
              <w:rPr>
                <w:rFonts w:cs="Arial"/>
                <w:b/>
                <w:bCs/>
                <w:szCs w:val="17"/>
              </w:rPr>
            </w:pPr>
            <w:r w:rsidRPr="000A72F7">
              <w:rPr>
                <w:rFonts w:cs="Arial"/>
                <w:b/>
                <w:bCs/>
                <w:szCs w:val="17"/>
              </w:rPr>
              <w:t>Dates</w:t>
            </w:r>
          </w:p>
        </w:tc>
        <w:tc>
          <w:tcPr>
            <w:tcW w:w="1276" w:type="dxa"/>
          </w:tcPr>
          <w:p w14:paraId="504F431C" w14:textId="77777777" w:rsidR="006F67DD" w:rsidRPr="000A72F7" w:rsidRDefault="006F67DD" w:rsidP="00021EF3">
            <w:pPr>
              <w:spacing w:after="0"/>
              <w:rPr>
                <w:rFonts w:cs="Arial"/>
                <w:b/>
                <w:bCs/>
                <w:szCs w:val="17"/>
              </w:rPr>
            </w:pPr>
            <w:r w:rsidRPr="000A72F7">
              <w:rPr>
                <w:rFonts w:cs="Arial"/>
                <w:b/>
                <w:bCs/>
                <w:szCs w:val="17"/>
              </w:rPr>
              <w:t>Spend as % of GDP (dollar value)</w:t>
            </w:r>
          </w:p>
        </w:tc>
        <w:tc>
          <w:tcPr>
            <w:tcW w:w="3639" w:type="dxa"/>
          </w:tcPr>
          <w:p w14:paraId="0BCE6410" w14:textId="77777777" w:rsidR="006F67DD" w:rsidRPr="000A72F7" w:rsidRDefault="006F67DD" w:rsidP="00021EF3">
            <w:pPr>
              <w:spacing w:after="0"/>
              <w:rPr>
                <w:rFonts w:cs="Arial"/>
                <w:b/>
                <w:bCs/>
                <w:szCs w:val="17"/>
              </w:rPr>
            </w:pPr>
            <w:r w:rsidRPr="000A72F7">
              <w:rPr>
                <w:rFonts w:cs="Arial"/>
                <w:b/>
                <w:bCs/>
                <w:szCs w:val="17"/>
              </w:rPr>
              <w:t>Value of grant</w:t>
            </w:r>
            <w:r>
              <w:rPr>
                <w:rFonts w:cs="Arial"/>
                <w:b/>
                <w:bCs/>
                <w:szCs w:val="17"/>
              </w:rPr>
              <w:t xml:space="preserve"> per business</w:t>
            </w:r>
          </w:p>
        </w:tc>
      </w:tr>
      <w:tr w:rsidR="006F67DD" w:rsidRPr="000A72F7" w14:paraId="20604EFC" w14:textId="77777777" w:rsidTr="007946FD">
        <w:trPr>
          <w:trHeight w:val="404"/>
        </w:trPr>
        <w:tc>
          <w:tcPr>
            <w:tcW w:w="1134" w:type="dxa"/>
          </w:tcPr>
          <w:p w14:paraId="70104BB2" w14:textId="77777777" w:rsidR="006F67DD" w:rsidRPr="00A64BA2" w:rsidRDefault="006F67DD" w:rsidP="00021EF3">
            <w:pPr>
              <w:spacing w:after="0"/>
              <w:rPr>
                <w:rFonts w:cs="Arial"/>
                <w:b/>
                <w:szCs w:val="17"/>
              </w:rPr>
            </w:pPr>
            <w:r w:rsidRPr="00A64BA2">
              <w:rPr>
                <w:rFonts w:cs="Arial"/>
                <w:b/>
                <w:szCs w:val="17"/>
              </w:rPr>
              <w:t>Australia</w:t>
            </w:r>
          </w:p>
        </w:tc>
        <w:tc>
          <w:tcPr>
            <w:tcW w:w="1843" w:type="dxa"/>
          </w:tcPr>
          <w:p w14:paraId="3C34E57F" w14:textId="77777777" w:rsidR="006F67DD" w:rsidRPr="000A72F7" w:rsidRDefault="006F67DD" w:rsidP="00021EF3">
            <w:pPr>
              <w:spacing w:after="0"/>
              <w:rPr>
                <w:rFonts w:cs="Arial"/>
                <w:szCs w:val="17"/>
              </w:rPr>
            </w:pPr>
            <w:r w:rsidRPr="000A72F7">
              <w:rPr>
                <w:rFonts w:cs="Arial"/>
                <w:szCs w:val="17"/>
              </w:rPr>
              <w:t>SME Cashflow Boost</w:t>
            </w:r>
          </w:p>
        </w:tc>
        <w:tc>
          <w:tcPr>
            <w:tcW w:w="1134" w:type="dxa"/>
          </w:tcPr>
          <w:p w14:paraId="54552076" w14:textId="77777777" w:rsidR="006F67DD" w:rsidRPr="000A72F7" w:rsidRDefault="006F67DD" w:rsidP="00021EF3">
            <w:pPr>
              <w:spacing w:after="0"/>
              <w:rPr>
                <w:rFonts w:cs="Arial"/>
                <w:szCs w:val="17"/>
              </w:rPr>
            </w:pPr>
            <w:r w:rsidRPr="000A72F7">
              <w:rPr>
                <w:rFonts w:cs="Arial"/>
                <w:szCs w:val="17"/>
              </w:rPr>
              <w:t>March 2020 to September 2020</w:t>
            </w:r>
          </w:p>
        </w:tc>
        <w:tc>
          <w:tcPr>
            <w:tcW w:w="1276" w:type="dxa"/>
          </w:tcPr>
          <w:p w14:paraId="60CB3B36" w14:textId="77777777" w:rsidR="006F67DD" w:rsidRPr="000A72F7" w:rsidRDefault="006F67DD" w:rsidP="00021EF3">
            <w:pPr>
              <w:spacing w:after="0"/>
              <w:rPr>
                <w:rFonts w:cs="Arial"/>
                <w:szCs w:val="17"/>
              </w:rPr>
            </w:pPr>
            <w:r w:rsidRPr="000A72F7">
              <w:rPr>
                <w:rFonts w:cs="Arial"/>
                <w:szCs w:val="17"/>
              </w:rPr>
              <w:t>1.8% (AU$35.4 billion)</w:t>
            </w:r>
          </w:p>
        </w:tc>
        <w:tc>
          <w:tcPr>
            <w:tcW w:w="3639" w:type="dxa"/>
          </w:tcPr>
          <w:p w14:paraId="6FAB797B" w14:textId="77777777" w:rsidR="006F67DD" w:rsidRPr="000A72F7" w:rsidRDefault="006F67DD" w:rsidP="00021EF3">
            <w:pPr>
              <w:spacing w:after="0"/>
              <w:rPr>
                <w:rFonts w:cs="Arial"/>
                <w:szCs w:val="17"/>
              </w:rPr>
            </w:pPr>
            <w:r w:rsidRPr="000A72F7">
              <w:rPr>
                <w:rFonts w:cs="Arial"/>
                <w:szCs w:val="17"/>
              </w:rPr>
              <w:t xml:space="preserve">Two payments of </w:t>
            </w:r>
            <w:r w:rsidRPr="00403149">
              <w:rPr>
                <w:rFonts w:cs="Arial"/>
                <w:b/>
                <w:bCs/>
                <w:szCs w:val="17"/>
              </w:rPr>
              <w:t>$10,000 - $50,000</w:t>
            </w:r>
            <w:r w:rsidRPr="000A72F7">
              <w:rPr>
                <w:rFonts w:cs="Arial"/>
                <w:szCs w:val="17"/>
              </w:rPr>
              <w:t xml:space="preserve">, depending on the amount of PAYG tax withheld </w:t>
            </w:r>
          </w:p>
        </w:tc>
      </w:tr>
      <w:tr w:rsidR="006F67DD" w:rsidRPr="000A72F7" w14:paraId="3F15F67B" w14:textId="77777777" w:rsidTr="007946FD">
        <w:trPr>
          <w:trHeight w:val="590"/>
        </w:trPr>
        <w:tc>
          <w:tcPr>
            <w:tcW w:w="1134" w:type="dxa"/>
          </w:tcPr>
          <w:p w14:paraId="29C2D138" w14:textId="77777777" w:rsidR="006F67DD" w:rsidRPr="00A64BA2" w:rsidRDefault="006F67DD" w:rsidP="00021EF3">
            <w:pPr>
              <w:spacing w:after="0"/>
              <w:rPr>
                <w:rFonts w:cs="Arial"/>
                <w:b/>
                <w:szCs w:val="17"/>
              </w:rPr>
            </w:pPr>
            <w:r w:rsidRPr="00A64BA2">
              <w:rPr>
                <w:rFonts w:cs="Arial"/>
                <w:b/>
                <w:szCs w:val="17"/>
              </w:rPr>
              <w:t>New Zealand</w:t>
            </w:r>
          </w:p>
        </w:tc>
        <w:tc>
          <w:tcPr>
            <w:tcW w:w="1843" w:type="dxa"/>
          </w:tcPr>
          <w:p w14:paraId="31E1299C" w14:textId="77777777" w:rsidR="006F67DD" w:rsidRPr="000A72F7" w:rsidRDefault="006F67DD" w:rsidP="00021EF3">
            <w:pPr>
              <w:spacing w:after="0"/>
              <w:rPr>
                <w:rFonts w:cs="Arial"/>
                <w:szCs w:val="17"/>
              </w:rPr>
            </w:pPr>
            <w:r w:rsidRPr="000A72F7">
              <w:rPr>
                <w:rFonts w:cs="Arial"/>
                <w:szCs w:val="17"/>
              </w:rPr>
              <w:t>Resurgence Support Payment</w:t>
            </w:r>
          </w:p>
        </w:tc>
        <w:tc>
          <w:tcPr>
            <w:tcW w:w="1134" w:type="dxa"/>
          </w:tcPr>
          <w:p w14:paraId="26061E77" w14:textId="77777777" w:rsidR="006F67DD" w:rsidRPr="000A72F7" w:rsidRDefault="006F67DD" w:rsidP="00021EF3">
            <w:pPr>
              <w:spacing w:after="0"/>
              <w:rPr>
                <w:rFonts w:cs="Arial"/>
                <w:szCs w:val="17"/>
              </w:rPr>
            </w:pPr>
            <w:r w:rsidRPr="000A72F7">
              <w:rPr>
                <w:rFonts w:cs="Arial"/>
                <w:szCs w:val="17"/>
              </w:rPr>
              <w:t>February 2021 to August 2021</w:t>
            </w:r>
          </w:p>
        </w:tc>
        <w:tc>
          <w:tcPr>
            <w:tcW w:w="1276" w:type="dxa"/>
          </w:tcPr>
          <w:p w14:paraId="53CB7812" w14:textId="77777777" w:rsidR="006F67DD" w:rsidRPr="000A72F7" w:rsidRDefault="006F67DD" w:rsidP="00021EF3">
            <w:pPr>
              <w:spacing w:after="0"/>
              <w:rPr>
                <w:rFonts w:cs="Arial"/>
                <w:szCs w:val="17"/>
              </w:rPr>
            </w:pPr>
            <w:r w:rsidRPr="000A72F7">
              <w:rPr>
                <w:rFonts w:cs="Arial"/>
                <w:szCs w:val="17"/>
              </w:rPr>
              <w:t>0.7% (NZ$2.9 billion)</w:t>
            </w:r>
          </w:p>
        </w:tc>
        <w:tc>
          <w:tcPr>
            <w:tcW w:w="3639" w:type="dxa"/>
          </w:tcPr>
          <w:p w14:paraId="3FCA3743" w14:textId="77777777" w:rsidR="006F67DD" w:rsidRPr="000A72F7" w:rsidRDefault="006F67DD" w:rsidP="00021EF3">
            <w:pPr>
              <w:spacing w:after="0"/>
              <w:rPr>
                <w:rFonts w:cs="Arial"/>
                <w:szCs w:val="17"/>
              </w:rPr>
            </w:pPr>
            <w:r w:rsidRPr="00403149">
              <w:rPr>
                <w:rFonts w:cs="Arial"/>
                <w:b/>
                <w:bCs/>
                <w:szCs w:val="17"/>
              </w:rPr>
              <w:t>NZ$1,500</w:t>
            </w:r>
            <w:r w:rsidRPr="000A72F7">
              <w:rPr>
                <w:rFonts w:cs="Arial"/>
                <w:szCs w:val="17"/>
              </w:rPr>
              <w:t xml:space="preserve"> </w:t>
            </w:r>
          </w:p>
          <w:p w14:paraId="4BB6CE52" w14:textId="77777777" w:rsidR="006F67DD" w:rsidRPr="000A72F7" w:rsidRDefault="006F67DD" w:rsidP="00021EF3">
            <w:pPr>
              <w:spacing w:after="0"/>
              <w:rPr>
                <w:rFonts w:cs="Arial"/>
                <w:szCs w:val="17"/>
              </w:rPr>
            </w:pPr>
            <w:r w:rsidRPr="000A72F7">
              <w:rPr>
                <w:rFonts w:cs="Arial"/>
                <w:szCs w:val="17"/>
              </w:rPr>
              <w:t>Additional $</w:t>
            </w:r>
            <w:r w:rsidRPr="00403149">
              <w:rPr>
                <w:rFonts w:cs="Arial"/>
                <w:b/>
                <w:bCs/>
                <w:szCs w:val="17"/>
              </w:rPr>
              <w:t>400 per FTE</w:t>
            </w:r>
            <w:r w:rsidRPr="000A72F7">
              <w:rPr>
                <w:rFonts w:cs="Arial"/>
                <w:szCs w:val="17"/>
              </w:rPr>
              <w:t xml:space="preserve"> to the lesser of a total of 50 FTEs or four times the experienced revenue drop over the restrictions period</w:t>
            </w:r>
          </w:p>
        </w:tc>
      </w:tr>
      <w:tr w:rsidR="006D5674" w:rsidRPr="00446A36" w14:paraId="05FD419C" w14:textId="77777777" w:rsidTr="007946FD">
        <w:trPr>
          <w:trHeight w:val="633"/>
        </w:trPr>
        <w:tc>
          <w:tcPr>
            <w:tcW w:w="1134" w:type="dxa"/>
          </w:tcPr>
          <w:p w14:paraId="489DAC97" w14:textId="77777777" w:rsidR="006D5674" w:rsidRPr="00A64BA2" w:rsidRDefault="006D5674" w:rsidP="00021EF3">
            <w:pPr>
              <w:spacing w:after="0"/>
              <w:rPr>
                <w:rFonts w:cs="Arial"/>
                <w:b/>
                <w:szCs w:val="17"/>
              </w:rPr>
            </w:pPr>
            <w:r w:rsidRPr="00A64BA2">
              <w:rPr>
                <w:rFonts w:cs="Arial"/>
                <w:b/>
                <w:szCs w:val="17"/>
              </w:rPr>
              <w:t>France</w:t>
            </w:r>
          </w:p>
        </w:tc>
        <w:tc>
          <w:tcPr>
            <w:tcW w:w="1843" w:type="dxa"/>
          </w:tcPr>
          <w:p w14:paraId="63F309E0" w14:textId="77777777" w:rsidR="006D5674" w:rsidRPr="000A72F7" w:rsidRDefault="006D5674" w:rsidP="00021EF3">
            <w:pPr>
              <w:spacing w:after="0"/>
              <w:rPr>
                <w:rFonts w:cs="Arial"/>
                <w:szCs w:val="17"/>
              </w:rPr>
            </w:pPr>
            <w:r w:rsidRPr="000A72F7">
              <w:rPr>
                <w:rFonts w:cs="Arial"/>
                <w:szCs w:val="17"/>
              </w:rPr>
              <w:t>Solidarity Fund</w:t>
            </w:r>
          </w:p>
        </w:tc>
        <w:tc>
          <w:tcPr>
            <w:tcW w:w="1134" w:type="dxa"/>
          </w:tcPr>
          <w:p w14:paraId="7DCEBB3A" w14:textId="77777777" w:rsidR="006D5674" w:rsidRPr="000A72F7" w:rsidRDefault="006D5674" w:rsidP="00021EF3">
            <w:pPr>
              <w:spacing w:after="0"/>
              <w:rPr>
                <w:rFonts w:cs="Arial"/>
                <w:szCs w:val="17"/>
              </w:rPr>
            </w:pPr>
            <w:r w:rsidRPr="000A72F7">
              <w:rPr>
                <w:rFonts w:cs="Arial"/>
                <w:szCs w:val="17"/>
              </w:rPr>
              <w:t>March 2020 to June 2022</w:t>
            </w:r>
          </w:p>
        </w:tc>
        <w:tc>
          <w:tcPr>
            <w:tcW w:w="1276" w:type="dxa"/>
          </w:tcPr>
          <w:p w14:paraId="7EF18CA3" w14:textId="77777777" w:rsidR="006D5674" w:rsidRPr="000A72F7" w:rsidRDefault="006D5674" w:rsidP="00021EF3">
            <w:pPr>
              <w:spacing w:after="0"/>
              <w:rPr>
                <w:rFonts w:cs="Arial"/>
                <w:szCs w:val="17"/>
              </w:rPr>
            </w:pPr>
            <w:r w:rsidRPr="000A72F7">
              <w:rPr>
                <w:rFonts w:cs="Arial"/>
                <w:szCs w:val="17"/>
              </w:rPr>
              <w:t xml:space="preserve">1.6% </w:t>
            </w:r>
            <w:r w:rsidRPr="000A72F7">
              <w:rPr>
                <w:rFonts w:cs="Arial"/>
                <w:szCs w:val="17"/>
              </w:rPr>
              <w:br/>
              <w:t>(€38.8 billion)</w:t>
            </w:r>
          </w:p>
        </w:tc>
        <w:tc>
          <w:tcPr>
            <w:tcW w:w="3639" w:type="dxa"/>
          </w:tcPr>
          <w:p w14:paraId="13AD5110" w14:textId="77777777" w:rsidR="006D5674" w:rsidRPr="00403149" w:rsidRDefault="006D5674" w:rsidP="00021EF3">
            <w:pPr>
              <w:spacing w:after="0"/>
              <w:rPr>
                <w:rFonts w:cs="Arial"/>
                <w:b/>
                <w:bCs/>
                <w:szCs w:val="17"/>
              </w:rPr>
            </w:pPr>
            <w:r w:rsidRPr="00403149">
              <w:rPr>
                <w:rFonts w:cs="Arial"/>
                <w:b/>
                <w:bCs/>
                <w:szCs w:val="17"/>
              </w:rPr>
              <w:t>€1,500</w:t>
            </w:r>
          </w:p>
          <w:p w14:paraId="7B0B926C" w14:textId="68BF0BE8" w:rsidR="006D5674" w:rsidRPr="000A72F7" w:rsidRDefault="006D5674" w:rsidP="00021EF3">
            <w:pPr>
              <w:spacing w:after="0"/>
              <w:rPr>
                <w:rFonts w:cs="Arial"/>
                <w:szCs w:val="17"/>
              </w:rPr>
            </w:pPr>
            <w:r w:rsidRPr="000A72F7">
              <w:rPr>
                <w:rFonts w:cs="Arial"/>
                <w:szCs w:val="17"/>
              </w:rPr>
              <w:t xml:space="preserve">Additional </w:t>
            </w:r>
            <w:r w:rsidRPr="00403149">
              <w:rPr>
                <w:rFonts w:cs="Arial"/>
                <w:b/>
                <w:bCs/>
                <w:szCs w:val="17"/>
              </w:rPr>
              <w:t>top-up of €2,000 - €5,000</w:t>
            </w:r>
            <w:r w:rsidRPr="000A72F7">
              <w:rPr>
                <w:rFonts w:cs="Arial"/>
                <w:szCs w:val="17"/>
              </w:rPr>
              <w:t xml:space="preserve"> if severe economic consequences, one</w:t>
            </w:r>
            <w:r>
              <w:rPr>
                <w:rFonts w:cs="Arial"/>
                <w:szCs w:val="17"/>
              </w:rPr>
              <w:t>-</w:t>
            </w:r>
            <w:r w:rsidRPr="000A72F7">
              <w:rPr>
                <w:rFonts w:cs="Arial"/>
                <w:szCs w:val="17"/>
              </w:rPr>
              <w:t>off.</w:t>
            </w:r>
          </w:p>
        </w:tc>
      </w:tr>
      <w:tr w:rsidR="006D5674" w:rsidRPr="00446A36" w14:paraId="48E11358" w14:textId="77777777" w:rsidTr="007946FD">
        <w:trPr>
          <w:trHeight w:val="144"/>
        </w:trPr>
        <w:tc>
          <w:tcPr>
            <w:tcW w:w="1134" w:type="dxa"/>
          </w:tcPr>
          <w:p w14:paraId="5FCAA143" w14:textId="76EAD1E5" w:rsidR="006D5674" w:rsidRPr="00A64BA2" w:rsidRDefault="006D5674" w:rsidP="006D5674">
            <w:pPr>
              <w:spacing w:after="0"/>
              <w:rPr>
                <w:rFonts w:cs="Arial"/>
                <w:b/>
                <w:szCs w:val="17"/>
              </w:rPr>
            </w:pPr>
            <w:r w:rsidRPr="00A64BA2">
              <w:rPr>
                <w:rFonts w:cs="Arial"/>
                <w:b/>
                <w:szCs w:val="17"/>
              </w:rPr>
              <w:t>France</w:t>
            </w:r>
          </w:p>
        </w:tc>
        <w:tc>
          <w:tcPr>
            <w:tcW w:w="1843" w:type="dxa"/>
          </w:tcPr>
          <w:p w14:paraId="7B996BE4" w14:textId="77777777" w:rsidR="006D5674" w:rsidRPr="000A72F7" w:rsidRDefault="006D5674" w:rsidP="006D5674">
            <w:pPr>
              <w:spacing w:after="0"/>
              <w:rPr>
                <w:rFonts w:cs="Arial"/>
                <w:szCs w:val="17"/>
              </w:rPr>
            </w:pPr>
            <w:r w:rsidRPr="000A72F7">
              <w:rPr>
                <w:rFonts w:cs="Arial"/>
                <w:szCs w:val="17"/>
              </w:rPr>
              <w:t xml:space="preserve">Regime Cadre </w:t>
            </w:r>
            <w:proofErr w:type="spellStart"/>
            <w:r w:rsidRPr="000A72F7">
              <w:rPr>
                <w:rFonts w:cs="Arial"/>
                <w:szCs w:val="17"/>
              </w:rPr>
              <w:t>Temporaire</w:t>
            </w:r>
            <w:proofErr w:type="spellEnd"/>
          </w:p>
        </w:tc>
        <w:tc>
          <w:tcPr>
            <w:tcW w:w="1134" w:type="dxa"/>
          </w:tcPr>
          <w:p w14:paraId="47CD00E4" w14:textId="77777777" w:rsidR="006D5674" w:rsidRPr="000A72F7" w:rsidRDefault="006D5674" w:rsidP="006D5674">
            <w:pPr>
              <w:spacing w:after="0"/>
              <w:rPr>
                <w:rFonts w:cs="Arial"/>
                <w:szCs w:val="17"/>
              </w:rPr>
            </w:pPr>
            <w:r w:rsidRPr="000A72F7">
              <w:rPr>
                <w:rFonts w:cs="Arial"/>
                <w:szCs w:val="17"/>
              </w:rPr>
              <w:t>March 2020</w:t>
            </w:r>
          </w:p>
        </w:tc>
        <w:tc>
          <w:tcPr>
            <w:tcW w:w="1276" w:type="dxa"/>
          </w:tcPr>
          <w:p w14:paraId="1EA7F66F" w14:textId="77777777" w:rsidR="006D5674" w:rsidRPr="000A72F7" w:rsidRDefault="006D5674" w:rsidP="006D5674">
            <w:pPr>
              <w:spacing w:after="0"/>
              <w:rPr>
                <w:rFonts w:cs="Arial"/>
                <w:szCs w:val="17"/>
              </w:rPr>
            </w:pPr>
            <w:r w:rsidRPr="000A72F7">
              <w:rPr>
                <w:rFonts w:cs="Arial"/>
                <w:szCs w:val="17"/>
              </w:rPr>
              <w:t xml:space="preserve">0.2% </w:t>
            </w:r>
            <w:r w:rsidRPr="000A72F7">
              <w:rPr>
                <w:rFonts w:cs="Arial"/>
                <w:szCs w:val="17"/>
              </w:rPr>
              <w:br/>
              <w:t>(€7 billion)</w:t>
            </w:r>
          </w:p>
        </w:tc>
        <w:tc>
          <w:tcPr>
            <w:tcW w:w="3639" w:type="dxa"/>
          </w:tcPr>
          <w:p w14:paraId="2CA5BE5E" w14:textId="77777777" w:rsidR="006D5674" w:rsidRPr="000A72F7" w:rsidRDefault="006D5674" w:rsidP="006D5674">
            <w:pPr>
              <w:spacing w:after="0"/>
              <w:rPr>
                <w:rFonts w:cs="Arial"/>
                <w:szCs w:val="17"/>
              </w:rPr>
            </w:pPr>
            <w:r w:rsidRPr="00403149">
              <w:rPr>
                <w:rFonts w:cs="Arial"/>
                <w:b/>
                <w:bCs/>
                <w:szCs w:val="17"/>
              </w:rPr>
              <w:t>€100,000</w:t>
            </w:r>
            <w:r w:rsidRPr="000A72F7">
              <w:rPr>
                <w:rFonts w:cs="Arial"/>
                <w:szCs w:val="17"/>
              </w:rPr>
              <w:t xml:space="preserve"> for businesses in the primary agricultural sector</w:t>
            </w:r>
          </w:p>
          <w:p w14:paraId="6D84DEE8" w14:textId="77777777" w:rsidR="006D5674" w:rsidRPr="000A72F7" w:rsidRDefault="006D5674" w:rsidP="006D5674">
            <w:pPr>
              <w:spacing w:after="0"/>
              <w:rPr>
                <w:rFonts w:cs="Arial"/>
                <w:szCs w:val="17"/>
              </w:rPr>
            </w:pPr>
            <w:r w:rsidRPr="00403149">
              <w:rPr>
                <w:rFonts w:cs="Arial"/>
                <w:b/>
                <w:bCs/>
                <w:szCs w:val="17"/>
              </w:rPr>
              <w:t>€120,000</w:t>
            </w:r>
            <w:r w:rsidRPr="000A72F7">
              <w:rPr>
                <w:rFonts w:cs="Arial"/>
                <w:szCs w:val="17"/>
              </w:rPr>
              <w:t xml:space="preserve"> for businesses in the fishery and aquaculture sector</w:t>
            </w:r>
          </w:p>
          <w:p w14:paraId="1D68646B" w14:textId="77777777" w:rsidR="006D5674" w:rsidRPr="00403149" w:rsidRDefault="006D5674" w:rsidP="006D5674">
            <w:pPr>
              <w:spacing w:after="0"/>
              <w:rPr>
                <w:rFonts w:cs="Arial"/>
                <w:szCs w:val="17"/>
              </w:rPr>
            </w:pPr>
            <w:r w:rsidRPr="000A72F7">
              <w:rPr>
                <w:rFonts w:cs="Arial"/>
                <w:b/>
                <w:bCs/>
                <w:szCs w:val="17"/>
              </w:rPr>
              <w:t xml:space="preserve">€800,000 </w:t>
            </w:r>
            <w:r w:rsidRPr="000A72F7">
              <w:rPr>
                <w:rFonts w:cs="Arial"/>
                <w:szCs w:val="17"/>
              </w:rPr>
              <w:t>for all other sectors</w:t>
            </w:r>
          </w:p>
        </w:tc>
      </w:tr>
      <w:tr w:rsidR="006D5674" w:rsidRPr="00EC18C9" w14:paraId="4FDD4751" w14:textId="77777777" w:rsidTr="007946FD">
        <w:trPr>
          <w:trHeight w:val="451"/>
        </w:trPr>
        <w:tc>
          <w:tcPr>
            <w:tcW w:w="1134" w:type="dxa"/>
          </w:tcPr>
          <w:p w14:paraId="7DAFF2D4" w14:textId="77777777" w:rsidR="006D5674" w:rsidRPr="00A64BA2" w:rsidRDefault="006D5674" w:rsidP="006D5674">
            <w:pPr>
              <w:spacing w:after="0"/>
              <w:rPr>
                <w:rFonts w:cs="Arial"/>
                <w:b/>
                <w:szCs w:val="17"/>
              </w:rPr>
            </w:pPr>
            <w:r w:rsidRPr="00A64BA2">
              <w:rPr>
                <w:rFonts w:cs="Arial"/>
                <w:b/>
                <w:szCs w:val="17"/>
              </w:rPr>
              <w:t>UK</w:t>
            </w:r>
          </w:p>
        </w:tc>
        <w:tc>
          <w:tcPr>
            <w:tcW w:w="1843" w:type="dxa"/>
          </w:tcPr>
          <w:p w14:paraId="6203A361" w14:textId="2C1EDFF9" w:rsidR="006D5674" w:rsidRPr="00EC18C9" w:rsidRDefault="006D5674" w:rsidP="006D5674">
            <w:pPr>
              <w:spacing w:after="0"/>
              <w:rPr>
                <w:rFonts w:cs="Arial"/>
                <w:szCs w:val="17"/>
              </w:rPr>
            </w:pPr>
            <w:r>
              <w:rPr>
                <w:rFonts w:eastAsia="Verdana" w:cs="Arial"/>
                <w:kern w:val="24"/>
                <w:szCs w:val="17"/>
              </w:rPr>
              <w:t>SBGF and RHLGF</w:t>
            </w:r>
          </w:p>
        </w:tc>
        <w:tc>
          <w:tcPr>
            <w:tcW w:w="1134" w:type="dxa"/>
          </w:tcPr>
          <w:p w14:paraId="409F9D86" w14:textId="4F7CFC58" w:rsidR="006D5674" w:rsidRPr="00EC18C9" w:rsidRDefault="006D5674" w:rsidP="006D5674">
            <w:pPr>
              <w:spacing w:after="0"/>
              <w:rPr>
                <w:rFonts w:cs="Arial"/>
                <w:szCs w:val="17"/>
              </w:rPr>
            </w:pPr>
            <w:r w:rsidRPr="00403149">
              <w:rPr>
                <w:rFonts w:eastAsia="Verdana" w:cs="Arial"/>
                <w:kern w:val="24"/>
                <w:sz w:val="18"/>
                <w:szCs w:val="17"/>
              </w:rPr>
              <w:t>March</w:t>
            </w:r>
            <w:r>
              <w:rPr>
                <w:rFonts w:eastAsia="Verdana" w:cs="Arial"/>
                <w:kern w:val="24"/>
                <w:sz w:val="18"/>
                <w:szCs w:val="17"/>
              </w:rPr>
              <w:t xml:space="preserve"> 2020</w:t>
            </w:r>
            <w:r w:rsidRPr="00403149">
              <w:rPr>
                <w:rFonts w:eastAsia="Verdana" w:cs="Arial"/>
                <w:kern w:val="24"/>
                <w:sz w:val="18"/>
                <w:szCs w:val="17"/>
              </w:rPr>
              <w:t xml:space="preserve"> </w:t>
            </w:r>
            <w:r>
              <w:rPr>
                <w:rFonts w:eastAsia="Verdana" w:cs="Arial"/>
                <w:kern w:val="24"/>
                <w:szCs w:val="17"/>
              </w:rPr>
              <w:t xml:space="preserve">to September </w:t>
            </w:r>
            <w:r w:rsidRPr="00403149">
              <w:rPr>
                <w:rFonts w:eastAsia="Verdana" w:cs="Arial"/>
                <w:kern w:val="24"/>
                <w:sz w:val="18"/>
                <w:szCs w:val="17"/>
              </w:rPr>
              <w:t>2020</w:t>
            </w:r>
          </w:p>
        </w:tc>
        <w:tc>
          <w:tcPr>
            <w:tcW w:w="1276" w:type="dxa"/>
          </w:tcPr>
          <w:p w14:paraId="466AFCFD" w14:textId="77777777" w:rsidR="006D5674" w:rsidRPr="00EC18C9" w:rsidRDefault="006D5674" w:rsidP="006D5674">
            <w:pPr>
              <w:spacing w:after="0"/>
              <w:rPr>
                <w:rFonts w:cs="Arial"/>
                <w:szCs w:val="17"/>
              </w:rPr>
            </w:pPr>
            <w:r w:rsidRPr="00403149">
              <w:rPr>
                <w:rFonts w:eastAsia="Verdana" w:cs="Arial"/>
                <w:kern w:val="24"/>
                <w:sz w:val="18"/>
                <w:szCs w:val="17"/>
              </w:rPr>
              <w:t xml:space="preserve">1.0% </w:t>
            </w:r>
            <w:r>
              <w:rPr>
                <w:rFonts w:eastAsia="Verdana" w:cs="Arial"/>
                <w:kern w:val="24"/>
                <w:szCs w:val="17"/>
              </w:rPr>
              <w:t>(</w:t>
            </w:r>
            <w:r w:rsidRPr="00403149">
              <w:rPr>
                <w:rFonts w:eastAsiaTheme="minorEastAsia" w:cs="Arial"/>
                <w:kern w:val="24"/>
                <w:sz w:val="18"/>
                <w:szCs w:val="17"/>
              </w:rPr>
              <w:t>£22.2 billion</w:t>
            </w:r>
            <w:r>
              <w:rPr>
                <w:rFonts w:eastAsiaTheme="minorEastAsia" w:cs="Arial"/>
                <w:kern w:val="24"/>
                <w:szCs w:val="17"/>
              </w:rPr>
              <w:t>)</w:t>
            </w:r>
          </w:p>
        </w:tc>
        <w:tc>
          <w:tcPr>
            <w:tcW w:w="3639" w:type="dxa"/>
          </w:tcPr>
          <w:p w14:paraId="1178518D" w14:textId="77777777" w:rsidR="006D5674" w:rsidRPr="00403149" w:rsidRDefault="006D5674" w:rsidP="006D5674">
            <w:pPr>
              <w:spacing w:after="0"/>
              <w:rPr>
                <w:rFonts w:cs="Arial"/>
                <w:szCs w:val="17"/>
              </w:rPr>
            </w:pPr>
            <w:r w:rsidRPr="00403149">
              <w:rPr>
                <w:rFonts w:eastAsia="Verdana" w:cs="Arial"/>
                <w:kern w:val="24"/>
                <w:sz w:val="18"/>
                <w:szCs w:val="17"/>
              </w:rPr>
              <w:t>SBGF: £10,000 - £25,000</w:t>
            </w:r>
            <w:r>
              <w:rPr>
                <w:rFonts w:eastAsia="Verdana" w:cs="Arial"/>
                <w:kern w:val="24"/>
                <w:szCs w:val="17"/>
              </w:rPr>
              <w:t xml:space="preserve"> per business</w:t>
            </w:r>
            <w:r w:rsidRPr="00403149">
              <w:rPr>
                <w:rFonts w:eastAsia="Verdana" w:cs="Arial"/>
                <w:kern w:val="24"/>
                <w:sz w:val="18"/>
                <w:szCs w:val="17"/>
              </w:rPr>
              <w:br/>
              <w:t xml:space="preserve">RHLGF: </w:t>
            </w:r>
            <w:r w:rsidRPr="00403149">
              <w:rPr>
                <w:rFonts w:eastAsia="Verdana" w:cs="Arial"/>
                <w:b/>
                <w:bCs/>
                <w:kern w:val="24"/>
                <w:sz w:val="18"/>
                <w:szCs w:val="17"/>
              </w:rPr>
              <w:t>£25,000</w:t>
            </w:r>
            <w:r w:rsidRPr="00403149">
              <w:rPr>
                <w:rFonts w:eastAsia="Verdana" w:cs="Arial"/>
                <w:kern w:val="24"/>
                <w:sz w:val="18"/>
                <w:szCs w:val="17"/>
              </w:rPr>
              <w:t xml:space="preserve"> per property</w:t>
            </w:r>
          </w:p>
        </w:tc>
      </w:tr>
      <w:tr w:rsidR="006D5674" w:rsidRPr="00EC18C9" w14:paraId="12E32E50" w14:textId="77777777" w:rsidTr="007946FD">
        <w:trPr>
          <w:trHeight w:val="144"/>
        </w:trPr>
        <w:tc>
          <w:tcPr>
            <w:tcW w:w="1134" w:type="dxa"/>
          </w:tcPr>
          <w:p w14:paraId="7705D7FF" w14:textId="24A30F94" w:rsidR="006D5674" w:rsidRPr="00EC18C9" w:rsidRDefault="006D5674" w:rsidP="006D5674">
            <w:pPr>
              <w:spacing w:after="0"/>
              <w:rPr>
                <w:rFonts w:cs="Arial"/>
                <w:szCs w:val="17"/>
              </w:rPr>
            </w:pPr>
            <w:r w:rsidRPr="00A64BA2">
              <w:rPr>
                <w:rFonts w:cs="Arial"/>
                <w:b/>
                <w:szCs w:val="17"/>
              </w:rPr>
              <w:t>UK</w:t>
            </w:r>
          </w:p>
        </w:tc>
        <w:tc>
          <w:tcPr>
            <w:tcW w:w="1843" w:type="dxa"/>
          </w:tcPr>
          <w:p w14:paraId="363C4F38" w14:textId="77777777" w:rsidR="006D5674" w:rsidRPr="00EC18C9" w:rsidRDefault="006D5674" w:rsidP="006D5674">
            <w:pPr>
              <w:spacing w:after="0"/>
              <w:rPr>
                <w:rFonts w:cs="Arial"/>
                <w:szCs w:val="17"/>
              </w:rPr>
            </w:pPr>
            <w:r w:rsidRPr="00987494">
              <w:rPr>
                <w:rFonts w:eastAsia="Verdana" w:cs="Arial"/>
                <w:kern w:val="24"/>
                <w:szCs w:val="17"/>
              </w:rPr>
              <w:t>Local Authority Discretionary Grant Fund</w:t>
            </w:r>
          </w:p>
        </w:tc>
        <w:tc>
          <w:tcPr>
            <w:tcW w:w="1134" w:type="dxa"/>
          </w:tcPr>
          <w:p w14:paraId="42B7DB4E" w14:textId="37AEA963" w:rsidR="006D5674" w:rsidRPr="00EC18C9" w:rsidRDefault="006D5674" w:rsidP="006D5674">
            <w:pPr>
              <w:spacing w:after="0"/>
              <w:rPr>
                <w:rFonts w:cs="Arial"/>
                <w:szCs w:val="17"/>
              </w:rPr>
            </w:pPr>
            <w:r w:rsidRPr="00403149">
              <w:rPr>
                <w:rFonts w:eastAsia="Verdana" w:cs="Arial"/>
                <w:kern w:val="24"/>
                <w:sz w:val="18"/>
                <w:szCs w:val="17"/>
              </w:rPr>
              <w:t>May</w:t>
            </w:r>
            <w:r>
              <w:rPr>
                <w:rFonts w:eastAsia="Verdana" w:cs="Arial"/>
                <w:kern w:val="24"/>
                <w:sz w:val="18"/>
                <w:szCs w:val="17"/>
              </w:rPr>
              <w:t xml:space="preserve"> 2020</w:t>
            </w:r>
            <w:r w:rsidRPr="00403149">
              <w:rPr>
                <w:rFonts w:eastAsia="Verdana" w:cs="Arial"/>
                <w:kern w:val="24"/>
                <w:sz w:val="18"/>
                <w:szCs w:val="17"/>
              </w:rPr>
              <w:t xml:space="preserve"> </w:t>
            </w:r>
            <w:r>
              <w:rPr>
                <w:rFonts w:eastAsia="Verdana" w:cs="Arial"/>
                <w:kern w:val="24"/>
                <w:szCs w:val="17"/>
              </w:rPr>
              <w:t xml:space="preserve">to September </w:t>
            </w:r>
            <w:r w:rsidRPr="00403149">
              <w:rPr>
                <w:rFonts w:eastAsia="Verdana" w:cs="Arial"/>
                <w:kern w:val="24"/>
                <w:sz w:val="18"/>
                <w:szCs w:val="17"/>
              </w:rPr>
              <w:t>2020</w:t>
            </w:r>
          </w:p>
        </w:tc>
        <w:tc>
          <w:tcPr>
            <w:tcW w:w="1276" w:type="dxa"/>
          </w:tcPr>
          <w:p w14:paraId="22650F83" w14:textId="77777777" w:rsidR="006D5674" w:rsidRPr="00EC18C9" w:rsidRDefault="006D5674" w:rsidP="006D5674">
            <w:pPr>
              <w:spacing w:after="0"/>
              <w:rPr>
                <w:rFonts w:cs="Arial"/>
                <w:szCs w:val="17"/>
              </w:rPr>
            </w:pPr>
            <w:r w:rsidRPr="00403149">
              <w:rPr>
                <w:rFonts w:eastAsia="Verdana" w:cs="Arial"/>
                <w:kern w:val="24"/>
                <w:sz w:val="18"/>
                <w:szCs w:val="17"/>
              </w:rPr>
              <w:t xml:space="preserve">0.2% </w:t>
            </w:r>
            <w:r>
              <w:rPr>
                <w:rFonts w:eastAsia="Verdana" w:cs="Arial"/>
                <w:kern w:val="24"/>
                <w:szCs w:val="17"/>
              </w:rPr>
              <w:br/>
              <w:t>(</w:t>
            </w:r>
            <w:r w:rsidRPr="00403149">
              <w:rPr>
                <w:rFonts w:eastAsia="Verdana" w:cs="Arial"/>
                <w:kern w:val="24"/>
                <w:sz w:val="18"/>
                <w:szCs w:val="17"/>
              </w:rPr>
              <w:t>£4.1 billion</w:t>
            </w:r>
            <w:r>
              <w:rPr>
                <w:rFonts w:eastAsia="Verdana" w:cs="Arial"/>
                <w:kern w:val="24"/>
                <w:szCs w:val="17"/>
              </w:rPr>
              <w:t>)</w:t>
            </w:r>
          </w:p>
        </w:tc>
        <w:tc>
          <w:tcPr>
            <w:tcW w:w="3639" w:type="dxa"/>
          </w:tcPr>
          <w:p w14:paraId="1A10D5B5" w14:textId="77777777" w:rsidR="006D5674" w:rsidRPr="00403149" w:rsidRDefault="006D5674" w:rsidP="006D5674">
            <w:pPr>
              <w:spacing w:after="0"/>
              <w:rPr>
                <w:rFonts w:cs="Arial"/>
                <w:szCs w:val="17"/>
              </w:rPr>
            </w:pPr>
            <w:r w:rsidRPr="00403149">
              <w:rPr>
                <w:rFonts w:eastAsia="Verdana" w:cs="Arial"/>
                <w:kern w:val="24"/>
                <w:sz w:val="18"/>
                <w:szCs w:val="17"/>
              </w:rPr>
              <w:t>£25,000, £10,000, or any amount under £10,000 at the discretion of local authorities</w:t>
            </w:r>
          </w:p>
        </w:tc>
      </w:tr>
      <w:tr w:rsidR="006D5674" w:rsidRPr="00EC18C9" w14:paraId="37F93B33" w14:textId="77777777" w:rsidTr="007946FD">
        <w:trPr>
          <w:trHeight w:val="144"/>
        </w:trPr>
        <w:tc>
          <w:tcPr>
            <w:tcW w:w="1134" w:type="dxa"/>
          </w:tcPr>
          <w:p w14:paraId="30747753" w14:textId="293DF0D5" w:rsidR="006D5674" w:rsidRPr="00EC18C9" w:rsidRDefault="006D5674" w:rsidP="006D5674">
            <w:pPr>
              <w:spacing w:after="0"/>
              <w:rPr>
                <w:rFonts w:cs="Arial"/>
                <w:szCs w:val="17"/>
              </w:rPr>
            </w:pPr>
            <w:r w:rsidRPr="00A64BA2">
              <w:rPr>
                <w:rFonts w:cs="Arial"/>
                <w:b/>
                <w:szCs w:val="17"/>
              </w:rPr>
              <w:t>UK</w:t>
            </w:r>
          </w:p>
        </w:tc>
        <w:tc>
          <w:tcPr>
            <w:tcW w:w="1843" w:type="dxa"/>
          </w:tcPr>
          <w:p w14:paraId="7F1270D5" w14:textId="77777777" w:rsidR="006D5674" w:rsidRPr="00EC18C9" w:rsidRDefault="006D5674" w:rsidP="006D5674">
            <w:pPr>
              <w:spacing w:after="0"/>
              <w:rPr>
                <w:rFonts w:cs="Arial"/>
                <w:szCs w:val="17"/>
              </w:rPr>
            </w:pPr>
            <w:r>
              <w:rPr>
                <w:rFonts w:cs="Arial"/>
                <w:szCs w:val="17"/>
              </w:rPr>
              <w:t>Christmas Support Fund</w:t>
            </w:r>
          </w:p>
        </w:tc>
        <w:tc>
          <w:tcPr>
            <w:tcW w:w="1134" w:type="dxa"/>
          </w:tcPr>
          <w:p w14:paraId="017F98BD" w14:textId="77777777" w:rsidR="006D5674" w:rsidRPr="00EC18C9" w:rsidRDefault="006D5674" w:rsidP="006D5674">
            <w:pPr>
              <w:spacing w:after="0"/>
              <w:rPr>
                <w:rFonts w:cs="Arial"/>
                <w:szCs w:val="17"/>
              </w:rPr>
            </w:pPr>
            <w:r>
              <w:rPr>
                <w:rFonts w:cs="Arial"/>
                <w:szCs w:val="17"/>
              </w:rPr>
              <w:t>December 2020</w:t>
            </w:r>
          </w:p>
        </w:tc>
        <w:tc>
          <w:tcPr>
            <w:tcW w:w="1276" w:type="dxa"/>
          </w:tcPr>
          <w:p w14:paraId="171339CB" w14:textId="77777777" w:rsidR="006D5674" w:rsidRPr="00403149" w:rsidRDefault="006D5674" w:rsidP="006D5674">
            <w:pPr>
              <w:spacing w:after="0"/>
              <w:rPr>
                <w:rFonts w:eastAsia="Verdana" w:cs="Arial"/>
                <w:kern w:val="24"/>
                <w:szCs w:val="17"/>
              </w:rPr>
            </w:pPr>
            <w:r>
              <w:rPr>
                <w:rFonts w:eastAsia="Verdana" w:cs="Arial"/>
                <w:kern w:val="24"/>
                <w:szCs w:val="17"/>
              </w:rPr>
              <w:t>0.002% (</w:t>
            </w:r>
            <w:r w:rsidRPr="00290C1F">
              <w:rPr>
                <w:rFonts w:eastAsia="Verdana" w:cs="Arial"/>
                <w:kern w:val="24"/>
                <w:szCs w:val="17"/>
              </w:rPr>
              <w:t>£4</w:t>
            </w:r>
            <w:r>
              <w:rPr>
                <w:rFonts w:eastAsia="Verdana" w:cs="Arial"/>
                <w:kern w:val="24"/>
                <w:szCs w:val="17"/>
              </w:rPr>
              <w:t>6 million)</w:t>
            </w:r>
          </w:p>
        </w:tc>
        <w:tc>
          <w:tcPr>
            <w:tcW w:w="3639" w:type="dxa"/>
          </w:tcPr>
          <w:p w14:paraId="579CDDE3" w14:textId="77777777" w:rsidR="006D5674" w:rsidRPr="00CE4B9E" w:rsidRDefault="006D5674" w:rsidP="006D5674">
            <w:pPr>
              <w:spacing w:after="0"/>
              <w:rPr>
                <w:rFonts w:cs="Arial"/>
                <w:b/>
                <w:bCs/>
                <w:szCs w:val="17"/>
              </w:rPr>
            </w:pPr>
            <w:r w:rsidRPr="00403149">
              <w:rPr>
                <w:rFonts w:cs="Arial"/>
                <w:b/>
                <w:bCs/>
              </w:rPr>
              <w:t>£</w:t>
            </w:r>
            <w:r w:rsidRPr="00403149">
              <w:rPr>
                <w:b/>
                <w:bCs/>
              </w:rPr>
              <w:t xml:space="preserve">1,000 </w:t>
            </w:r>
          </w:p>
        </w:tc>
      </w:tr>
      <w:tr w:rsidR="006D5674" w:rsidRPr="00EC18C9" w14:paraId="59BAD789" w14:textId="77777777" w:rsidTr="007946FD">
        <w:trPr>
          <w:trHeight w:val="144"/>
        </w:trPr>
        <w:tc>
          <w:tcPr>
            <w:tcW w:w="1134" w:type="dxa"/>
          </w:tcPr>
          <w:p w14:paraId="6F60DAB5" w14:textId="1780AEC9" w:rsidR="006D5674" w:rsidRPr="00EC18C9" w:rsidRDefault="006D5674" w:rsidP="006D5674">
            <w:pPr>
              <w:spacing w:after="0"/>
              <w:rPr>
                <w:rFonts w:cs="Arial"/>
                <w:szCs w:val="17"/>
              </w:rPr>
            </w:pPr>
            <w:r w:rsidRPr="00A64BA2">
              <w:rPr>
                <w:rFonts w:cs="Arial"/>
                <w:b/>
                <w:szCs w:val="17"/>
              </w:rPr>
              <w:lastRenderedPageBreak/>
              <w:t>UK</w:t>
            </w:r>
          </w:p>
        </w:tc>
        <w:tc>
          <w:tcPr>
            <w:tcW w:w="1843" w:type="dxa"/>
          </w:tcPr>
          <w:p w14:paraId="71B34105" w14:textId="77777777" w:rsidR="006D5674" w:rsidRPr="00EC18C9" w:rsidRDefault="006D5674" w:rsidP="006D5674">
            <w:pPr>
              <w:spacing w:after="0"/>
              <w:rPr>
                <w:rFonts w:cs="Arial"/>
                <w:szCs w:val="17"/>
              </w:rPr>
            </w:pPr>
            <w:r w:rsidRPr="00290C1F">
              <w:rPr>
                <w:rFonts w:eastAsia="Verdana" w:cs="Arial"/>
                <w:kern w:val="24"/>
                <w:szCs w:val="17"/>
              </w:rPr>
              <w:t>Restart program</w:t>
            </w:r>
          </w:p>
        </w:tc>
        <w:tc>
          <w:tcPr>
            <w:tcW w:w="1134" w:type="dxa"/>
          </w:tcPr>
          <w:p w14:paraId="04D252FB" w14:textId="77777777" w:rsidR="006D5674" w:rsidRPr="00EC18C9" w:rsidRDefault="006D5674" w:rsidP="006D5674">
            <w:pPr>
              <w:spacing w:after="0"/>
              <w:rPr>
                <w:rFonts w:cs="Arial"/>
                <w:szCs w:val="17"/>
              </w:rPr>
            </w:pPr>
            <w:r w:rsidRPr="00290C1F">
              <w:rPr>
                <w:rFonts w:eastAsia="Verdana" w:cs="Arial"/>
                <w:kern w:val="24"/>
                <w:szCs w:val="17"/>
              </w:rPr>
              <w:t>April 2021</w:t>
            </w:r>
          </w:p>
        </w:tc>
        <w:tc>
          <w:tcPr>
            <w:tcW w:w="1276" w:type="dxa"/>
          </w:tcPr>
          <w:p w14:paraId="13C62BE5" w14:textId="77777777" w:rsidR="006D5674" w:rsidRPr="00EC18C9" w:rsidRDefault="006D5674" w:rsidP="006D5674">
            <w:pPr>
              <w:spacing w:after="0"/>
              <w:rPr>
                <w:rFonts w:cs="Arial"/>
                <w:szCs w:val="17"/>
              </w:rPr>
            </w:pPr>
            <w:r w:rsidRPr="00290C1F">
              <w:rPr>
                <w:rFonts w:eastAsia="Verdana" w:cs="Arial"/>
                <w:kern w:val="24"/>
                <w:szCs w:val="17"/>
              </w:rPr>
              <w:t xml:space="preserve">0.3% </w:t>
            </w:r>
            <w:r>
              <w:rPr>
                <w:rFonts w:eastAsia="Verdana" w:cs="Arial"/>
                <w:kern w:val="24"/>
                <w:szCs w:val="17"/>
              </w:rPr>
              <w:br/>
              <w:t>(</w:t>
            </w:r>
            <w:r w:rsidRPr="00290C1F">
              <w:rPr>
                <w:rFonts w:eastAsia="Verdana" w:cs="Arial"/>
                <w:kern w:val="24"/>
                <w:szCs w:val="17"/>
              </w:rPr>
              <w:t>£6 billion</w:t>
            </w:r>
            <w:r>
              <w:rPr>
                <w:rFonts w:eastAsia="Verdana" w:cs="Arial"/>
                <w:kern w:val="24"/>
                <w:szCs w:val="17"/>
              </w:rPr>
              <w:t>)</w:t>
            </w:r>
          </w:p>
        </w:tc>
        <w:tc>
          <w:tcPr>
            <w:tcW w:w="3639" w:type="dxa"/>
          </w:tcPr>
          <w:p w14:paraId="348EB953" w14:textId="77777777" w:rsidR="006D5674" w:rsidRDefault="006D5674" w:rsidP="006D5674">
            <w:pPr>
              <w:spacing w:after="0"/>
              <w:rPr>
                <w:rFonts w:eastAsia="Verdana" w:cs="Arial"/>
                <w:kern w:val="24"/>
                <w:szCs w:val="17"/>
              </w:rPr>
            </w:pPr>
            <w:r w:rsidRPr="00403149">
              <w:rPr>
                <w:rFonts w:eastAsia="Verdana" w:cs="Arial"/>
                <w:b/>
                <w:bCs/>
                <w:kern w:val="24"/>
                <w:szCs w:val="17"/>
              </w:rPr>
              <w:t>£6,000</w:t>
            </w:r>
            <w:r w:rsidRPr="00290C1F">
              <w:rPr>
                <w:rFonts w:eastAsia="Verdana" w:cs="Arial"/>
                <w:kern w:val="24"/>
                <w:szCs w:val="17"/>
              </w:rPr>
              <w:t xml:space="preserve"> for non-essential retail </w:t>
            </w:r>
          </w:p>
          <w:p w14:paraId="6268636A" w14:textId="77777777" w:rsidR="006D5674" w:rsidRPr="00403149" w:rsidRDefault="006D5674" w:rsidP="006D5674">
            <w:pPr>
              <w:spacing w:after="0"/>
              <w:rPr>
                <w:rFonts w:cs="Arial"/>
                <w:szCs w:val="17"/>
              </w:rPr>
            </w:pPr>
            <w:r w:rsidRPr="00403149">
              <w:rPr>
                <w:rFonts w:eastAsia="Verdana" w:cs="Arial"/>
                <w:b/>
                <w:bCs/>
                <w:kern w:val="24"/>
                <w:szCs w:val="17"/>
              </w:rPr>
              <w:t>€18,000</w:t>
            </w:r>
            <w:r w:rsidRPr="00290C1F">
              <w:rPr>
                <w:rFonts w:eastAsia="Verdana" w:cs="Arial"/>
                <w:kern w:val="24"/>
                <w:szCs w:val="17"/>
              </w:rPr>
              <w:t xml:space="preserve"> for hospitality, leisure, personal care and accommodation</w:t>
            </w:r>
          </w:p>
        </w:tc>
      </w:tr>
      <w:tr w:rsidR="006D5674" w:rsidRPr="00446A36" w14:paraId="722A669D" w14:textId="77777777" w:rsidTr="007946FD">
        <w:trPr>
          <w:trHeight w:val="144"/>
        </w:trPr>
        <w:tc>
          <w:tcPr>
            <w:tcW w:w="1134" w:type="dxa"/>
          </w:tcPr>
          <w:p w14:paraId="6FEB9089" w14:textId="3EBE0B7E" w:rsidR="006D5674" w:rsidRPr="00EC18C9" w:rsidRDefault="006D5674" w:rsidP="006D5674">
            <w:pPr>
              <w:spacing w:after="0"/>
              <w:rPr>
                <w:rFonts w:cs="Arial"/>
                <w:szCs w:val="17"/>
              </w:rPr>
            </w:pPr>
            <w:r w:rsidRPr="00A64BA2">
              <w:rPr>
                <w:rFonts w:cs="Arial"/>
                <w:b/>
                <w:szCs w:val="17"/>
              </w:rPr>
              <w:t>UK</w:t>
            </w:r>
          </w:p>
        </w:tc>
        <w:tc>
          <w:tcPr>
            <w:tcW w:w="1843" w:type="dxa"/>
          </w:tcPr>
          <w:p w14:paraId="3B14DBF2" w14:textId="77777777" w:rsidR="006D5674" w:rsidRPr="00EC18C9" w:rsidRDefault="006D5674" w:rsidP="006D5674">
            <w:pPr>
              <w:spacing w:after="0"/>
              <w:rPr>
                <w:rFonts w:cs="Arial"/>
                <w:szCs w:val="17"/>
              </w:rPr>
            </w:pPr>
            <w:r w:rsidRPr="00290C1F">
              <w:rPr>
                <w:rFonts w:eastAsia="Verdana" w:cs="Arial"/>
                <w:kern w:val="24"/>
                <w:szCs w:val="17"/>
              </w:rPr>
              <w:t xml:space="preserve">Omicron Hospitality and Leisure Grant </w:t>
            </w:r>
          </w:p>
        </w:tc>
        <w:tc>
          <w:tcPr>
            <w:tcW w:w="1134" w:type="dxa"/>
          </w:tcPr>
          <w:p w14:paraId="2A469647" w14:textId="77777777" w:rsidR="006D5674" w:rsidRPr="00EC18C9" w:rsidRDefault="006D5674" w:rsidP="006D5674">
            <w:pPr>
              <w:spacing w:after="0"/>
              <w:rPr>
                <w:rFonts w:cs="Arial"/>
                <w:szCs w:val="17"/>
              </w:rPr>
            </w:pPr>
            <w:r w:rsidRPr="00290C1F">
              <w:rPr>
                <w:rFonts w:eastAsia="Verdana" w:cs="Arial"/>
                <w:kern w:val="24"/>
                <w:szCs w:val="17"/>
              </w:rPr>
              <w:t>Dec 2021</w:t>
            </w:r>
          </w:p>
        </w:tc>
        <w:tc>
          <w:tcPr>
            <w:tcW w:w="1276" w:type="dxa"/>
          </w:tcPr>
          <w:p w14:paraId="70FFE095" w14:textId="77777777" w:rsidR="006D5674" w:rsidRPr="00EC18C9" w:rsidRDefault="006D5674" w:rsidP="006D5674">
            <w:pPr>
              <w:spacing w:after="0"/>
              <w:rPr>
                <w:rFonts w:cs="Arial"/>
                <w:szCs w:val="17"/>
              </w:rPr>
            </w:pPr>
            <w:r w:rsidRPr="00290C1F">
              <w:rPr>
                <w:rFonts w:eastAsia="Verdana" w:cs="Arial"/>
                <w:kern w:val="24"/>
                <w:szCs w:val="17"/>
              </w:rPr>
              <w:t xml:space="preserve">0.04% </w:t>
            </w:r>
            <w:r>
              <w:rPr>
                <w:rFonts w:eastAsia="Verdana" w:cs="Arial"/>
                <w:kern w:val="24"/>
                <w:szCs w:val="17"/>
              </w:rPr>
              <w:t>(</w:t>
            </w:r>
            <w:r w:rsidRPr="00290C1F">
              <w:rPr>
                <w:rFonts w:eastAsia="Verdana" w:cs="Arial"/>
                <w:kern w:val="24"/>
                <w:szCs w:val="17"/>
              </w:rPr>
              <w:t>£912.5 million</w:t>
            </w:r>
            <w:r>
              <w:rPr>
                <w:rFonts w:eastAsia="Verdana" w:cs="Arial"/>
                <w:kern w:val="24"/>
                <w:szCs w:val="17"/>
              </w:rPr>
              <w:t>)</w:t>
            </w:r>
          </w:p>
        </w:tc>
        <w:tc>
          <w:tcPr>
            <w:tcW w:w="3639" w:type="dxa"/>
          </w:tcPr>
          <w:p w14:paraId="23579636" w14:textId="77777777" w:rsidR="006D5674" w:rsidRPr="00CE4B9E" w:rsidRDefault="006D5674" w:rsidP="006D5674">
            <w:pPr>
              <w:spacing w:after="0"/>
              <w:rPr>
                <w:rFonts w:cs="Arial"/>
                <w:b/>
                <w:bCs/>
                <w:szCs w:val="17"/>
              </w:rPr>
            </w:pPr>
            <w:r w:rsidRPr="00403149">
              <w:rPr>
                <w:rFonts w:eastAsia="Verdana" w:cs="Arial"/>
                <w:b/>
                <w:bCs/>
                <w:kern w:val="24"/>
                <w:szCs w:val="17"/>
              </w:rPr>
              <w:t>£6,000</w:t>
            </w:r>
          </w:p>
        </w:tc>
      </w:tr>
    </w:tbl>
    <w:p w14:paraId="3E65455A" w14:textId="74F774A7" w:rsidR="00D630DB" w:rsidRDefault="006F67DD" w:rsidP="00021EF3">
      <w:pPr>
        <w:pStyle w:val="Source"/>
        <w:rPr>
          <w:lang w:eastAsia="en-AU"/>
        </w:rPr>
      </w:pPr>
      <w:r>
        <w:t>Source: Deloitte Access Economics.</w:t>
      </w:r>
    </w:p>
    <w:p w14:paraId="0BC1F1BB" w14:textId="7F281A37" w:rsidR="00D630DB" w:rsidRPr="00D630DB" w:rsidRDefault="00D630DB" w:rsidP="00021EF3">
      <w:pPr>
        <w:pStyle w:val="Appendixhead2"/>
      </w:pPr>
      <w:bookmarkStart w:id="559" w:name="_Toc173244988"/>
      <w:bookmarkStart w:id="560" w:name="_Toc173246325"/>
      <w:bookmarkStart w:id="561" w:name="_Toc173308321"/>
      <w:bookmarkStart w:id="562" w:name="_Toc173344743"/>
      <w:bookmarkStart w:id="563" w:name="_Toc173344970"/>
      <w:bookmarkStart w:id="564" w:name="_Ref173415390"/>
      <w:bookmarkStart w:id="565" w:name="_Toc173915936"/>
      <w:bookmarkStart w:id="566" w:name="_Toc174118195"/>
      <w:bookmarkStart w:id="567" w:name="_Toc176516317"/>
      <w:r>
        <w:t>Sub-national policy responses</w:t>
      </w:r>
      <w:bookmarkEnd w:id="559"/>
      <w:bookmarkEnd w:id="560"/>
      <w:bookmarkEnd w:id="561"/>
      <w:bookmarkEnd w:id="562"/>
      <w:bookmarkEnd w:id="563"/>
      <w:bookmarkEnd w:id="564"/>
      <w:bookmarkEnd w:id="565"/>
      <w:bookmarkEnd w:id="566"/>
      <w:bookmarkEnd w:id="567"/>
    </w:p>
    <w:p w14:paraId="40877314" w14:textId="77777777" w:rsidR="00AA3FE8" w:rsidRPr="001C37F4" w:rsidRDefault="00AA3FE8" w:rsidP="00021EF3">
      <w:pPr>
        <w:pStyle w:val="Appendixhead3"/>
      </w:pPr>
      <w:bookmarkStart w:id="568" w:name="_Toc170913968"/>
      <w:bookmarkStart w:id="569" w:name="_Toc173244989"/>
      <w:bookmarkStart w:id="570" w:name="_Toc173246326"/>
      <w:bookmarkStart w:id="571" w:name="_Toc173308322"/>
      <w:bookmarkStart w:id="572" w:name="_Toc173344744"/>
      <w:bookmarkStart w:id="573" w:name="_Toc173344971"/>
      <w:bookmarkStart w:id="574" w:name="_Toc173915937"/>
      <w:bookmarkStart w:id="575" w:name="_Toc174118196"/>
      <w:bookmarkStart w:id="576" w:name="_Toc176516318"/>
      <w:r>
        <w:t>Sub-national government support programs</w:t>
      </w:r>
      <w:bookmarkEnd w:id="568"/>
      <w:bookmarkEnd w:id="569"/>
      <w:bookmarkEnd w:id="570"/>
      <w:bookmarkEnd w:id="571"/>
      <w:bookmarkEnd w:id="572"/>
      <w:bookmarkEnd w:id="573"/>
      <w:bookmarkEnd w:id="574"/>
      <w:bookmarkEnd w:id="575"/>
      <w:bookmarkEnd w:id="576"/>
      <w:r>
        <w:t xml:space="preserve"> </w:t>
      </w:r>
    </w:p>
    <w:p w14:paraId="2756A6ED" w14:textId="3F81A764" w:rsidR="00AA3FE8" w:rsidRDefault="00AA3FE8" w:rsidP="00021EF3">
      <w:r>
        <w:t xml:space="preserve">State and territory governments in many jurisdictions provided grants to businesses to supplement </w:t>
      </w:r>
      <w:r w:rsidR="00FC0D00">
        <w:t>C</w:t>
      </w:r>
      <w:r>
        <w:t>ommonwealth grants and subsidies. Their purpose was to support businesses amidst a loss of income associated with restrictions. Some supports were one-off grants, while others were recurring payments on a weekly or monthly basis. Grants provided by state and territory governments were specific to particular periods of restrictions or types of public health restrictions (e.g.</w:t>
      </w:r>
      <w:r w:rsidR="006A79AA">
        <w:t>,</w:t>
      </w:r>
      <w:r>
        <w:t xml:space="preserve"> border closures) but often much smaller. </w:t>
      </w:r>
    </w:p>
    <w:p w14:paraId="424E91B6" w14:textId="77777777" w:rsidR="00AA3FE8" w:rsidRDefault="00AA3FE8" w:rsidP="00021EF3">
      <w:r>
        <w:t xml:space="preserve">A key distinction between Australia and comparable jurisdictions overseas is that the primary Australian Government subsidy program, </w:t>
      </w:r>
      <w:proofErr w:type="spellStart"/>
      <w:r>
        <w:t>JobKeeper</w:t>
      </w:r>
      <w:proofErr w:type="spellEnd"/>
      <w:r>
        <w:t>, was phased out relatively early in 2021. This motivated state and territory governments to introduce or significantly increase business support programs to a level not seen sub-nationally elsewhere.</w:t>
      </w:r>
      <w:r>
        <w:rPr>
          <w:rStyle w:val="FootnoteReference"/>
        </w:rPr>
        <w:footnoteReference w:id="10"/>
      </w:r>
      <w:r>
        <w:t xml:space="preserve"> </w:t>
      </w:r>
    </w:p>
    <w:p w14:paraId="5B38D51F" w14:textId="60AC6B9E" w:rsidR="00AA3FE8" w:rsidRDefault="00AA3FE8" w:rsidP="00021EF3">
      <w:pPr>
        <w:rPr>
          <w:rFonts w:cs="Arial"/>
        </w:rPr>
      </w:pPr>
      <w:r>
        <w:t xml:space="preserve">For example, in </w:t>
      </w:r>
      <w:r w:rsidRPr="00403149">
        <w:rPr>
          <w:b/>
        </w:rPr>
        <w:t>Canada</w:t>
      </w:r>
      <w:r>
        <w:t>, while the federal response consisted primarily of wage and rent subsidies, the Ontario Small Business Support Grant (C$939 million) provided $</w:t>
      </w:r>
      <w:r>
        <w:rPr>
          <w:rFonts w:cs="Arial"/>
        </w:rPr>
        <w:t xml:space="preserve">10,000 to $20,000 one-off grants for small businesses in the Ontario province </w:t>
      </w:r>
      <w:r w:rsidR="006A79AA">
        <w:rPr>
          <w:rFonts w:cs="Arial"/>
        </w:rPr>
        <w:t xml:space="preserve">that </w:t>
      </w:r>
      <w:r>
        <w:rPr>
          <w:rFonts w:cs="Arial"/>
        </w:rPr>
        <w:t>were severely impacted by specific periods of restrictions over winter in 2020.</w:t>
      </w:r>
      <w:r>
        <w:rPr>
          <w:rStyle w:val="EndnoteReference"/>
          <w:rFonts w:cs="Arial"/>
        </w:rPr>
        <w:endnoteReference w:id="75"/>
      </w:r>
      <w:r>
        <w:rPr>
          <w:rFonts w:cs="Arial"/>
        </w:rPr>
        <w:t xml:space="preserve"> While a large expenditure for the province </w:t>
      </w:r>
      <w:r w:rsidR="00862F48">
        <w:rPr>
          <w:rFonts w:cs="Arial"/>
        </w:rPr>
        <w:t>was</w:t>
      </w:r>
      <w:r>
        <w:rPr>
          <w:rFonts w:cs="Arial"/>
        </w:rPr>
        <w:t xml:space="preserve"> at 0.12 per cent of gross product, it was relatively small compared to expenditure by some Australian states and territories on business support. </w:t>
      </w:r>
    </w:p>
    <w:p w14:paraId="2E54F695" w14:textId="0A4B93E5" w:rsidR="00AA3FE8" w:rsidRDefault="00AA3FE8" w:rsidP="00021EF3">
      <w:r>
        <w:rPr>
          <w:rFonts w:cs="Arial"/>
        </w:rPr>
        <w:t xml:space="preserve">Likewise, the </w:t>
      </w:r>
      <w:r w:rsidRPr="00403149">
        <w:rPr>
          <w:rFonts w:cs="Arial"/>
          <w:b/>
        </w:rPr>
        <w:t>UK</w:t>
      </w:r>
      <w:r>
        <w:rPr>
          <w:rFonts w:cs="Arial"/>
        </w:rPr>
        <w:t xml:space="preserve"> </w:t>
      </w:r>
      <w:r>
        <w:t xml:space="preserve">introduced Local Restrictions Support Grants (approximately </w:t>
      </w:r>
      <w:r>
        <w:rPr>
          <w:rFonts w:cs="Arial"/>
        </w:rPr>
        <w:t>£</w:t>
      </w:r>
      <w:r>
        <w:t>10.6 billion) in March 2020 for businesses in certain regions.</w:t>
      </w:r>
      <w:r>
        <w:rPr>
          <w:rStyle w:val="EndnoteReference"/>
        </w:rPr>
        <w:endnoteReference w:id="76"/>
      </w:r>
      <w:r>
        <w:t xml:space="preserve"> Though initiated federally, the Local Restriction Support Grants functioned like state grants in that they were distributed through local authorities. However, these grants were recurring and provided relatively more funding overall to businesses </w:t>
      </w:r>
      <w:r w:rsidR="00862F48">
        <w:t xml:space="preserve">that </w:t>
      </w:r>
      <w:r>
        <w:t>were forced to close or could remain open but were severely impacted by COVID-19</w:t>
      </w:r>
      <w:r w:rsidR="001A63B1">
        <w:t xml:space="preserve"> pandemic</w:t>
      </w:r>
      <w:r>
        <w:t xml:space="preserve"> restrictions (</w:t>
      </w:r>
      <w:r>
        <w:rPr>
          <w:rFonts w:cs="Arial"/>
        </w:rPr>
        <w:t>£</w:t>
      </w:r>
      <w:r>
        <w:t xml:space="preserve">2,100 to </w:t>
      </w:r>
      <w:r>
        <w:rPr>
          <w:rFonts w:cs="Arial"/>
        </w:rPr>
        <w:t>£</w:t>
      </w:r>
      <w:r>
        <w:t>3,000 per month).</w:t>
      </w:r>
      <w:r>
        <w:rPr>
          <w:rStyle w:val="EndnoteReference"/>
        </w:rPr>
        <w:endnoteReference w:id="77"/>
      </w:r>
    </w:p>
    <w:p w14:paraId="0C847053" w14:textId="40C57855" w:rsidR="00AA3FE8" w:rsidRDefault="00AA3FE8" w:rsidP="00021EF3">
      <w:r>
        <w:t xml:space="preserve">In the early stages of the pandemic, some Australian state and territory governments supplemented Commonwealth business support payments with state-level grants. In </w:t>
      </w:r>
      <w:r w:rsidRPr="00403149">
        <w:rPr>
          <w:b/>
        </w:rPr>
        <w:t>Victoria</w:t>
      </w:r>
      <w:r w:rsidR="00A549BE">
        <w:rPr>
          <w:b/>
        </w:rPr>
        <w:t>,</w:t>
      </w:r>
      <w:r>
        <w:t xml:space="preserve"> the $1.3 billion Business Support Fund provided $10,000 grants to eligible businesses between May and June 2020. At 0.28 per cent of Victoria’s GSP, this was a significant business support expenditure for a broad range of businesses compared to other jurisdictions in 2020, where support was targeted to particular localities and on a smaller scale. In </w:t>
      </w:r>
      <w:r w:rsidRPr="00403149">
        <w:rPr>
          <w:b/>
        </w:rPr>
        <w:t>NSW</w:t>
      </w:r>
      <w:r>
        <w:t>, the largest expenditure at this time equated to only 0.08 per cent of the state’s GSP. This expenditure was a $10,000 Small Business Support Grant, introduced to support the ongoing operation and survival of small businesses by meeting their fixed costs while they experienced a revenue downturn. This was followed by a smaller $3,000 recovery grant to help small businesses meet the costs of safely reopening or upscaling operations once public health restrictions lifted.</w:t>
      </w:r>
      <w:r w:rsidRPr="002C53C9">
        <w:t xml:space="preserve"> </w:t>
      </w:r>
      <w:r>
        <w:t>Southern Border Small Business Support Grants ($15.3 million) were subsequently introduced to recognise the economic impacts of state border closures on business activity. However, in most other jurisdictions, there was limited to no additional business support in the form of grants provided by state and territory governments throughout 2020.</w:t>
      </w:r>
    </w:p>
    <w:p w14:paraId="4FD5CA7C" w14:textId="77777777" w:rsidR="00AA3FE8" w:rsidRDefault="00AA3FE8" w:rsidP="00021EF3">
      <w:r w:rsidRPr="00403149">
        <w:t xml:space="preserve">In 2021, business support provided by Australian state and territory governments expanded, particularly in Victoria and NSW, which spent significantly more than other Australian jurisdictions. </w:t>
      </w:r>
      <w:r>
        <w:t>G</w:t>
      </w:r>
      <w:r w:rsidRPr="0084291C">
        <w:t xml:space="preserve">rants varied in size between $6,000 and $100,000 per business and were mostly broad-based grants targeting small to medium businesses experiencing significant hardship. </w:t>
      </w:r>
    </w:p>
    <w:p w14:paraId="57C5E8F0" w14:textId="1E3454A1" w:rsidR="00AA3FE8" w:rsidRPr="0084291C" w:rsidRDefault="00AA3FE8" w:rsidP="00021EF3">
      <w:r>
        <w:t>G</w:t>
      </w:r>
      <w:r w:rsidRPr="0084291C">
        <w:t>rant</w:t>
      </w:r>
      <w:r>
        <w:t xml:space="preserve"> programs</w:t>
      </w:r>
      <w:r w:rsidRPr="0084291C">
        <w:t xml:space="preserve"> were </w:t>
      </w:r>
      <w:r>
        <w:t xml:space="preserve">often </w:t>
      </w:r>
      <w:r w:rsidRPr="0084291C">
        <w:t>expanded</w:t>
      </w:r>
      <w:r>
        <w:t xml:space="preserve"> as the pandemic progressed.</w:t>
      </w:r>
      <w:r w:rsidRPr="0084291C">
        <w:t xml:space="preserve"> For example, the </w:t>
      </w:r>
      <w:r>
        <w:t xml:space="preserve">initial </w:t>
      </w:r>
      <w:r w:rsidR="00AA1D65">
        <w:t xml:space="preserve">QLD </w:t>
      </w:r>
      <w:r w:rsidRPr="0084291C">
        <w:t xml:space="preserve">2021 COVID-19 Business Support Grants </w:t>
      </w:r>
      <w:r>
        <w:t>program</w:t>
      </w:r>
      <w:r w:rsidRPr="0084291C">
        <w:t xml:space="preserve"> was extended to businesses on the border of NSW and </w:t>
      </w:r>
      <w:r w:rsidR="00AA1D65">
        <w:t>QLD</w:t>
      </w:r>
      <w:r w:rsidR="00AA1D65" w:rsidRPr="0084291C">
        <w:t xml:space="preserve"> </w:t>
      </w:r>
      <w:r w:rsidR="00862F48">
        <w:t>that</w:t>
      </w:r>
      <w:r w:rsidR="00862F48" w:rsidRPr="0084291C">
        <w:t xml:space="preserve"> </w:t>
      </w:r>
      <w:r w:rsidRPr="0084291C">
        <w:t>were previously ineligible for state-administered grants.</w:t>
      </w:r>
      <w:r w:rsidRPr="0084291C">
        <w:rPr>
          <w:rStyle w:val="EndnoteReference"/>
        </w:rPr>
        <w:endnoteReference w:id="78"/>
      </w:r>
      <w:r w:rsidRPr="0084291C">
        <w:t xml:space="preserve"> In NSW, multiple extensions and amendments to programs </w:t>
      </w:r>
      <w:r>
        <w:t xml:space="preserve">such as </w:t>
      </w:r>
      <w:proofErr w:type="spellStart"/>
      <w:r w:rsidRPr="0084291C">
        <w:t>JobSaver</w:t>
      </w:r>
      <w:proofErr w:type="spellEnd"/>
      <w:r w:rsidRPr="0084291C">
        <w:t xml:space="preserve"> expanded the eligibility to include more impacted sectors and NFPs, while payments were steadily tapered down as public health restrictions eased.</w:t>
      </w:r>
      <w:r w:rsidRPr="0084291C">
        <w:rPr>
          <w:rStyle w:val="EndnoteReference"/>
        </w:rPr>
        <w:t xml:space="preserve"> </w:t>
      </w:r>
      <w:r w:rsidRPr="0084291C">
        <w:rPr>
          <w:rStyle w:val="EndnoteReference"/>
        </w:rPr>
        <w:endnoteReference w:id="79"/>
      </w:r>
      <w:r w:rsidRPr="0084291C">
        <w:t xml:space="preserve"> For two jurisdictions (NSW and NT), some grants were recurring on a weekly basis.</w:t>
      </w:r>
      <w:r w:rsidRPr="0084291C">
        <w:rPr>
          <w:rStyle w:val="EndnoteReference"/>
        </w:rPr>
        <w:endnoteReference w:id="80"/>
      </w:r>
      <w:r w:rsidRPr="0084291C">
        <w:t xml:space="preserve"> NSW was also the only state or territory jurisdiction where some business support was more reminiscent of a wage subsidy like </w:t>
      </w:r>
      <w:proofErr w:type="spellStart"/>
      <w:r w:rsidRPr="0084291C">
        <w:t>JobKeeper</w:t>
      </w:r>
      <w:proofErr w:type="spellEnd"/>
      <w:r w:rsidRPr="0084291C">
        <w:t xml:space="preserve"> than a grant, paid at a set rate of payroll.</w:t>
      </w:r>
    </w:p>
    <w:p w14:paraId="5E861C9F" w14:textId="77777777" w:rsidR="00AA3FE8" w:rsidRDefault="00AA3FE8" w:rsidP="00021EF3">
      <w:r w:rsidRPr="00A92A28">
        <w:t>In Victoria, $11 billion (</w:t>
      </w:r>
      <w:r>
        <w:t>2.2</w:t>
      </w:r>
      <w:r w:rsidRPr="00E914DF">
        <w:t xml:space="preserve"> </w:t>
      </w:r>
      <w:r>
        <w:t>per cent</w:t>
      </w:r>
      <w:r w:rsidRPr="00A92A28">
        <w:t xml:space="preserve"> of GSP) was spent on business support during the pandemic in 2020 and 2021, with $7.6 billion of this across three key programs</w:t>
      </w:r>
      <w:r>
        <w:t xml:space="preserve"> and the remainder across a large number of smaller programs</w:t>
      </w:r>
      <w:r w:rsidRPr="00A92A28">
        <w:t>. In NSW, a similar amount was spent on business support at $1</w:t>
      </w:r>
      <w:r>
        <w:t>1.5</w:t>
      </w:r>
      <w:r w:rsidRPr="00A92A28">
        <w:t xml:space="preserve"> billion (1.</w:t>
      </w:r>
      <w:r>
        <w:t>7</w:t>
      </w:r>
      <w:r w:rsidRPr="00E914DF">
        <w:t xml:space="preserve"> </w:t>
      </w:r>
      <w:r>
        <w:t>per cent</w:t>
      </w:r>
      <w:r w:rsidRPr="00A92A28">
        <w:t xml:space="preserve"> of GSP)</w:t>
      </w:r>
      <w:r>
        <w:t>, but primarily concentrated within three programs in 2021</w:t>
      </w:r>
      <w:r w:rsidRPr="00A92A28" w:rsidDel="007222D4">
        <w:t>.</w:t>
      </w:r>
      <w:r>
        <w:rPr>
          <w:rStyle w:val="EndnoteReference"/>
        </w:rPr>
        <w:endnoteReference w:id="81"/>
      </w:r>
    </w:p>
    <w:p w14:paraId="5A04ED02" w14:textId="4665B221" w:rsidR="00AA3FE8" w:rsidRDefault="00AA3FE8" w:rsidP="00021EF3">
      <w:r>
        <w:lastRenderedPageBreak/>
        <w:t xml:space="preserve">Further detail on Australian sub-national grants is summarised in </w:t>
      </w:r>
      <w:r w:rsidR="00B4658C" w:rsidRPr="00494F99">
        <w:fldChar w:fldCharType="begin"/>
      </w:r>
      <w:r w:rsidR="00B4658C" w:rsidRPr="00494F99">
        <w:instrText xml:space="preserve"> REF _Ref170829337 \r \h  \* MERGEFORMAT </w:instrText>
      </w:r>
      <w:r w:rsidR="00B4658C" w:rsidRPr="00494F99">
        <w:fldChar w:fldCharType="separate"/>
      </w:r>
      <w:r w:rsidR="0016271C">
        <w:t>Table C.3</w:t>
      </w:r>
      <w:r w:rsidR="00B4658C" w:rsidRPr="00494F99">
        <w:fldChar w:fldCharType="end"/>
      </w:r>
      <w:r w:rsidRPr="00494F99">
        <w:t>.</w:t>
      </w:r>
    </w:p>
    <w:p w14:paraId="02BCC5A5" w14:textId="749E7981" w:rsidR="006F67DD" w:rsidRDefault="006F67DD" w:rsidP="00021EF3">
      <w:pPr>
        <w:pStyle w:val="AppendixTableCaption"/>
      </w:pPr>
      <w:bookmarkStart w:id="577" w:name="_Ref170495641"/>
      <w:bookmarkStart w:id="578" w:name="_Ref170829337"/>
      <w:bookmarkStart w:id="579" w:name="_Ref170926095"/>
      <w:r>
        <w:t>: Business support provided by Australian state and territory governments</w:t>
      </w:r>
      <w:bookmarkEnd w:id="577"/>
      <w:r w:rsidR="009136CE">
        <w:t>.</w:t>
      </w:r>
      <w:r>
        <w:rPr>
          <w:rStyle w:val="FootnoteReference"/>
        </w:rPr>
        <w:footnoteReference w:id="11"/>
      </w:r>
      <w:bookmarkEnd w:id="578"/>
      <w:bookmarkEnd w:id="579"/>
    </w:p>
    <w:tbl>
      <w:tblPr>
        <w:tblStyle w:val="Deloittetable"/>
        <w:tblW w:w="0" w:type="auto"/>
        <w:tblLook w:val="04A0" w:firstRow="1" w:lastRow="0" w:firstColumn="1" w:lastColumn="0" w:noHBand="0" w:noVBand="1"/>
      </w:tblPr>
      <w:tblGrid>
        <w:gridCol w:w="1078"/>
        <w:gridCol w:w="1445"/>
        <w:gridCol w:w="946"/>
        <w:gridCol w:w="1570"/>
        <w:gridCol w:w="3987"/>
      </w:tblGrid>
      <w:tr w:rsidR="006F67DD" w:rsidRPr="007A02C1" w14:paraId="15DF25FC" w14:textId="77777777" w:rsidTr="007946FD">
        <w:trPr>
          <w:cnfStyle w:val="100000000000" w:firstRow="1" w:lastRow="0" w:firstColumn="0" w:lastColumn="0" w:oddVBand="0" w:evenVBand="0" w:oddHBand="0" w:evenHBand="0" w:firstRowFirstColumn="0" w:firstRowLastColumn="0" w:lastRowFirstColumn="0" w:lastRowLastColumn="0"/>
          <w:tblHeader/>
        </w:trPr>
        <w:tc>
          <w:tcPr>
            <w:tcW w:w="1078" w:type="dxa"/>
          </w:tcPr>
          <w:p w14:paraId="1EF702B1" w14:textId="77777777" w:rsidR="006F67DD" w:rsidRPr="007A02C1" w:rsidRDefault="006F67DD" w:rsidP="00021EF3">
            <w:pPr>
              <w:spacing w:after="0"/>
              <w:rPr>
                <w:rFonts w:cs="Arial"/>
                <w:b/>
                <w:szCs w:val="17"/>
              </w:rPr>
            </w:pPr>
            <w:r w:rsidRPr="007A02C1">
              <w:rPr>
                <w:rFonts w:cs="Arial"/>
                <w:b/>
                <w:szCs w:val="17"/>
              </w:rPr>
              <w:t>Jurisdiction</w:t>
            </w:r>
          </w:p>
        </w:tc>
        <w:tc>
          <w:tcPr>
            <w:tcW w:w="1445" w:type="dxa"/>
          </w:tcPr>
          <w:p w14:paraId="052EF92D" w14:textId="77777777" w:rsidR="006F67DD" w:rsidRPr="007A02C1" w:rsidRDefault="006F67DD" w:rsidP="00021EF3">
            <w:pPr>
              <w:spacing w:after="0"/>
              <w:rPr>
                <w:rFonts w:cs="Arial"/>
                <w:b/>
                <w:szCs w:val="17"/>
              </w:rPr>
            </w:pPr>
            <w:r w:rsidRPr="007A02C1">
              <w:rPr>
                <w:rFonts w:cs="Arial"/>
                <w:b/>
                <w:szCs w:val="17"/>
              </w:rPr>
              <w:t>Support</w:t>
            </w:r>
          </w:p>
        </w:tc>
        <w:tc>
          <w:tcPr>
            <w:tcW w:w="946" w:type="dxa"/>
          </w:tcPr>
          <w:p w14:paraId="7619F8A7" w14:textId="77777777" w:rsidR="006F67DD" w:rsidRPr="007A02C1" w:rsidRDefault="006F67DD" w:rsidP="00021EF3">
            <w:pPr>
              <w:spacing w:after="0"/>
              <w:rPr>
                <w:rFonts w:cs="Arial"/>
                <w:b/>
                <w:szCs w:val="17"/>
              </w:rPr>
            </w:pPr>
            <w:r w:rsidRPr="007A02C1">
              <w:rPr>
                <w:rFonts w:cs="Arial"/>
                <w:b/>
                <w:szCs w:val="17"/>
              </w:rPr>
              <w:t>Date</w:t>
            </w:r>
          </w:p>
        </w:tc>
        <w:tc>
          <w:tcPr>
            <w:tcW w:w="1570" w:type="dxa"/>
          </w:tcPr>
          <w:p w14:paraId="5D651F8B" w14:textId="77777777" w:rsidR="006F67DD" w:rsidRPr="007A02C1" w:rsidRDefault="006F67DD" w:rsidP="00021EF3">
            <w:pPr>
              <w:spacing w:after="0"/>
              <w:rPr>
                <w:rFonts w:cs="Arial"/>
                <w:b/>
                <w:szCs w:val="17"/>
              </w:rPr>
            </w:pPr>
            <w:r w:rsidRPr="000A72F7">
              <w:rPr>
                <w:rFonts w:cs="Arial"/>
                <w:b/>
                <w:bCs/>
                <w:szCs w:val="17"/>
              </w:rPr>
              <w:t>Spend as % of G</w:t>
            </w:r>
            <w:r>
              <w:rPr>
                <w:rFonts w:cs="Arial"/>
                <w:b/>
                <w:bCs/>
                <w:szCs w:val="17"/>
              </w:rPr>
              <w:t>S</w:t>
            </w:r>
            <w:r w:rsidRPr="000A72F7">
              <w:rPr>
                <w:rFonts w:cs="Arial"/>
                <w:b/>
                <w:bCs/>
                <w:szCs w:val="17"/>
              </w:rPr>
              <w:t>P (dollar value)</w:t>
            </w:r>
          </w:p>
        </w:tc>
        <w:tc>
          <w:tcPr>
            <w:tcW w:w="3987" w:type="dxa"/>
          </w:tcPr>
          <w:p w14:paraId="0B780186" w14:textId="77777777" w:rsidR="006F67DD" w:rsidRPr="007A02C1" w:rsidRDefault="006F67DD" w:rsidP="00021EF3">
            <w:pPr>
              <w:spacing w:after="0"/>
              <w:rPr>
                <w:rFonts w:cs="Arial"/>
                <w:b/>
                <w:szCs w:val="17"/>
              </w:rPr>
            </w:pPr>
            <w:r w:rsidRPr="007A02C1">
              <w:rPr>
                <w:rFonts w:cs="Arial"/>
                <w:b/>
                <w:szCs w:val="17"/>
              </w:rPr>
              <w:t>Support amount per business</w:t>
            </w:r>
          </w:p>
        </w:tc>
      </w:tr>
      <w:tr w:rsidR="006D5674" w:rsidRPr="007A02C1" w14:paraId="02C0D4BF" w14:textId="77777777" w:rsidTr="007946FD">
        <w:tc>
          <w:tcPr>
            <w:tcW w:w="1078" w:type="dxa"/>
          </w:tcPr>
          <w:p w14:paraId="2CC0DFC8" w14:textId="744E6303" w:rsidR="006D5674" w:rsidRPr="007A02C1" w:rsidRDefault="006D5674" w:rsidP="00021EF3">
            <w:pPr>
              <w:spacing w:after="0"/>
              <w:rPr>
                <w:rFonts w:cs="Arial"/>
                <w:b/>
                <w:szCs w:val="17"/>
              </w:rPr>
            </w:pPr>
            <w:r w:rsidRPr="007A02C1">
              <w:rPr>
                <w:rFonts w:cs="Arial"/>
                <w:b/>
                <w:szCs w:val="17"/>
              </w:rPr>
              <w:t>V</w:t>
            </w:r>
            <w:r>
              <w:rPr>
                <w:rFonts w:cs="Arial"/>
                <w:b/>
                <w:szCs w:val="17"/>
              </w:rPr>
              <w:t>ictoria</w:t>
            </w:r>
          </w:p>
        </w:tc>
        <w:tc>
          <w:tcPr>
            <w:tcW w:w="1445" w:type="dxa"/>
          </w:tcPr>
          <w:p w14:paraId="7E55CE13" w14:textId="77777777" w:rsidR="006D5674" w:rsidRPr="007A02C1" w:rsidRDefault="006D5674" w:rsidP="00021EF3">
            <w:pPr>
              <w:spacing w:after="0"/>
              <w:rPr>
                <w:rFonts w:cs="Arial"/>
                <w:szCs w:val="17"/>
              </w:rPr>
            </w:pPr>
            <w:r w:rsidRPr="007A02C1">
              <w:rPr>
                <w:rFonts w:cs="Arial"/>
                <w:szCs w:val="17"/>
              </w:rPr>
              <w:t>Business Support Fund</w:t>
            </w:r>
          </w:p>
        </w:tc>
        <w:tc>
          <w:tcPr>
            <w:tcW w:w="946" w:type="dxa"/>
          </w:tcPr>
          <w:p w14:paraId="3CCFA79D" w14:textId="44FEBB94" w:rsidR="006D5674" w:rsidRPr="007A02C1" w:rsidRDefault="006D5674" w:rsidP="00021EF3">
            <w:pPr>
              <w:spacing w:after="0"/>
              <w:rPr>
                <w:rFonts w:cs="Arial"/>
                <w:szCs w:val="17"/>
              </w:rPr>
            </w:pPr>
            <w:r w:rsidRPr="007A02C1">
              <w:rPr>
                <w:rFonts w:cs="Arial"/>
                <w:szCs w:val="17"/>
              </w:rPr>
              <w:t>May 2020</w:t>
            </w:r>
            <w:r>
              <w:rPr>
                <w:rFonts w:cs="Arial"/>
                <w:szCs w:val="17"/>
              </w:rPr>
              <w:t xml:space="preserve"> </w:t>
            </w:r>
            <w:r w:rsidRPr="007A02C1">
              <w:rPr>
                <w:rFonts w:cs="Arial"/>
                <w:szCs w:val="17"/>
              </w:rPr>
              <w:t>to June 2020</w:t>
            </w:r>
          </w:p>
        </w:tc>
        <w:tc>
          <w:tcPr>
            <w:tcW w:w="1570" w:type="dxa"/>
          </w:tcPr>
          <w:p w14:paraId="055DFD7E" w14:textId="77777777" w:rsidR="006D5674" w:rsidRPr="007A02C1" w:rsidRDefault="006D5674" w:rsidP="00021EF3">
            <w:pPr>
              <w:spacing w:after="0"/>
              <w:rPr>
                <w:rFonts w:cs="Arial"/>
                <w:szCs w:val="17"/>
              </w:rPr>
            </w:pPr>
            <w:r w:rsidRPr="007A02C1">
              <w:rPr>
                <w:rFonts w:cs="Arial"/>
                <w:szCs w:val="17"/>
              </w:rPr>
              <w:t>0.28% ($1.3 billion)</w:t>
            </w:r>
          </w:p>
        </w:tc>
        <w:tc>
          <w:tcPr>
            <w:tcW w:w="3987" w:type="dxa"/>
          </w:tcPr>
          <w:p w14:paraId="01D27AE2" w14:textId="77777777" w:rsidR="006D5674" w:rsidRPr="007A02C1" w:rsidRDefault="006D5674" w:rsidP="00021EF3">
            <w:pPr>
              <w:spacing w:after="0"/>
              <w:rPr>
                <w:rFonts w:cs="Arial"/>
                <w:szCs w:val="17"/>
              </w:rPr>
            </w:pPr>
            <w:r w:rsidRPr="007A02C1">
              <w:rPr>
                <w:rFonts w:cs="Arial"/>
                <w:b/>
                <w:szCs w:val="17"/>
              </w:rPr>
              <w:t>$10,000</w:t>
            </w:r>
            <w:r w:rsidRPr="007A02C1">
              <w:rPr>
                <w:rFonts w:cs="Arial"/>
                <w:szCs w:val="17"/>
              </w:rPr>
              <w:t>, one-off</w:t>
            </w:r>
          </w:p>
        </w:tc>
      </w:tr>
      <w:tr w:rsidR="006D5674" w:rsidRPr="007A02C1" w14:paraId="2D42CCE7" w14:textId="77777777" w:rsidTr="007946FD">
        <w:tc>
          <w:tcPr>
            <w:tcW w:w="1078" w:type="dxa"/>
          </w:tcPr>
          <w:p w14:paraId="3AAE500C" w14:textId="4CD07D12" w:rsidR="006D5674" w:rsidRPr="007A02C1" w:rsidRDefault="006D5674" w:rsidP="006D5674">
            <w:pPr>
              <w:spacing w:after="0"/>
              <w:rPr>
                <w:rFonts w:cs="Arial"/>
                <w:b/>
                <w:szCs w:val="17"/>
              </w:rPr>
            </w:pPr>
            <w:r w:rsidRPr="007A02C1">
              <w:rPr>
                <w:rFonts w:cs="Arial"/>
                <w:b/>
                <w:szCs w:val="17"/>
              </w:rPr>
              <w:t>V</w:t>
            </w:r>
            <w:r>
              <w:rPr>
                <w:rFonts w:cs="Arial"/>
                <w:b/>
                <w:szCs w:val="17"/>
              </w:rPr>
              <w:t>ictoria</w:t>
            </w:r>
          </w:p>
        </w:tc>
        <w:tc>
          <w:tcPr>
            <w:tcW w:w="1445" w:type="dxa"/>
          </w:tcPr>
          <w:p w14:paraId="4C41B0B9" w14:textId="746BB3E4" w:rsidR="006D5674" w:rsidRPr="007A02C1" w:rsidRDefault="006D5674" w:rsidP="006D5674">
            <w:pPr>
              <w:spacing w:after="0"/>
              <w:rPr>
                <w:rFonts w:cs="Arial"/>
                <w:szCs w:val="17"/>
              </w:rPr>
            </w:pPr>
            <w:r>
              <w:rPr>
                <w:rFonts w:cs="Arial"/>
                <w:szCs w:val="17"/>
              </w:rPr>
              <w:t>LHVF</w:t>
            </w:r>
          </w:p>
        </w:tc>
        <w:tc>
          <w:tcPr>
            <w:tcW w:w="946" w:type="dxa"/>
          </w:tcPr>
          <w:p w14:paraId="0F258FA3" w14:textId="31927322" w:rsidR="006D5674" w:rsidRPr="007A02C1" w:rsidRDefault="006D5674" w:rsidP="006D5674">
            <w:pPr>
              <w:spacing w:after="0"/>
              <w:rPr>
                <w:rFonts w:cs="Arial"/>
                <w:szCs w:val="17"/>
              </w:rPr>
            </w:pPr>
            <w:r w:rsidRPr="007A02C1">
              <w:rPr>
                <w:rFonts w:cs="Arial"/>
                <w:szCs w:val="17"/>
              </w:rPr>
              <w:t>September 2020; June 2021</w:t>
            </w:r>
            <w:r>
              <w:rPr>
                <w:rFonts w:cs="Arial"/>
                <w:szCs w:val="17"/>
              </w:rPr>
              <w:t xml:space="preserve"> </w:t>
            </w:r>
            <w:r w:rsidRPr="007A02C1">
              <w:rPr>
                <w:rFonts w:cs="Arial"/>
                <w:szCs w:val="17"/>
              </w:rPr>
              <w:t>to November 2021</w:t>
            </w:r>
          </w:p>
        </w:tc>
        <w:tc>
          <w:tcPr>
            <w:tcW w:w="1570" w:type="dxa"/>
          </w:tcPr>
          <w:p w14:paraId="2F041F4E" w14:textId="77777777" w:rsidR="006D5674" w:rsidRPr="007A02C1" w:rsidRDefault="006D5674" w:rsidP="006D5674">
            <w:pPr>
              <w:spacing w:after="0"/>
              <w:rPr>
                <w:rFonts w:cs="Arial"/>
                <w:szCs w:val="17"/>
              </w:rPr>
            </w:pPr>
            <w:r w:rsidRPr="007A02C1">
              <w:rPr>
                <w:rFonts w:cs="Arial"/>
                <w:szCs w:val="17"/>
              </w:rPr>
              <w:t>0.27% ($1.4 billion)</w:t>
            </w:r>
          </w:p>
        </w:tc>
        <w:tc>
          <w:tcPr>
            <w:tcW w:w="3987" w:type="dxa"/>
          </w:tcPr>
          <w:p w14:paraId="4C31CAED" w14:textId="77777777" w:rsidR="006D5674" w:rsidRPr="007A02C1" w:rsidRDefault="006D5674" w:rsidP="006D5674">
            <w:pPr>
              <w:spacing w:after="0"/>
              <w:rPr>
                <w:rFonts w:cs="Arial"/>
                <w:b/>
                <w:szCs w:val="17"/>
              </w:rPr>
            </w:pPr>
            <w:r w:rsidRPr="007A02C1">
              <w:rPr>
                <w:rFonts w:cs="Arial"/>
                <w:b/>
                <w:szCs w:val="17"/>
              </w:rPr>
              <w:t xml:space="preserve">$3,500 - $30,000 </w:t>
            </w:r>
            <w:r w:rsidRPr="007A02C1">
              <w:rPr>
                <w:rFonts w:cs="Arial"/>
                <w:szCs w:val="17"/>
              </w:rPr>
              <w:t>depending on the round, varying between one-off and recurring weekly payments, with tiers based on patron capacity and location</w:t>
            </w:r>
          </w:p>
        </w:tc>
      </w:tr>
      <w:tr w:rsidR="006D5674" w:rsidRPr="007A02C1" w14:paraId="7E9941CE" w14:textId="77777777" w:rsidTr="007946FD">
        <w:tc>
          <w:tcPr>
            <w:tcW w:w="1078" w:type="dxa"/>
          </w:tcPr>
          <w:p w14:paraId="76BB757C" w14:textId="4511BF9D" w:rsidR="006D5674" w:rsidRPr="007A02C1" w:rsidRDefault="006D5674" w:rsidP="006D5674">
            <w:pPr>
              <w:spacing w:after="0"/>
              <w:rPr>
                <w:rFonts w:cs="Arial"/>
                <w:b/>
                <w:szCs w:val="17"/>
              </w:rPr>
            </w:pPr>
            <w:r w:rsidRPr="007A02C1">
              <w:rPr>
                <w:rFonts w:cs="Arial"/>
                <w:b/>
                <w:szCs w:val="17"/>
              </w:rPr>
              <w:t>V</w:t>
            </w:r>
            <w:r>
              <w:rPr>
                <w:rFonts w:cs="Arial"/>
                <w:b/>
                <w:szCs w:val="17"/>
              </w:rPr>
              <w:t>ictoria</w:t>
            </w:r>
          </w:p>
        </w:tc>
        <w:tc>
          <w:tcPr>
            <w:tcW w:w="1445" w:type="dxa"/>
          </w:tcPr>
          <w:p w14:paraId="1096FF66" w14:textId="75462345" w:rsidR="006D5674" w:rsidRPr="007A02C1" w:rsidRDefault="006D5674" w:rsidP="006D5674">
            <w:pPr>
              <w:spacing w:after="0"/>
              <w:rPr>
                <w:rFonts w:cs="Arial"/>
                <w:szCs w:val="17"/>
              </w:rPr>
            </w:pPr>
            <w:r>
              <w:rPr>
                <w:rFonts w:cs="Arial"/>
                <w:szCs w:val="17"/>
              </w:rPr>
              <w:t>BCAP</w:t>
            </w:r>
          </w:p>
        </w:tc>
        <w:tc>
          <w:tcPr>
            <w:tcW w:w="946" w:type="dxa"/>
          </w:tcPr>
          <w:p w14:paraId="0BD0AE85" w14:textId="12BEC7D3" w:rsidR="006D5674" w:rsidRPr="007A02C1" w:rsidRDefault="006D5674" w:rsidP="006D5674">
            <w:pPr>
              <w:spacing w:after="0"/>
              <w:rPr>
                <w:rFonts w:cs="Arial"/>
                <w:szCs w:val="17"/>
              </w:rPr>
            </w:pPr>
            <w:r w:rsidRPr="007A02C1">
              <w:rPr>
                <w:rFonts w:cs="Arial"/>
                <w:szCs w:val="17"/>
              </w:rPr>
              <w:t>February 2021; June 2021</w:t>
            </w:r>
            <w:r>
              <w:rPr>
                <w:rFonts w:cs="Arial"/>
                <w:szCs w:val="17"/>
              </w:rPr>
              <w:t xml:space="preserve"> </w:t>
            </w:r>
            <w:r w:rsidRPr="007A02C1">
              <w:rPr>
                <w:rFonts w:cs="Arial"/>
                <w:szCs w:val="17"/>
              </w:rPr>
              <w:t>to November 2021</w:t>
            </w:r>
          </w:p>
        </w:tc>
        <w:tc>
          <w:tcPr>
            <w:tcW w:w="1570" w:type="dxa"/>
          </w:tcPr>
          <w:p w14:paraId="5FC3DC36" w14:textId="77777777" w:rsidR="006D5674" w:rsidRPr="007A02C1" w:rsidRDefault="006D5674" w:rsidP="006D5674">
            <w:pPr>
              <w:spacing w:after="0"/>
              <w:rPr>
                <w:rFonts w:cs="Arial"/>
                <w:szCs w:val="17"/>
              </w:rPr>
            </w:pPr>
            <w:r w:rsidRPr="007A02C1">
              <w:rPr>
                <w:rFonts w:cs="Arial"/>
                <w:szCs w:val="17"/>
              </w:rPr>
              <w:t>0.98% ($5.0 billion)</w:t>
            </w:r>
          </w:p>
        </w:tc>
        <w:tc>
          <w:tcPr>
            <w:tcW w:w="3987" w:type="dxa"/>
          </w:tcPr>
          <w:p w14:paraId="77E3F0C9" w14:textId="77777777" w:rsidR="006D5674" w:rsidRPr="007A02C1" w:rsidRDefault="006D5674" w:rsidP="006D5674">
            <w:pPr>
              <w:spacing w:after="0"/>
              <w:rPr>
                <w:rFonts w:cs="Arial"/>
                <w:b/>
                <w:szCs w:val="17"/>
              </w:rPr>
            </w:pPr>
            <w:r w:rsidRPr="007A02C1">
              <w:rPr>
                <w:rFonts w:cs="Arial"/>
                <w:b/>
                <w:szCs w:val="17"/>
              </w:rPr>
              <w:t xml:space="preserve">$2,000 - $8,400 </w:t>
            </w:r>
            <w:r w:rsidRPr="007A02C1">
              <w:rPr>
                <w:rFonts w:cs="Arial"/>
                <w:szCs w:val="17"/>
              </w:rPr>
              <w:t>depending on the round, varying between one-off and recurring weekly payments, with tiers based on payroll</w:t>
            </w:r>
          </w:p>
        </w:tc>
      </w:tr>
      <w:tr w:rsidR="006D5674" w:rsidRPr="007A02C1" w14:paraId="24E59089" w14:textId="77777777" w:rsidTr="007946FD">
        <w:tc>
          <w:tcPr>
            <w:tcW w:w="1078" w:type="dxa"/>
          </w:tcPr>
          <w:p w14:paraId="587E8687" w14:textId="5EC99153" w:rsidR="006D5674" w:rsidRPr="007A02C1" w:rsidRDefault="006D5674" w:rsidP="006D5674">
            <w:pPr>
              <w:spacing w:after="0"/>
              <w:rPr>
                <w:rFonts w:cs="Arial"/>
                <w:b/>
                <w:szCs w:val="17"/>
              </w:rPr>
            </w:pPr>
            <w:r w:rsidRPr="007A02C1">
              <w:rPr>
                <w:rFonts w:cs="Arial"/>
                <w:b/>
                <w:szCs w:val="17"/>
              </w:rPr>
              <w:t>V</w:t>
            </w:r>
            <w:r>
              <w:rPr>
                <w:rFonts w:cs="Arial"/>
                <w:b/>
                <w:szCs w:val="17"/>
              </w:rPr>
              <w:t>ictoria</w:t>
            </w:r>
          </w:p>
        </w:tc>
        <w:tc>
          <w:tcPr>
            <w:tcW w:w="1445" w:type="dxa"/>
          </w:tcPr>
          <w:p w14:paraId="08FBCB47" w14:textId="77777777" w:rsidR="006D5674" w:rsidRPr="007A02C1" w:rsidRDefault="006D5674" w:rsidP="006D5674">
            <w:pPr>
              <w:spacing w:after="0"/>
              <w:rPr>
                <w:rFonts w:cs="Arial"/>
                <w:szCs w:val="17"/>
              </w:rPr>
            </w:pPr>
            <w:r w:rsidRPr="007A02C1">
              <w:rPr>
                <w:rFonts w:cs="Arial"/>
                <w:szCs w:val="17"/>
              </w:rPr>
              <w:t>Small Business COVID Hardship Fund</w:t>
            </w:r>
          </w:p>
        </w:tc>
        <w:tc>
          <w:tcPr>
            <w:tcW w:w="946" w:type="dxa"/>
          </w:tcPr>
          <w:p w14:paraId="3EB21B4A" w14:textId="241203E2" w:rsidR="006D5674" w:rsidRPr="007A02C1" w:rsidRDefault="006D5674" w:rsidP="006D5674">
            <w:pPr>
              <w:spacing w:after="0"/>
              <w:rPr>
                <w:rFonts w:cs="Arial"/>
                <w:szCs w:val="17"/>
              </w:rPr>
            </w:pPr>
            <w:r w:rsidRPr="007A02C1">
              <w:rPr>
                <w:rFonts w:cs="Arial"/>
                <w:szCs w:val="17"/>
              </w:rPr>
              <w:t>May</w:t>
            </w:r>
            <w:r>
              <w:rPr>
                <w:rFonts w:cs="Arial"/>
                <w:szCs w:val="17"/>
              </w:rPr>
              <w:t xml:space="preserve"> </w:t>
            </w:r>
            <w:r w:rsidRPr="007A02C1">
              <w:rPr>
                <w:rFonts w:cs="Arial"/>
                <w:szCs w:val="17"/>
              </w:rPr>
              <w:t>2021 to August 2021</w:t>
            </w:r>
          </w:p>
        </w:tc>
        <w:tc>
          <w:tcPr>
            <w:tcW w:w="1570" w:type="dxa"/>
          </w:tcPr>
          <w:p w14:paraId="51CDBE13" w14:textId="77777777" w:rsidR="006D5674" w:rsidRPr="007A02C1" w:rsidRDefault="006D5674" w:rsidP="006D5674">
            <w:pPr>
              <w:spacing w:after="0"/>
              <w:rPr>
                <w:rFonts w:cs="Arial"/>
                <w:szCs w:val="17"/>
              </w:rPr>
            </w:pPr>
            <w:r w:rsidRPr="007A02C1">
              <w:rPr>
                <w:rFonts w:cs="Arial"/>
                <w:szCs w:val="17"/>
              </w:rPr>
              <w:t>0.26% ($1.3 billion)</w:t>
            </w:r>
          </w:p>
        </w:tc>
        <w:tc>
          <w:tcPr>
            <w:tcW w:w="3987" w:type="dxa"/>
          </w:tcPr>
          <w:p w14:paraId="5D01B0B9" w14:textId="77777777" w:rsidR="006D5674" w:rsidRPr="007A02C1" w:rsidRDefault="006D5674" w:rsidP="006D5674">
            <w:pPr>
              <w:spacing w:after="0"/>
              <w:rPr>
                <w:rFonts w:cs="Arial"/>
                <w:szCs w:val="17"/>
              </w:rPr>
            </w:pPr>
            <w:r w:rsidRPr="007A02C1">
              <w:rPr>
                <w:rFonts w:cs="Arial"/>
                <w:b/>
                <w:szCs w:val="17"/>
              </w:rPr>
              <w:t>$20,000</w:t>
            </w:r>
            <w:r w:rsidRPr="007A02C1">
              <w:rPr>
                <w:rFonts w:cs="Arial"/>
                <w:szCs w:val="17"/>
              </w:rPr>
              <w:t>, one-off</w:t>
            </w:r>
          </w:p>
        </w:tc>
      </w:tr>
      <w:tr w:rsidR="006D5674" w:rsidRPr="007A02C1" w14:paraId="6D71E294" w14:textId="77777777" w:rsidTr="007946FD">
        <w:tc>
          <w:tcPr>
            <w:tcW w:w="1078" w:type="dxa"/>
          </w:tcPr>
          <w:p w14:paraId="15E69DC1" w14:textId="75D8F93C" w:rsidR="006D5674" w:rsidRPr="007A02C1" w:rsidRDefault="006D5674" w:rsidP="006D5674">
            <w:pPr>
              <w:spacing w:after="0"/>
              <w:rPr>
                <w:rFonts w:cs="Arial"/>
                <w:b/>
                <w:szCs w:val="17"/>
              </w:rPr>
            </w:pPr>
            <w:r w:rsidRPr="007A02C1">
              <w:rPr>
                <w:rFonts w:cs="Arial"/>
                <w:b/>
                <w:szCs w:val="17"/>
              </w:rPr>
              <w:t>V</w:t>
            </w:r>
            <w:r>
              <w:rPr>
                <w:rFonts w:cs="Arial"/>
                <w:b/>
                <w:szCs w:val="17"/>
              </w:rPr>
              <w:t>ictoria</w:t>
            </w:r>
          </w:p>
        </w:tc>
        <w:tc>
          <w:tcPr>
            <w:tcW w:w="1445" w:type="dxa"/>
          </w:tcPr>
          <w:p w14:paraId="4B3EC19D" w14:textId="77777777" w:rsidR="006D5674" w:rsidRPr="007A02C1" w:rsidRDefault="006D5674" w:rsidP="006D5674">
            <w:pPr>
              <w:spacing w:after="0"/>
              <w:rPr>
                <w:rFonts w:cs="Arial"/>
                <w:szCs w:val="17"/>
              </w:rPr>
            </w:pPr>
            <w:r w:rsidRPr="007A02C1">
              <w:rPr>
                <w:rFonts w:cs="Arial"/>
                <w:szCs w:val="17"/>
              </w:rPr>
              <w:t>Business Hardship Fund, Circuit Breaker Business Support Package, Hospitality Support Program and other COVID-19 Grants</w:t>
            </w:r>
          </w:p>
        </w:tc>
        <w:tc>
          <w:tcPr>
            <w:tcW w:w="946" w:type="dxa"/>
          </w:tcPr>
          <w:p w14:paraId="41968F55" w14:textId="77777777" w:rsidR="006D5674" w:rsidRPr="007A02C1" w:rsidRDefault="006D5674" w:rsidP="006D5674">
            <w:pPr>
              <w:spacing w:after="0"/>
              <w:rPr>
                <w:rFonts w:cs="Arial"/>
                <w:szCs w:val="17"/>
              </w:rPr>
            </w:pPr>
            <w:r w:rsidRPr="007A02C1">
              <w:rPr>
                <w:rFonts w:cs="Arial"/>
                <w:szCs w:val="17"/>
              </w:rPr>
              <w:t>May 2020 to December 2021</w:t>
            </w:r>
          </w:p>
        </w:tc>
        <w:tc>
          <w:tcPr>
            <w:tcW w:w="1570" w:type="dxa"/>
          </w:tcPr>
          <w:p w14:paraId="48058DEA" w14:textId="77777777" w:rsidR="006D5674" w:rsidRPr="007A02C1" w:rsidRDefault="006D5674" w:rsidP="006D5674">
            <w:pPr>
              <w:spacing w:after="0"/>
              <w:rPr>
                <w:rFonts w:cs="Arial"/>
                <w:szCs w:val="17"/>
              </w:rPr>
            </w:pPr>
            <w:r w:rsidRPr="007A02C1">
              <w:rPr>
                <w:rFonts w:cs="Arial"/>
                <w:szCs w:val="17"/>
              </w:rPr>
              <w:t>0.44% ($2.0 billion)</w:t>
            </w:r>
          </w:p>
        </w:tc>
        <w:tc>
          <w:tcPr>
            <w:tcW w:w="3987" w:type="dxa"/>
          </w:tcPr>
          <w:p w14:paraId="18222247" w14:textId="77777777" w:rsidR="006D5674" w:rsidRPr="007A02C1" w:rsidRDefault="006D5674" w:rsidP="006D5674">
            <w:pPr>
              <w:spacing w:after="0"/>
              <w:rPr>
                <w:rFonts w:cs="Arial"/>
                <w:b/>
                <w:szCs w:val="17"/>
              </w:rPr>
            </w:pPr>
            <w:r w:rsidRPr="007A02C1">
              <w:rPr>
                <w:rFonts w:cs="Arial"/>
                <w:b/>
                <w:szCs w:val="17"/>
              </w:rPr>
              <w:t xml:space="preserve">$250,000 </w:t>
            </w:r>
            <w:r w:rsidRPr="007A02C1">
              <w:rPr>
                <w:rFonts w:cs="Arial"/>
                <w:szCs w:val="17"/>
              </w:rPr>
              <w:t>to major event organisers, hosts and suppliers under Sustainable Event Business Program, one-off</w:t>
            </w:r>
          </w:p>
          <w:p w14:paraId="7089B038" w14:textId="77777777" w:rsidR="006D5674" w:rsidRPr="007A02C1" w:rsidRDefault="006D5674" w:rsidP="006D5674">
            <w:pPr>
              <w:spacing w:after="0"/>
              <w:rPr>
                <w:rFonts w:cs="Arial"/>
                <w:szCs w:val="17"/>
              </w:rPr>
            </w:pPr>
            <w:r w:rsidRPr="007A02C1">
              <w:rPr>
                <w:rFonts w:cs="Arial"/>
                <w:b/>
                <w:szCs w:val="17"/>
              </w:rPr>
              <w:t xml:space="preserve">$25,000 </w:t>
            </w:r>
            <w:r w:rsidRPr="007A02C1">
              <w:rPr>
                <w:rFonts w:cs="Arial"/>
                <w:szCs w:val="17"/>
              </w:rPr>
              <w:t xml:space="preserve">to event organisers and up to </w:t>
            </w:r>
            <w:r w:rsidRPr="007A02C1">
              <w:rPr>
                <w:rFonts w:cs="Arial"/>
                <w:b/>
                <w:szCs w:val="17"/>
              </w:rPr>
              <w:t xml:space="preserve">$10,000 </w:t>
            </w:r>
            <w:r w:rsidRPr="007A02C1">
              <w:rPr>
                <w:rFonts w:cs="Arial"/>
                <w:szCs w:val="17"/>
              </w:rPr>
              <w:t>to suppliers of Tier 1 and Tier 2 public events under Impacted Public Events Support Program, one-off</w:t>
            </w:r>
          </w:p>
          <w:p w14:paraId="6D3A378C" w14:textId="77777777" w:rsidR="006D5674" w:rsidRPr="007A02C1" w:rsidRDefault="006D5674" w:rsidP="006D5674">
            <w:pPr>
              <w:spacing w:after="0"/>
              <w:rPr>
                <w:rFonts w:cs="Arial"/>
                <w:b/>
                <w:szCs w:val="17"/>
              </w:rPr>
            </w:pPr>
            <w:r w:rsidRPr="007A02C1">
              <w:rPr>
                <w:rFonts w:cs="Arial"/>
                <w:b/>
                <w:szCs w:val="17"/>
              </w:rPr>
              <w:t>Other various grant amounts</w:t>
            </w:r>
            <w:r w:rsidRPr="007A02C1">
              <w:rPr>
                <w:rFonts w:cs="Arial"/>
                <w:szCs w:val="17"/>
              </w:rPr>
              <w:t>, one-off</w:t>
            </w:r>
          </w:p>
        </w:tc>
      </w:tr>
      <w:tr w:rsidR="006D5674" w:rsidRPr="007A02C1" w14:paraId="582501EC" w14:textId="77777777" w:rsidTr="007946FD">
        <w:tc>
          <w:tcPr>
            <w:tcW w:w="1078" w:type="dxa"/>
          </w:tcPr>
          <w:p w14:paraId="450E372F" w14:textId="77777777" w:rsidR="006D5674" w:rsidRPr="007A02C1" w:rsidRDefault="006D5674" w:rsidP="006D5674">
            <w:pPr>
              <w:spacing w:after="0"/>
              <w:rPr>
                <w:rFonts w:cs="Arial"/>
                <w:b/>
                <w:szCs w:val="17"/>
              </w:rPr>
            </w:pPr>
            <w:r w:rsidRPr="007A02C1">
              <w:rPr>
                <w:rFonts w:cs="Arial"/>
                <w:b/>
                <w:szCs w:val="17"/>
              </w:rPr>
              <w:t>NSW</w:t>
            </w:r>
          </w:p>
        </w:tc>
        <w:tc>
          <w:tcPr>
            <w:tcW w:w="1445" w:type="dxa"/>
          </w:tcPr>
          <w:p w14:paraId="4D67E3CF" w14:textId="77777777" w:rsidR="006D5674" w:rsidRPr="007A02C1" w:rsidRDefault="006D5674" w:rsidP="006D5674">
            <w:pPr>
              <w:spacing w:after="0"/>
              <w:rPr>
                <w:rFonts w:cs="Arial"/>
                <w:szCs w:val="17"/>
              </w:rPr>
            </w:pPr>
            <w:r w:rsidRPr="007A02C1">
              <w:rPr>
                <w:rFonts w:cs="Arial"/>
                <w:szCs w:val="17"/>
              </w:rPr>
              <w:t>$10,000 Small Business Support Grant</w:t>
            </w:r>
          </w:p>
        </w:tc>
        <w:tc>
          <w:tcPr>
            <w:tcW w:w="946" w:type="dxa"/>
          </w:tcPr>
          <w:p w14:paraId="259B5EF5" w14:textId="77777777" w:rsidR="006D5674" w:rsidRPr="007A02C1" w:rsidRDefault="006D5674" w:rsidP="006D5674">
            <w:pPr>
              <w:spacing w:after="0"/>
              <w:rPr>
                <w:rFonts w:cs="Arial"/>
                <w:szCs w:val="17"/>
              </w:rPr>
            </w:pPr>
            <w:r w:rsidRPr="007A02C1">
              <w:rPr>
                <w:rFonts w:cs="Arial"/>
                <w:szCs w:val="17"/>
              </w:rPr>
              <w:t>April 2020</w:t>
            </w:r>
          </w:p>
        </w:tc>
        <w:tc>
          <w:tcPr>
            <w:tcW w:w="1570" w:type="dxa"/>
          </w:tcPr>
          <w:p w14:paraId="54969FEA" w14:textId="77777777" w:rsidR="006D5674" w:rsidRPr="007A02C1" w:rsidRDefault="006D5674" w:rsidP="006D5674">
            <w:pPr>
              <w:spacing w:after="0"/>
              <w:rPr>
                <w:rFonts w:cs="Arial"/>
                <w:szCs w:val="17"/>
              </w:rPr>
            </w:pPr>
            <w:r w:rsidRPr="007A02C1">
              <w:rPr>
                <w:rFonts w:cs="Arial"/>
                <w:szCs w:val="17"/>
              </w:rPr>
              <w:t>0.08% ($520.9 million)</w:t>
            </w:r>
          </w:p>
        </w:tc>
        <w:tc>
          <w:tcPr>
            <w:tcW w:w="3987" w:type="dxa"/>
          </w:tcPr>
          <w:p w14:paraId="3181B5B7" w14:textId="77777777" w:rsidR="006D5674" w:rsidRPr="007A02C1" w:rsidRDefault="006D5674" w:rsidP="006D5674">
            <w:pPr>
              <w:spacing w:after="0"/>
              <w:rPr>
                <w:rFonts w:cs="Arial"/>
                <w:szCs w:val="17"/>
              </w:rPr>
            </w:pPr>
            <w:r w:rsidRPr="007A02C1">
              <w:rPr>
                <w:rFonts w:cs="Arial"/>
                <w:b/>
                <w:szCs w:val="17"/>
              </w:rPr>
              <w:t>$10,000</w:t>
            </w:r>
            <w:r w:rsidRPr="007A02C1">
              <w:rPr>
                <w:rFonts w:cs="Arial"/>
                <w:szCs w:val="17"/>
              </w:rPr>
              <w:t>, one-off</w:t>
            </w:r>
          </w:p>
        </w:tc>
      </w:tr>
      <w:tr w:rsidR="006D5674" w:rsidRPr="007A02C1" w14:paraId="1F19DC90" w14:textId="77777777" w:rsidTr="007946FD">
        <w:tc>
          <w:tcPr>
            <w:tcW w:w="1078" w:type="dxa"/>
          </w:tcPr>
          <w:p w14:paraId="1EC7AFC6" w14:textId="7C1F5B80" w:rsidR="006D5674" w:rsidRPr="007A02C1" w:rsidRDefault="006D5674" w:rsidP="006D5674">
            <w:pPr>
              <w:spacing w:after="0"/>
              <w:rPr>
                <w:rFonts w:cs="Arial"/>
                <w:b/>
                <w:szCs w:val="17"/>
              </w:rPr>
            </w:pPr>
            <w:r w:rsidRPr="007A02C1">
              <w:rPr>
                <w:rFonts w:cs="Arial"/>
                <w:b/>
                <w:szCs w:val="17"/>
              </w:rPr>
              <w:t>NSW</w:t>
            </w:r>
          </w:p>
        </w:tc>
        <w:tc>
          <w:tcPr>
            <w:tcW w:w="1445" w:type="dxa"/>
          </w:tcPr>
          <w:p w14:paraId="6DAF0E20" w14:textId="77777777" w:rsidR="006D5674" w:rsidRPr="007A02C1" w:rsidRDefault="006D5674" w:rsidP="006D5674">
            <w:pPr>
              <w:spacing w:after="0"/>
              <w:rPr>
                <w:rFonts w:cs="Arial"/>
                <w:szCs w:val="17"/>
              </w:rPr>
            </w:pPr>
            <w:r w:rsidRPr="007A02C1">
              <w:rPr>
                <w:rFonts w:cs="Arial"/>
                <w:szCs w:val="17"/>
              </w:rPr>
              <w:t>$3,000 Small Business Recovery Grant</w:t>
            </w:r>
          </w:p>
        </w:tc>
        <w:tc>
          <w:tcPr>
            <w:tcW w:w="946" w:type="dxa"/>
          </w:tcPr>
          <w:p w14:paraId="6FBDE19A" w14:textId="77777777" w:rsidR="006D5674" w:rsidRPr="007A02C1" w:rsidRDefault="006D5674" w:rsidP="006D5674">
            <w:pPr>
              <w:spacing w:after="0"/>
              <w:rPr>
                <w:rFonts w:cs="Arial"/>
                <w:szCs w:val="17"/>
              </w:rPr>
            </w:pPr>
            <w:r w:rsidRPr="007A02C1">
              <w:rPr>
                <w:rFonts w:cs="Arial"/>
                <w:szCs w:val="17"/>
              </w:rPr>
              <w:t>April 2020</w:t>
            </w:r>
          </w:p>
        </w:tc>
        <w:tc>
          <w:tcPr>
            <w:tcW w:w="1570" w:type="dxa"/>
          </w:tcPr>
          <w:p w14:paraId="6284B413" w14:textId="77777777" w:rsidR="006D5674" w:rsidRPr="007A02C1" w:rsidRDefault="006D5674" w:rsidP="006D5674">
            <w:pPr>
              <w:spacing w:after="0"/>
              <w:rPr>
                <w:rFonts w:cs="Arial"/>
                <w:szCs w:val="17"/>
              </w:rPr>
            </w:pPr>
            <w:r w:rsidRPr="007A02C1">
              <w:rPr>
                <w:rFonts w:cs="Arial"/>
                <w:szCs w:val="17"/>
              </w:rPr>
              <w:t>0.02% ($109.1 million)</w:t>
            </w:r>
          </w:p>
        </w:tc>
        <w:tc>
          <w:tcPr>
            <w:tcW w:w="3987" w:type="dxa"/>
          </w:tcPr>
          <w:p w14:paraId="17FD22BC" w14:textId="77777777" w:rsidR="006D5674" w:rsidRPr="007A02C1" w:rsidRDefault="006D5674" w:rsidP="006D5674">
            <w:pPr>
              <w:spacing w:after="0"/>
              <w:rPr>
                <w:rFonts w:cs="Arial"/>
                <w:b/>
                <w:szCs w:val="17"/>
              </w:rPr>
            </w:pPr>
            <w:r w:rsidRPr="007A02C1">
              <w:rPr>
                <w:rFonts w:cs="Arial"/>
                <w:b/>
                <w:szCs w:val="17"/>
              </w:rPr>
              <w:t>$3,000</w:t>
            </w:r>
            <w:r w:rsidRPr="007A02C1">
              <w:rPr>
                <w:rFonts w:cs="Arial"/>
                <w:szCs w:val="17"/>
              </w:rPr>
              <w:t>, one-off</w:t>
            </w:r>
          </w:p>
          <w:p w14:paraId="652A3400" w14:textId="77777777" w:rsidR="006D5674" w:rsidRPr="007A02C1" w:rsidRDefault="006D5674" w:rsidP="006D5674">
            <w:pPr>
              <w:spacing w:after="0"/>
              <w:rPr>
                <w:rFonts w:cs="Arial"/>
                <w:b/>
                <w:szCs w:val="17"/>
              </w:rPr>
            </w:pPr>
          </w:p>
        </w:tc>
      </w:tr>
      <w:tr w:rsidR="006D5674" w:rsidRPr="007A02C1" w14:paraId="6A3D0B83" w14:textId="77777777" w:rsidTr="007946FD">
        <w:tc>
          <w:tcPr>
            <w:tcW w:w="1078" w:type="dxa"/>
          </w:tcPr>
          <w:p w14:paraId="3E2F3DC1" w14:textId="0386163D" w:rsidR="006D5674" w:rsidRPr="007A02C1" w:rsidRDefault="006D5674" w:rsidP="006D5674">
            <w:pPr>
              <w:spacing w:after="0"/>
              <w:rPr>
                <w:rFonts w:cs="Arial"/>
                <w:b/>
                <w:szCs w:val="17"/>
              </w:rPr>
            </w:pPr>
            <w:r w:rsidRPr="007A02C1">
              <w:rPr>
                <w:rFonts w:cs="Arial"/>
                <w:b/>
                <w:szCs w:val="17"/>
              </w:rPr>
              <w:t>NSW</w:t>
            </w:r>
          </w:p>
        </w:tc>
        <w:tc>
          <w:tcPr>
            <w:tcW w:w="1445" w:type="dxa"/>
          </w:tcPr>
          <w:p w14:paraId="3560ECDB" w14:textId="77777777" w:rsidR="006D5674" w:rsidRPr="007A02C1" w:rsidRDefault="006D5674" w:rsidP="006D5674">
            <w:pPr>
              <w:spacing w:after="0"/>
              <w:rPr>
                <w:rFonts w:cs="Arial"/>
                <w:szCs w:val="17"/>
              </w:rPr>
            </w:pPr>
            <w:r w:rsidRPr="007A02C1">
              <w:rPr>
                <w:rFonts w:cs="Arial"/>
                <w:szCs w:val="17"/>
              </w:rPr>
              <w:t>Southern Border Small Business Support Grant</w:t>
            </w:r>
          </w:p>
        </w:tc>
        <w:tc>
          <w:tcPr>
            <w:tcW w:w="946" w:type="dxa"/>
          </w:tcPr>
          <w:p w14:paraId="626B5BEF" w14:textId="41F9FE04" w:rsidR="006D5674" w:rsidRPr="007A02C1" w:rsidRDefault="006D5674" w:rsidP="006D5674">
            <w:pPr>
              <w:spacing w:after="0"/>
              <w:rPr>
                <w:rFonts w:cs="Arial"/>
                <w:szCs w:val="17"/>
              </w:rPr>
            </w:pPr>
            <w:r w:rsidRPr="007A02C1">
              <w:rPr>
                <w:rFonts w:cs="Arial"/>
                <w:szCs w:val="17"/>
              </w:rPr>
              <w:t>September</w:t>
            </w:r>
            <w:r>
              <w:rPr>
                <w:rFonts w:cs="Arial"/>
                <w:szCs w:val="17"/>
              </w:rPr>
              <w:t xml:space="preserve"> 2020</w:t>
            </w:r>
            <w:r w:rsidRPr="007A02C1">
              <w:rPr>
                <w:rFonts w:cs="Arial"/>
                <w:szCs w:val="17"/>
              </w:rPr>
              <w:t xml:space="preserve"> to October 2020</w:t>
            </w:r>
          </w:p>
        </w:tc>
        <w:tc>
          <w:tcPr>
            <w:tcW w:w="1570" w:type="dxa"/>
          </w:tcPr>
          <w:p w14:paraId="4BB2B983" w14:textId="77777777" w:rsidR="006D5674" w:rsidRPr="007A02C1" w:rsidRDefault="006D5674" w:rsidP="006D5674">
            <w:pPr>
              <w:spacing w:after="0"/>
              <w:rPr>
                <w:rFonts w:cs="Arial"/>
                <w:szCs w:val="17"/>
              </w:rPr>
            </w:pPr>
            <w:r w:rsidRPr="007A02C1">
              <w:rPr>
                <w:rFonts w:cs="Arial"/>
                <w:szCs w:val="17"/>
              </w:rPr>
              <w:t>0.002% ($15.3 million)</w:t>
            </w:r>
          </w:p>
        </w:tc>
        <w:tc>
          <w:tcPr>
            <w:tcW w:w="3987" w:type="dxa"/>
          </w:tcPr>
          <w:p w14:paraId="2283C0B1" w14:textId="77777777" w:rsidR="006D5674" w:rsidRPr="007A02C1" w:rsidRDefault="006D5674" w:rsidP="006D5674">
            <w:pPr>
              <w:spacing w:after="0"/>
              <w:rPr>
                <w:rFonts w:cs="Arial"/>
                <w:szCs w:val="17"/>
              </w:rPr>
            </w:pPr>
            <w:r w:rsidRPr="007A02C1">
              <w:rPr>
                <w:rFonts w:cs="Arial"/>
                <w:b/>
                <w:szCs w:val="17"/>
              </w:rPr>
              <w:t>$5,000</w:t>
            </w:r>
            <w:r w:rsidRPr="007A02C1">
              <w:rPr>
                <w:rFonts w:cs="Arial"/>
                <w:szCs w:val="17"/>
              </w:rPr>
              <w:t xml:space="preserve"> for businesses with at least 30 per cent decline in business turnover, one-off</w:t>
            </w:r>
          </w:p>
          <w:p w14:paraId="33840192" w14:textId="77777777" w:rsidR="006D5674" w:rsidRPr="007A02C1" w:rsidRDefault="006D5674" w:rsidP="006D5674">
            <w:pPr>
              <w:spacing w:after="0"/>
              <w:rPr>
                <w:rFonts w:cs="Arial"/>
                <w:szCs w:val="17"/>
              </w:rPr>
            </w:pPr>
            <w:r w:rsidRPr="007A02C1">
              <w:rPr>
                <w:rFonts w:cs="Arial"/>
                <w:b/>
                <w:szCs w:val="17"/>
              </w:rPr>
              <w:t xml:space="preserve">$10,000 </w:t>
            </w:r>
            <w:r w:rsidRPr="007A02C1">
              <w:rPr>
                <w:rFonts w:cs="Arial"/>
                <w:szCs w:val="17"/>
              </w:rPr>
              <w:t>for businesses with at least 75 per cent decline in business turnover, one-off</w:t>
            </w:r>
          </w:p>
        </w:tc>
      </w:tr>
      <w:tr w:rsidR="006D5674" w:rsidRPr="007A02C1" w14:paraId="07036DC2" w14:textId="77777777" w:rsidTr="007946FD">
        <w:tc>
          <w:tcPr>
            <w:tcW w:w="1078" w:type="dxa"/>
          </w:tcPr>
          <w:p w14:paraId="42EF99C0" w14:textId="5FE516AD" w:rsidR="006D5674" w:rsidRPr="007A02C1" w:rsidRDefault="006D5674" w:rsidP="006D5674">
            <w:pPr>
              <w:spacing w:after="0"/>
              <w:rPr>
                <w:rFonts w:cs="Arial"/>
                <w:b/>
                <w:szCs w:val="17"/>
              </w:rPr>
            </w:pPr>
            <w:r w:rsidRPr="007A02C1">
              <w:rPr>
                <w:rFonts w:cs="Arial"/>
                <w:b/>
                <w:szCs w:val="17"/>
              </w:rPr>
              <w:t>NSW</w:t>
            </w:r>
          </w:p>
        </w:tc>
        <w:tc>
          <w:tcPr>
            <w:tcW w:w="1445" w:type="dxa"/>
          </w:tcPr>
          <w:p w14:paraId="7CEA2992" w14:textId="77777777" w:rsidR="006D5674" w:rsidRPr="007A02C1" w:rsidRDefault="006D5674" w:rsidP="006D5674">
            <w:pPr>
              <w:spacing w:after="0"/>
              <w:rPr>
                <w:rFonts w:cs="Arial"/>
                <w:szCs w:val="17"/>
              </w:rPr>
            </w:pPr>
            <w:r w:rsidRPr="007A02C1">
              <w:rPr>
                <w:rFonts w:cs="Arial"/>
                <w:szCs w:val="17"/>
              </w:rPr>
              <w:t>Northern Beaches Small Business Hardship Grant</w:t>
            </w:r>
          </w:p>
        </w:tc>
        <w:tc>
          <w:tcPr>
            <w:tcW w:w="946" w:type="dxa"/>
          </w:tcPr>
          <w:p w14:paraId="3E49C98A" w14:textId="4FAF4317" w:rsidR="006D5674" w:rsidRPr="007A02C1" w:rsidRDefault="006D5674" w:rsidP="006D5674">
            <w:pPr>
              <w:spacing w:after="0"/>
              <w:rPr>
                <w:rFonts w:cs="Arial"/>
                <w:szCs w:val="17"/>
              </w:rPr>
            </w:pPr>
            <w:r w:rsidRPr="007A02C1">
              <w:rPr>
                <w:rFonts w:cs="Arial"/>
                <w:szCs w:val="17"/>
              </w:rPr>
              <w:t>February 2021</w:t>
            </w:r>
            <w:r>
              <w:rPr>
                <w:rFonts w:cs="Arial"/>
                <w:szCs w:val="17"/>
              </w:rPr>
              <w:t xml:space="preserve"> </w:t>
            </w:r>
            <w:r w:rsidRPr="007A02C1">
              <w:rPr>
                <w:rFonts w:cs="Arial"/>
                <w:szCs w:val="17"/>
              </w:rPr>
              <w:t>to June 2021</w:t>
            </w:r>
          </w:p>
        </w:tc>
        <w:tc>
          <w:tcPr>
            <w:tcW w:w="1570" w:type="dxa"/>
          </w:tcPr>
          <w:p w14:paraId="2FC58495" w14:textId="77777777" w:rsidR="006D5674" w:rsidRPr="007A02C1" w:rsidRDefault="006D5674" w:rsidP="006D5674">
            <w:pPr>
              <w:spacing w:after="0"/>
              <w:rPr>
                <w:rFonts w:cs="Arial"/>
                <w:szCs w:val="17"/>
              </w:rPr>
            </w:pPr>
            <w:r w:rsidRPr="007A02C1">
              <w:rPr>
                <w:rFonts w:cs="Arial"/>
                <w:szCs w:val="17"/>
              </w:rPr>
              <w:t>0.002% ($11.7 million)</w:t>
            </w:r>
          </w:p>
        </w:tc>
        <w:tc>
          <w:tcPr>
            <w:tcW w:w="3987" w:type="dxa"/>
          </w:tcPr>
          <w:p w14:paraId="477C0C9D" w14:textId="77777777" w:rsidR="006D5674" w:rsidRPr="007A02C1" w:rsidRDefault="006D5674" w:rsidP="006D5674">
            <w:pPr>
              <w:spacing w:after="0"/>
              <w:rPr>
                <w:rFonts w:cs="Arial"/>
                <w:szCs w:val="17"/>
              </w:rPr>
            </w:pPr>
            <w:r w:rsidRPr="007A02C1">
              <w:rPr>
                <w:rFonts w:cs="Arial"/>
                <w:b/>
                <w:szCs w:val="17"/>
              </w:rPr>
              <w:t xml:space="preserve">$3,000 </w:t>
            </w:r>
            <w:r w:rsidRPr="007A02C1">
              <w:rPr>
                <w:rFonts w:cs="Arial"/>
                <w:szCs w:val="17"/>
              </w:rPr>
              <w:t>for small businesses with 30% decline in turnover for minimum two weeks, one-off</w:t>
            </w:r>
          </w:p>
          <w:p w14:paraId="7CFCBD9F" w14:textId="77777777" w:rsidR="006D5674" w:rsidRPr="007A02C1" w:rsidRDefault="006D5674" w:rsidP="006D5674">
            <w:pPr>
              <w:spacing w:after="0"/>
              <w:rPr>
                <w:rFonts w:cs="Arial"/>
                <w:b/>
                <w:szCs w:val="17"/>
              </w:rPr>
            </w:pPr>
            <w:r w:rsidRPr="007A02C1">
              <w:rPr>
                <w:rFonts w:cs="Arial"/>
                <w:b/>
                <w:szCs w:val="17"/>
              </w:rPr>
              <w:t xml:space="preserve">$5,000 </w:t>
            </w:r>
            <w:r w:rsidRPr="007A02C1">
              <w:rPr>
                <w:rFonts w:cs="Arial"/>
                <w:szCs w:val="17"/>
              </w:rPr>
              <w:t>for small businesses with 50% decline in turnover for minimum two weeks, one-off</w:t>
            </w:r>
          </w:p>
        </w:tc>
      </w:tr>
      <w:tr w:rsidR="006D5674" w:rsidRPr="007A02C1" w14:paraId="51E18ACE" w14:textId="77777777" w:rsidTr="007946FD">
        <w:tc>
          <w:tcPr>
            <w:tcW w:w="1078" w:type="dxa"/>
          </w:tcPr>
          <w:p w14:paraId="29965BA8" w14:textId="72A3D565" w:rsidR="006D5674" w:rsidRPr="007A02C1" w:rsidRDefault="006D5674" w:rsidP="006D5674">
            <w:pPr>
              <w:spacing w:after="0"/>
              <w:rPr>
                <w:rFonts w:cs="Arial"/>
                <w:b/>
                <w:szCs w:val="17"/>
              </w:rPr>
            </w:pPr>
            <w:r w:rsidRPr="007A02C1">
              <w:rPr>
                <w:rFonts w:cs="Arial"/>
                <w:b/>
                <w:szCs w:val="17"/>
              </w:rPr>
              <w:t>NSW</w:t>
            </w:r>
          </w:p>
        </w:tc>
        <w:tc>
          <w:tcPr>
            <w:tcW w:w="1445" w:type="dxa"/>
          </w:tcPr>
          <w:p w14:paraId="08470E02" w14:textId="77777777" w:rsidR="006D5674" w:rsidRPr="007A02C1" w:rsidRDefault="006D5674" w:rsidP="006D5674">
            <w:pPr>
              <w:spacing w:after="0"/>
              <w:rPr>
                <w:rFonts w:cs="Arial"/>
                <w:szCs w:val="17"/>
              </w:rPr>
            </w:pPr>
            <w:r w:rsidRPr="007A02C1">
              <w:rPr>
                <w:rFonts w:cs="Arial"/>
                <w:szCs w:val="17"/>
              </w:rPr>
              <w:t>2021 COVID-19 Business Grant</w:t>
            </w:r>
          </w:p>
        </w:tc>
        <w:tc>
          <w:tcPr>
            <w:tcW w:w="946" w:type="dxa"/>
          </w:tcPr>
          <w:p w14:paraId="28F10B44" w14:textId="5F865BC9" w:rsidR="006D5674" w:rsidRPr="007A02C1" w:rsidRDefault="006D5674" w:rsidP="006D5674">
            <w:pPr>
              <w:spacing w:after="0"/>
              <w:rPr>
                <w:rFonts w:cs="Arial"/>
                <w:szCs w:val="17"/>
              </w:rPr>
            </w:pPr>
            <w:r w:rsidRPr="007A02C1">
              <w:rPr>
                <w:rFonts w:cs="Arial"/>
                <w:szCs w:val="17"/>
              </w:rPr>
              <w:t>June 2021</w:t>
            </w:r>
            <w:r>
              <w:rPr>
                <w:rFonts w:cs="Arial"/>
                <w:szCs w:val="17"/>
              </w:rPr>
              <w:t xml:space="preserve"> </w:t>
            </w:r>
            <w:r w:rsidRPr="007A02C1">
              <w:rPr>
                <w:rFonts w:cs="Arial"/>
                <w:szCs w:val="17"/>
              </w:rPr>
              <w:t>to July 2021</w:t>
            </w:r>
          </w:p>
        </w:tc>
        <w:tc>
          <w:tcPr>
            <w:tcW w:w="1570" w:type="dxa"/>
          </w:tcPr>
          <w:p w14:paraId="4249ED72" w14:textId="77777777" w:rsidR="006D5674" w:rsidRPr="007A02C1" w:rsidRDefault="006D5674" w:rsidP="006D5674">
            <w:pPr>
              <w:spacing w:after="0"/>
              <w:rPr>
                <w:rFonts w:cs="Arial"/>
                <w:szCs w:val="17"/>
              </w:rPr>
            </w:pPr>
            <w:r w:rsidRPr="007A02C1">
              <w:rPr>
                <w:rFonts w:cs="Arial"/>
                <w:szCs w:val="17"/>
              </w:rPr>
              <w:t>0.35% ($2.36 billion)</w:t>
            </w:r>
          </w:p>
        </w:tc>
        <w:tc>
          <w:tcPr>
            <w:tcW w:w="3987" w:type="dxa"/>
          </w:tcPr>
          <w:p w14:paraId="2926FBAB" w14:textId="77777777" w:rsidR="006D5674" w:rsidRPr="007A02C1" w:rsidRDefault="006D5674" w:rsidP="006D5674">
            <w:pPr>
              <w:spacing w:after="0"/>
              <w:rPr>
                <w:rFonts w:cs="Arial"/>
                <w:szCs w:val="17"/>
              </w:rPr>
            </w:pPr>
            <w:r w:rsidRPr="007A02C1">
              <w:rPr>
                <w:rFonts w:cs="Arial"/>
                <w:b/>
                <w:szCs w:val="17"/>
              </w:rPr>
              <w:t>$7,500</w:t>
            </w:r>
            <w:r w:rsidRPr="007A02C1">
              <w:rPr>
                <w:rFonts w:cs="Arial"/>
                <w:szCs w:val="17"/>
              </w:rPr>
              <w:t xml:space="preserve"> for businesses with 30% or more decline in business turnover, one-off</w:t>
            </w:r>
          </w:p>
          <w:p w14:paraId="57918D03" w14:textId="77777777" w:rsidR="006D5674" w:rsidRPr="007A02C1" w:rsidRDefault="006D5674" w:rsidP="006D5674">
            <w:pPr>
              <w:spacing w:after="0"/>
              <w:rPr>
                <w:rFonts w:cs="Arial"/>
                <w:szCs w:val="17"/>
              </w:rPr>
            </w:pPr>
            <w:r w:rsidRPr="007A02C1">
              <w:rPr>
                <w:rFonts w:cs="Arial"/>
                <w:b/>
                <w:szCs w:val="17"/>
              </w:rPr>
              <w:t>$10,500</w:t>
            </w:r>
            <w:r w:rsidRPr="007A02C1">
              <w:rPr>
                <w:rFonts w:cs="Arial"/>
                <w:szCs w:val="17"/>
              </w:rPr>
              <w:t xml:space="preserve"> for businesses with 50% or more decline in business turnover, one-off </w:t>
            </w:r>
          </w:p>
          <w:p w14:paraId="05DB8748" w14:textId="77777777" w:rsidR="006D5674" w:rsidRPr="007A02C1" w:rsidRDefault="006D5674" w:rsidP="006D5674">
            <w:pPr>
              <w:spacing w:after="0"/>
              <w:rPr>
                <w:rFonts w:cs="Arial"/>
                <w:szCs w:val="17"/>
              </w:rPr>
            </w:pPr>
            <w:r w:rsidRPr="007A02C1">
              <w:rPr>
                <w:rFonts w:cs="Arial"/>
                <w:b/>
                <w:szCs w:val="17"/>
              </w:rPr>
              <w:t>$15,000</w:t>
            </w:r>
            <w:r w:rsidRPr="007A02C1">
              <w:rPr>
                <w:rFonts w:cs="Arial"/>
                <w:szCs w:val="17"/>
              </w:rPr>
              <w:t xml:space="preserve"> for businesses with 70% or more decline in business turnover, one-off</w:t>
            </w:r>
          </w:p>
        </w:tc>
      </w:tr>
      <w:tr w:rsidR="006D5674" w:rsidRPr="007A02C1" w14:paraId="6E60F79D" w14:textId="77777777" w:rsidTr="007946FD">
        <w:tc>
          <w:tcPr>
            <w:tcW w:w="1078" w:type="dxa"/>
          </w:tcPr>
          <w:p w14:paraId="5496DCC6" w14:textId="47702F2E" w:rsidR="006D5674" w:rsidRPr="007A02C1" w:rsidRDefault="006D5674" w:rsidP="006D5674">
            <w:pPr>
              <w:spacing w:after="0"/>
              <w:rPr>
                <w:rFonts w:cs="Arial"/>
                <w:b/>
                <w:szCs w:val="17"/>
              </w:rPr>
            </w:pPr>
            <w:r w:rsidRPr="007A02C1">
              <w:rPr>
                <w:rFonts w:cs="Arial"/>
                <w:b/>
                <w:szCs w:val="17"/>
              </w:rPr>
              <w:t>NSW</w:t>
            </w:r>
          </w:p>
        </w:tc>
        <w:tc>
          <w:tcPr>
            <w:tcW w:w="1445" w:type="dxa"/>
          </w:tcPr>
          <w:p w14:paraId="3AA06CE6" w14:textId="77777777" w:rsidR="006D5674" w:rsidRPr="007A02C1" w:rsidRDefault="006D5674" w:rsidP="006D5674">
            <w:pPr>
              <w:spacing w:after="0"/>
              <w:rPr>
                <w:rFonts w:cs="Arial"/>
                <w:szCs w:val="17"/>
              </w:rPr>
            </w:pPr>
            <w:proofErr w:type="spellStart"/>
            <w:r w:rsidRPr="007A02C1">
              <w:rPr>
                <w:rFonts w:cs="Arial"/>
                <w:szCs w:val="17"/>
              </w:rPr>
              <w:t>JobSaver</w:t>
            </w:r>
            <w:proofErr w:type="spellEnd"/>
          </w:p>
        </w:tc>
        <w:tc>
          <w:tcPr>
            <w:tcW w:w="946" w:type="dxa"/>
          </w:tcPr>
          <w:p w14:paraId="377E8CA5" w14:textId="066F3C9B" w:rsidR="006D5674" w:rsidRPr="007A02C1" w:rsidRDefault="006D5674" w:rsidP="006D5674">
            <w:pPr>
              <w:spacing w:after="0"/>
              <w:rPr>
                <w:rFonts w:cs="Arial"/>
                <w:szCs w:val="17"/>
              </w:rPr>
            </w:pPr>
            <w:r w:rsidRPr="007A02C1">
              <w:rPr>
                <w:rFonts w:cs="Arial"/>
                <w:szCs w:val="17"/>
              </w:rPr>
              <w:t>July 2021</w:t>
            </w:r>
            <w:r>
              <w:rPr>
                <w:rFonts w:cs="Arial"/>
                <w:szCs w:val="17"/>
              </w:rPr>
              <w:t xml:space="preserve"> </w:t>
            </w:r>
            <w:r w:rsidRPr="007A02C1">
              <w:rPr>
                <w:rFonts w:cs="Arial"/>
                <w:szCs w:val="17"/>
              </w:rPr>
              <w:t xml:space="preserve">to </w:t>
            </w:r>
            <w:r w:rsidRPr="007A02C1">
              <w:rPr>
                <w:rFonts w:cs="Arial"/>
                <w:szCs w:val="17"/>
              </w:rPr>
              <w:lastRenderedPageBreak/>
              <w:t>November 2021</w:t>
            </w:r>
          </w:p>
        </w:tc>
        <w:tc>
          <w:tcPr>
            <w:tcW w:w="1570" w:type="dxa"/>
          </w:tcPr>
          <w:p w14:paraId="0CE66EA9" w14:textId="77777777" w:rsidR="006D5674" w:rsidRPr="007A02C1" w:rsidRDefault="006D5674" w:rsidP="006D5674">
            <w:pPr>
              <w:spacing w:after="0"/>
              <w:rPr>
                <w:rFonts w:cs="Arial"/>
                <w:szCs w:val="17"/>
              </w:rPr>
            </w:pPr>
            <w:r w:rsidRPr="007A02C1">
              <w:rPr>
                <w:rFonts w:cs="Arial"/>
                <w:szCs w:val="17"/>
              </w:rPr>
              <w:lastRenderedPageBreak/>
              <w:t>1.06% ($7.15 billion)</w:t>
            </w:r>
          </w:p>
        </w:tc>
        <w:tc>
          <w:tcPr>
            <w:tcW w:w="3987" w:type="dxa"/>
          </w:tcPr>
          <w:p w14:paraId="2B810BA0" w14:textId="52449098" w:rsidR="006D5674" w:rsidRDefault="006D5674" w:rsidP="006D5674">
            <w:pPr>
              <w:spacing w:after="0"/>
              <w:rPr>
                <w:rFonts w:cs="Arial"/>
                <w:bCs/>
                <w:szCs w:val="17"/>
                <w:u w:val="single"/>
              </w:rPr>
            </w:pPr>
            <w:r>
              <w:rPr>
                <w:rFonts w:cs="Arial"/>
                <w:bCs/>
                <w:szCs w:val="17"/>
                <w:u w:val="single"/>
              </w:rPr>
              <w:t>For businesses with a 30% or more decline in turnover for a minimum of two weeks, compared to 2019-20:</w:t>
            </w:r>
          </w:p>
          <w:p w14:paraId="7F2FFF44" w14:textId="11595791" w:rsidR="006D5674" w:rsidRPr="007A02C1" w:rsidRDefault="006D5674" w:rsidP="006D5674">
            <w:pPr>
              <w:spacing w:after="0"/>
              <w:rPr>
                <w:rFonts w:cs="Arial"/>
                <w:szCs w:val="17"/>
              </w:rPr>
            </w:pPr>
            <w:r w:rsidRPr="007A02C1">
              <w:rPr>
                <w:rFonts w:cs="Arial"/>
                <w:b/>
                <w:szCs w:val="17"/>
              </w:rPr>
              <w:lastRenderedPageBreak/>
              <w:t>40% of payroll</w:t>
            </w:r>
            <w:r w:rsidRPr="007A02C1">
              <w:rPr>
                <w:rFonts w:cs="Arial"/>
                <w:szCs w:val="17"/>
              </w:rPr>
              <w:t xml:space="preserve"> per week (minimum of $1500 and maximum of $100,000), reduced to 30 per cent in October 2021</w:t>
            </w:r>
          </w:p>
          <w:p w14:paraId="6F60C48B" w14:textId="77777777" w:rsidR="006D5674" w:rsidRPr="007A02C1" w:rsidRDefault="006D5674" w:rsidP="006D5674">
            <w:pPr>
              <w:spacing w:after="0"/>
              <w:rPr>
                <w:rFonts w:cs="Arial"/>
                <w:szCs w:val="17"/>
              </w:rPr>
            </w:pPr>
            <w:r w:rsidRPr="007A02C1">
              <w:rPr>
                <w:rFonts w:cs="Arial"/>
                <w:b/>
                <w:szCs w:val="17"/>
              </w:rPr>
              <w:t>$1,000</w:t>
            </w:r>
            <w:r w:rsidRPr="007A02C1">
              <w:rPr>
                <w:rFonts w:cs="Arial"/>
                <w:szCs w:val="17"/>
              </w:rPr>
              <w:t xml:space="preserve"> per week for non-employing businesses</w:t>
            </w:r>
          </w:p>
        </w:tc>
      </w:tr>
      <w:tr w:rsidR="006D5674" w:rsidRPr="007A02C1" w14:paraId="23E948CA" w14:textId="77777777" w:rsidTr="007946FD">
        <w:tc>
          <w:tcPr>
            <w:tcW w:w="1078" w:type="dxa"/>
          </w:tcPr>
          <w:p w14:paraId="19082A43" w14:textId="35CEE316" w:rsidR="006D5674" w:rsidRPr="007A02C1" w:rsidRDefault="006D5674" w:rsidP="006D5674">
            <w:pPr>
              <w:spacing w:after="0"/>
              <w:rPr>
                <w:rFonts w:cs="Arial"/>
                <w:b/>
                <w:szCs w:val="17"/>
              </w:rPr>
            </w:pPr>
            <w:r w:rsidRPr="007A02C1">
              <w:rPr>
                <w:rFonts w:cs="Arial"/>
                <w:b/>
                <w:szCs w:val="17"/>
              </w:rPr>
              <w:lastRenderedPageBreak/>
              <w:t>NSW</w:t>
            </w:r>
          </w:p>
        </w:tc>
        <w:tc>
          <w:tcPr>
            <w:tcW w:w="1445" w:type="dxa"/>
          </w:tcPr>
          <w:p w14:paraId="694A194A" w14:textId="77777777" w:rsidR="006D5674" w:rsidRPr="007A02C1" w:rsidRDefault="006D5674" w:rsidP="006D5674">
            <w:pPr>
              <w:spacing w:after="0"/>
              <w:rPr>
                <w:rFonts w:cs="Arial"/>
                <w:szCs w:val="17"/>
              </w:rPr>
            </w:pPr>
            <w:r w:rsidRPr="007A02C1">
              <w:rPr>
                <w:rFonts w:cs="Arial"/>
                <w:szCs w:val="17"/>
              </w:rPr>
              <w:t>COVID-19 Micro-Business Grant</w:t>
            </w:r>
          </w:p>
        </w:tc>
        <w:tc>
          <w:tcPr>
            <w:tcW w:w="946" w:type="dxa"/>
          </w:tcPr>
          <w:p w14:paraId="5AB91AA0" w14:textId="27810F49" w:rsidR="006D5674" w:rsidRPr="007A02C1" w:rsidRDefault="006D5674" w:rsidP="006D5674">
            <w:pPr>
              <w:spacing w:after="0"/>
              <w:rPr>
                <w:rFonts w:cs="Arial"/>
                <w:szCs w:val="17"/>
              </w:rPr>
            </w:pPr>
            <w:r w:rsidRPr="007A02C1">
              <w:rPr>
                <w:rFonts w:cs="Arial"/>
                <w:szCs w:val="17"/>
              </w:rPr>
              <w:t>July 2021</w:t>
            </w:r>
            <w:r>
              <w:rPr>
                <w:rFonts w:cs="Arial"/>
                <w:szCs w:val="17"/>
              </w:rPr>
              <w:t xml:space="preserve"> </w:t>
            </w:r>
            <w:r w:rsidRPr="007A02C1">
              <w:rPr>
                <w:rFonts w:cs="Arial"/>
                <w:szCs w:val="17"/>
              </w:rPr>
              <w:t>to November 2021</w:t>
            </w:r>
          </w:p>
        </w:tc>
        <w:tc>
          <w:tcPr>
            <w:tcW w:w="1570" w:type="dxa"/>
          </w:tcPr>
          <w:p w14:paraId="0A3F57CD" w14:textId="77777777" w:rsidR="006D5674" w:rsidRPr="007A02C1" w:rsidRDefault="006D5674" w:rsidP="006D5674">
            <w:pPr>
              <w:spacing w:after="0"/>
              <w:rPr>
                <w:rFonts w:cs="Arial"/>
                <w:szCs w:val="17"/>
              </w:rPr>
            </w:pPr>
            <w:r w:rsidRPr="007A02C1">
              <w:rPr>
                <w:rFonts w:cs="Arial"/>
                <w:szCs w:val="17"/>
              </w:rPr>
              <w:t>0.12% ($781.1 million)</w:t>
            </w:r>
          </w:p>
        </w:tc>
        <w:tc>
          <w:tcPr>
            <w:tcW w:w="3987" w:type="dxa"/>
          </w:tcPr>
          <w:p w14:paraId="7B028054" w14:textId="77777777" w:rsidR="006D5674" w:rsidRDefault="006D5674" w:rsidP="006D5674">
            <w:pPr>
              <w:spacing w:after="0"/>
              <w:rPr>
                <w:rFonts w:cs="Arial"/>
                <w:bCs/>
                <w:szCs w:val="17"/>
                <w:u w:val="single"/>
              </w:rPr>
            </w:pPr>
            <w:r>
              <w:rPr>
                <w:rFonts w:cs="Arial"/>
                <w:bCs/>
                <w:szCs w:val="17"/>
                <w:u w:val="single"/>
              </w:rPr>
              <w:t>For businesses with a 30% or more decline in turnover for a minimum of two weeks, compared to 2019-20:</w:t>
            </w:r>
          </w:p>
          <w:p w14:paraId="3B1807A0" w14:textId="77777777" w:rsidR="006D5674" w:rsidRPr="007A02C1" w:rsidRDefault="006D5674" w:rsidP="006D5674">
            <w:pPr>
              <w:spacing w:after="0"/>
              <w:rPr>
                <w:rFonts w:cs="Arial"/>
                <w:szCs w:val="17"/>
              </w:rPr>
            </w:pPr>
            <w:r w:rsidRPr="007A02C1">
              <w:rPr>
                <w:rFonts w:cs="Arial"/>
                <w:b/>
                <w:szCs w:val="17"/>
              </w:rPr>
              <w:t xml:space="preserve">$1,500 </w:t>
            </w:r>
            <w:r w:rsidRPr="007A02C1">
              <w:rPr>
                <w:rFonts w:cs="Arial"/>
                <w:szCs w:val="17"/>
              </w:rPr>
              <w:t>per week</w:t>
            </w:r>
          </w:p>
        </w:tc>
      </w:tr>
      <w:tr w:rsidR="006D5674" w:rsidRPr="007A02C1" w14:paraId="251AD0A6" w14:textId="77777777" w:rsidTr="007946FD">
        <w:tc>
          <w:tcPr>
            <w:tcW w:w="1078" w:type="dxa"/>
          </w:tcPr>
          <w:p w14:paraId="479A21AF" w14:textId="5CEA81A1" w:rsidR="006D5674" w:rsidRPr="007A02C1" w:rsidRDefault="006D5674" w:rsidP="006D5674">
            <w:pPr>
              <w:spacing w:after="0"/>
              <w:rPr>
                <w:rFonts w:cs="Arial"/>
                <w:b/>
                <w:szCs w:val="17"/>
              </w:rPr>
            </w:pPr>
            <w:r w:rsidRPr="007A02C1">
              <w:rPr>
                <w:rFonts w:cs="Arial"/>
                <w:b/>
                <w:szCs w:val="17"/>
              </w:rPr>
              <w:t>NSW</w:t>
            </w:r>
          </w:p>
        </w:tc>
        <w:tc>
          <w:tcPr>
            <w:tcW w:w="1445" w:type="dxa"/>
          </w:tcPr>
          <w:p w14:paraId="7F0B082B" w14:textId="77777777" w:rsidR="006D5674" w:rsidRPr="007A02C1" w:rsidRDefault="006D5674" w:rsidP="006D5674">
            <w:pPr>
              <w:spacing w:after="0"/>
              <w:rPr>
                <w:rFonts w:cs="Arial"/>
                <w:szCs w:val="17"/>
              </w:rPr>
            </w:pPr>
            <w:r w:rsidRPr="007A02C1">
              <w:rPr>
                <w:rFonts w:cs="Arial"/>
                <w:szCs w:val="17"/>
              </w:rPr>
              <w:t>Small Business Support Grant</w:t>
            </w:r>
          </w:p>
        </w:tc>
        <w:tc>
          <w:tcPr>
            <w:tcW w:w="946" w:type="dxa"/>
          </w:tcPr>
          <w:p w14:paraId="65455267" w14:textId="4E19717C" w:rsidR="006D5674" w:rsidRPr="007A02C1" w:rsidRDefault="006D5674" w:rsidP="006D5674">
            <w:pPr>
              <w:spacing w:after="0"/>
              <w:rPr>
                <w:rFonts w:cs="Arial"/>
                <w:szCs w:val="17"/>
              </w:rPr>
            </w:pPr>
            <w:r w:rsidRPr="007A02C1">
              <w:rPr>
                <w:rFonts w:cs="Arial"/>
                <w:szCs w:val="17"/>
              </w:rPr>
              <w:t xml:space="preserve">February </w:t>
            </w:r>
            <w:r>
              <w:rPr>
                <w:rFonts w:cs="Arial"/>
                <w:szCs w:val="17"/>
              </w:rPr>
              <w:t xml:space="preserve">2022 </w:t>
            </w:r>
            <w:r w:rsidRPr="007A02C1">
              <w:rPr>
                <w:rFonts w:cs="Arial"/>
                <w:szCs w:val="17"/>
              </w:rPr>
              <w:t>to April 2022</w:t>
            </w:r>
          </w:p>
        </w:tc>
        <w:tc>
          <w:tcPr>
            <w:tcW w:w="1570" w:type="dxa"/>
          </w:tcPr>
          <w:p w14:paraId="2F773221" w14:textId="77777777" w:rsidR="006D5674" w:rsidRPr="007A02C1" w:rsidRDefault="006D5674" w:rsidP="006D5674">
            <w:pPr>
              <w:spacing w:after="0"/>
              <w:rPr>
                <w:rFonts w:cs="Arial"/>
                <w:szCs w:val="17"/>
              </w:rPr>
            </w:pPr>
            <w:r w:rsidRPr="007A02C1">
              <w:rPr>
                <w:rFonts w:cs="Arial"/>
                <w:szCs w:val="17"/>
              </w:rPr>
              <w:t>0.01% ($99.2 million)</w:t>
            </w:r>
          </w:p>
        </w:tc>
        <w:tc>
          <w:tcPr>
            <w:tcW w:w="3987" w:type="dxa"/>
          </w:tcPr>
          <w:p w14:paraId="0ACAE75F" w14:textId="77777777" w:rsidR="006D5674" w:rsidRPr="007A02C1" w:rsidRDefault="006D5674" w:rsidP="006D5674">
            <w:pPr>
              <w:spacing w:after="0"/>
              <w:rPr>
                <w:rFonts w:cs="Arial"/>
                <w:szCs w:val="17"/>
              </w:rPr>
            </w:pPr>
            <w:r w:rsidRPr="007A02C1">
              <w:rPr>
                <w:rFonts w:cs="Arial"/>
                <w:b/>
                <w:szCs w:val="17"/>
              </w:rPr>
              <w:t>20% of payroll</w:t>
            </w:r>
            <w:r w:rsidRPr="007A02C1">
              <w:rPr>
                <w:rFonts w:cs="Arial"/>
                <w:szCs w:val="17"/>
              </w:rPr>
              <w:t xml:space="preserve"> per week, with a minimum – maximum of $750 - $5,000 </w:t>
            </w:r>
          </w:p>
        </w:tc>
      </w:tr>
      <w:tr w:rsidR="006D5674" w:rsidRPr="007A02C1" w14:paraId="0AD1F035" w14:textId="77777777">
        <w:tc>
          <w:tcPr>
            <w:tcW w:w="1078" w:type="dxa"/>
          </w:tcPr>
          <w:p w14:paraId="10C33F6F" w14:textId="77777777" w:rsidR="006D5674" w:rsidRPr="007A02C1" w:rsidRDefault="006D5674" w:rsidP="006D5674">
            <w:pPr>
              <w:spacing w:after="0"/>
              <w:rPr>
                <w:rFonts w:cs="Arial"/>
                <w:b/>
                <w:szCs w:val="17"/>
              </w:rPr>
            </w:pPr>
            <w:r w:rsidRPr="007A02C1">
              <w:rPr>
                <w:rFonts w:cs="Arial"/>
                <w:b/>
                <w:szCs w:val="17"/>
              </w:rPr>
              <w:t>ACT</w:t>
            </w:r>
          </w:p>
        </w:tc>
        <w:tc>
          <w:tcPr>
            <w:tcW w:w="1445" w:type="dxa"/>
          </w:tcPr>
          <w:p w14:paraId="2D65319C" w14:textId="77777777" w:rsidR="006D5674" w:rsidRPr="007A02C1" w:rsidRDefault="006D5674" w:rsidP="006D5674">
            <w:pPr>
              <w:spacing w:after="0"/>
              <w:rPr>
                <w:rFonts w:cs="Arial"/>
                <w:szCs w:val="17"/>
              </w:rPr>
            </w:pPr>
            <w:r w:rsidRPr="007A02C1">
              <w:rPr>
                <w:rFonts w:cs="Arial"/>
                <w:szCs w:val="17"/>
              </w:rPr>
              <w:t xml:space="preserve">COVID-19 Business Support Grant  </w:t>
            </w:r>
          </w:p>
        </w:tc>
        <w:tc>
          <w:tcPr>
            <w:tcW w:w="946" w:type="dxa"/>
          </w:tcPr>
          <w:p w14:paraId="1E2CEE90" w14:textId="77777777" w:rsidR="006D5674" w:rsidRPr="007A02C1" w:rsidRDefault="006D5674" w:rsidP="006D5674">
            <w:pPr>
              <w:spacing w:after="0"/>
              <w:rPr>
                <w:rFonts w:cs="Arial"/>
                <w:szCs w:val="17"/>
              </w:rPr>
            </w:pPr>
            <w:r w:rsidRPr="007A02C1">
              <w:rPr>
                <w:rFonts w:cs="Arial"/>
                <w:szCs w:val="17"/>
              </w:rPr>
              <w:t>August 2021 to May 2022</w:t>
            </w:r>
          </w:p>
        </w:tc>
        <w:tc>
          <w:tcPr>
            <w:tcW w:w="1570" w:type="dxa"/>
          </w:tcPr>
          <w:p w14:paraId="3CC8C954" w14:textId="77777777" w:rsidR="006D5674" w:rsidRPr="007A02C1" w:rsidRDefault="006D5674" w:rsidP="006D5674">
            <w:pPr>
              <w:spacing w:after="0"/>
              <w:rPr>
                <w:rFonts w:cs="Arial"/>
                <w:szCs w:val="17"/>
              </w:rPr>
            </w:pPr>
            <w:r w:rsidRPr="007A02C1">
              <w:rPr>
                <w:rFonts w:cs="Arial"/>
                <w:szCs w:val="17"/>
              </w:rPr>
              <w:t>0.72% ($326.5 million)</w:t>
            </w:r>
          </w:p>
        </w:tc>
        <w:tc>
          <w:tcPr>
            <w:tcW w:w="3987" w:type="dxa"/>
          </w:tcPr>
          <w:p w14:paraId="2FB6FAD9" w14:textId="77777777" w:rsidR="006D5674" w:rsidRPr="007A02C1" w:rsidRDefault="006D5674" w:rsidP="006D5674">
            <w:pPr>
              <w:spacing w:after="0"/>
              <w:rPr>
                <w:rFonts w:cs="Arial"/>
                <w:szCs w:val="17"/>
                <w:u w:val="single"/>
              </w:rPr>
            </w:pPr>
            <w:r w:rsidRPr="007A02C1">
              <w:rPr>
                <w:rFonts w:cs="Arial"/>
                <w:szCs w:val="17"/>
                <w:u w:val="single"/>
              </w:rPr>
              <w:t>Non-employing businesses:</w:t>
            </w:r>
          </w:p>
          <w:p w14:paraId="19C22390" w14:textId="77777777" w:rsidR="006D5674" w:rsidRPr="007A02C1" w:rsidRDefault="006D5674" w:rsidP="006D5674">
            <w:pPr>
              <w:spacing w:after="0"/>
              <w:rPr>
                <w:rFonts w:cs="Arial"/>
                <w:szCs w:val="17"/>
              </w:rPr>
            </w:pPr>
            <w:r w:rsidRPr="007A02C1">
              <w:rPr>
                <w:rFonts w:cs="Arial"/>
                <w:szCs w:val="17"/>
              </w:rPr>
              <w:t xml:space="preserve">Payment 1: $1,000 (expanded to </w:t>
            </w:r>
            <w:r w:rsidRPr="007A02C1">
              <w:rPr>
                <w:rFonts w:cs="Arial"/>
                <w:b/>
                <w:szCs w:val="17"/>
              </w:rPr>
              <w:t>$7,500</w:t>
            </w:r>
            <w:r w:rsidRPr="007A02C1">
              <w:rPr>
                <w:rFonts w:cs="Arial"/>
                <w:szCs w:val="17"/>
              </w:rPr>
              <w:t>)</w:t>
            </w:r>
          </w:p>
          <w:p w14:paraId="47DAFECA" w14:textId="77777777" w:rsidR="006D5674" w:rsidRPr="007A02C1" w:rsidRDefault="006D5674" w:rsidP="006D5674">
            <w:pPr>
              <w:spacing w:after="0"/>
              <w:rPr>
                <w:rFonts w:cs="Arial"/>
                <w:szCs w:val="17"/>
              </w:rPr>
            </w:pPr>
            <w:r w:rsidRPr="007A02C1">
              <w:rPr>
                <w:rFonts w:cs="Arial"/>
                <w:szCs w:val="17"/>
              </w:rPr>
              <w:t xml:space="preserve">Payment 2 (additional extension for businesses still impacted by restrictions): </w:t>
            </w:r>
            <w:r w:rsidRPr="007A02C1">
              <w:rPr>
                <w:rFonts w:cs="Arial"/>
                <w:b/>
                <w:szCs w:val="17"/>
              </w:rPr>
              <w:t>$7,500</w:t>
            </w:r>
          </w:p>
          <w:p w14:paraId="376D5D0E" w14:textId="77777777" w:rsidR="006D5674" w:rsidRPr="007A02C1" w:rsidRDefault="006D5674" w:rsidP="006D5674">
            <w:pPr>
              <w:spacing w:after="0"/>
              <w:rPr>
                <w:rFonts w:cs="Arial"/>
                <w:b/>
                <w:szCs w:val="17"/>
              </w:rPr>
            </w:pPr>
            <w:r w:rsidRPr="007A02C1">
              <w:rPr>
                <w:rFonts w:cs="Arial"/>
                <w:szCs w:val="17"/>
              </w:rPr>
              <w:t xml:space="preserve">Payment 3 (additional extension for Tourism, Accommodation, Arts and Events, Hospitality and Fitness sectors): </w:t>
            </w:r>
            <w:r w:rsidRPr="007A02C1">
              <w:rPr>
                <w:rFonts w:cs="Arial"/>
                <w:b/>
                <w:szCs w:val="17"/>
              </w:rPr>
              <w:t>$5,000</w:t>
            </w:r>
          </w:p>
          <w:p w14:paraId="7997BB79" w14:textId="77777777" w:rsidR="006D5674" w:rsidRDefault="006D5674" w:rsidP="006D5674">
            <w:pPr>
              <w:spacing w:after="0"/>
              <w:rPr>
                <w:rFonts w:cs="Arial"/>
                <w:szCs w:val="17"/>
              </w:rPr>
            </w:pPr>
            <w:r w:rsidRPr="007A02C1">
              <w:rPr>
                <w:rFonts w:cs="Arial"/>
                <w:szCs w:val="17"/>
              </w:rPr>
              <w:t>All one-off payments</w:t>
            </w:r>
          </w:p>
          <w:p w14:paraId="6FF97176" w14:textId="77777777" w:rsidR="006D5674" w:rsidRPr="007A02C1" w:rsidRDefault="006D5674" w:rsidP="006D5674">
            <w:pPr>
              <w:spacing w:after="0"/>
              <w:rPr>
                <w:rFonts w:cs="Arial"/>
                <w:szCs w:val="17"/>
              </w:rPr>
            </w:pPr>
          </w:p>
          <w:p w14:paraId="3607F281" w14:textId="77777777" w:rsidR="006D5674" w:rsidRPr="007A02C1" w:rsidRDefault="006D5674" w:rsidP="006D5674">
            <w:pPr>
              <w:spacing w:after="0"/>
              <w:rPr>
                <w:rFonts w:cs="Arial"/>
                <w:szCs w:val="17"/>
              </w:rPr>
            </w:pPr>
            <w:r w:rsidRPr="007A02C1">
              <w:rPr>
                <w:rFonts w:cs="Arial"/>
                <w:szCs w:val="17"/>
                <w:u w:val="single"/>
              </w:rPr>
              <w:t>Employing businesses:</w:t>
            </w:r>
            <w:r w:rsidRPr="007A02C1">
              <w:rPr>
                <w:rFonts w:cs="Arial"/>
                <w:szCs w:val="17"/>
              </w:rPr>
              <w:t xml:space="preserve"> Payment 1: $3,000 (expanded to </w:t>
            </w:r>
            <w:r w:rsidRPr="007A02C1">
              <w:rPr>
                <w:rFonts w:cs="Arial"/>
                <w:b/>
                <w:szCs w:val="17"/>
              </w:rPr>
              <w:t>$20,000</w:t>
            </w:r>
            <w:r w:rsidRPr="007A02C1">
              <w:rPr>
                <w:rFonts w:cs="Arial"/>
                <w:szCs w:val="17"/>
              </w:rPr>
              <w:t>)</w:t>
            </w:r>
          </w:p>
          <w:p w14:paraId="69EF103C" w14:textId="77777777" w:rsidR="006D5674" w:rsidRPr="007A02C1" w:rsidRDefault="006D5674" w:rsidP="006D5674">
            <w:pPr>
              <w:spacing w:after="0"/>
              <w:rPr>
                <w:rFonts w:cs="Arial"/>
                <w:szCs w:val="17"/>
              </w:rPr>
            </w:pPr>
            <w:r w:rsidRPr="007A02C1">
              <w:rPr>
                <w:rFonts w:cs="Arial"/>
                <w:szCs w:val="17"/>
              </w:rPr>
              <w:t xml:space="preserve">Payment 2 (additional extension for businesses still impacted by restrictions): </w:t>
            </w:r>
            <w:r w:rsidRPr="007A02C1">
              <w:rPr>
                <w:rFonts w:cs="Arial"/>
                <w:b/>
                <w:szCs w:val="17"/>
              </w:rPr>
              <w:t>$20,000</w:t>
            </w:r>
          </w:p>
          <w:p w14:paraId="134EB1AE" w14:textId="77777777" w:rsidR="006D5674" w:rsidRPr="007A02C1" w:rsidRDefault="006D5674" w:rsidP="006D5674">
            <w:pPr>
              <w:spacing w:after="0"/>
              <w:rPr>
                <w:rFonts w:cs="Arial"/>
                <w:szCs w:val="17"/>
              </w:rPr>
            </w:pPr>
            <w:r w:rsidRPr="007A02C1">
              <w:rPr>
                <w:rFonts w:cs="Arial"/>
                <w:szCs w:val="17"/>
              </w:rPr>
              <w:t xml:space="preserve">Payment 3 (additional extension for Tourism, Accommodation, Arts and Events, Hospitality and Fitness sectors): </w:t>
            </w:r>
            <w:r w:rsidRPr="007A02C1">
              <w:rPr>
                <w:rFonts w:cs="Arial"/>
                <w:b/>
                <w:szCs w:val="17"/>
              </w:rPr>
              <w:t xml:space="preserve">$8,000 </w:t>
            </w:r>
            <w:r w:rsidRPr="007A02C1">
              <w:rPr>
                <w:rFonts w:cs="Arial"/>
                <w:szCs w:val="17"/>
              </w:rPr>
              <w:t xml:space="preserve">for businesses with &lt; $2 million turnover, </w:t>
            </w:r>
            <w:r w:rsidRPr="007A02C1">
              <w:rPr>
                <w:rFonts w:cs="Arial"/>
                <w:b/>
                <w:szCs w:val="17"/>
              </w:rPr>
              <w:t>$15,000</w:t>
            </w:r>
            <w:r w:rsidRPr="007A02C1">
              <w:rPr>
                <w:rFonts w:cs="Arial"/>
                <w:szCs w:val="17"/>
              </w:rPr>
              <w:t xml:space="preserve"> for business with $2 million - $5 million turnover, </w:t>
            </w:r>
            <w:r w:rsidRPr="007A02C1">
              <w:rPr>
                <w:rFonts w:cs="Arial"/>
                <w:b/>
                <w:szCs w:val="17"/>
              </w:rPr>
              <w:t>$25,000</w:t>
            </w:r>
            <w:r w:rsidRPr="007A02C1">
              <w:rPr>
                <w:rFonts w:cs="Arial"/>
                <w:szCs w:val="17"/>
              </w:rPr>
              <w:t xml:space="preserve"> for businesses with &gt; $5 million turnover</w:t>
            </w:r>
          </w:p>
          <w:p w14:paraId="4D03188E" w14:textId="77777777" w:rsidR="006D5674" w:rsidRPr="007A02C1" w:rsidRDefault="006D5674" w:rsidP="006D5674">
            <w:pPr>
              <w:spacing w:after="0"/>
              <w:rPr>
                <w:rFonts w:cs="Arial"/>
                <w:szCs w:val="17"/>
              </w:rPr>
            </w:pPr>
            <w:r w:rsidRPr="007A02C1">
              <w:rPr>
                <w:rFonts w:cs="Arial"/>
                <w:szCs w:val="17"/>
              </w:rPr>
              <w:t xml:space="preserve">Payment 4: </w:t>
            </w:r>
            <w:r w:rsidRPr="007A02C1">
              <w:rPr>
                <w:rFonts w:cs="Arial"/>
                <w:b/>
                <w:szCs w:val="17"/>
              </w:rPr>
              <w:t xml:space="preserve">$20,000 </w:t>
            </w:r>
            <w:r w:rsidRPr="007A02C1">
              <w:rPr>
                <w:rFonts w:cs="Arial"/>
                <w:szCs w:val="17"/>
              </w:rPr>
              <w:t xml:space="preserve">for businesses with $2 million - $5 million turnover, </w:t>
            </w:r>
            <w:r w:rsidRPr="007A02C1">
              <w:rPr>
                <w:rFonts w:cs="Arial"/>
                <w:b/>
                <w:szCs w:val="17"/>
              </w:rPr>
              <w:t>$40,000</w:t>
            </w:r>
            <w:r w:rsidRPr="007A02C1">
              <w:rPr>
                <w:rFonts w:cs="Arial"/>
                <w:szCs w:val="17"/>
              </w:rPr>
              <w:t xml:space="preserve"> for business with $5 million - $10 million turnover, </w:t>
            </w:r>
            <w:r w:rsidRPr="007A02C1">
              <w:rPr>
                <w:rFonts w:cs="Arial"/>
                <w:b/>
                <w:szCs w:val="17"/>
              </w:rPr>
              <w:t>$60,000</w:t>
            </w:r>
            <w:r w:rsidRPr="007A02C1">
              <w:rPr>
                <w:rFonts w:cs="Arial"/>
                <w:szCs w:val="17"/>
              </w:rPr>
              <w:t xml:space="preserve"> for businesses with &gt;$10 million turnover</w:t>
            </w:r>
          </w:p>
        </w:tc>
      </w:tr>
      <w:tr w:rsidR="006D5674" w:rsidRPr="007A02C1" w14:paraId="353F02D9" w14:textId="77777777" w:rsidTr="007946FD">
        <w:tc>
          <w:tcPr>
            <w:tcW w:w="1078" w:type="dxa"/>
          </w:tcPr>
          <w:p w14:paraId="32F8D4F5" w14:textId="7306342D" w:rsidR="006D5674" w:rsidRPr="007A02C1" w:rsidRDefault="006D5674" w:rsidP="006D5674">
            <w:pPr>
              <w:spacing w:after="0"/>
              <w:rPr>
                <w:rFonts w:cs="Arial"/>
                <w:b/>
                <w:szCs w:val="17"/>
              </w:rPr>
            </w:pPr>
            <w:r>
              <w:rPr>
                <w:rFonts w:cs="Arial"/>
                <w:b/>
                <w:szCs w:val="17"/>
              </w:rPr>
              <w:t>ACT</w:t>
            </w:r>
          </w:p>
        </w:tc>
        <w:tc>
          <w:tcPr>
            <w:tcW w:w="1445" w:type="dxa"/>
          </w:tcPr>
          <w:p w14:paraId="0F0E7B39" w14:textId="77777777" w:rsidR="006D5674" w:rsidRPr="007A02C1" w:rsidRDefault="006D5674" w:rsidP="006D5674">
            <w:pPr>
              <w:spacing w:after="0"/>
              <w:rPr>
                <w:rFonts w:cs="Arial"/>
                <w:szCs w:val="17"/>
              </w:rPr>
            </w:pPr>
            <w:r w:rsidRPr="007A02C1">
              <w:rPr>
                <w:rFonts w:cs="Arial"/>
                <w:szCs w:val="17"/>
              </w:rPr>
              <w:t>COVID-19 Small Business Hardship Scheme</w:t>
            </w:r>
          </w:p>
        </w:tc>
        <w:tc>
          <w:tcPr>
            <w:tcW w:w="946" w:type="dxa"/>
          </w:tcPr>
          <w:p w14:paraId="3999E05F" w14:textId="77777777" w:rsidR="006D5674" w:rsidRPr="007A02C1" w:rsidRDefault="006D5674" w:rsidP="006D5674">
            <w:pPr>
              <w:spacing w:after="0"/>
              <w:rPr>
                <w:rFonts w:cs="Arial"/>
                <w:szCs w:val="17"/>
              </w:rPr>
            </w:pPr>
            <w:r w:rsidRPr="007A02C1">
              <w:rPr>
                <w:rFonts w:cs="Arial"/>
                <w:szCs w:val="17"/>
              </w:rPr>
              <w:t>November 2021 to June 2022</w:t>
            </w:r>
          </w:p>
        </w:tc>
        <w:tc>
          <w:tcPr>
            <w:tcW w:w="1570" w:type="dxa"/>
          </w:tcPr>
          <w:p w14:paraId="5F416BDC" w14:textId="77777777" w:rsidR="006D5674" w:rsidRPr="007A02C1" w:rsidRDefault="006D5674" w:rsidP="006D5674">
            <w:pPr>
              <w:spacing w:after="0"/>
              <w:rPr>
                <w:rFonts w:cs="Arial"/>
                <w:szCs w:val="17"/>
              </w:rPr>
            </w:pPr>
            <w:r w:rsidRPr="007A02C1">
              <w:rPr>
                <w:rFonts w:cs="Arial"/>
                <w:szCs w:val="17"/>
              </w:rPr>
              <w:t>0.03% ($13.3 million)</w:t>
            </w:r>
          </w:p>
        </w:tc>
        <w:tc>
          <w:tcPr>
            <w:tcW w:w="3987" w:type="dxa"/>
          </w:tcPr>
          <w:p w14:paraId="6BD3BE78" w14:textId="77777777" w:rsidR="006D5674" w:rsidRPr="007A02C1" w:rsidRDefault="006D5674" w:rsidP="006D5674">
            <w:pPr>
              <w:spacing w:after="0"/>
              <w:rPr>
                <w:rFonts w:cs="Arial"/>
                <w:szCs w:val="17"/>
              </w:rPr>
            </w:pPr>
            <w:r w:rsidRPr="007A02C1">
              <w:rPr>
                <w:rFonts w:cs="Arial"/>
                <w:szCs w:val="17"/>
              </w:rPr>
              <w:t>Up to</w:t>
            </w:r>
            <w:r w:rsidRPr="007A02C1">
              <w:rPr>
                <w:rFonts w:cs="Arial"/>
                <w:b/>
                <w:szCs w:val="17"/>
              </w:rPr>
              <w:t xml:space="preserve"> $10,000</w:t>
            </w:r>
            <w:r w:rsidRPr="007A02C1">
              <w:rPr>
                <w:rFonts w:cs="Arial"/>
                <w:szCs w:val="17"/>
              </w:rPr>
              <w:t xml:space="preserve"> for utilities, rates and commercial vehicle registration, three payments</w:t>
            </w:r>
          </w:p>
        </w:tc>
      </w:tr>
      <w:tr w:rsidR="006D5674" w:rsidRPr="007A02C1" w14:paraId="12F4BA3D" w14:textId="77777777" w:rsidTr="007946FD">
        <w:tc>
          <w:tcPr>
            <w:tcW w:w="1078" w:type="dxa"/>
          </w:tcPr>
          <w:p w14:paraId="4D5CFF0C" w14:textId="77777777" w:rsidR="006D5674" w:rsidRPr="007A02C1" w:rsidRDefault="006D5674" w:rsidP="006D5674">
            <w:pPr>
              <w:spacing w:after="0"/>
              <w:rPr>
                <w:rFonts w:cs="Arial"/>
                <w:b/>
                <w:szCs w:val="17"/>
              </w:rPr>
            </w:pPr>
            <w:r w:rsidRPr="007A02C1">
              <w:rPr>
                <w:rFonts w:cs="Arial"/>
                <w:b/>
                <w:szCs w:val="17"/>
              </w:rPr>
              <w:t>QLD</w:t>
            </w:r>
          </w:p>
        </w:tc>
        <w:tc>
          <w:tcPr>
            <w:tcW w:w="1445" w:type="dxa"/>
          </w:tcPr>
          <w:p w14:paraId="03B13C64" w14:textId="77777777" w:rsidR="006D5674" w:rsidRPr="007A02C1" w:rsidRDefault="006D5674" w:rsidP="006D5674">
            <w:pPr>
              <w:spacing w:after="0"/>
              <w:rPr>
                <w:rFonts w:cs="Arial"/>
                <w:szCs w:val="17"/>
              </w:rPr>
            </w:pPr>
            <w:r w:rsidRPr="007A02C1">
              <w:rPr>
                <w:rFonts w:cs="Arial"/>
                <w:szCs w:val="17"/>
              </w:rPr>
              <w:t>COVID-19 Small Business Adaptation Grants</w:t>
            </w:r>
          </w:p>
        </w:tc>
        <w:tc>
          <w:tcPr>
            <w:tcW w:w="946" w:type="dxa"/>
          </w:tcPr>
          <w:p w14:paraId="41667150" w14:textId="4E0EFD99" w:rsidR="006D5674" w:rsidRPr="007A02C1" w:rsidRDefault="006D5674" w:rsidP="006D5674">
            <w:pPr>
              <w:spacing w:after="0"/>
              <w:rPr>
                <w:rFonts w:cs="Arial"/>
                <w:szCs w:val="17"/>
              </w:rPr>
            </w:pPr>
            <w:r w:rsidRPr="007A02C1">
              <w:rPr>
                <w:rFonts w:cs="Arial"/>
                <w:szCs w:val="17"/>
              </w:rPr>
              <w:t>May</w:t>
            </w:r>
            <w:r>
              <w:rPr>
                <w:rFonts w:cs="Arial"/>
                <w:szCs w:val="17"/>
              </w:rPr>
              <w:t xml:space="preserve"> 2020</w:t>
            </w:r>
            <w:r w:rsidRPr="007A02C1">
              <w:rPr>
                <w:rFonts w:cs="Arial"/>
                <w:szCs w:val="17"/>
              </w:rPr>
              <w:t xml:space="preserve"> to August 2020</w:t>
            </w:r>
          </w:p>
        </w:tc>
        <w:tc>
          <w:tcPr>
            <w:tcW w:w="1570" w:type="dxa"/>
          </w:tcPr>
          <w:p w14:paraId="1215F19E" w14:textId="77777777" w:rsidR="006D5674" w:rsidRPr="007A02C1" w:rsidRDefault="006D5674" w:rsidP="006D5674">
            <w:pPr>
              <w:spacing w:after="0"/>
              <w:rPr>
                <w:rFonts w:cs="Arial"/>
                <w:szCs w:val="17"/>
              </w:rPr>
            </w:pPr>
            <w:r w:rsidRPr="007A02C1">
              <w:rPr>
                <w:rFonts w:cs="Arial"/>
                <w:szCs w:val="17"/>
              </w:rPr>
              <w:t>0.0002% ($634,888)</w:t>
            </w:r>
          </w:p>
        </w:tc>
        <w:tc>
          <w:tcPr>
            <w:tcW w:w="3987" w:type="dxa"/>
          </w:tcPr>
          <w:p w14:paraId="6EE2EEEC" w14:textId="77777777" w:rsidR="006D5674" w:rsidRPr="007A02C1" w:rsidRDefault="006D5674" w:rsidP="006D5674">
            <w:pPr>
              <w:spacing w:after="0"/>
              <w:rPr>
                <w:rFonts w:cs="Arial"/>
                <w:b/>
                <w:szCs w:val="17"/>
              </w:rPr>
            </w:pPr>
            <w:r w:rsidRPr="007A02C1">
              <w:rPr>
                <w:rFonts w:cs="Arial"/>
                <w:b/>
                <w:szCs w:val="17"/>
              </w:rPr>
              <w:t>$10,000</w:t>
            </w:r>
            <w:r w:rsidRPr="007A02C1">
              <w:rPr>
                <w:rFonts w:cs="Arial"/>
                <w:szCs w:val="17"/>
              </w:rPr>
              <w:t>, one-off</w:t>
            </w:r>
          </w:p>
        </w:tc>
      </w:tr>
      <w:tr w:rsidR="006D5674" w:rsidRPr="007A02C1" w14:paraId="06CEA9B6" w14:textId="77777777" w:rsidTr="007946FD">
        <w:tc>
          <w:tcPr>
            <w:tcW w:w="1078" w:type="dxa"/>
          </w:tcPr>
          <w:p w14:paraId="51997C38" w14:textId="693544DD" w:rsidR="006D5674" w:rsidRPr="007A02C1" w:rsidRDefault="006D5674" w:rsidP="006D5674">
            <w:pPr>
              <w:spacing w:after="0"/>
              <w:rPr>
                <w:rFonts w:cs="Arial"/>
                <w:b/>
                <w:szCs w:val="17"/>
              </w:rPr>
            </w:pPr>
            <w:r w:rsidRPr="007A02C1">
              <w:rPr>
                <w:rFonts w:cs="Arial"/>
                <w:b/>
                <w:szCs w:val="17"/>
              </w:rPr>
              <w:t>QLD</w:t>
            </w:r>
          </w:p>
        </w:tc>
        <w:tc>
          <w:tcPr>
            <w:tcW w:w="1445" w:type="dxa"/>
          </w:tcPr>
          <w:p w14:paraId="083F43D1" w14:textId="77777777" w:rsidR="006D5674" w:rsidRPr="007A02C1" w:rsidRDefault="006D5674" w:rsidP="006D5674">
            <w:pPr>
              <w:spacing w:after="0"/>
              <w:rPr>
                <w:rFonts w:cs="Arial"/>
                <w:szCs w:val="17"/>
              </w:rPr>
            </w:pPr>
            <w:r w:rsidRPr="007A02C1">
              <w:rPr>
                <w:rFonts w:cs="Arial"/>
                <w:szCs w:val="17"/>
              </w:rPr>
              <w:t>COVID-19 Border Business Zone Hardship Grants</w:t>
            </w:r>
          </w:p>
        </w:tc>
        <w:tc>
          <w:tcPr>
            <w:tcW w:w="946" w:type="dxa"/>
          </w:tcPr>
          <w:p w14:paraId="7E1969BC" w14:textId="2EBDE38B" w:rsidR="006D5674" w:rsidRPr="007A02C1" w:rsidRDefault="006D5674" w:rsidP="006D5674">
            <w:pPr>
              <w:spacing w:after="0"/>
              <w:rPr>
                <w:rFonts w:cs="Arial"/>
                <w:szCs w:val="17"/>
              </w:rPr>
            </w:pPr>
            <w:r w:rsidRPr="007A02C1">
              <w:rPr>
                <w:rFonts w:cs="Arial"/>
                <w:szCs w:val="17"/>
              </w:rPr>
              <w:t>August 2021</w:t>
            </w:r>
            <w:r>
              <w:rPr>
                <w:rFonts w:cs="Arial"/>
                <w:szCs w:val="17"/>
              </w:rPr>
              <w:t xml:space="preserve"> </w:t>
            </w:r>
            <w:r w:rsidRPr="007A02C1">
              <w:rPr>
                <w:rFonts w:cs="Arial"/>
                <w:szCs w:val="17"/>
              </w:rPr>
              <w:t>to November 2021</w:t>
            </w:r>
          </w:p>
        </w:tc>
        <w:tc>
          <w:tcPr>
            <w:tcW w:w="1570" w:type="dxa"/>
          </w:tcPr>
          <w:p w14:paraId="2FFA5612" w14:textId="77777777" w:rsidR="006D5674" w:rsidRPr="007A02C1" w:rsidRDefault="006D5674" w:rsidP="006D5674">
            <w:pPr>
              <w:spacing w:after="0"/>
              <w:rPr>
                <w:rFonts w:cs="Arial"/>
                <w:szCs w:val="17"/>
              </w:rPr>
            </w:pPr>
            <w:r w:rsidRPr="007A02C1">
              <w:rPr>
                <w:rFonts w:cs="Arial"/>
                <w:szCs w:val="17"/>
              </w:rPr>
              <w:t>Unavailable publicly</w:t>
            </w:r>
          </w:p>
        </w:tc>
        <w:tc>
          <w:tcPr>
            <w:tcW w:w="3987" w:type="dxa"/>
          </w:tcPr>
          <w:p w14:paraId="31C4C549" w14:textId="77777777" w:rsidR="006D5674" w:rsidRPr="007A02C1" w:rsidRDefault="006D5674" w:rsidP="006D5674">
            <w:pPr>
              <w:spacing w:after="0"/>
              <w:rPr>
                <w:rFonts w:cs="Arial"/>
                <w:szCs w:val="17"/>
              </w:rPr>
            </w:pPr>
            <w:r w:rsidRPr="007A02C1">
              <w:rPr>
                <w:rFonts w:cs="Arial"/>
                <w:b/>
                <w:szCs w:val="17"/>
              </w:rPr>
              <w:t>$5,000</w:t>
            </w:r>
            <w:r w:rsidRPr="007A02C1">
              <w:rPr>
                <w:rFonts w:cs="Arial"/>
                <w:szCs w:val="17"/>
              </w:rPr>
              <w:t xml:space="preserve"> for employing businesses, one-off</w:t>
            </w:r>
          </w:p>
          <w:p w14:paraId="64D145B4" w14:textId="63169982" w:rsidR="006D5674" w:rsidRPr="007A02C1" w:rsidRDefault="006D5674" w:rsidP="006D5674">
            <w:pPr>
              <w:spacing w:after="0"/>
              <w:rPr>
                <w:rFonts w:cs="Arial"/>
                <w:szCs w:val="17"/>
              </w:rPr>
            </w:pPr>
            <w:r w:rsidRPr="007A02C1">
              <w:rPr>
                <w:rFonts w:cs="Arial"/>
                <w:b/>
                <w:szCs w:val="17"/>
              </w:rPr>
              <w:t>$1,000</w:t>
            </w:r>
            <w:r w:rsidRPr="007A02C1">
              <w:rPr>
                <w:rFonts w:cs="Arial"/>
                <w:szCs w:val="17"/>
              </w:rPr>
              <w:t xml:space="preserve"> for non-employing sole traders, one</w:t>
            </w:r>
            <w:r>
              <w:rPr>
                <w:rFonts w:cs="Arial"/>
                <w:szCs w:val="17"/>
              </w:rPr>
              <w:t>-</w:t>
            </w:r>
            <w:r w:rsidRPr="007A02C1">
              <w:rPr>
                <w:rFonts w:cs="Arial"/>
                <w:szCs w:val="17"/>
              </w:rPr>
              <w:t>off.</w:t>
            </w:r>
          </w:p>
          <w:p w14:paraId="4B6BEF78" w14:textId="77777777" w:rsidR="006D5674" w:rsidRPr="007A02C1" w:rsidRDefault="006D5674" w:rsidP="006D5674">
            <w:pPr>
              <w:spacing w:after="0"/>
              <w:ind w:left="0"/>
              <w:rPr>
                <w:rFonts w:cs="Arial"/>
                <w:szCs w:val="17"/>
              </w:rPr>
            </w:pPr>
          </w:p>
        </w:tc>
      </w:tr>
      <w:tr w:rsidR="006D5674" w:rsidRPr="007A02C1" w14:paraId="60F25F28" w14:textId="77777777" w:rsidTr="007946FD">
        <w:tc>
          <w:tcPr>
            <w:tcW w:w="1078" w:type="dxa"/>
          </w:tcPr>
          <w:p w14:paraId="415159CC" w14:textId="04DA9BB6" w:rsidR="006D5674" w:rsidRPr="007A02C1" w:rsidRDefault="006D5674" w:rsidP="006D5674">
            <w:pPr>
              <w:spacing w:after="0"/>
              <w:rPr>
                <w:rFonts w:cs="Arial"/>
                <w:b/>
                <w:szCs w:val="17"/>
              </w:rPr>
            </w:pPr>
            <w:r w:rsidRPr="007A02C1">
              <w:rPr>
                <w:rFonts w:cs="Arial"/>
                <w:b/>
                <w:szCs w:val="17"/>
              </w:rPr>
              <w:t>QLD</w:t>
            </w:r>
          </w:p>
        </w:tc>
        <w:tc>
          <w:tcPr>
            <w:tcW w:w="1445" w:type="dxa"/>
          </w:tcPr>
          <w:p w14:paraId="68EEC72A" w14:textId="77777777" w:rsidR="006D5674" w:rsidRPr="007A02C1" w:rsidRDefault="006D5674" w:rsidP="006D5674">
            <w:pPr>
              <w:spacing w:after="0"/>
              <w:rPr>
                <w:rFonts w:cs="Arial"/>
                <w:szCs w:val="17"/>
              </w:rPr>
            </w:pPr>
            <w:r w:rsidRPr="007A02C1">
              <w:rPr>
                <w:rFonts w:cs="Arial"/>
                <w:szCs w:val="17"/>
              </w:rPr>
              <w:t>2021 COVID-19 Business Support Grant</w:t>
            </w:r>
          </w:p>
        </w:tc>
        <w:tc>
          <w:tcPr>
            <w:tcW w:w="946" w:type="dxa"/>
          </w:tcPr>
          <w:p w14:paraId="2B5B9137" w14:textId="76235256" w:rsidR="006D5674" w:rsidRPr="007A02C1" w:rsidRDefault="006D5674" w:rsidP="006D5674">
            <w:pPr>
              <w:spacing w:after="0"/>
              <w:rPr>
                <w:rFonts w:cs="Arial"/>
                <w:szCs w:val="17"/>
              </w:rPr>
            </w:pPr>
            <w:r w:rsidRPr="007A02C1">
              <w:rPr>
                <w:rFonts w:cs="Arial"/>
                <w:szCs w:val="17"/>
              </w:rPr>
              <w:t>August 2021</w:t>
            </w:r>
            <w:r>
              <w:rPr>
                <w:rFonts w:cs="Arial"/>
                <w:szCs w:val="17"/>
              </w:rPr>
              <w:t xml:space="preserve"> </w:t>
            </w:r>
            <w:r w:rsidRPr="007A02C1">
              <w:rPr>
                <w:rFonts w:cs="Arial"/>
                <w:szCs w:val="17"/>
              </w:rPr>
              <w:t>to November 2021</w:t>
            </w:r>
          </w:p>
        </w:tc>
        <w:tc>
          <w:tcPr>
            <w:tcW w:w="1570" w:type="dxa"/>
          </w:tcPr>
          <w:p w14:paraId="72DEC797" w14:textId="77777777" w:rsidR="006D5674" w:rsidRPr="007A02C1" w:rsidRDefault="006D5674" w:rsidP="006D5674">
            <w:pPr>
              <w:spacing w:after="0"/>
              <w:rPr>
                <w:rFonts w:cs="Arial"/>
                <w:szCs w:val="17"/>
              </w:rPr>
            </w:pPr>
            <w:r w:rsidRPr="007A02C1">
              <w:rPr>
                <w:rFonts w:cs="Arial"/>
                <w:szCs w:val="17"/>
              </w:rPr>
              <w:t>0.08% ($316.6 million)</w:t>
            </w:r>
          </w:p>
        </w:tc>
        <w:tc>
          <w:tcPr>
            <w:tcW w:w="3987" w:type="dxa"/>
          </w:tcPr>
          <w:p w14:paraId="679BD92C" w14:textId="77777777" w:rsidR="006D5674" w:rsidRPr="007A02C1" w:rsidRDefault="006D5674" w:rsidP="006D5674">
            <w:pPr>
              <w:spacing w:after="0"/>
              <w:rPr>
                <w:rFonts w:cs="Arial"/>
                <w:szCs w:val="17"/>
              </w:rPr>
            </w:pPr>
            <w:r w:rsidRPr="007A02C1">
              <w:rPr>
                <w:rFonts w:cs="Arial"/>
                <w:b/>
                <w:szCs w:val="17"/>
              </w:rPr>
              <w:t>$1,000</w:t>
            </w:r>
            <w:r w:rsidRPr="007A02C1">
              <w:rPr>
                <w:rFonts w:cs="Arial"/>
                <w:szCs w:val="17"/>
              </w:rPr>
              <w:t xml:space="preserve"> for non-employing sole traders</w:t>
            </w:r>
          </w:p>
          <w:p w14:paraId="60E76DC9" w14:textId="77777777" w:rsidR="006D5674" w:rsidRPr="007A02C1" w:rsidRDefault="006D5674" w:rsidP="006D5674">
            <w:pPr>
              <w:spacing w:after="0"/>
              <w:rPr>
                <w:rFonts w:cs="Arial"/>
                <w:szCs w:val="17"/>
              </w:rPr>
            </w:pPr>
            <w:r w:rsidRPr="007A02C1">
              <w:rPr>
                <w:rFonts w:cs="Arial"/>
                <w:b/>
                <w:szCs w:val="17"/>
              </w:rPr>
              <w:t>$10,000</w:t>
            </w:r>
            <w:r w:rsidRPr="007A02C1">
              <w:rPr>
                <w:rFonts w:cs="Arial"/>
                <w:szCs w:val="17"/>
              </w:rPr>
              <w:t xml:space="preserve"> for businesses with &lt;$1.3 million payroll, one-off</w:t>
            </w:r>
          </w:p>
          <w:p w14:paraId="296B9B14" w14:textId="6BB6FD20" w:rsidR="006D5674" w:rsidRPr="007A02C1" w:rsidRDefault="006D5674" w:rsidP="006D5674">
            <w:pPr>
              <w:spacing w:after="0"/>
              <w:rPr>
                <w:rFonts w:cs="Arial"/>
                <w:szCs w:val="17"/>
              </w:rPr>
            </w:pPr>
            <w:r w:rsidRPr="007A02C1">
              <w:rPr>
                <w:rFonts w:cs="Arial"/>
                <w:b/>
                <w:szCs w:val="17"/>
              </w:rPr>
              <w:t>$15,000</w:t>
            </w:r>
            <w:r w:rsidRPr="007A02C1">
              <w:rPr>
                <w:rFonts w:cs="Arial"/>
                <w:szCs w:val="17"/>
              </w:rPr>
              <w:t xml:space="preserve"> for businesses with $1.3</w:t>
            </w:r>
            <w:r>
              <w:rPr>
                <w:rFonts w:cs="Arial"/>
                <w:szCs w:val="17"/>
              </w:rPr>
              <w:t xml:space="preserve"> million</w:t>
            </w:r>
            <w:r w:rsidRPr="007A02C1">
              <w:rPr>
                <w:rFonts w:cs="Arial"/>
                <w:szCs w:val="17"/>
              </w:rPr>
              <w:t>-$15 million payroll, one-off</w:t>
            </w:r>
          </w:p>
          <w:p w14:paraId="202906B0" w14:textId="77777777" w:rsidR="006D5674" w:rsidRPr="007A02C1" w:rsidRDefault="006D5674" w:rsidP="006D5674">
            <w:pPr>
              <w:spacing w:after="0"/>
              <w:rPr>
                <w:rFonts w:cs="Arial"/>
                <w:szCs w:val="17"/>
              </w:rPr>
            </w:pPr>
            <w:r w:rsidRPr="007A02C1">
              <w:rPr>
                <w:rFonts w:cs="Arial"/>
                <w:b/>
                <w:szCs w:val="17"/>
              </w:rPr>
              <w:t>$30,000</w:t>
            </w:r>
            <w:r w:rsidRPr="007A02C1">
              <w:rPr>
                <w:rFonts w:cs="Arial"/>
                <w:szCs w:val="17"/>
              </w:rPr>
              <w:t xml:space="preserve"> for businesses with &gt;$10 million payroll, one-off</w:t>
            </w:r>
          </w:p>
        </w:tc>
      </w:tr>
      <w:tr w:rsidR="006D5674" w:rsidRPr="007A02C1" w14:paraId="2981B5D4" w14:textId="77777777" w:rsidTr="007946FD">
        <w:tc>
          <w:tcPr>
            <w:tcW w:w="1078" w:type="dxa"/>
          </w:tcPr>
          <w:p w14:paraId="4D397DD6" w14:textId="79752A9E" w:rsidR="006D5674" w:rsidRPr="007A02C1" w:rsidRDefault="006D5674" w:rsidP="006D5674">
            <w:pPr>
              <w:spacing w:after="0"/>
              <w:rPr>
                <w:rFonts w:cs="Arial"/>
                <w:b/>
                <w:szCs w:val="17"/>
              </w:rPr>
            </w:pPr>
            <w:r w:rsidRPr="007A02C1">
              <w:rPr>
                <w:rFonts w:cs="Arial"/>
                <w:b/>
                <w:szCs w:val="17"/>
              </w:rPr>
              <w:t>QLD</w:t>
            </w:r>
          </w:p>
        </w:tc>
        <w:tc>
          <w:tcPr>
            <w:tcW w:w="1445" w:type="dxa"/>
          </w:tcPr>
          <w:p w14:paraId="319D61B2" w14:textId="77777777" w:rsidR="006D5674" w:rsidRPr="007A02C1" w:rsidRDefault="006D5674" w:rsidP="006D5674">
            <w:pPr>
              <w:spacing w:after="0"/>
              <w:rPr>
                <w:rFonts w:cs="Arial"/>
                <w:szCs w:val="17"/>
              </w:rPr>
            </w:pPr>
            <w:r w:rsidRPr="007A02C1">
              <w:rPr>
                <w:rFonts w:cs="Arial"/>
                <w:szCs w:val="17"/>
              </w:rPr>
              <w:t>COVID-19 Tourism and Hospitality Sector Hardship Grant</w:t>
            </w:r>
          </w:p>
        </w:tc>
        <w:tc>
          <w:tcPr>
            <w:tcW w:w="946" w:type="dxa"/>
          </w:tcPr>
          <w:p w14:paraId="7DB9B32A" w14:textId="43BA8724" w:rsidR="006D5674" w:rsidRPr="007A02C1" w:rsidRDefault="006D5674" w:rsidP="006D5674">
            <w:pPr>
              <w:spacing w:after="0"/>
              <w:rPr>
                <w:rFonts w:cs="Arial"/>
                <w:szCs w:val="17"/>
              </w:rPr>
            </w:pPr>
            <w:r w:rsidRPr="007A02C1">
              <w:rPr>
                <w:rFonts w:cs="Arial"/>
                <w:szCs w:val="17"/>
              </w:rPr>
              <w:t>August 2021</w:t>
            </w:r>
            <w:r>
              <w:rPr>
                <w:rFonts w:cs="Arial"/>
                <w:szCs w:val="17"/>
              </w:rPr>
              <w:t xml:space="preserve"> </w:t>
            </w:r>
            <w:r w:rsidRPr="007A02C1">
              <w:rPr>
                <w:rFonts w:cs="Arial"/>
                <w:szCs w:val="17"/>
              </w:rPr>
              <w:t>to November 2021</w:t>
            </w:r>
          </w:p>
        </w:tc>
        <w:tc>
          <w:tcPr>
            <w:tcW w:w="1570" w:type="dxa"/>
          </w:tcPr>
          <w:p w14:paraId="581B59BA" w14:textId="77777777" w:rsidR="006D5674" w:rsidRPr="007A02C1" w:rsidRDefault="006D5674" w:rsidP="006D5674">
            <w:pPr>
              <w:spacing w:after="0"/>
              <w:rPr>
                <w:rFonts w:cs="Arial"/>
                <w:szCs w:val="17"/>
              </w:rPr>
            </w:pPr>
            <w:r w:rsidRPr="007A02C1">
              <w:rPr>
                <w:rFonts w:cs="Arial"/>
                <w:szCs w:val="17"/>
              </w:rPr>
              <w:t>0.03% ($132.1 million)</w:t>
            </w:r>
          </w:p>
        </w:tc>
        <w:tc>
          <w:tcPr>
            <w:tcW w:w="3987" w:type="dxa"/>
          </w:tcPr>
          <w:p w14:paraId="2C4E1DFF" w14:textId="77777777" w:rsidR="006D5674" w:rsidRPr="007A02C1" w:rsidRDefault="006D5674" w:rsidP="006D5674">
            <w:pPr>
              <w:spacing w:after="0"/>
              <w:rPr>
                <w:rFonts w:cs="Arial"/>
                <w:szCs w:val="17"/>
              </w:rPr>
            </w:pPr>
            <w:r w:rsidRPr="007A02C1">
              <w:rPr>
                <w:rFonts w:cs="Arial"/>
                <w:b/>
                <w:szCs w:val="17"/>
              </w:rPr>
              <w:t>$30,000</w:t>
            </w:r>
            <w:r w:rsidRPr="007A02C1">
              <w:rPr>
                <w:rFonts w:cs="Arial"/>
                <w:szCs w:val="17"/>
              </w:rPr>
              <w:t xml:space="preserve"> for tourism and hospitality businesses with &lt;$1.3 million payroll, one-off</w:t>
            </w:r>
          </w:p>
          <w:p w14:paraId="4BE188EB" w14:textId="77777777" w:rsidR="006D5674" w:rsidRPr="007A02C1" w:rsidRDefault="006D5674" w:rsidP="006D5674">
            <w:pPr>
              <w:spacing w:after="0"/>
              <w:rPr>
                <w:rFonts w:cs="Arial"/>
                <w:szCs w:val="17"/>
              </w:rPr>
            </w:pPr>
            <w:r w:rsidRPr="007A02C1">
              <w:rPr>
                <w:rFonts w:cs="Arial"/>
                <w:b/>
                <w:szCs w:val="17"/>
              </w:rPr>
              <w:t>$50,000</w:t>
            </w:r>
            <w:r w:rsidRPr="007A02C1">
              <w:rPr>
                <w:rFonts w:cs="Arial"/>
                <w:szCs w:val="17"/>
              </w:rPr>
              <w:t xml:space="preserve"> for tourism and hospitality businesses with $1.3 million - $10 million payroll, one-off</w:t>
            </w:r>
          </w:p>
          <w:p w14:paraId="264E6B93" w14:textId="77777777" w:rsidR="006D5674" w:rsidRPr="007A02C1" w:rsidRDefault="006D5674" w:rsidP="006D5674">
            <w:pPr>
              <w:spacing w:after="0"/>
              <w:rPr>
                <w:rFonts w:cs="Arial"/>
                <w:szCs w:val="17"/>
              </w:rPr>
            </w:pPr>
            <w:r w:rsidRPr="007A02C1">
              <w:rPr>
                <w:rFonts w:cs="Arial"/>
                <w:b/>
                <w:szCs w:val="17"/>
              </w:rPr>
              <w:t>$100,000</w:t>
            </w:r>
            <w:r w:rsidRPr="007A02C1">
              <w:rPr>
                <w:rFonts w:cs="Arial"/>
                <w:szCs w:val="17"/>
              </w:rPr>
              <w:t xml:space="preserve"> for tourism and hospitality businesses with &gt;$10 million payroll, one-off</w:t>
            </w:r>
          </w:p>
        </w:tc>
      </w:tr>
      <w:tr w:rsidR="006D5674" w:rsidRPr="007A02C1" w14:paraId="376392B3" w14:textId="77777777" w:rsidTr="007946FD">
        <w:tc>
          <w:tcPr>
            <w:tcW w:w="1078" w:type="dxa"/>
          </w:tcPr>
          <w:p w14:paraId="70294E2B" w14:textId="1EF0E26A" w:rsidR="006D5674" w:rsidRPr="007A02C1" w:rsidRDefault="006D5674" w:rsidP="006D5674">
            <w:pPr>
              <w:spacing w:after="0"/>
              <w:rPr>
                <w:rFonts w:cs="Arial"/>
                <w:b/>
                <w:szCs w:val="17"/>
              </w:rPr>
            </w:pPr>
            <w:r w:rsidRPr="007A02C1">
              <w:rPr>
                <w:rFonts w:cs="Arial"/>
                <w:b/>
                <w:szCs w:val="17"/>
              </w:rPr>
              <w:lastRenderedPageBreak/>
              <w:t>QLD</w:t>
            </w:r>
          </w:p>
        </w:tc>
        <w:tc>
          <w:tcPr>
            <w:tcW w:w="1445" w:type="dxa"/>
          </w:tcPr>
          <w:p w14:paraId="7BA8C4BF" w14:textId="77777777" w:rsidR="006D5674" w:rsidRPr="007A02C1" w:rsidRDefault="006D5674" w:rsidP="006D5674">
            <w:pPr>
              <w:spacing w:after="0"/>
              <w:rPr>
                <w:rFonts w:cs="Arial"/>
                <w:szCs w:val="17"/>
              </w:rPr>
            </w:pPr>
            <w:r w:rsidRPr="007A02C1">
              <w:rPr>
                <w:rFonts w:cs="Arial"/>
                <w:szCs w:val="17"/>
              </w:rPr>
              <w:t>Major Tourism Experiences Hardship Grant</w:t>
            </w:r>
          </w:p>
        </w:tc>
        <w:tc>
          <w:tcPr>
            <w:tcW w:w="946" w:type="dxa"/>
          </w:tcPr>
          <w:p w14:paraId="1490E0C8" w14:textId="7A2C4B40" w:rsidR="006D5674" w:rsidRPr="007A02C1" w:rsidRDefault="006D5674" w:rsidP="006D5674">
            <w:pPr>
              <w:spacing w:after="0"/>
              <w:rPr>
                <w:rFonts w:cs="Arial"/>
                <w:szCs w:val="17"/>
              </w:rPr>
            </w:pPr>
            <w:r w:rsidRPr="007A02C1">
              <w:rPr>
                <w:rFonts w:cs="Arial"/>
                <w:szCs w:val="17"/>
              </w:rPr>
              <w:t>October</w:t>
            </w:r>
            <w:r>
              <w:rPr>
                <w:rFonts w:cs="Arial"/>
                <w:szCs w:val="17"/>
              </w:rPr>
              <w:t xml:space="preserve"> </w:t>
            </w:r>
            <w:r w:rsidRPr="007A02C1">
              <w:rPr>
                <w:rFonts w:cs="Arial"/>
                <w:szCs w:val="17"/>
              </w:rPr>
              <w:t>2021 to December 2021</w:t>
            </w:r>
          </w:p>
        </w:tc>
        <w:tc>
          <w:tcPr>
            <w:tcW w:w="1570" w:type="dxa"/>
          </w:tcPr>
          <w:p w14:paraId="150C02D8" w14:textId="77777777" w:rsidR="006D5674" w:rsidRPr="007A02C1" w:rsidRDefault="006D5674" w:rsidP="006D5674">
            <w:pPr>
              <w:spacing w:after="0"/>
              <w:rPr>
                <w:rFonts w:cs="Arial"/>
                <w:szCs w:val="17"/>
              </w:rPr>
            </w:pPr>
            <w:r w:rsidRPr="007A02C1">
              <w:rPr>
                <w:rFonts w:cs="Arial"/>
                <w:szCs w:val="17"/>
              </w:rPr>
              <w:t>Unavailable publicly</w:t>
            </w:r>
          </w:p>
        </w:tc>
        <w:tc>
          <w:tcPr>
            <w:tcW w:w="3987" w:type="dxa"/>
          </w:tcPr>
          <w:p w14:paraId="08D5D610" w14:textId="77777777" w:rsidR="006D5674" w:rsidRPr="007A02C1" w:rsidRDefault="006D5674" w:rsidP="006D5674">
            <w:pPr>
              <w:spacing w:after="0"/>
              <w:rPr>
                <w:rFonts w:cs="Arial"/>
                <w:szCs w:val="17"/>
              </w:rPr>
            </w:pPr>
            <w:r w:rsidRPr="007A02C1">
              <w:rPr>
                <w:rFonts w:cs="Arial"/>
                <w:b/>
                <w:szCs w:val="17"/>
              </w:rPr>
              <w:t>$2 million</w:t>
            </w:r>
            <w:r w:rsidRPr="007A02C1">
              <w:rPr>
                <w:rFonts w:cs="Arial"/>
                <w:szCs w:val="17"/>
              </w:rPr>
              <w:t xml:space="preserve"> for tourism businesses with &gt;$25 million turnover, &gt;50 employees, across two payments</w:t>
            </w:r>
          </w:p>
          <w:p w14:paraId="0E81E321" w14:textId="77777777" w:rsidR="006D5674" w:rsidRPr="007A02C1" w:rsidRDefault="006D5674" w:rsidP="006D5674">
            <w:pPr>
              <w:spacing w:after="0"/>
              <w:rPr>
                <w:rFonts w:cs="Arial"/>
                <w:szCs w:val="17"/>
              </w:rPr>
            </w:pPr>
            <w:r w:rsidRPr="007A02C1">
              <w:rPr>
                <w:rFonts w:cs="Arial"/>
                <w:b/>
                <w:szCs w:val="17"/>
              </w:rPr>
              <w:t xml:space="preserve">$3 million </w:t>
            </w:r>
            <w:r w:rsidRPr="007A02C1">
              <w:rPr>
                <w:rFonts w:cs="Arial"/>
                <w:szCs w:val="17"/>
              </w:rPr>
              <w:t>for tourism businesses with &gt;$100 million turnover, &gt;200 employees, across two payments</w:t>
            </w:r>
          </w:p>
          <w:p w14:paraId="27F32F1F" w14:textId="77777777" w:rsidR="006D5674" w:rsidRPr="007A02C1" w:rsidRDefault="006D5674" w:rsidP="006D5674">
            <w:pPr>
              <w:spacing w:after="0"/>
              <w:rPr>
                <w:rFonts w:cs="Arial"/>
                <w:szCs w:val="17"/>
              </w:rPr>
            </w:pPr>
            <w:r w:rsidRPr="007A02C1">
              <w:rPr>
                <w:rFonts w:cs="Arial"/>
                <w:b/>
                <w:szCs w:val="17"/>
              </w:rPr>
              <w:t xml:space="preserve">$4 million </w:t>
            </w:r>
            <w:r w:rsidRPr="007A02C1">
              <w:rPr>
                <w:rFonts w:cs="Arial"/>
                <w:szCs w:val="17"/>
              </w:rPr>
              <w:t>for tourism businesses with &gt;$200 million turnover, &gt;500 employees, across two payments</w:t>
            </w:r>
          </w:p>
        </w:tc>
      </w:tr>
      <w:tr w:rsidR="006D5674" w:rsidRPr="007A02C1" w14:paraId="7FBF991A" w14:textId="77777777" w:rsidTr="007946FD">
        <w:tc>
          <w:tcPr>
            <w:tcW w:w="1078" w:type="dxa"/>
          </w:tcPr>
          <w:p w14:paraId="01FFC016" w14:textId="77777777" w:rsidR="006D5674" w:rsidRPr="007A02C1" w:rsidRDefault="006D5674" w:rsidP="006D5674">
            <w:pPr>
              <w:spacing w:after="0"/>
              <w:rPr>
                <w:rFonts w:cs="Arial"/>
                <w:b/>
                <w:szCs w:val="17"/>
              </w:rPr>
            </w:pPr>
            <w:r w:rsidRPr="007A02C1">
              <w:rPr>
                <w:rFonts w:cs="Arial"/>
                <w:b/>
                <w:szCs w:val="17"/>
              </w:rPr>
              <w:t>SA</w:t>
            </w:r>
          </w:p>
        </w:tc>
        <w:tc>
          <w:tcPr>
            <w:tcW w:w="1445" w:type="dxa"/>
          </w:tcPr>
          <w:p w14:paraId="4B78C46A" w14:textId="77777777" w:rsidR="006D5674" w:rsidRPr="007A02C1" w:rsidRDefault="006D5674" w:rsidP="006D5674">
            <w:pPr>
              <w:spacing w:after="0"/>
              <w:rPr>
                <w:rFonts w:cs="Arial"/>
                <w:szCs w:val="17"/>
              </w:rPr>
            </w:pPr>
            <w:r w:rsidRPr="007A02C1">
              <w:rPr>
                <w:rFonts w:cs="Arial"/>
                <w:szCs w:val="17"/>
              </w:rPr>
              <w:t>COVID-19 Business Support Grant and Additional Business Support Grant</w:t>
            </w:r>
          </w:p>
        </w:tc>
        <w:tc>
          <w:tcPr>
            <w:tcW w:w="946" w:type="dxa"/>
          </w:tcPr>
          <w:p w14:paraId="7313E7BB" w14:textId="77777777" w:rsidR="006D5674" w:rsidRPr="007A02C1" w:rsidRDefault="006D5674" w:rsidP="006D5674">
            <w:pPr>
              <w:spacing w:after="0"/>
              <w:rPr>
                <w:rFonts w:cs="Arial"/>
                <w:szCs w:val="17"/>
              </w:rPr>
            </w:pPr>
            <w:r w:rsidRPr="007A02C1">
              <w:rPr>
                <w:rFonts w:cs="Arial"/>
                <w:szCs w:val="17"/>
              </w:rPr>
              <w:t>July 2021</w:t>
            </w:r>
          </w:p>
        </w:tc>
        <w:tc>
          <w:tcPr>
            <w:tcW w:w="1570" w:type="dxa"/>
          </w:tcPr>
          <w:p w14:paraId="5DADDDE1" w14:textId="77777777" w:rsidR="006D5674" w:rsidRPr="007A02C1" w:rsidRDefault="006D5674" w:rsidP="006D5674">
            <w:pPr>
              <w:spacing w:after="0"/>
              <w:rPr>
                <w:rFonts w:cs="Arial"/>
                <w:szCs w:val="17"/>
              </w:rPr>
            </w:pPr>
            <w:r w:rsidRPr="007A02C1">
              <w:rPr>
                <w:rFonts w:cs="Arial"/>
                <w:szCs w:val="17"/>
              </w:rPr>
              <w:t>0.01% ($18 million)</w:t>
            </w:r>
          </w:p>
        </w:tc>
        <w:tc>
          <w:tcPr>
            <w:tcW w:w="3987" w:type="dxa"/>
          </w:tcPr>
          <w:p w14:paraId="7225DEC5" w14:textId="77777777" w:rsidR="006D5674" w:rsidRPr="007A02C1" w:rsidRDefault="006D5674" w:rsidP="006D5674">
            <w:pPr>
              <w:spacing w:after="0"/>
              <w:rPr>
                <w:rFonts w:cs="Arial"/>
                <w:szCs w:val="17"/>
              </w:rPr>
            </w:pPr>
            <w:r w:rsidRPr="007A02C1">
              <w:rPr>
                <w:rFonts w:cs="Arial"/>
                <w:b/>
                <w:szCs w:val="17"/>
              </w:rPr>
              <w:t>$1,000</w:t>
            </w:r>
            <w:r w:rsidRPr="007A02C1">
              <w:rPr>
                <w:rFonts w:cs="Arial"/>
                <w:szCs w:val="17"/>
              </w:rPr>
              <w:t xml:space="preserve"> for non-employing businesses or </w:t>
            </w:r>
            <w:r w:rsidRPr="007A02C1">
              <w:rPr>
                <w:rFonts w:cs="Arial"/>
                <w:b/>
                <w:szCs w:val="17"/>
              </w:rPr>
              <w:t>$3,000</w:t>
            </w:r>
            <w:r w:rsidRPr="007A02C1">
              <w:rPr>
                <w:rFonts w:cs="Arial"/>
                <w:szCs w:val="17"/>
              </w:rPr>
              <w:t xml:space="preserve"> for employing businesses for each grant, one-off.</w:t>
            </w:r>
          </w:p>
          <w:p w14:paraId="31E02A32" w14:textId="47D22F08" w:rsidR="006D5674" w:rsidRPr="007A02C1" w:rsidRDefault="006D5674" w:rsidP="006D5674">
            <w:pPr>
              <w:spacing w:after="0"/>
              <w:rPr>
                <w:rFonts w:cs="Arial"/>
                <w:szCs w:val="17"/>
              </w:rPr>
            </w:pPr>
            <w:r w:rsidRPr="007A02C1">
              <w:rPr>
                <w:rFonts w:cs="Arial"/>
                <w:szCs w:val="17"/>
              </w:rPr>
              <w:t xml:space="preserve">Additional </w:t>
            </w:r>
            <w:r w:rsidRPr="007A02C1">
              <w:rPr>
                <w:rFonts w:cs="Arial"/>
                <w:b/>
                <w:szCs w:val="17"/>
              </w:rPr>
              <w:t>$1,000</w:t>
            </w:r>
            <w:r w:rsidRPr="007A02C1">
              <w:rPr>
                <w:rFonts w:cs="Arial"/>
                <w:szCs w:val="17"/>
              </w:rPr>
              <w:t xml:space="preserve"> when located in Adelaide </w:t>
            </w:r>
            <w:r>
              <w:rPr>
                <w:rFonts w:cs="Arial"/>
                <w:szCs w:val="17"/>
              </w:rPr>
              <w:t>CBD</w:t>
            </w:r>
          </w:p>
        </w:tc>
      </w:tr>
      <w:tr w:rsidR="006D5674" w:rsidRPr="007A02C1" w14:paraId="330974C5" w14:textId="77777777" w:rsidTr="007946FD">
        <w:tc>
          <w:tcPr>
            <w:tcW w:w="1078" w:type="dxa"/>
          </w:tcPr>
          <w:p w14:paraId="74616B96" w14:textId="6C4D7F91" w:rsidR="006D5674" w:rsidRPr="007A02C1" w:rsidRDefault="006D5674" w:rsidP="006D5674">
            <w:pPr>
              <w:spacing w:after="0"/>
              <w:rPr>
                <w:rFonts w:cs="Arial"/>
                <w:b/>
                <w:szCs w:val="17"/>
              </w:rPr>
            </w:pPr>
            <w:r w:rsidRPr="007A02C1">
              <w:rPr>
                <w:rFonts w:cs="Arial"/>
                <w:b/>
                <w:szCs w:val="17"/>
              </w:rPr>
              <w:t>SA</w:t>
            </w:r>
          </w:p>
        </w:tc>
        <w:tc>
          <w:tcPr>
            <w:tcW w:w="1445" w:type="dxa"/>
          </w:tcPr>
          <w:p w14:paraId="58693E1F" w14:textId="77777777" w:rsidR="006D5674" w:rsidRPr="007A02C1" w:rsidRDefault="006D5674" w:rsidP="006D5674">
            <w:pPr>
              <w:spacing w:after="0"/>
              <w:rPr>
                <w:rFonts w:cs="Arial"/>
                <w:szCs w:val="17"/>
              </w:rPr>
            </w:pPr>
            <w:r w:rsidRPr="007A02C1">
              <w:rPr>
                <w:rFonts w:cs="Arial"/>
                <w:szCs w:val="17"/>
              </w:rPr>
              <w:t>COVID-19 Business Hardship Grant</w:t>
            </w:r>
          </w:p>
        </w:tc>
        <w:tc>
          <w:tcPr>
            <w:tcW w:w="946" w:type="dxa"/>
          </w:tcPr>
          <w:p w14:paraId="58810300" w14:textId="77777777" w:rsidR="006D5674" w:rsidRPr="007A02C1" w:rsidRDefault="006D5674" w:rsidP="006D5674">
            <w:pPr>
              <w:spacing w:after="0"/>
              <w:rPr>
                <w:rFonts w:cs="Arial"/>
                <w:szCs w:val="17"/>
              </w:rPr>
            </w:pPr>
            <w:r w:rsidRPr="007A02C1">
              <w:rPr>
                <w:rFonts w:cs="Arial"/>
                <w:szCs w:val="17"/>
              </w:rPr>
              <w:t>July 2021; December 2021</w:t>
            </w:r>
          </w:p>
        </w:tc>
        <w:tc>
          <w:tcPr>
            <w:tcW w:w="1570" w:type="dxa"/>
          </w:tcPr>
          <w:p w14:paraId="685D0BBC" w14:textId="77777777" w:rsidR="006D5674" w:rsidRPr="007A02C1" w:rsidRDefault="006D5674" w:rsidP="006D5674">
            <w:pPr>
              <w:spacing w:after="0"/>
              <w:rPr>
                <w:rFonts w:cs="Arial"/>
                <w:szCs w:val="17"/>
              </w:rPr>
            </w:pPr>
            <w:r w:rsidRPr="007A02C1">
              <w:rPr>
                <w:rFonts w:cs="Arial"/>
                <w:szCs w:val="17"/>
              </w:rPr>
              <w:t>0.01% ($15 million)</w:t>
            </w:r>
          </w:p>
          <w:p w14:paraId="54982B59" w14:textId="77777777" w:rsidR="006D5674" w:rsidRPr="007A02C1" w:rsidRDefault="006D5674" w:rsidP="006D5674">
            <w:pPr>
              <w:spacing w:after="0"/>
              <w:rPr>
                <w:rFonts w:cs="Arial"/>
                <w:szCs w:val="17"/>
              </w:rPr>
            </w:pPr>
          </w:p>
        </w:tc>
        <w:tc>
          <w:tcPr>
            <w:tcW w:w="3987" w:type="dxa"/>
          </w:tcPr>
          <w:p w14:paraId="6CC3DF6E" w14:textId="77777777" w:rsidR="006D5674" w:rsidRPr="007A02C1" w:rsidRDefault="006D5674" w:rsidP="006D5674">
            <w:pPr>
              <w:spacing w:after="0"/>
              <w:rPr>
                <w:rFonts w:cs="Arial"/>
                <w:szCs w:val="17"/>
              </w:rPr>
            </w:pPr>
            <w:r w:rsidRPr="007A02C1">
              <w:rPr>
                <w:rFonts w:cs="Arial"/>
                <w:szCs w:val="17"/>
              </w:rPr>
              <w:t xml:space="preserve">July: </w:t>
            </w:r>
            <w:r w:rsidRPr="007A02C1">
              <w:rPr>
                <w:rFonts w:cs="Arial"/>
                <w:b/>
                <w:szCs w:val="17"/>
              </w:rPr>
              <w:t>$2,000</w:t>
            </w:r>
            <w:r w:rsidRPr="007A02C1">
              <w:rPr>
                <w:rFonts w:cs="Arial"/>
                <w:szCs w:val="17"/>
              </w:rPr>
              <w:t xml:space="preserve"> for non-employing businesses or </w:t>
            </w:r>
            <w:r w:rsidRPr="007A02C1">
              <w:rPr>
                <w:rFonts w:cs="Arial"/>
                <w:b/>
                <w:szCs w:val="17"/>
              </w:rPr>
              <w:t>$6,000</w:t>
            </w:r>
            <w:r w:rsidRPr="007A02C1">
              <w:rPr>
                <w:rFonts w:cs="Arial"/>
                <w:szCs w:val="17"/>
              </w:rPr>
              <w:t xml:space="preserve"> for employing businesses, one-off.</w:t>
            </w:r>
          </w:p>
          <w:p w14:paraId="315F6098" w14:textId="77777777" w:rsidR="006D5674" w:rsidRPr="007A02C1" w:rsidRDefault="006D5674" w:rsidP="006D5674">
            <w:pPr>
              <w:spacing w:after="0"/>
              <w:rPr>
                <w:rFonts w:cs="Arial"/>
                <w:b/>
                <w:szCs w:val="17"/>
              </w:rPr>
            </w:pPr>
            <w:r w:rsidRPr="007A02C1">
              <w:rPr>
                <w:rFonts w:cs="Arial"/>
                <w:szCs w:val="17"/>
              </w:rPr>
              <w:t xml:space="preserve">December: </w:t>
            </w:r>
            <w:r w:rsidRPr="007A02C1">
              <w:rPr>
                <w:rFonts w:cs="Arial"/>
                <w:b/>
                <w:szCs w:val="17"/>
              </w:rPr>
              <w:t>$6,000</w:t>
            </w:r>
            <w:r w:rsidRPr="007A02C1">
              <w:rPr>
                <w:rFonts w:cs="Arial"/>
                <w:szCs w:val="17"/>
              </w:rPr>
              <w:t xml:space="preserve">, one-off. Additional </w:t>
            </w:r>
            <w:r w:rsidRPr="007A02C1">
              <w:rPr>
                <w:rFonts w:cs="Arial"/>
                <w:b/>
                <w:szCs w:val="17"/>
              </w:rPr>
              <w:t xml:space="preserve">$2,000 </w:t>
            </w:r>
            <w:r w:rsidRPr="007A02C1">
              <w:rPr>
                <w:rFonts w:cs="Arial"/>
                <w:szCs w:val="17"/>
              </w:rPr>
              <w:t>when located in Adelaide CBD.</w:t>
            </w:r>
          </w:p>
        </w:tc>
      </w:tr>
      <w:tr w:rsidR="006D5674" w:rsidRPr="007A02C1" w14:paraId="7C2A33CB" w14:textId="77777777" w:rsidTr="007946FD">
        <w:tc>
          <w:tcPr>
            <w:tcW w:w="1078" w:type="dxa"/>
          </w:tcPr>
          <w:p w14:paraId="0CD18355" w14:textId="3CEA9097" w:rsidR="006D5674" w:rsidRPr="007A02C1" w:rsidRDefault="006D5674" w:rsidP="006D5674">
            <w:pPr>
              <w:spacing w:after="0"/>
              <w:rPr>
                <w:rFonts w:cs="Arial"/>
                <w:b/>
                <w:szCs w:val="17"/>
              </w:rPr>
            </w:pPr>
            <w:r w:rsidRPr="007A02C1">
              <w:rPr>
                <w:rFonts w:cs="Arial"/>
                <w:b/>
                <w:szCs w:val="17"/>
              </w:rPr>
              <w:t>SA</w:t>
            </w:r>
          </w:p>
        </w:tc>
        <w:tc>
          <w:tcPr>
            <w:tcW w:w="1445" w:type="dxa"/>
          </w:tcPr>
          <w:p w14:paraId="5CA81E95" w14:textId="77777777" w:rsidR="006D5674" w:rsidRPr="007A02C1" w:rsidRDefault="006D5674" w:rsidP="006D5674">
            <w:pPr>
              <w:spacing w:after="0"/>
              <w:rPr>
                <w:rFonts w:cs="Arial"/>
                <w:szCs w:val="17"/>
              </w:rPr>
            </w:pPr>
            <w:r w:rsidRPr="007A02C1">
              <w:rPr>
                <w:rFonts w:cs="Arial"/>
                <w:szCs w:val="17"/>
              </w:rPr>
              <w:t>COVID-19 Tourism and Hospitality Support Grant</w:t>
            </w:r>
          </w:p>
        </w:tc>
        <w:tc>
          <w:tcPr>
            <w:tcW w:w="946" w:type="dxa"/>
          </w:tcPr>
          <w:p w14:paraId="38AA17A4" w14:textId="4A494407" w:rsidR="006D5674" w:rsidRPr="007A02C1" w:rsidRDefault="006D5674" w:rsidP="006D5674">
            <w:pPr>
              <w:spacing w:after="0"/>
              <w:rPr>
                <w:rFonts w:cs="Arial"/>
                <w:szCs w:val="17"/>
              </w:rPr>
            </w:pPr>
            <w:r w:rsidRPr="007A02C1">
              <w:rPr>
                <w:rFonts w:cs="Arial"/>
                <w:szCs w:val="17"/>
              </w:rPr>
              <w:t>July 2021</w:t>
            </w:r>
            <w:r>
              <w:rPr>
                <w:rFonts w:cs="Arial"/>
                <w:szCs w:val="17"/>
              </w:rPr>
              <w:t xml:space="preserve"> </w:t>
            </w:r>
            <w:r w:rsidRPr="007A02C1">
              <w:rPr>
                <w:rFonts w:cs="Arial"/>
                <w:szCs w:val="17"/>
              </w:rPr>
              <w:t>to August 2021</w:t>
            </w:r>
          </w:p>
        </w:tc>
        <w:tc>
          <w:tcPr>
            <w:tcW w:w="1570" w:type="dxa"/>
          </w:tcPr>
          <w:p w14:paraId="06819489" w14:textId="77777777" w:rsidR="006D5674" w:rsidRPr="007A02C1" w:rsidRDefault="006D5674" w:rsidP="006D5674">
            <w:pPr>
              <w:spacing w:after="0"/>
              <w:rPr>
                <w:rFonts w:cs="Arial"/>
                <w:szCs w:val="17"/>
              </w:rPr>
            </w:pPr>
            <w:r w:rsidRPr="007A02C1">
              <w:rPr>
                <w:rFonts w:cs="Arial"/>
                <w:szCs w:val="17"/>
              </w:rPr>
              <w:t>0.01% ($15 million)</w:t>
            </w:r>
          </w:p>
          <w:p w14:paraId="7059BC6D" w14:textId="77777777" w:rsidR="006D5674" w:rsidRPr="007A02C1" w:rsidRDefault="006D5674" w:rsidP="006D5674">
            <w:pPr>
              <w:spacing w:after="0"/>
              <w:rPr>
                <w:rFonts w:cs="Arial"/>
                <w:szCs w:val="17"/>
              </w:rPr>
            </w:pPr>
          </w:p>
        </w:tc>
        <w:tc>
          <w:tcPr>
            <w:tcW w:w="3987" w:type="dxa"/>
          </w:tcPr>
          <w:p w14:paraId="3D9E973C" w14:textId="77777777" w:rsidR="006D5674" w:rsidRPr="007A02C1" w:rsidRDefault="006D5674" w:rsidP="006D5674">
            <w:pPr>
              <w:spacing w:after="0"/>
              <w:rPr>
                <w:rFonts w:cs="Arial"/>
                <w:szCs w:val="17"/>
              </w:rPr>
            </w:pPr>
            <w:r w:rsidRPr="007A02C1">
              <w:rPr>
                <w:rFonts w:cs="Arial"/>
                <w:b/>
                <w:szCs w:val="17"/>
              </w:rPr>
              <w:t>$1,000</w:t>
            </w:r>
            <w:r w:rsidRPr="007A02C1">
              <w:rPr>
                <w:rFonts w:cs="Arial"/>
                <w:szCs w:val="17"/>
              </w:rPr>
              <w:t xml:space="preserve"> for non-employing businesses or </w:t>
            </w:r>
            <w:r w:rsidRPr="007A02C1">
              <w:rPr>
                <w:rFonts w:cs="Arial"/>
                <w:b/>
                <w:szCs w:val="17"/>
              </w:rPr>
              <w:t>$3,000</w:t>
            </w:r>
            <w:r w:rsidRPr="007A02C1">
              <w:rPr>
                <w:rFonts w:cs="Arial"/>
                <w:szCs w:val="17"/>
              </w:rPr>
              <w:t xml:space="preserve"> for employing businesses for each grant, one-off. </w:t>
            </w:r>
          </w:p>
          <w:p w14:paraId="081CB988" w14:textId="77777777" w:rsidR="006D5674" w:rsidRPr="007A02C1" w:rsidRDefault="006D5674" w:rsidP="006D5674">
            <w:pPr>
              <w:spacing w:after="0"/>
              <w:rPr>
                <w:rFonts w:cs="Arial"/>
                <w:szCs w:val="17"/>
              </w:rPr>
            </w:pPr>
            <w:r w:rsidRPr="007A02C1">
              <w:rPr>
                <w:rFonts w:cs="Arial"/>
                <w:szCs w:val="17"/>
              </w:rPr>
              <w:t xml:space="preserve">Additional </w:t>
            </w:r>
            <w:r w:rsidRPr="007A02C1">
              <w:rPr>
                <w:rFonts w:cs="Arial"/>
                <w:b/>
                <w:szCs w:val="17"/>
              </w:rPr>
              <w:t>$7,000</w:t>
            </w:r>
            <w:r w:rsidRPr="007A02C1">
              <w:rPr>
                <w:rFonts w:cs="Arial"/>
                <w:szCs w:val="17"/>
              </w:rPr>
              <w:t xml:space="preserve"> for employing businesses with turnover &gt;$2 million or </w:t>
            </w:r>
            <w:r w:rsidRPr="007A02C1">
              <w:rPr>
                <w:rFonts w:cs="Arial"/>
                <w:b/>
                <w:szCs w:val="17"/>
              </w:rPr>
              <w:t>$17,000</w:t>
            </w:r>
            <w:r w:rsidRPr="007A02C1">
              <w:rPr>
                <w:rFonts w:cs="Arial"/>
                <w:szCs w:val="17"/>
              </w:rPr>
              <w:t xml:space="preserve"> for employing businesses with turnover &gt;$5 million.</w:t>
            </w:r>
          </w:p>
          <w:p w14:paraId="51065CFD" w14:textId="77777777" w:rsidR="006D5674" w:rsidRPr="007A02C1" w:rsidRDefault="006D5674" w:rsidP="006D5674">
            <w:pPr>
              <w:spacing w:after="0"/>
              <w:ind w:left="0"/>
              <w:rPr>
                <w:rFonts w:cs="Arial"/>
                <w:szCs w:val="17"/>
              </w:rPr>
            </w:pPr>
          </w:p>
        </w:tc>
      </w:tr>
      <w:tr w:rsidR="006D5674" w:rsidRPr="007A02C1" w14:paraId="5B2A8A8A" w14:textId="77777777" w:rsidTr="007946FD">
        <w:tc>
          <w:tcPr>
            <w:tcW w:w="1078" w:type="dxa"/>
          </w:tcPr>
          <w:p w14:paraId="7A11E36F" w14:textId="3CF971D4" w:rsidR="006D5674" w:rsidRPr="007A02C1" w:rsidRDefault="006D5674" w:rsidP="006D5674">
            <w:pPr>
              <w:spacing w:after="0"/>
              <w:rPr>
                <w:rFonts w:cs="Arial"/>
                <w:b/>
                <w:szCs w:val="17"/>
              </w:rPr>
            </w:pPr>
            <w:r w:rsidRPr="007A02C1">
              <w:rPr>
                <w:rFonts w:cs="Arial"/>
                <w:b/>
                <w:szCs w:val="17"/>
              </w:rPr>
              <w:t>SA</w:t>
            </w:r>
          </w:p>
        </w:tc>
        <w:tc>
          <w:tcPr>
            <w:tcW w:w="1445" w:type="dxa"/>
          </w:tcPr>
          <w:p w14:paraId="1B4F20B9" w14:textId="77777777" w:rsidR="006D5674" w:rsidRPr="007A02C1" w:rsidRDefault="006D5674" w:rsidP="006D5674">
            <w:pPr>
              <w:spacing w:after="0"/>
              <w:rPr>
                <w:rFonts w:cs="Arial"/>
                <w:szCs w:val="17"/>
              </w:rPr>
            </w:pPr>
            <w:r w:rsidRPr="007A02C1">
              <w:rPr>
                <w:rFonts w:cs="Arial"/>
                <w:szCs w:val="17"/>
              </w:rPr>
              <w:t>Major Events Grant</w:t>
            </w:r>
          </w:p>
        </w:tc>
        <w:tc>
          <w:tcPr>
            <w:tcW w:w="946" w:type="dxa"/>
          </w:tcPr>
          <w:p w14:paraId="45A71560" w14:textId="77777777" w:rsidR="006D5674" w:rsidRPr="007A02C1" w:rsidRDefault="006D5674" w:rsidP="006D5674">
            <w:pPr>
              <w:spacing w:after="0"/>
              <w:rPr>
                <w:rFonts w:cs="Arial"/>
                <w:szCs w:val="17"/>
              </w:rPr>
            </w:pPr>
            <w:r w:rsidRPr="007A02C1">
              <w:rPr>
                <w:rFonts w:cs="Arial"/>
                <w:szCs w:val="17"/>
              </w:rPr>
              <w:t>July 2021</w:t>
            </w:r>
          </w:p>
        </w:tc>
        <w:tc>
          <w:tcPr>
            <w:tcW w:w="1570" w:type="dxa"/>
          </w:tcPr>
          <w:p w14:paraId="35EBD83F" w14:textId="77777777" w:rsidR="006D5674" w:rsidRPr="007A02C1" w:rsidRDefault="006D5674" w:rsidP="006D5674">
            <w:pPr>
              <w:spacing w:after="0"/>
              <w:rPr>
                <w:rFonts w:cs="Arial"/>
                <w:szCs w:val="17"/>
              </w:rPr>
            </w:pPr>
            <w:r w:rsidRPr="007A02C1">
              <w:rPr>
                <w:rFonts w:cs="Arial"/>
                <w:szCs w:val="17"/>
              </w:rPr>
              <w:t>Unavailable publicly</w:t>
            </w:r>
          </w:p>
        </w:tc>
        <w:tc>
          <w:tcPr>
            <w:tcW w:w="3987" w:type="dxa"/>
          </w:tcPr>
          <w:p w14:paraId="33D3B098" w14:textId="77777777" w:rsidR="006D5674" w:rsidRPr="007A02C1" w:rsidRDefault="006D5674" w:rsidP="006D5674">
            <w:pPr>
              <w:spacing w:after="0"/>
              <w:rPr>
                <w:rFonts w:cs="Arial"/>
                <w:szCs w:val="17"/>
              </w:rPr>
            </w:pPr>
            <w:r w:rsidRPr="007A02C1">
              <w:rPr>
                <w:rFonts w:cs="Arial"/>
                <w:szCs w:val="17"/>
              </w:rPr>
              <w:t xml:space="preserve">Up to </w:t>
            </w:r>
            <w:r w:rsidRPr="007A02C1">
              <w:rPr>
                <w:rFonts w:cs="Arial"/>
                <w:b/>
                <w:szCs w:val="17"/>
              </w:rPr>
              <w:t>$100,000</w:t>
            </w:r>
            <w:r w:rsidRPr="007A02C1">
              <w:rPr>
                <w:rFonts w:cs="Arial"/>
                <w:szCs w:val="17"/>
              </w:rPr>
              <w:t xml:space="preserve"> for organisers of cancelled or postponed major public events.</w:t>
            </w:r>
          </w:p>
        </w:tc>
      </w:tr>
      <w:tr w:rsidR="006D5674" w:rsidRPr="007A02C1" w14:paraId="2986E3D8" w14:textId="77777777" w:rsidTr="007946FD">
        <w:tc>
          <w:tcPr>
            <w:tcW w:w="1078" w:type="dxa"/>
          </w:tcPr>
          <w:p w14:paraId="0A11A960" w14:textId="77777777" w:rsidR="006D5674" w:rsidRPr="007A02C1" w:rsidRDefault="006D5674" w:rsidP="006D5674">
            <w:pPr>
              <w:spacing w:after="0"/>
              <w:rPr>
                <w:rFonts w:cs="Arial"/>
                <w:b/>
                <w:szCs w:val="17"/>
              </w:rPr>
            </w:pPr>
            <w:r w:rsidRPr="007A02C1">
              <w:rPr>
                <w:rFonts w:cs="Arial"/>
                <w:b/>
                <w:szCs w:val="17"/>
              </w:rPr>
              <w:t>WA</w:t>
            </w:r>
          </w:p>
        </w:tc>
        <w:tc>
          <w:tcPr>
            <w:tcW w:w="1445" w:type="dxa"/>
          </w:tcPr>
          <w:p w14:paraId="629B8829" w14:textId="77777777" w:rsidR="006D5674" w:rsidRPr="007A02C1" w:rsidRDefault="006D5674" w:rsidP="006D5674">
            <w:pPr>
              <w:spacing w:after="0"/>
              <w:rPr>
                <w:rFonts w:cs="Arial"/>
                <w:szCs w:val="17"/>
              </w:rPr>
            </w:pPr>
            <w:r w:rsidRPr="007A02C1">
              <w:rPr>
                <w:rFonts w:cs="Arial"/>
                <w:szCs w:val="17"/>
              </w:rPr>
              <w:t>Small Business Hardship Grant</w:t>
            </w:r>
          </w:p>
        </w:tc>
        <w:tc>
          <w:tcPr>
            <w:tcW w:w="946" w:type="dxa"/>
          </w:tcPr>
          <w:p w14:paraId="03C38742" w14:textId="77777777" w:rsidR="006D5674" w:rsidRPr="007A02C1" w:rsidRDefault="006D5674" w:rsidP="006D5674">
            <w:pPr>
              <w:spacing w:after="0"/>
              <w:rPr>
                <w:rFonts w:cs="Arial"/>
                <w:szCs w:val="17"/>
              </w:rPr>
            </w:pPr>
            <w:r w:rsidRPr="007A02C1">
              <w:rPr>
                <w:rFonts w:cs="Arial"/>
                <w:szCs w:val="17"/>
              </w:rPr>
              <w:t>December 2021 to January 2022</w:t>
            </w:r>
          </w:p>
        </w:tc>
        <w:tc>
          <w:tcPr>
            <w:tcW w:w="1570" w:type="dxa"/>
          </w:tcPr>
          <w:p w14:paraId="7F2893D6" w14:textId="63934478" w:rsidR="006D5674" w:rsidRPr="007A02C1" w:rsidRDefault="006D5674" w:rsidP="006D5674">
            <w:pPr>
              <w:spacing w:after="0"/>
              <w:rPr>
                <w:rFonts w:cs="Arial"/>
                <w:szCs w:val="17"/>
              </w:rPr>
            </w:pPr>
            <w:r w:rsidRPr="007A02C1">
              <w:rPr>
                <w:rFonts w:cs="Arial"/>
                <w:szCs w:val="17"/>
              </w:rPr>
              <w:t>0.03% ($107.9 million)</w:t>
            </w:r>
          </w:p>
        </w:tc>
        <w:tc>
          <w:tcPr>
            <w:tcW w:w="3987" w:type="dxa"/>
          </w:tcPr>
          <w:p w14:paraId="52BC8708" w14:textId="77777777" w:rsidR="006D5674" w:rsidRPr="007A02C1" w:rsidRDefault="006D5674" w:rsidP="006D5674">
            <w:pPr>
              <w:spacing w:after="0"/>
              <w:rPr>
                <w:rFonts w:cs="Arial"/>
                <w:szCs w:val="17"/>
              </w:rPr>
            </w:pPr>
            <w:r w:rsidRPr="007A02C1">
              <w:rPr>
                <w:rFonts w:cs="Arial"/>
                <w:b/>
                <w:szCs w:val="17"/>
              </w:rPr>
              <w:t>$3,000</w:t>
            </w:r>
            <w:r w:rsidRPr="007A02C1">
              <w:rPr>
                <w:rFonts w:cs="Arial"/>
                <w:szCs w:val="17"/>
              </w:rPr>
              <w:t xml:space="preserve"> for sole traders, one-off</w:t>
            </w:r>
          </w:p>
          <w:p w14:paraId="25951559" w14:textId="77777777" w:rsidR="006D5674" w:rsidRPr="007A02C1" w:rsidRDefault="006D5674" w:rsidP="006D5674">
            <w:pPr>
              <w:spacing w:after="0"/>
              <w:rPr>
                <w:rFonts w:cs="Arial"/>
                <w:szCs w:val="17"/>
              </w:rPr>
            </w:pPr>
            <w:r w:rsidRPr="007A02C1">
              <w:rPr>
                <w:rFonts w:cs="Arial"/>
                <w:b/>
                <w:szCs w:val="17"/>
              </w:rPr>
              <w:t>$7,500</w:t>
            </w:r>
            <w:r w:rsidRPr="007A02C1">
              <w:rPr>
                <w:rFonts w:cs="Arial"/>
                <w:szCs w:val="17"/>
              </w:rPr>
              <w:t xml:space="preserve"> for businesses with 1-5 FTE, one-off</w:t>
            </w:r>
          </w:p>
          <w:p w14:paraId="6360D032" w14:textId="77777777" w:rsidR="006D5674" w:rsidRPr="007A02C1" w:rsidRDefault="006D5674" w:rsidP="006D5674">
            <w:pPr>
              <w:spacing w:after="0"/>
              <w:rPr>
                <w:rFonts w:cs="Arial"/>
                <w:szCs w:val="17"/>
              </w:rPr>
            </w:pPr>
            <w:r w:rsidRPr="007A02C1">
              <w:rPr>
                <w:rFonts w:cs="Arial"/>
                <w:b/>
                <w:szCs w:val="17"/>
              </w:rPr>
              <w:t xml:space="preserve">$20,000 </w:t>
            </w:r>
            <w:r w:rsidRPr="007A02C1">
              <w:rPr>
                <w:rFonts w:cs="Arial"/>
                <w:szCs w:val="17"/>
              </w:rPr>
              <w:t>for businesses with 6-19 FTE, one-off</w:t>
            </w:r>
          </w:p>
          <w:p w14:paraId="141FF857" w14:textId="77777777" w:rsidR="006D5674" w:rsidRPr="007A02C1" w:rsidRDefault="006D5674" w:rsidP="006D5674">
            <w:pPr>
              <w:spacing w:after="0"/>
              <w:rPr>
                <w:rFonts w:cs="Arial"/>
                <w:szCs w:val="17"/>
              </w:rPr>
            </w:pPr>
            <w:r w:rsidRPr="007A02C1">
              <w:rPr>
                <w:rFonts w:cs="Arial"/>
                <w:b/>
                <w:szCs w:val="17"/>
              </w:rPr>
              <w:t>$50,000</w:t>
            </w:r>
            <w:r w:rsidRPr="007A02C1">
              <w:rPr>
                <w:rFonts w:cs="Arial"/>
                <w:szCs w:val="17"/>
              </w:rPr>
              <w:t xml:space="preserve"> for businesses with 20+ FTE, one-off</w:t>
            </w:r>
          </w:p>
        </w:tc>
      </w:tr>
      <w:tr w:rsidR="006D5674" w:rsidRPr="007A02C1" w14:paraId="2E6A54E1" w14:textId="77777777" w:rsidTr="007946FD">
        <w:tc>
          <w:tcPr>
            <w:tcW w:w="1078" w:type="dxa"/>
          </w:tcPr>
          <w:p w14:paraId="36DF9ED3" w14:textId="77777777" w:rsidR="006D5674" w:rsidRPr="007A02C1" w:rsidRDefault="006D5674" w:rsidP="006D5674">
            <w:pPr>
              <w:spacing w:after="0"/>
              <w:rPr>
                <w:rFonts w:cs="Arial"/>
                <w:b/>
                <w:szCs w:val="17"/>
              </w:rPr>
            </w:pPr>
            <w:r w:rsidRPr="007A02C1">
              <w:rPr>
                <w:rFonts w:cs="Arial"/>
                <w:b/>
                <w:szCs w:val="17"/>
              </w:rPr>
              <w:t>NT</w:t>
            </w:r>
          </w:p>
        </w:tc>
        <w:tc>
          <w:tcPr>
            <w:tcW w:w="1445" w:type="dxa"/>
          </w:tcPr>
          <w:p w14:paraId="3BDCD7D3" w14:textId="77777777" w:rsidR="006D5674" w:rsidRPr="007A02C1" w:rsidRDefault="006D5674" w:rsidP="006D5674">
            <w:pPr>
              <w:spacing w:after="0"/>
              <w:rPr>
                <w:rFonts w:cs="Arial"/>
                <w:szCs w:val="17"/>
              </w:rPr>
            </w:pPr>
            <w:r w:rsidRPr="007A02C1">
              <w:rPr>
                <w:rFonts w:cs="Arial"/>
                <w:szCs w:val="17"/>
              </w:rPr>
              <w:t>COVID-19 Lockdown Payment Program</w:t>
            </w:r>
          </w:p>
        </w:tc>
        <w:tc>
          <w:tcPr>
            <w:tcW w:w="946" w:type="dxa"/>
          </w:tcPr>
          <w:p w14:paraId="225084F5" w14:textId="77777777" w:rsidR="006D5674" w:rsidRPr="007A02C1" w:rsidRDefault="006D5674" w:rsidP="006D5674">
            <w:pPr>
              <w:spacing w:after="0"/>
              <w:rPr>
                <w:rFonts w:cs="Arial"/>
                <w:szCs w:val="17"/>
              </w:rPr>
            </w:pPr>
            <w:r w:rsidRPr="007A02C1">
              <w:rPr>
                <w:rFonts w:cs="Arial"/>
                <w:szCs w:val="17"/>
              </w:rPr>
              <w:t>November 2021 to January 2022</w:t>
            </w:r>
          </w:p>
        </w:tc>
        <w:tc>
          <w:tcPr>
            <w:tcW w:w="1570" w:type="dxa"/>
          </w:tcPr>
          <w:p w14:paraId="0609738A" w14:textId="77777777" w:rsidR="006D5674" w:rsidRPr="007A02C1" w:rsidRDefault="006D5674" w:rsidP="006D5674">
            <w:pPr>
              <w:spacing w:after="0"/>
              <w:rPr>
                <w:rFonts w:cs="Arial"/>
                <w:szCs w:val="17"/>
              </w:rPr>
            </w:pPr>
            <w:r w:rsidRPr="007A02C1">
              <w:rPr>
                <w:rFonts w:cs="Arial"/>
                <w:szCs w:val="17"/>
              </w:rPr>
              <w:t>Unavailable publicly</w:t>
            </w:r>
          </w:p>
        </w:tc>
        <w:tc>
          <w:tcPr>
            <w:tcW w:w="3987" w:type="dxa"/>
          </w:tcPr>
          <w:p w14:paraId="33A22204" w14:textId="77777777" w:rsidR="006D5674" w:rsidRPr="007A02C1" w:rsidRDefault="006D5674" w:rsidP="006D5674">
            <w:pPr>
              <w:spacing w:after="0"/>
              <w:rPr>
                <w:rFonts w:cs="Arial"/>
                <w:szCs w:val="17"/>
              </w:rPr>
            </w:pPr>
            <w:r w:rsidRPr="007A02C1">
              <w:rPr>
                <w:rFonts w:cs="Arial"/>
                <w:b/>
                <w:szCs w:val="17"/>
              </w:rPr>
              <w:t>$1,000</w:t>
            </w:r>
            <w:r w:rsidRPr="007A02C1">
              <w:rPr>
                <w:rFonts w:cs="Arial"/>
                <w:szCs w:val="17"/>
              </w:rPr>
              <w:t xml:space="preserve"> per week for businesses with $75,000 - $2 million business turnover </w:t>
            </w:r>
          </w:p>
          <w:p w14:paraId="6DFFC5B9" w14:textId="77777777" w:rsidR="006D5674" w:rsidRPr="007A02C1" w:rsidRDefault="006D5674" w:rsidP="006D5674">
            <w:pPr>
              <w:spacing w:after="0"/>
              <w:rPr>
                <w:rFonts w:cs="Arial"/>
                <w:szCs w:val="17"/>
              </w:rPr>
            </w:pPr>
            <w:r w:rsidRPr="007A02C1">
              <w:rPr>
                <w:rFonts w:cs="Arial"/>
                <w:b/>
                <w:szCs w:val="17"/>
              </w:rPr>
              <w:t>$2,000</w:t>
            </w:r>
            <w:r w:rsidRPr="007A02C1">
              <w:rPr>
                <w:rFonts w:cs="Arial"/>
                <w:szCs w:val="17"/>
              </w:rPr>
              <w:t xml:space="preserve"> per week for businesses with $2 million - $5 million business turnover</w:t>
            </w:r>
          </w:p>
          <w:p w14:paraId="085134FC" w14:textId="77777777" w:rsidR="006D5674" w:rsidRPr="007A02C1" w:rsidRDefault="006D5674" w:rsidP="006D5674">
            <w:pPr>
              <w:spacing w:after="0"/>
              <w:rPr>
                <w:rFonts w:cs="Arial"/>
                <w:szCs w:val="17"/>
              </w:rPr>
            </w:pPr>
            <w:r w:rsidRPr="007A02C1">
              <w:rPr>
                <w:rFonts w:cs="Arial"/>
                <w:b/>
                <w:szCs w:val="17"/>
              </w:rPr>
              <w:t>$4,000</w:t>
            </w:r>
            <w:r w:rsidRPr="007A02C1">
              <w:rPr>
                <w:rFonts w:cs="Arial"/>
                <w:szCs w:val="17"/>
              </w:rPr>
              <w:t xml:space="preserve"> per week for businesses with $5 million -$10 million business turnover</w:t>
            </w:r>
          </w:p>
        </w:tc>
      </w:tr>
      <w:tr w:rsidR="006D5674" w:rsidRPr="007A02C1" w14:paraId="6B610684" w14:textId="77777777" w:rsidTr="007946FD">
        <w:tc>
          <w:tcPr>
            <w:tcW w:w="1078" w:type="dxa"/>
          </w:tcPr>
          <w:p w14:paraId="40471175" w14:textId="7B0082F1" w:rsidR="006D5674" w:rsidRPr="007A02C1" w:rsidRDefault="006D5674" w:rsidP="006D5674">
            <w:pPr>
              <w:spacing w:after="0"/>
              <w:rPr>
                <w:rFonts w:cs="Arial"/>
                <w:b/>
                <w:szCs w:val="17"/>
              </w:rPr>
            </w:pPr>
            <w:r w:rsidRPr="007A02C1">
              <w:rPr>
                <w:rFonts w:cs="Arial"/>
                <w:b/>
                <w:szCs w:val="17"/>
              </w:rPr>
              <w:t>NT</w:t>
            </w:r>
          </w:p>
        </w:tc>
        <w:tc>
          <w:tcPr>
            <w:tcW w:w="1445" w:type="dxa"/>
          </w:tcPr>
          <w:p w14:paraId="0175878E" w14:textId="77777777" w:rsidR="006D5674" w:rsidRPr="007A02C1" w:rsidRDefault="006D5674" w:rsidP="006D5674">
            <w:pPr>
              <w:spacing w:after="0"/>
              <w:rPr>
                <w:rFonts w:cs="Arial"/>
                <w:szCs w:val="17"/>
              </w:rPr>
            </w:pPr>
            <w:r w:rsidRPr="007A02C1">
              <w:rPr>
                <w:rFonts w:cs="Arial"/>
                <w:szCs w:val="17"/>
              </w:rPr>
              <w:t>Visitation Reliant Small Business Support Program</w:t>
            </w:r>
          </w:p>
        </w:tc>
        <w:tc>
          <w:tcPr>
            <w:tcW w:w="946" w:type="dxa"/>
          </w:tcPr>
          <w:p w14:paraId="14DE0218" w14:textId="77777777" w:rsidR="006D5674" w:rsidRPr="007A02C1" w:rsidRDefault="006D5674" w:rsidP="006D5674">
            <w:pPr>
              <w:spacing w:after="0"/>
              <w:rPr>
                <w:rFonts w:cs="Arial"/>
                <w:szCs w:val="17"/>
              </w:rPr>
            </w:pPr>
            <w:r w:rsidRPr="007A02C1">
              <w:rPr>
                <w:rFonts w:cs="Arial"/>
                <w:szCs w:val="17"/>
              </w:rPr>
              <w:t>August 2021 to January 2022</w:t>
            </w:r>
          </w:p>
        </w:tc>
        <w:tc>
          <w:tcPr>
            <w:tcW w:w="1570" w:type="dxa"/>
          </w:tcPr>
          <w:p w14:paraId="24030C58" w14:textId="77777777" w:rsidR="006D5674" w:rsidRPr="007A02C1" w:rsidRDefault="006D5674" w:rsidP="006D5674">
            <w:pPr>
              <w:spacing w:after="0"/>
              <w:rPr>
                <w:rFonts w:cs="Arial"/>
                <w:szCs w:val="17"/>
              </w:rPr>
            </w:pPr>
            <w:r w:rsidRPr="007A02C1">
              <w:rPr>
                <w:rFonts w:cs="Arial"/>
                <w:szCs w:val="17"/>
              </w:rPr>
              <w:t>Unavailable publicly</w:t>
            </w:r>
          </w:p>
        </w:tc>
        <w:tc>
          <w:tcPr>
            <w:tcW w:w="3987" w:type="dxa"/>
          </w:tcPr>
          <w:p w14:paraId="23FD3EBC" w14:textId="77777777" w:rsidR="006D5674" w:rsidRPr="007A02C1" w:rsidRDefault="006D5674" w:rsidP="006D5674">
            <w:pPr>
              <w:spacing w:after="0"/>
              <w:rPr>
                <w:rFonts w:cs="Arial"/>
                <w:szCs w:val="17"/>
                <w:u w:val="single"/>
              </w:rPr>
            </w:pPr>
            <w:r w:rsidRPr="007A02C1">
              <w:rPr>
                <w:rFonts w:cs="Arial"/>
                <w:szCs w:val="17"/>
                <w:u w:val="single"/>
              </w:rPr>
              <w:t>Round 1:</w:t>
            </w:r>
          </w:p>
          <w:p w14:paraId="455C7B51" w14:textId="77777777" w:rsidR="006D5674" w:rsidRPr="007A02C1" w:rsidRDefault="006D5674" w:rsidP="006D5674">
            <w:pPr>
              <w:spacing w:after="0"/>
              <w:rPr>
                <w:rFonts w:cs="Arial"/>
                <w:szCs w:val="17"/>
              </w:rPr>
            </w:pPr>
            <w:r w:rsidRPr="007A02C1">
              <w:rPr>
                <w:rFonts w:cs="Arial"/>
                <w:b/>
                <w:szCs w:val="17"/>
              </w:rPr>
              <w:t xml:space="preserve">$1,000 </w:t>
            </w:r>
            <w:r w:rsidRPr="007A02C1">
              <w:rPr>
                <w:rFonts w:cs="Arial"/>
                <w:szCs w:val="17"/>
              </w:rPr>
              <w:t>for sole traders, one-off</w:t>
            </w:r>
          </w:p>
          <w:p w14:paraId="07F3996D" w14:textId="77777777" w:rsidR="006D5674" w:rsidRPr="007A02C1" w:rsidRDefault="006D5674" w:rsidP="006D5674">
            <w:pPr>
              <w:spacing w:after="0"/>
              <w:rPr>
                <w:rFonts w:cs="Arial"/>
                <w:szCs w:val="17"/>
              </w:rPr>
            </w:pPr>
            <w:r w:rsidRPr="007A02C1">
              <w:rPr>
                <w:rFonts w:cs="Arial"/>
                <w:b/>
                <w:szCs w:val="17"/>
              </w:rPr>
              <w:t xml:space="preserve">$3,000 </w:t>
            </w:r>
            <w:r w:rsidRPr="007A02C1">
              <w:rPr>
                <w:rFonts w:cs="Arial"/>
                <w:szCs w:val="17"/>
              </w:rPr>
              <w:t>for employing businesses, one-off</w:t>
            </w:r>
          </w:p>
          <w:p w14:paraId="27518EDD" w14:textId="77777777" w:rsidR="006D5674" w:rsidRPr="007A02C1" w:rsidRDefault="006D5674" w:rsidP="006D5674">
            <w:pPr>
              <w:spacing w:after="0"/>
              <w:rPr>
                <w:rFonts w:cs="Arial"/>
                <w:szCs w:val="17"/>
              </w:rPr>
            </w:pPr>
          </w:p>
          <w:p w14:paraId="7EE28AD3" w14:textId="77777777" w:rsidR="006D5674" w:rsidRPr="007A02C1" w:rsidRDefault="006D5674" w:rsidP="006D5674">
            <w:pPr>
              <w:spacing w:after="0"/>
              <w:rPr>
                <w:rFonts w:cs="Arial"/>
                <w:szCs w:val="17"/>
                <w:u w:val="single"/>
              </w:rPr>
            </w:pPr>
            <w:r w:rsidRPr="007A02C1">
              <w:rPr>
                <w:rFonts w:cs="Arial"/>
                <w:szCs w:val="17"/>
                <w:u w:val="single"/>
              </w:rPr>
              <w:t>Round 2:</w:t>
            </w:r>
          </w:p>
          <w:p w14:paraId="53F4B8FC" w14:textId="77777777" w:rsidR="006D5674" w:rsidRPr="007A02C1" w:rsidRDefault="006D5674" w:rsidP="006D5674">
            <w:pPr>
              <w:spacing w:after="0"/>
              <w:rPr>
                <w:rFonts w:cs="Arial"/>
                <w:szCs w:val="17"/>
              </w:rPr>
            </w:pPr>
            <w:r w:rsidRPr="007A02C1">
              <w:rPr>
                <w:rFonts w:cs="Arial"/>
                <w:b/>
                <w:szCs w:val="17"/>
              </w:rPr>
              <w:t xml:space="preserve">$3,000 </w:t>
            </w:r>
            <w:r w:rsidRPr="007A02C1">
              <w:rPr>
                <w:rFonts w:cs="Arial"/>
                <w:szCs w:val="17"/>
              </w:rPr>
              <w:t>for sole traders, one-off</w:t>
            </w:r>
          </w:p>
          <w:p w14:paraId="6E6990F5" w14:textId="77777777" w:rsidR="006D5674" w:rsidRPr="007A02C1" w:rsidRDefault="006D5674" w:rsidP="006D5674">
            <w:pPr>
              <w:spacing w:after="0"/>
              <w:rPr>
                <w:rFonts w:cs="Arial"/>
                <w:szCs w:val="17"/>
              </w:rPr>
            </w:pPr>
            <w:r w:rsidRPr="007A02C1">
              <w:rPr>
                <w:rFonts w:cs="Arial"/>
                <w:b/>
                <w:szCs w:val="17"/>
              </w:rPr>
              <w:t xml:space="preserve">$9,000 </w:t>
            </w:r>
            <w:r w:rsidRPr="007A02C1">
              <w:rPr>
                <w:rFonts w:cs="Arial"/>
                <w:szCs w:val="17"/>
              </w:rPr>
              <w:t>for employing businesses, one-off</w:t>
            </w:r>
          </w:p>
          <w:p w14:paraId="62EAF90B" w14:textId="77777777" w:rsidR="006D5674" w:rsidRPr="007A02C1" w:rsidRDefault="006D5674" w:rsidP="006D5674">
            <w:pPr>
              <w:spacing w:after="0"/>
              <w:rPr>
                <w:rFonts w:cs="Arial"/>
                <w:szCs w:val="17"/>
              </w:rPr>
            </w:pPr>
          </w:p>
        </w:tc>
      </w:tr>
      <w:tr w:rsidR="006D5674" w:rsidRPr="007A02C1" w14:paraId="2C72229F" w14:textId="77777777" w:rsidTr="007946FD">
        <w:tc>
          <w:tcPr>
            <w:tcW w:w="1078" w:type="dxa"/>
          </w:tcPr>
          <w:p w14:paraId="0443E8E6" w14:textId="6B295EA6" w:rsidR="006D5674" w:rsidRPr="007A02C1" w:rsidRDefault="006D5674" w:rsidP="006D5674">
            <w:pPr>
              <w:spacing w:after="0"/>
              <w:rPr>
                <w:rFonts w:cs="Arial"/>
                <w:b/>
                <w:szCs w:val="17"/>
              </w:rPr>
            </w:pPr>
            <w:r w:rsidRPr="007A02C1">
              <w:rPr>
                <w:rFonts w:cs="Arial"/>
                <w:b/>
                <w:szCs w:val="17"/>
              </w:rPr>
              <w:t>NT</w:t>
            </w:r>
          </w:p>
        </w:tc>
        <w:tc>
          <w:tcPr>
            <w:tcW w:w="1445" w:type="dxa"/>
          </w:tcPr>
          <w:p w14:paraId="3C4A653F" w14:textId="77777777" w:rsidR="006D5674" w:rsidRPr="007A02C1" w:rsidRDefault="006D5674" w:rsidP="006D5674">
            <w:pPr>
              <w:spacing w:after="0"/>
              <w:rPr>
                <w:rFonts w:cs="Arial"/>
                <w:szCs w:val="17"/>
              </w:rPr>
            </w:pPr>
            <w:r w:rsidRPr="007A02C1">
              <w:rPr>
                <w:rFonts w:cs="Arial"/>
                <w:szCs w:val="17"/>
              </w:rPr>
              <w:t>Tourism Survival Fund</w:t>
            </w:r>
          </w:p>
        </w:tc>
        <w:tc>
          <w:tcPr>
            <w:tcW w:w="946" w:type="dxa"/>
          </w:tcPr>
          <w:p w14:paraId="0D1AE361" w14:textId="77777777" w:rsidR="006D5674" w:rsidRPr="007A02C1" w:rsidRDefault="006D5674" w:rsidP="006D5674">
            <w:pPr>
              <w:spacing w:after="0"/>
              <w:rPr>
                <w:rFonts w:cs="Arial"/>
                <w:szCs w:val="17"/>
              </w:rPr>
            </w:pPr>
            <w:r w:rsidRPr="007A02C1">
              <w:rPr>
                <w:rFonts w:cs="Arial"/>
                <w:szCs w:val="17"/>
              </w:rPr>
              <w:t>August 2021 to January 2022</w:t>
            </w:r>
          </w:p>
        </w:tc>
        <w:tc>
          <w:tcPr>
            <w:tcW w:w="1570" w:type="dxa"/>
          </w:tcPr>
          <w:p w14:paraId="5B91AA46" w14:textId="77777777" w:rsidR="006D5674" w:rsidRPr="007A02C1" w:rsidRDefault="006D5674" w:rsidP="006D5674">
            <w:pPr>
              <w:spacing w:after="0"/>
              <w:rPr>
                <w:rFonts w:cs="Arial"/>
                <w:szCs w:val="17"/>
              </w:rPr>
            </w:pPr>
            <w:r w:rsidRPr="007A02C1">
              <w:rPr>
                <w:rFonts w:cs="Arial"/>
                <w:szCs w:val="17"/>
              </w:rPr>
              <w:t>Unavailable publicly</w:t>
            </w:r>
          </w:p>
        </w:tc>
        <w:tc>
          <w:tcPr>
            <w:tcW w:w="3987" w:type="dxa"/>
          </w:tcPr>
          <w:p w14:paraId="7E3E1572" w14:textId="77777777" w:rsidR="006D5674" w:rsidRPr="007A02C1" w:rsidRDefault="006D5674" w:rsidP="006D5674">
            <w:pPr>
              <w:spacing w:after="0"/>
              <w:rPr>
                <w:rFonts w:cs="Arial"/>
                <w:szCs w:val="17"/>
                <w:u w:val="single"/>
              </w:rPr>
            </w:pPr>
            <w:r w:rsidRPr="007A02C1">
              <w:rPr>
                <w:rFonts w:cs="Arial"/>
                <w:szCs w:val="17"/>
                <w:u w:val="single"/>
              </w:rPr>
              <w:t>Round 1:</w:t>
            </w:r>
          </w:p>
          <w:p w14:paraId="2EC9A456" w14:textId="77777777" w:rsidR="006D5674" w:rsidRPr="007A02C1" w:rsidRDefault="006D5674" w:rsidP="006D5674">
            <w:pPr>
              <w:spacing w:after="0"/>
              <w:rPr>
                <w:rFonts w:cs="Arial"/>
                <w:szCs w:val="17"/>
              </w:rPr>
            </w:pPr>
            <w:r w:rsidRPr="007A02C1">
              <w:rPr>
                <w:rFonts w:cs="Arial"/>
                <w:b/>
                <w:szCs w:val="17"/>
              </w:rPr>
              <w:t>$5,000</w:t>
            </w:r>
            <w:r w:rsidRPr="007A02C1">
              <w:rPr>
                <w:rFonts w:cs="Arial"/>
                <w:szCs w:val="17"/>
              </w:rPr>
              <w:t xml:space="preserve"> for businesses with up to $250,000 in turnover, one-off</w:t>
            </w:r>
          </w:p>
          <w:p w14:paraId="08B23CB4" w14:textId="77777777" w:rsidR="006D5674" w:rsidRPr="007A02C1" w:rsidRDefault="006D5674" w:rsidP="006D5674">
            <w:pPr>
              <w:spacing w:after="0"/>
              <w:rPr>
                <w:rFonts w:cs="Arial"/>
                <w:szCs w:val="17"/>
              </w:rPr>
            </w:pPr>
            <w:r w:rsidRPr="007A02C1">
              <w:rPr>
                <w:rFonts w:cs="Arial"/>
                <w:b/>
                <w:szCs w:val="17"/>
              </w:rPr>
              <w:t>$10,000</w:t>
            </w:r>
            <w:r w:rsidRPr="007A02C1">
              <w:rPr>
                <w:rFonts w:cs="Arial"/>
                <w:szCs w:val="17"/>
              </w:rPr>
              <w:t xml:space="preserve"> for businesses with $250,000 - $1 million in turnover, one-off</w:t>
            </w:r>
          </w:p>
          <w:p w14:paraId="38CF877A" w14:textId="77777777" w:rsidR="006D5674" w:rsidRPr="007A02C1" w:rsidRDefault="006D5674" w:rsidP="006D5674">
            <w:pPr>
              <w:spacing w:after="0"/>
              <w:rPr>
                <w:rFonts w:cs="Arial"/>
                <w:szCs w:val="17"/>
              </w:rPr>
            </w:pPr>
            <w:r w:rsidRPr="007A02C1">
              <w:rPr>
                <w:rFonts w:cs="Arial"/>
                <w:b/>
                <w:szCs w:val="17"/>
              </w:rPr>
              <w:t>$20,000</w:t>
            </w:r>
            <w:r w:rsidRPr="007A02C1">
              <w:rPr>
                <w:rFonts w:cs="Arial"/>
                <w:szCs w:val="17"/>
              </w:rPr>
              <w:t xml:space="preserve"> for businesses with $1 million - $5 million in turnover, one-off</w:t>
            </w:r>
          </w:p>
          <w:p w14:paraId="0C8D351B" w14:textId="77777777" w:rsidR="006D5674" w:rsidRPr="007A02C1" w:rsidRDefault="006D5674" w:rsidP="006D5674">
            <w:pPr>
              <w:spacing w:after="0"/>
              <w:rPr>
                <w:rFonts w:cs="Arial"/>
                <w:szCs w:val="17"/>
              </w:rPr>
            </w:pPr>
            <w:r w:rsidRPr="007A02C1">
              <w:rPr>
                <w:rFonts w:cs="Arial"/>
                <w:b/>
                <w:szCs w:val="17"/>
              </w:rPr>
              <w:t>$30,000</w:t>
            </w:r>
            <w:r w:rsidRPr="007A02C1">
              <w:rPr>
                <w:rFonts w:cs="Arial"/>
                <w:szCs w:val="17"/>
              </w:rPr>
              <w:t xml:space="preserve"> for businesses with more than $5 million in turnover, one-off</w:t>
            </w:r>
          </w:p>
          <w:p w14:paraId="203B01DC" w14:textId="77777777" w:rsidR="006D5674" w:rsidRPr="007A02C1" w:rsidRDefault="006D5674" w:rsidP="006D5674">
            <w:pPr>
              <w:spacing w:after="0"/>
              <w:rPr>
                <w:rFonts w:cs="Arial"/>
                <w:szCs w:val="17"/>
              </w:rPr>
            </w:pPr>
          </w:p>
          <w:p w14:paraId="12C31F7B" w14:textId="77777777" w:rsidR="006D5674" w:rsidRPr="007A02C1" w:rsidRDefault="006D5674" w:rsidP="006D5674">
            <w:pPr>
              <w:spacing w:after="0"/>
              <w:rPr>
                <w:rFonts w:cs="Arial"/>
                <w:szCs w:val="17"/>
                <w:u w:val="single"/>
              </w:rPr>
            </w:pPr>
            <w:r w:rsidRPr="007A02C1">
              <w:rPr>
                <w:rFonts w:cs="Arial"/>
                <w:szCs w:val="17"/>
                <w:u w:val="single"/>
              </w:rPr>
              <w:t>Round 2:</w:t>
            </w:r>
          </w:p>
          <w:p w14:paraId="629B5AE4" w14:textId="77777777" w:rsidR="006D5674" w:rsidRPr="007A02C1" w:rsidRDefault="006D5674" w:rsidP="006D5674">
            <w:pPr>
              <w:spacing w:after="0"/>
              <w:rPr>
                <w:rFonts w:cs="Arial"/>
                <w:szCs w:val="17"/>
              </w:rPr>
            </w:pPr>
            <w:r w:rsidRPr="007A02C1">
              <w:rPr>
                <w:rFonts w:cs="Arial"/>
                <w:b/>
                <w:szCs w:val="17"/>
              </w:rPr>
              <w:t>$15,000</w:t>
            </w:r>
            <w:r w:rsidRPr="007A02C1">
              <w:rPr>
                <w:rFonts w:cs="Arial"/>
                <w:szCs w:val="17"/>
              </w:rPr>
              <w:t xml:space="preserve"> for businesses with $75,000 to $250,000 in turnover, one-off</w:t>
            </w:r>
          </w:p>
          <w:p w14:paraId="7CFAD948" w14:textId="77777777" w:rsidR="006D5674" w:rsidRPr="007A02C1" w:rsidRDefault="006D5674" w:rsidP="006D5674">
            <w:pPr>
              <w:spacing w:after="0"/>
              <w:rPr>
                <w:rFonts w:cs="Arial"/>
                <w:szCs w:val="17"/>
              </w:rPr>
            </w:pPr>
            <w:r w:rsidRPr="007A02C1">
              <w:rPr>
                <w:rFonts w:cs="Arial"/>
                <w:b/>
                <w:szCs w:val="17"/>
              </w:rPr>
              <w:t>$30,000</w:t>
            </w:r>
            <w:r w:rsidRPr="007A02C1">
              <w:rPr>
                <w:rFonts w:cs="Arial"/>
                <w:szCs w:val="17"/>
              </w:rPr>
              <w:t xml:space="preserve"> for businesses with $250,000 - $1 million in turnover, one-off</w:t>
            </w:r>
          </w:p>
          <w:p w14:paraId="3E6E940B" w14:textId="77777777" w:rsidR="006D5674" w:rsidRPr="007A02C1" w:rsidRDefault="006D5674" w:rsidP="006D5674">
            <w:pPr>
              <w:spacing w:after="0"/>
              <w:rPr>
                <w:rFonts w:cs="Arial"/>
                <w:szCs w:val="17"/>
              </w:rPr>
            </w:pPr>
            <w:r w:rsidRPr="007A02C1">
              <w:rPr>
                <w:rFonts w:cs="Arial"/>
                <w:b/>
                <w:szCs w:val="17"/>
              </w:rPr>
              <w:t>$60,000</w:t>
            </w:r>
            <w:r w:rsidRPr="007A02C1">
              <w:rPr>
                <w:rFonts w:cs="Arial"/>
                <w:szCs w:val="17"/>
              </w:rPr>
              <w:t xml:space="preserve"> for businesses with $1 million - $5 million in turnover, one-off</w:t>
            </w:r>
          </w:p>
          <w:p w14:paraId="3332519F" w14:textId="77777777" w:rsidR="006D5674" w:rsidRPr="007A02C1" w:rsidRDefault="006D5674" w:rsidP="006D5674">
            <w:pPr>
              <w:spacing w:after="0"/>
              <w:rPr>
                <w:rFonts w:cs="Arial"/>
                <w:szCs w:val="17"/>
              </w:rPr>
            </w:pPr>
            <w:r w:rsidRPr="007A02C1">
              <w:rPr>
                <w:rFonts w:cs="Arial"/>
                <w:b/>
                <w:szCs w:val="17"/>
              </w:rPr>
              <w:lastRenderedPageBreak/>
              <w:t>$90,000</w:t>
            </w:r>
            <w:r w:rsidRPr="007A02C1">
              <w:rPr>
                <w:rFonts w:cs="Arial"/>
                <w:szCs w:val="17"/>
              </w:rPr>
              <w:t xml:space="preserve"> for businesses with more than $5 million in turnover, one-off</w:t>
            </w:r>
          </w:p>
        </w:tc>
      </w:tr>
      <w:tr w:rsidR="006D5674" w:rsidRPr="007A02C1" w14:paraId="25AB55D0" w14:textId="77777777" w:rsidTr="007946FD">
        <w:tc>
          <w:tcPr>
            <w:tcW w:w="1078" w:type="dxa"/>
          </w:tcPr>
          <w:p w14:paraId="31A6E9C8" w14:textId="77777777" w:rsidR="006D5674" w:rsidRPr="007A02C1" w:rsidRDefault="006D5674" w:rsidP="006D5674">
            <w:pPr>
              <w:spacing w:after="0"/>
              <w:rPr>
                <w:rFonts w:cs="Arial"/>
                <w:b/>
                <w:szCs w:val="17"/>
              </w:rPr>
            </w:pPr>
            <w:r w:rsidRPr="007A02C1">
              <w:rPr>
                <w:rFonts w:cs="Arial"/>
                <w:b/>
                <w:szCs w:val="17"/>
              </w:rPr>
              <w:lastRenderedPageBreak/>
              <w:t>TAS</w:t>
            </w:r>
          </w:p>
        </w:tc>
        <w:tc>
          <w:tcPr>
            <w:tcW w:w="1445" w:type="dxa"/>
          </w:tcPr>
          <w:p w14:paraId="6B636416" w14:textId="77777777" w:rsidR="006D5674" w:rsidRPr="007A02C1" w:rsidRDefault="006D5674" w:rsidP="006D5674">
            <w:pPr>
              <w:spacing w:after="0"/>
              <w:rPr>
                <w:rFonts w:cs="Arial"/>
                <w:szCs w:val="17"/>
              </w:rPr>
            </w:pPr>
            <w:r w:rsidRPr="007A02C1">
              <w:rPr>
                <w:rFonts w:cs="Arial"/>
                <w:szCs w:val="17"/>
              </w:rPr>
              <w:t>COVID-19 Micro and Small Business - Border Closure Critical Support Grant Program</w:t>
            </w:r>
          </w:p>
        </w:tc>
        <w:tc>
          <w:tcPr>
            <w:tcW w:w="946" w:type="dxa"/>
          </w:tcPr>
          <w:p w14:paraId="5F03964D" w14:textId="0B1F7292" w:rsidR="006D5674" w:rsidRPr="007A02C1" w:rsidRDefault="006D5674" w:rsidP="006D5674">
            <w:pPr>
              <w:spacing w:after="0"/>
              <w:rPr>
                <w:rFonts w:cs="Arial"/>
                <w:szCs w:val="17"/>
              </w:rPr>
            </w:pPr>
            <w:r w:rsidRPr="007A02C1">
              <w:rPr>
                <w:rFonts w:cs="Arial"/>
                <w:szCs w:val="17"/>
              </w:rPr>
              <w:t>August 2021</w:t>
            </w:r>
            <w:r>
              <w:rPr>
                <w:rFonts w:cs="Arial"/>
                <w:szCs w:val="17"/>
              </w:rPr>
              <w:t xml:space="preserve"> </w:t>
            </w:r>
            <w:r w:rsidRPr="007A02C1">
              <w:rPr>
                <w:rFonts w:cs="Arial"/>
                <w:szCs w:val="17"/>
              </w:rPr>
              <w:t>to October 2021</w:t>
            </w:r>
          </w:p>
        </w:tc>
        <w:tc>
          <w:tcPr>
            <w:tcW w:w="1570" w:type="dxa"/>
          </w:tcPr>
          <w:p w14:paraId="27AA00FC" w14:textId="77777777" w:rsidR="006D5674" w:rsidRPr="007A02C1" w:rsidRDefault="006D5674" w:rsidP="006D5674">
            <w:pPr>
              <w:spacing w:after="0"/>
              <w:rPr>
                <w:rFonts w:cs="Arial"/>
                <w:szCs w:val="17"/>
              </w:rPr>
            </w:pPr>
            <w:r w:rsidRPr="007A02C1">
              <w:rPr>
                <w:rFonts w:cs="Arial"/>
                <w:szCs w:val="17"/>
              </w:rPr>
              <w:t>0.20% ($73 million)</w:t>
            </w:r>
          </w:p>
        </w:tc>
        <w:tc>
          <w:tcPr>
            <w:tcW w:w="3987" w:type="dxa"/>
          </w:tcPr>
          <w:p w14:paraId="3FF4846F" w14:textId="77777777" w:rsidR="006D5674" w:rsidRPr="007A02C1" w:rsidRDefault="006D5674" w:rsidP="006D5674">
            <w:pPr>
              <w:spacing w:after="0"/>
              <w:rPr>
                <w:rFonts w:cs="Arial"/>
                <w:szCs w:val="17"/>
              </w:rPr>
            </w:pPr>
            <w:r w:rsidRPr="007A02C1">
              <w:rPr>
                <w:rFonts w:cs="Arial"/>
                <w:b/>
                <w:szCs w:val="17"/>
              </w:rPr>
              <w:t>$7,000</w:t>
            </w:r>
            <w:r w:rsidRPr="007A02C1">
              <w:rPr>
                <w:rFonts w:cs="Arial"/>
                <w:szCs w:val="17"/>
              </w:rPr>
              <w:t xml:space="preserve"> total for non-employing businesses with turnover of $25,000 - &lt;$50,000, two rounds ($4,000 an $3,000)</w:t>
            </w:r>
          </w:p>
          <w:p w14:paraId="22897BB4" w14:textId="4BAFFB0E" w:rsidR="006D5674" w:rsidRPr="007A02C1" w:rsidRDefault="006D5674" w:rsidP="006D5674">
            <w:pPr>
              <w:spacing w:after="0"/>
              <w:rPr>
                <w:rFonts w:cs="Arial"/>
                <w:szCs w:val="17"/>
              </w:rPr>
            </w:pPr>
            <w:r w:rsidRPr="007A02C1">
              <w:rPr>
                <w:rFonts w:cs="Arial"/>
                <w:b/>
                <w:szCs w:val="17"/>
              </w:rPr>
              <w:t>$14,000</w:t>
            </w:r>
            <w:r w:rsidRPr="007A02C1">
              <w:rPr>
                <w:rFonts w:cs="Arial"/>
                <w:szCs w:val="17"/>
              </w:rPr>
              <w:t xml:space="preserve"> total for non-employing businesses with turnover of $50,000 - &lt;$1 million</w:t>
            </w:r>
            <w:r>
              <w:rPr>
                <w:rFonts w:cs="Arial"/>
                <w:szCs w:val="17"/>
              </w:rPr>
              <w:t>,</w:t>
            </w:r>
            <w:r w:rsidRPr="007A02C1">
              <w:rPr>
                <w:rFonts w:cs="Arial"/>
                <w:szCs w:val="17"/>
              </w:rPr>
              <w:t xml:space="preserve"> two rounds ($8,000 an $6,000)</w:t>
            </w:r>
          </w:p>
          <w:p w14:paraId="0F5B7904" w14:textId="3984A4CE" w:rsidR="006D5674" w:rsidRPr="007A02C1" w:rsidRDefault="006D5674" w:rsidP="006D5674">
            <w:pPr>
              <w:spacing w:after="0"/>
              <w:rPr>
                <w:rFonts w:cs="Arial"/>
                <w:szCs w:val="17"/>
              </w:rPr>
            </w:pPr>
            <w:r w:rsidRPr="007A02C1">
              <w:rPr>
                <w:rFonts w:cs="Arial"/>
                <w:b/>
                <w:szCs w:val="17"/>
              </w:rPr>
              <w:t>$35,000</w:t>
            </w:r>
            <w:r w:rsidRPr="007A02C1">
              <w:rPr>
                <w:rFonts w:cs="Arial"/>
                <w:szCs w:val="17"/>
              </w:rPr>
              <w:t xml:space="preserve"> total for employing businesses with turnover of $50,000 - &lt;$1 million</w:t>
            </w:r>
            <w:r>
              <w:rPr>
                <w:rFonts w:cs="Arial"/>
                <w:szCs w:val="17"/>
              </w:rPr>
              <w:t>,</w:t>
            </w:r>
            <w:r w:rsidRPr="007A02C1">
              <w:rPr>
                <w:rFonts w:cs="Arial"/>
                <w:szCs w:val="17"/>
              </w:rPr>
              <w:t xml:space="preserve"> two rounds ($20,000 an $15,000)</w:t>
            </w:r>
          </w:p>
          <w:p w14:paraId="433E5303" w14:textId="10380EB9" w:rsidR="006D5674" w:rsidRPr="007A02C1" w:rsidRDefault="006D5674" w:rsidP="006D5674">
            <w:pPr>
              <w:spacing w:after="0"/>
              <w:rPr>
                <w:rFonts w:cs="Arial"/>
                <w:szCs w:val="17"/>
              </w:rPr>
            </w:pPr>
            <w:r w:rsidRPr="007A02C1">
              <w:rPr>
                <w:rFonts w:cs="Arial"/>
                <w:b/>
                <w:szCs w:val="17"/>
              </w:rPr>
              <w:t>$60,000</w:t>
            </w:r>
            <w:r w:rsidRPr="007A02C1">
              <w:rPr>
                <w:rFonts w:cs="Arial"/>
                <w:szCs w:val="17"/>
              </w:rPr>
              <w:t xml:space="preserve"> total for employing businesses with turnover of $1 million - $5 million</w:t>
            </w:r>
            <w:r>
              <w:rPr>
                <w:rFonts w:cs="Arial"/>
                <w:szCs w:val="17"/>
              </w:rPr>
              <w:t>,</w:t>
            </w:r>
            <w:r w:rsidRPr="007A02C1">
              <w:rPr>
                <w:rFonts w:cs="Arial"/>
                <w:szCs w:val="17"/>
              </w:rPr>
              <w:t xml:space="preserve"> two rounds ($35,000 an $25,000)</w:t>
            </w:r>
          </w:p>
          <w:p w14:paraId="49037BA5" w14:textId="034A15DE" w:rsidR="006D5674" w:rsidRPr="007A02C1" w:rsidRDefault="006D5674" w:rsidP="006D5674">
            <w:pPr>
              <w:spacing w:after="0"/>
              <w:rPr>
                <w:rFonts w:cs="Arial"/>
                <w:szCs w:val="17"/>
              </w:rPr>
            </w:pPr>
            <w:r w:rsidRPr="007A02C1">
              <w:rPr>
                <w:rFonts w:cs="Arial"/>
                <w:b/>
                <w:szCs w:val="17"/>
              </w:rPr>
              <w:t>1100,000</w:t>
            </w:r>
            <w:r w:rsidRPr="007A02C1">
              <w:rPr>
                <w:rFonts w:cs="Arial"/>
                <w:szCs w:val="17"/>
              </w:rPr>
              <w:t xml:space="preserve"> total for employing businesses with turnover of $5 million - $10 million</w:t>
            </w:r>
            <w:r>
              <w:rPr>
                <w:rFonts w:cs="Arial"/>
                <w:szCs w:val="17"/>
              </w:rPr>
              <w:t>,</w:t>
            </w:r>
            <w:r w:rsidRPr="007A02C1">
              <w:rPr>
                <w:rFonts w:cs="Arial"/>
                <w:szCs w:val="17"/>
              </w:rPr>
              <w:t xml:space="preserve"> two rounds ($60,000 an $50,000)</w:t>
            </w:r>
          </w:p>
        </w:tc>
      </w:tr>
    </w:tbl>
    <w:p w14:paraId="3907E37B" w14:textId="77777777" w:rsidR="006F67DD" w:rsidRPr="009054BC" w:rsidRDefault="006F67DD" w:rsidP="00021EF3">
      <w:pPr>
        <w:pStyle w:val="Source"/>
      </w:pPr>
      <w:r>
        <w:t>Source: Deloitte Access Economics.</w:t>
      </w:r>
      <w:r>
        <w:rPr>
          <w:rStyle w:val="EndnoteReference"/>
        </w:rPr>
        <w:endnoteReference w:id="82"/>
      </w:r>
      <w:r w:rsidRPr="00B80605">
        <w:rPr>
          <w:rStyle w:val="EndnoteReference"/>
        </w:rPr>
        <w:t xml:space="preserve"> </w:t>
      </w:r>
    </w:p>
    <w:p w14:paraId="5704156B" w14:textId="5F8D5E75" w:rsidR="002F6D6D" w:rsidRDefault="002F6D6D" w:rsidP="00021EF3">
      <w:pPr>
        <w:pStyle w:val="Appendixhead2"/>
      </w:pPr>
      <w:bookmarkStart w:id="580" w:name="_Toc173244990"/>
      <w:bookmarkStart w:id="581" w:name="_Toc173246327"/>
      <w:bookmarkStart w:id="582" w:name="_Toc173308323"/>
      <w:bookmarkStart w:id="583" w:name="_Toc173344745"/>
      <w:bookmarkStart w:id="584" w:name="_Toc173344972"/>
      <w:bookmarkStart w:id="585" w:name="_Toc173915938"/>
      <w:bookmarkStart w:id="586" w:name="_Toc174118197"/>
      <w:bookmarkStart w:id="587" w:name="_Toc176516319"/>
      <w:bookmarkStart w:id="588" w:name="_Toc170913972"/>
      <w:r>
        <w:t>Eligibility criteria and distribution of COVID-19</w:t>
      </w:r>
      <w:r w:rsidR="001A63B1">
        <w:t xml:space="preserve"> pandemic</w:t>
      </w:r>
      <w:r>
        <w:t xml:space="preserve"> business support programs</w:t>
      </w:r>
      <w:bookmarkEnd w:id="580"/>
      <w:bookmarkEnd w:id="581"/>
      <w:bookmarkEnd w:id="582"/>
      <w:bookmarkEnd w:id="583"/>
      <w:bookmarkEnd w:id="584"/>
      <w:bookmarkEnd w:id="585"/>
      <w:bookmarkEnd w:id="586"/>
      <w:bookmarkEnd w:id="587"/>
    </w:p>
    <w:bookmarkEnd w:id="588"/>
    <w:p w14:paraId="52B68BCD" w14:textId="1726E11E" w:rsidR="002F6D6D" w:rsidRDefault="002F6D6D" w:rsidP="00021EF3">
      <w:r>
        <w:t>Across each business support program</w:t>
      </w:r>
      <w:r w:rsidR="00772F81">
        <w:t>,</w:t>
      </w:r>
      <w:r>
        <w:t xml:space="preserve"> eligibility criteria varied but generally required the demonstration of a combination of:</w:t>
      </w:r>
    </w:p>
    <w:p w14:paraId="401E20D2" w14:textId="78E2D5E4" w:rsidR="002F6D6D" w:rsidRDefault="002F6D6D" w:rsidP="00021EF3">
      <w:pPr>
        <w:pStyle w:val="ListBullet"/>
        <w:numPr>
          <w:ilvl w:val="0"/>
          <w:numId w:val="19"/>
        </w:numPr>
      </w:pPr>
      <w:r>
        <w:t xml:space="preserve">holding a business identifier, such as an </w:t>
      </w:r>
      <w:proofErr w:type="gramStart"/>
      <w:r w:rsidR="00BB54FA">
        <w:t>ABN</w:t>
      </w:r>
      <w:r w:rsidR="008703A7">
        <w:t>;</w:t>
      </w:r>
      <w:proofErr w:type="gramEnd"/>
    </w:p>
    <w:p w14:paraId="5EDE00F6" w14:textId="011831A6" w:rsidR="002F6D6D" w:rsidRDefault="002F6D6D" w:rsidP="00021EF3">
      <w:pPr>
        <w:pStyle w:val="ListBullet"/>
        <w:numPr>
          <w:ilvl w:val="0"/>
          <w:numId w:val="19"/>
        </w:numPr>
      </w:pPr>
      <w:r>
        <w:t>minimum and maximum number of employees (for employing businesses</w:t>
      </w:r>
      <w:proofErr w:type="gramStart"/>
      <w:r>
        <w:t>)</w:t>
      </w:r>
      <w:r w:rsidR="008703A7">
        <w:t>;</w:t>
      </w:r>
      <w:proofErr w:type="gramEnd"/>
    </w:p>
    <w:p w14:paraId="05D7D40F" w14:textId="5E7FA6E2" w:rsidR="002F6D6D" w:rsidRDefault="002F6D6D" w:rsidP="00021EF3">
      <w:pPr>
        <w:pStyle w:val="ListBullet"/>
        <w:numPr>
          <w:ilvl w:val="0"/>
          <w:numId w:val="19"/>
        </w:numPr>
      </w:pPr>
      <w:r>
        <w:t xml:space="preserve">maximum annual turnover, tax revenue or </w:t>
      </w:r>
      <w:proofErr w:type="gramStart"/>
      <w:r>
        <w:t>payroll</w:t>
      </w:r>
      <w:r w:rsidR="008703A7">
        <w:t>;</w:t>
      </w:r>
      <w:proofErr w:type="gramEnd"/>
    </w:p>
    <w:p w14:paraId="43EEEC23" w14:textId="23CDAB12" w:rsidR="002F6D6D" w:rsidRDefault="002F6D6D" w:rsidP="00021EF3">
      <w:pPr>
        <w:pStyle w:val="ListBullet"/>
        <w:numPr>
          <w:ilvl w:val="0"/>
          <w:numId w:val="19"/>
        </w:numPr>
      </w:pPr>
      <w:r>
        <w:t>minimum decline in revenue as a result of COVID-19</w:t>
      </w:r>
      <w:r w:rsidR="001A63B1">
        <w:t xml:space="preserve"> pandemic</w:t>
      </w:r>
      <w:r>
        <w:t xml:space="preserve"> restrictions as compared with a previous </w:t>
      </w:r>
      <w:proofErr w:type="gramStart"/>
      <w:r>
        <w:t>period</w:t>
      </w:r>
      <w:r w:rsidR="008703A7">
        <w:t>;</w:t>
      </w:r>
      <w:proofErr w:type="gramEnd"/>
    </w:p>
    <w:p w14:paraId="3FE5C665" w14:textId="0D3A7170" w:rsidR="002F6D6D" w:rsidRDefault="002F6D6D" w:rsidP="00021EF3">
      <w:pPr>
        <w:pStyle w:val="ListBullet"/>
        <w:numPr>
          <w:ilvl w:val="0"/>
          <w:numId w:val="19"/>
        </w:numPr>
      </w:pPr>
      <w:r>
        <w:t>operation in certain sectors or locations</w:t>
      </w:r>
    </w:p>
    <w:p w14:paraId="6CF8D5B3" w14:textId="057904CC" w:rsidR="002F6D6D" w:rsidRDefault="002F6D6D" w:rsidP="00021EF3">
      <w:r>
        <w:t>The primary requirement for COVID-19 business grants in every jurisdiction was that the business must have been impacted by COVID-19</w:t>
      </w:r>
      <w:r w:rsidR="001A63B1">
        <w:t xml:space="preserve"> pandemic</w:t>
      </w:r>
      <w:r w:rsidR="00772F81">
        <w:t>-</w:t>
      </w:r>
      <w:r>
        <w:t>related public health restrictions. For most jurisdictions assessed, with the exception of the UK and the Australian Commonwealth, impact was measured by a reduction in business revenue or turnover, demonstrated through reporting and business activity statements when compared to previous periods. The threshold varied from any reduction (or no specification of value) in New Zealand for its Resurgence Support Payment, to more than 75 per cent in NSW for its Southern Border Small Business Grant in 2020.</w:t>
      </w:r>
      <w:r>
        <w:rPr>
          <w:rStyle w:val="EndnoteReference"/>
        </w:rPr>
        <w:endnoteReference w:id="83"/>
      </w:r>
      <w:r>
        <w:t xml:space="preserve"> However, majority ranged between 30 </w:t>
      </w:r>
      <w:r w:rsidR="00D91881">
        <w:t xml:space="preserve">per cent </w:t>
      </w:r>
      <w:r>
        <w:t>to 50 per cent.</w:t>
      </w:r>
      <w:r>
        <w:rPr>
          <w:rStyle w:val="EndnoteReference"/>
        </w:rPr>
        <w:endnoteReference w:id="84"/>
      </w:r>
      <w:r w:rsidRPr="000746C3">
        <w:t xml:space="preserve"> </w:t>
      </w:r>
    </w:p>
    <w:p w14:paraId="212B1908" w14:textId="01F0DAC4" w:rsidR="002F6D6D" w:rsidRDefault="002F6D6D" w:rsidP="00021EF3">
      <w:r>
        <w:t>Other business grants applied broader eligibility and did not consider the specific impact of COVID-19</w:t>
      </w:r>
      <w:r w:rsidR="001A63B1">
        <w:t xml:space="preserve"> pandemic</w:t>
      </w:r>
      <w:r>
        <w:t xml:space="preserve"> restrictions. For example, the Australian Commonwealth SME Cashflow Boost only required businesses to have held an ABN on 12 March 2020, have aggregated turnover of less than $50 million and be paying any appropriate salaries, wages and other payments.</w:t>
      </w:r>
      <w:r>
        <w:rPr>
          <w:rStyle w:val="EndnoteReference"/>
        </w:rPr>
        <w:endnoteReference w:id="85"/>
      </w:r>
      <w:r>
        <w:t xml:space="preserve"> Similarly, most other Australian jurisdiction business grants, including the NSW </w:t>
      </w:r>
      <w:proofErr w:type="spellStart"/>
      <w:r>
        <w:t>JobSaver</w:t>
      </w:r>
      <w:proofErr w:type="spellEnd"/>
      <w:r>
        <w:t xml:space="preserve"> Payment and COVID-19 Micro Business Grant, ACT COVID-19 Business Support Grant, the SA COVID-19 Business Hardship Grant, </w:t>
      </w:r>
      <w:r w:rsidR="00AA1D65">
        <w:t xml:space="preserve">QLD </w:t>
      </w:r>
      <w:r>
        <w:t>COVID-19 Business Support Grants and WA Small Business Hardship Grants, required businesses to hold a valid and active ABN as at a particular date. Likewise, the New Zealand Resurgence Support Payment required businesses to hold a New Zealand Business Number.</w:t>
      </w:r>
      <w:r>
        <w:rPr>
          <w:rStyle w:val="EndnoteReference"/>
        </w:rPr>
        <w:endnoteReference w:id="86"/>
      </w:r>
      <w:r>
        <w:t xml:space="preserve"> Some additionally required businesses to be registered for </w:t>
      </w:r>
      <w:r w:rsidR="00FC5A67">
        <w:t>GST</w:t>
      </w:r>
      <w:r>
        <w:t>.</w:t>
      </w:r>
      <w:r>
        <w:rPr>
          <w:rStyle w:val="EndnoteReference"/>
        </w:rPr>
        <w:endnoteReference w:id="87"/>
      </w:r>
      <w:r>
        <w:t xml:space="preserve"> </w:t>
      </w:r>
    </w:p>
    <w:p w14:paraId="0D6C1C0E" w14:textId="25134A4B" w:rsidR="002F6D6D" w:rsidRDefault="002F6D6D" w:rsidP="00021EF3">
      <w:r>
        <w:t xml:space="preserve">Further to be eligible for any business grant in NSW, aggregated turnover needed to exceed $75,000, with a cap of $250 million for 2021 NSW </w:t>
      </w:r>
      <w:proofErr w:type="spellStart"/>
      <w:r>
        <w:t>JobSaver</w:t>
      </w:r>
      <w:proofErr w:type="spellEnd"/>
      <w:r>
        <w:t>.</w:t>
      </w:r>
      <w:r>
        <w:rPr>
          <w:rStyle w:val="EndnoteReference"/>
        </w:rPr>
        <w:endnoteReference w:id="88"/>
      </w:r>
      <w:r>
        <w:t xml:space="preserve"> Grants in the ACT similarly required a minimum annual turnover of $75,000,</w:t>
      </w:r>
      <w:r>
        <w:rPr>
          <w:rStyle w:val="EndnoteReference"/>
        </w:rPr>
        <w:endnoteReference w:id="89"/>
      </w:r>
      <w:r>
        <w:t xml:space="preserve"> while the federal business supports such as the Solidarity Fund in France and </w:t>
      </w:r>
      <w:proofErr w:type="spellStart"/>
      <w:r>
        <w:t>JobKeeper</w:t>
      </w:r>
      <w:proofErr w:type="spellEnd"/>
      <w:r>
        <w:t xml:space="preserve"> wage subsidy in the Australian Commonwealth required a maximum turnover of </w:t>
      </w:r>
      <w:r>
        <w:rPr>
          <w:rFonts w:cs="Arial"/>
        </w:rPr>
        <w:t>€</w:t>
      </w:r>
      <w:r>
        <w:t>1 million and $1 billion</w:t>
      </w:r>
      <w:r w:rsidR="002142D5">
        <w:t>,</w:t>
      </w:r>
      <w:r>
        <w:t xml:space="preserve"> respectively.</w:t>
      </w:r>
      <w:r>
        <w:rPr>
          <w:rStyle w:val="EndnoteReference"/>
        </w:rPr>
        <w:endnoteReference w:id="90"/>
      </w:r>
      <w:r>
        <w:t xml:space="preserve"> Alternatively to business turnover, some jurisdictions used payroll. For instance, the WA Small Business Hardship Grant required businesses’ payroll to be less than $4 million, while the 2021 NSW COVID-19 Business Grant, </w:t>
      </w:r>
      <w:r w:rsidR="00AA1D65">
        <w:t xml:space="preserve">QLD </w:t>
      </w:r>
      <w:r>
        <w:t>2021 COVID-19 Business Support Grant, SA COVID-19 Business Hardship Grant and ACT COVID-19 Business Support Grant required payroll of a business to be less than $10 million in the previous year.</w:t>
      </w:r>
      <w:r>
        <w:rPr>
          <w:rStyle w:val="EndnoteReference"/>
        </w:rPr>
        <w:endnoteReference w:id="91"/>
      </w:r>
      <w:r>
        <w:t xml:space="preserve"> </w:t>
      </w:r>
    </w:p>
    <w:p w14:paraId="077CF7E4" w14:textId="6DED21BD" w:rsidR="002F6D6D" w:rsidRDefault="002F6D6D" w:rsidP="00021EF3">
      <w:r>
        <w:lastRenderedPageBreak/>
        <w:t>Canadian, French and UK jurisdictions restricted business grant eligibility to particular sectors such as tourism, hospitality and leisure,</w:t>
      </w:r>
      <w:r>
        <w:rPr>
          <w:rStyle w:val="EndnoteReference"/>
        </w:rPr>
        <w:endnoteReference w:id="92"/>
      </w:r>
      <w:r>
        <w:t xml:space="preserve"> while some Australian jurisdictions granted higher payments for businesses in these sectors or made concessions in eligibility criteria, such as a higher payroll threshold or turnover.</w:t>
      </w:r>
      <w:r>
        <w:rPr>
          <w:rStyle w:val="EndnoteReference"/>
        </w:rPr>
        <w:endnoteReference w:id="93"/>
      </w:r>
      <w:r>
        <w:t xml:space="preserve"> Similar patterns of lenient eligibility were also observed for </w:t>
      </w:r>
      <w:r w:rsidR="00AA1D65">
        <w:t>QLD</w:t>
      </w:r>
      <w:r>
        <w:t>, SA and NSW with respect to location of the business in the CBD or on a border.</w:t>
      </w:r>
      <w:r>
        <w:rPr>
          <w:rStyle w:val="EndnoteReference"/>
        </w:rPr>
        <w:endnoteReference w:id="94"/>
      </w:r>
      <w:r>
        <w:t xml:space="preserve"> </w:t>
      </w:r>
    </w:p>
    <w:p w14:paraId="603E9F26" w14:textId="3D3432CA" w:rsidR="002F6D6D" w:rsidRDefault="002F6D6D" w:rsidP="00021EF3">
      <w:r>
        <w:t>Regarding number of employees, the threshold varied between self-employed or less than 10 employees in France,</w:t>
      </w:r>
      <w:r>
        <w:rPr>
          <w:rStyle w:val="EndnoteReference"/>
        </w:rPr>
        <w:endnoteReference w:id="95"/>
      </w:r>
      <w:r>
        <w:t xml:space="preserve"> to less than 100 employees in Canada,</w:t>
      </w:r>
      <w:r>
        <w:rPr>
          <w:rStyle w:val="EndnoteReference"/>
        </w:rPr>
        <w:endnoteReference w:id="96"/>
      </w:r>
      <w:r>
        <w:t xml:space="preserve"> or within a range between 0.5 and 19 employees in NSW.</w:t>
      </w:r>
      <w:r>
        <w:rPr>
          <w:rStyle w:val="EndnoteReference"/>
        </w:rPr>
        <w:endnoteReference w:id="97"/>
      </w:r>
      <w:r>
        <w:t xml:space="preserve"> </w:t>
      </w:r>
      <w:r w:rsidR="00AA1D65">
        <w:t xml:space="preserve">QLD </w:t>
      </w:r>
      <w:r>
        <w:t>and WA additionally distributed grant amounts by number of employees.</w:t>
      </w:r>
      <w:r>
        <w:rPr>
          <w:rStyle w:val="EndnoteReference"/>
        </w:rPr>
        <w:endnoteReference w:id="98"/>
      </w:r>
    </w:p>
    <w:p w14:paraId="20C413D3" w14:textId="2E64F0D5" w:rsidR="00AD2C19" w:rsidRDefault="002F6D6D" w:rsidP="00021EF3">
      <w:r>
        <w:t xml:space="preserve">As opposed to creating newly assessed eligibility criteria, some jurisdictions used participation in a previous program to determine eligibility. For example, the UK </w:t>
      </w:r>
      <w:r w:rsidR="000B3800">
        <w:t>SBGF</w:t>
      </w:r>
      <w:r>
        <w:t xml:space="preserve"> required businesses to have been previously eligible for the preexisting Small Business Rates Relief or Rural Rates Relief Programs, leveraging the rateable threshold measured in these programs to determine the grant amount.</w:t>
      </w:r>
      <w:r>
        <w:rPr>
          <w:rStyle w:val="EndnoteReference"/>
        </w:rPr>
        <w:endnoteReference w:id="99"/>
      </w:r>
      <w:r>
        <w:t xml:space="preserve"> Likewise, the SA </w:t>
      </w:r>
      <w:r w:rsidRPr="00620786">
        <w:t>COVID-19 Tourism and Hospitality Support Grant</w:t>
      </w:r>
      <w:r>
        <w:t xml:space="preserve"> was provided to businesses </w:t>
      </w:r>
      <w:r w:rsidR="003469AD">
        <w:t xml:space="preserve">that </w:t>
      </w:r>
      <w:r>
        <w:t>had previously received the COVID-19 Additional Business Support Grant.</w:t>
      </w:r>
      <w:r>
        <w:rPr>
          <w:rStyle w:val="EndnoteReference"/>
        </w:rPr>
        <w:endnoteReference w:id="100"/>
      </w:r>
    </w:p>
    <w:p w14:paraId="1AB996B8" w14:textId="77777777" w:rsidR="005809CC" w:rsidRDefault="005809CC" w:rsidP="00021EF3">
      <w:pPr>
        <w:pStyle w:val="Appendixhead2"/>
      </w:pPr>
      <w:bookmarkStart w:id="589" w:name="_Toc170913973"/>
      <w:bookmarkStart w:id="590" w:name="_Toc173244991"/>
      <w:bookmarkStart w:id="591" w:name="_Toc173246328"/>
      <w:bookmarkStart w:id="592" w:name="_Toc173308324"/>
      <w:bookmarkStart w:id="593" w:name="_Toc173344746"/>
      <w:bookmarkStart w:id="594" w:name="_Toc173344973"/>
      <w:bookmarkStart w:id="595" w:name="_Toc173915939"/>
      <w:bookmarkStart w:id="596" w:name="_Toc174118198"/>
      <w:bookmarkStart w:id="597" w:name="_Toc176516320"/>
      <w:r>
        <w:t>Previous evaluations of COVID-19 economic business support programs</w:t>
      </w:r>
      <w:bookmarkEnd w:id="589"/>
      <w:bookmarkEnd w:id="590"/>
      <w:bookmarkEnd w:id="591"/>
      <w:bookmarkEnd w:id="592"/>
      <w:bookmarkEnd w:id="593"/>
      <w:bookmarkEnd w:id="594"/>
      <w:bookmarkEnd w:id="595"/>
      <w:bookmarkEnd w:id="596"/>
      <w:bookmarkEnd w:id="597"/>
    </w:p>
    <w:p w14:paraId="5CD7C5E4" w14:textId="77777777" w:rsidR="005809CC" w:rsidRDefault="005809CC" w:rsidP="00021EF3">
      <w:pPr>
        <w:rPr>
          <w:rFonts w:cs="Arial"/>
        </w:rPr>
      </w:pPr>
      <w:r>
        <w:rPr>
          <w:rFonts w:cs="Arial"/>
        </w:rPr>
        <w:t>Though not every COVID-19 economic business support program has been evaluated, those evaluated have indicated positive impacts on businesses and the economy.</w:t>
      </w:r>
      <w:r>
        <w:rPr>
          <w:rStyle w:val="FootnoteReference"/>
          <w:rFonts w:cs="Arial"/>
        </w:rPr>
        <w:footnoteReference w:id="12"/>
      </w:r>
      <w:r>
        <w:rPr>
          <w:rFonts w:cs="Arial"/>
        </w:rPr>
        <w:t xml:space="preserve"> For example, the 2020 NSW Government COVID-19 Small Business Grants, including the $10,000 Small Business Support Grant, $3,000 Small Business Recovery Grant and the Southern Border Small Business Support Grants, generated small but consistent and positive impacts on business survival, where an evaluation concluded that receiving the grant increased the likelihood of survival for small businesses in the short to medium term.</w:t>
      </w:r>
      <w:r>
        <w:rPr>
          <w:rStyle w:val="EndnoteReference"/>
          <w:rFonts w:cs="Arial"/>
        </w:rPr>
        <w:endnoteReference w:id="101"/>
      </w:r>
      <w:r>
        <w:rPr>
          <w:rFonts w:cs="Arial"/>
        </w:rPr>
        <w:t xml:space="preserve"> Further, though the quantifiable benefits did not exceed costs, it was suggested that non-quantifiable scale and long-term qualitative benefits, such as the improved business confidence and avoiding costs associated with belief scarring, increased risk aversion and ‘economic long-COVID’, were material and significant.</w:t>
      </w:r>
      <w:r>
        <w:rPr>
          <w:rStyle w:val="EndnoteReference"/>
          <w:rFonts w:cs="Arial"/>
        </w:rPr>
        <w:endnoteReference w:id="102"/>
      </w:r>
      <w:r>
        <w:rPr>
          <w:rFonts w:cs="Arial"/>
        </w:rPr>
        <w:t xml:space="preserve"> Similarly, an evaluation of the ACT COVID-19 Business Support Grant found that the initiative was effective in assisting businesses to manage the impact of public health measures and meet some costs faced while being unable to trade and operate.</w:t>
      </w:r>
      <w:r>
        <w:rPr>
          <w:rStyle w:val="EndnoteReference"/>
          <w:rFonts w:cs="Arial"/>
        </w:rPr>
        <w:endnoteReference w:id="103"/>
      </w:r>
      <w:r>
        <w:rPr>
          <w:rFonts w:cs="Arial"/>
        </w:rPr>
        <w:t xml:space="preserve"> </w:t>
      </w:r>
    </w:p>
    <w:p w14:paraId="5CCFACBE" w14:textId="698E4CF3" w:rsidR="005809CC" w:rsidRDefault="005809CC" w:rsidP="00021EF3">
      <w:r w:rsidRPr="00E85CFD">
        <w:t xml:space="preserve">In addition to grant programs, some subsidy programs have also been evaluated, </w:t>
      </w:r>
      <w:r>
        <w:t>indicating that such initiatives were cost-effective crisis interventions to support business survival and job retention in the short and medium term. For instance, the Canadian Emergency Wage Scheme found that businesses receiving the subsidy had a 6.9 percentage point probability of being closed during 2020 and 2021.</w:t>
      </w:r>
      <w:r>
        <w:rPr>
          <w:rStyle w:val="EndnoteReference"/>
        </w:rPr>
        <w:endnoteReference w:id="104"/>
      </w:r>
      <w:r>
        <w:t xml:space="preserve">  Regarding job retention, the Australian </w:t>
      </w:r>
      <w:proofErr w:type="spellStart"/>
      <w:r w:rsidRPr="00E85CFD">
        <w:t>JobKeeper</w:t>
      </w:r>
      <w:proofErr w:type="spellEnd"/>
      <w:r w:rsidRPr="00E85CFD">
        <w:t xml:space="preserve"> </w:t>
      </w:r>
      <w:r>
        <w:t xml:space="preserve">scheme was estimated to have </w:t>
      </w:r>
      <w:r w:rsidRPr="00E85CFD">
        <w:t xml:space="preserve">supported around 3.5 million workers and preserved </w:t>
      </w:r>
      <w:r w:rsidR="003469AD">
        <w:t>more than</w:t>
      </w:r>
      <w:r w:rsidR="003469AD" w:rsidRPr="00E85CFD">
        <w:t xml:space="preserve"> </w:t>
      </w:r>
      <w:r w:rsidRPr="00E85CFD">
        <w:t>700,000 jobs that might otherwise have been lost</w:t>
      </w:r>
      <w:r w:rsidRPr="00FA532C">
        <w:t xml:space="preserve"> </w:t>
      </w:r>
      <w:r>
        <w:t>b</w:t>
      </w:r>
      <w:r w:rsidRPr="00E85CFD">
        <w:t>etween April and September 2020</w:t>
      </w:r>
      <w:r w:rsidRPr="00FA532C">
        <w:t>.</w:t>
      </w:r>
      <w:r w:rsidRPr="00FA532C">
        <w:rPr>
          <w:rStyle w:val="EndnoteReference"/>
        </w:rPr>
        <w:endnoteReference w:id="105"/>
      </w:r>
      <w:r w:rsidRPr="00E85CFD">
        <w:t xml:space="preserve"> </w:t>
      </w:r>
      <w:r>
        <w:t>Similar findings were found for the UK Coronavirus Job Retention Scheme and New Zealand wage subsidy, with businesses more likely to retain staff or plan to increase staff.</w:t>
      </w:r>
      <w:r>
        <w:rPr>
          <w:rStyle w:val="EndnoteReference"/>
        </w:rPr>
        <w:endnoteReference w:id="106"/>
      </w:r>
      <w:r>
        <w:t xml:space="preserve"> The UK scheme was estimated to have protected around 4 million jobs, at a social benefit to cost ratio of 4:1.</w:t>
      </w:r>
      <w:r>
        <w:rPr>
          <w:rStyle w:val="EndnoteReference"/>
        </w:rPr>
        <w:endnoteReference w:id="107"/>
      </w:r>
    </w:p>
    <w:p w14:paraId="2622EAF6" w14:textId="77777777" w:rsidR="005809CC" w:rsidRPr="00E85CFD" w:rsidRDefault="005809CC" w:rsidP="00021EF3">
      <w:r w:rsidRPr="00E85CFD">
        <w:t xml:space="preserve">The </w:t>
      </w:r>
      <w:r>
        <w:t xml:space="preserve">Australian </w:t>
      </w:r>
      <w:proofErr w:type="spellStart"/>
      <w:r>
        <w:t>JobKeeper</w:t>
      </w:r>
      <w:proofErr w:type="spellEnd"/>
      <w:r>
        <w:t xml:space="preserve"> scheme</w:t>
      </w:r>
      <w:r w:rsidRPr="00E85CFD">
        <w:t xml:space="preserve"> also maintained employer-employee relationships, facilitating a quicker recovery as restrictions eased and businesses began to reopen</w:t>
      </w:r>
      <w:r>
        <w:t>, and</w:t>
      </w:r>
      <w:r w:rsidRPr="00E85CFD">
        <w:t xml:space="preserve"> </w:t>
      </w:r>
      <w:r>
        <w:t>was</w:t>
      </w:r>
      <w:r w:rsidRPr="00E85CFD">
        <w:t xml:space="preserve"> effective in supporting part-time and casual workers</w:t>
      </w:r>
      <w:r>
        <w:t xml:space="preserve"> </w:t>
      </w:r>
      <w:r w:rsidRPr="00E85CFD">
        <w:t>who were most vulnerable to job losses during the pandemic.</w:t>
      </w:r>
      <w:r>
        <w:rPr>
          <w:rStyle w:val="EndnoteReference"/>
        </w:rPr>
        <w:endnoteReference w:id="108"/>
      </w:r>
      <w:r w:rsidRPr="00E85CFD">
        <w:t xml:space="preserve"> </w:t>
      </w:r>
      <w:r>
        <w:t>Likewise, an evaluation of the New Zealand wage subsidy program found that job retention was higher for vulnerable workers such as young workers and Asian and Pacific workers.</w:t>
      </w:r>
      <w:r>
        <w:rPr>
          <w:rStyle w:val="EndnoteReference"/>
        </w:rPr>
        <w:endnoteReference w:id="109"/>
      </w:r>
    </w:p>
    <w:p w14:paraId="249CB576" w14:textId="69D17D3F" w:rsidR="005809CC" w:rsidRDefault="005809CC" w:rsidP="00021EF3">
      <w:pPr>
        <w:rPr>
          <w:rFonts w:cs="Arial"/>
        </w:rPr>
      </w:pPr>
      <w:r>
        <w:rPr>
          <w:rFonts w:cs="Arial"/>
        </w:rPr>
        <w:t>Some evaluations have taken a more holistic approach to government support. In France, it was observed that the number of business failures in 2020 decreased due to COVID-19</w:t>
      </w:r>
      <w:r w:rsidR="001A63B1">
        <w:rPr>
          <w:rFonts w:cs="Arial"/>
        </w:rPr>
        <w:t xml:space="preserve"> pandemic</w:t>
      </w:r>
      <w:r>
        <w:rPr>
          <w:rFonts w:cs="Arial"/>
        </w:rPr>
        <w:t xml:space="preserve"> government business support measures</w:t>
      </w:r>
      <w:r w:rsidR="003469AD">
        <w:rPr>
          <w:rFonts w:cs="Arial"/>
        </w:rPr>
        <w:t>,</w:t>
      </w:r>
      <w:r>
        <w:rPr>
          <w:rFonts w:cs="Arial"/>
        </w:rPr>
        <w:t xml:space="preserve"> such as grants, delaying the fall in employment. This was particularly for SMEs </w:t>
      </w:r>
      <w:r w:rsidR="003469AD">
        <w:rPr>
          <w:rFonts w:cs="Arial"/>
        </w:rPr>
        <w:t xml:space="preserve">that </w:t>
      </w:r>
      <w:r>
        <w:rPr>
          <w:rFonts w:cs="Arial"/>
        </w:rPr>
        <w:t>received more targeted support.</w:t>
      </w:r>
      <w:r>
        <w:rPr>
          <w:rStyle w:val="EndnoteReference"/>
          <w:rFonts w:cs="Arial"/>
        </w:rPr>
        <w:endnoteReference w:id="110"/>
      </w:r>
      <w:r>
        <w:rPr>
          <w:rFonts w:cs="Arial"/>
        </w:rPr>
        <w:t xml:space="preserve"> While a similar decrease was observed for bankruptcies, it has been acknowledged that the bankruptcy rate did not change for some subsectors</w:t>
      </w:r>
      <w:r w:rsidR="003469AD">
        <w:rPr>
          <w:rFonts w:cs="Arial"/>
        </w:rPr>
        <w:t>;</w:t>
      </w:r>
      <w:r>
        <w:rPr>
          <w:rFonts w:cs="Arial"/>
        </w:rPr>
        <w:t xml:space="preserve"> however</w:t>
      </w:r>
      <w:r w:rsidR="003469AD">
        <w:rPr>
          <w:rFonts w:cs="Arial"/>
        </w:rPr>
        <w:t>,</w:t>
      </w:r>
      <w:r>
        <w:rPr>
          <w:rFonts w:cs="Arial"/>
        </w:rPr>
        <w:t xml:space="preserve"> this is likely to depend on the type of government support each sector received.</w:t>
      </w:r>
      <w:r>
        <w:rPr>
          <w:rStyle w:val="EndnoteReference"/>
          <w:rFonts w:cs="Arial"/>
        </w:rPr>
        <w:endnoteReference w:id="111"/>
      </w:r>
      <w:r>
        <w:rPr>
          <w:rFonts w:cs="Arial"/>
        </w:rPr>
        <w:t xml:space="preserve"> </w:t>
      </w:r>
    </w:p>
    <w:p w14:paraId="2AEA3E65" w14:textId="35A9F311" w:rsidR="005809CC" w:rsidRPr="00E85CFD" w:rsidRDefault="005809CC" w:rsidP="00021EF3">
      <w:r w:rsidRPr="00E85CFD">
        <w:t>Evaluations have also commented on the design and delivery of business support programs. Canadian grant</w:t>
      </w:r>
      <w:r>
        <w:t xml:space="preserve"> </w:t>
      </w:r>
      <w:r w:rsidRPr="00E85CFD">
        <w:t xml:space="preserve">schemes and Australia’s </w:t>
      </w:r>
      <w:proofErr w:type="spellStart"/>
      <w:r w:rsidRPr="00E85CFD">
        <w:t>JobKeeper</w:t>
      </w:r>
      <w:proofErr w:type="spellEnd"/>
      <w:r w:rsidRPr="00E85CFD">
        <w:t xml:space="preserve"> scheme have been similarly critiqued for not being proportional to business and worker needs.</w:t>
      </w:r>
      <w:r w:rsidRPr="00E85CFD">
        <w:rPr>
          <w:rStyle w:val="EndnoteReference"/>
          <w:rFonts w:cs="Arial"/>
        </w:rPr>
        <w:endnoteReference w:id="112"/>
      </w:r>
      <w:r w:rsidRPr="00E85CFD">
        <w:t xml:space="preserve"> Jurisdictional evaluations in the ACT, NSW and Canada have also commented on the risk of fraud and payments made to ineligible recipients.</w:t>
      </w:r>
      <w:r w:rsidRPr="00E85CFD">
        <w:rPr>
          <w:rStyle w:val="EndnoteReference"/>
          <w:rFonts w:cs="Arial"/>
        </w:rPr>
        <w:endnoteReference w:id="113"/>
      </w:r>
      <w:r w:rsidRPr="00E85CFD">
        <w:t xml:space="preserve"> </w:t>
      </w:r>
      <w:r>
        <w:t>F</w:t>
      </w:r>
      <w:r w:rsidRPr="00E85CFD">
        <w:t xml:space="preserve">or </w:t>
      </w:r>
      <w:r>
        <w:t>the UK Coronavirus Job Retention Scheme, the evaluation found that the d</w:t>
      </w:r>
      <w:r w:rsidRPr="003F44BC">
        <w:t>esign achieved an appropriate balance between getting support to employers quickly and managing the risk of error and fraud</w:t>
      </w:r>
      <w:r>
        <w:t>.</w:t>
      </w:r>
      <w:r>
        <w:rPr>
          <w:rStyle w:val="EndnoteReference"/>
        </w:rPr>
        <w:endnoteReference w:id="114"/>
      </w:r>
      <w:r>
        <w:t xml:space="preserve"> F</w:t>
      </w:r>
      <w:r w:rsidRPr="00E85CFD">
        <w:t xml:space="preserve">or Australia’s </w:t>
      </w:r>
      <w:proofErr w:type="spellStart"/>
      <w:r w:rsidRPr="00E85CFD">
        <w:t>JobKeeper</w:t>
      </w:r>
      <w:proofErr w:type="spellEnd"/>
      <w:r w:rsidRPr="00E85CFD">
        <w:t xml:space="preserve"> scheme, some studies </w:t>
      </w:r>
      <w:r>
        <w:t xml:space="preserve">have </w:t>
      </w:r>
      <w:r w:rsidRPr="00E85CFD">
        <w:t>suggested that it might have prolonged the life of non-viable businesses, potentially delaying necessary economic adjustments.</w:t>
      </w:r>
      <w:r>
        <w:rPr>
          <w:rStyle w:val="EndnoteReference"/>
        </w:rPr>
        <w:endnoteReference w:id="115"/>
      </w:r>
      <w:r>
        <w:t xml:space="preserve"> However, o</w:t>
      </w:r>
      <w:r w:rsidRPr="00E85CFD">
        <w:t xml:space="preserve">ne </w:t>
      </w:r>
      <w:r>
        <w:t>study</w:t>
      </w:r>
      <w:r w:rsidRPr="00E85CFD">
        <w:t xml:space="preserve"> of COVID-19</w:t>
      </w:r>
      <w:r w:rsidR="001A63B1">
        <w:t xml:space="preserve"> pandemic</w:t>
      </w:r>
      <w:r w:rsidRPr="00E85CFD">
        <w:t xml:space="preserve"> business support in France demonstrated that ‘Zombie’ or defaulting firms that would have been unviable without the government support received no more financial assistance from such initiatives than their share of the economy.</w:t>
      </w:r>
      <w:r w:rsidRPr="00E85CFD">
        <w:rPr>
          <w:rStyle w:val="EndnoteReference"/>
          <w:rFonts w:cs="Arial"/>
        </w:rPr>
        <w:endnoteReference w:id="116"/>
      </w:r>
      <w:r w:rsidRPr="00E85CFD">
        <w:t xml:space="preserve"> </w:t>
      </w:r>
    </w:p>
    <w:p w14:paraId="5D56EAFC" w14:textId="0D6CA98E" w:rsidR="00B34409" w:rsidRPr="00E85CFD" w:rsidRDefault="00B34409" w:rsidP="00021EF3">
      <w:r>
        <w:lastRenderedPageBreak/>
        <w:t>While</w:t>
      </w:r>
      <w:r w:rsidR="00B74A3B">
        <w:t xml:space="preserve"> many</w:t>
      </w:r>
      <w:r w:rsidR="00200D92">
        <w:t xml:space="preserve"> support programs used tax data from previous years to verify </w:t>
      </w:r>
      <w:r w:rsidR="00EC6C63">
        <w:t>claims and calculate the amount to pay, this ma</w:t>
      </w:r>
      <w:r w:rsidR="00164037">
        <w:t xml:space="preserve">y have excluded some self-employed workers who recently opened their business and had not previously submitted tax returns. As such, many </w:t>
      </w:r>
      <w:r w:rsidR="009227D4">
        <w:t>evaluations acknowledged that</w:t>
      </w:r>
      <w:r w:rsidR="009810A8">
        <w:t xml:space="preserve"> while post-payment controls were preferred to</w:t>
      </w:r>
      <w:r w:rsidR="005B6E67">
        <w:t xml:space="preserve"> pre-payment controls to limit this impact, an increased risk of incorrect payments and fraud was consciously accepted.</w:t>
      </w:r>
      <w:r w:rsidR="005B6E67">
        <w:rPr>
          <w:rStyle w:val="EndnoteReference"/>
        </w:rPr>
        <w:endnoteReference w:id="117"/>
      </w:r>
      <w:r w:rsidR="0020299E">
        <w:t xml:space="preserve"> </w:t>
      </w:r>
      <w:r w:rsidR="00EC6350">
        <w:t>Although</w:t>
      </w:r>
      <w:r w:rsidR="0020299E">
        <w:t xml:space="preserve"> some countries sought to increase the complexity </w:t>
      </w:r>
      <w:r w:rsidR="00EC6350">
        <w:t xml:space="preserve">of eligibility </w:t>
      </w:r>
      <w:r w:rsidR="0020299E">
        <w:t xml:space="preserve">to </w:t>
      </w:r>
      <w:r w:rsidR="00EC6350">
        <w:t xml:space="preserve">ameliorate this, this was at the cost </w:t>
      </w:r>
      <w:r w:rsidR="00E112E4">
        <w:t>of</w:t>
      </w:r>
      <w:r w:rsidR="00EC6350">
        <w:t xml:space="preserve"> clarity </w:t>
      </w:r>
      <w:r w:rsidR="00E112E4">
        <w:t xml:space="preserve">for applicants </w:t>
      </w:r>
      <w:r w:rsidR="00EC6350">
        <w:t xml:space="preserve">and </w:t>
      </w:r>
      <w:r w:rsidR="00A921B6">
        <w:t xml:space="preserve">a </w:t>
      </w:r>
      <w:r w:rsidR="00EC6350">
        <w:t>slowe</w:t>
      </w:r>
      <w:r w:rsidR="00E112E4">
        <w:t>r</w:t>
      </w:r>
      <w:r w:rsidR="00EC6350">
        <w:t xml:space="preserve"> roll out.</w:t>
      </w:r>
      <w:r w:rsidR="00EC6350">
        <w:rPr>
          <w:rStyle w:val="EndnoteReference"/>
        </w:rPr>
        <w:endnoteReference w:id="118"/>
      </w:r>
      <w:r w:rsidR="00250317">
        <w:t xml:space="preserve"> Approaches to business support where a business </w:t>
      </w:r>
      <w:r w:rsidR="000A3215">
        <w:t>receive</w:t>
      </w:r>
      <w:r w:rsidR="00A921B6">
        <w:t>d</w:t>
      </w:r>
      <w:r w:rsidR="000A3215">
        <w:t xml:space="preserve"> a grant to be used for a variety of purposes </w:t>
      </w:r>
      <w:r w:rsidR="00CA2138">
        <w:t xml:space="preserve">but </w:t>
      </w:r>
      <w:r w:rsidR="00A921B6">
        <w:t>was</w:t>
      </w:r>
      <w:r w:rsidR="000A3215">
        <w:t xml:space="preserve"> required to</w:t>
      </w:r>
      <w:r w:rsidR="00250317">
        <w:t xml:space="preserve"> report back </w:t>
      </w:r>
      <w:r w:rsidR="000A3215">
        <w:t xml:space="preserve">on </w:t>
      </w:r>
      <w:r w:rsidR="00250317">
        <w:t xml:space="preserve">how funding </w:t>
      </w:r>
      <w:r w:rsidR="00BB2183">
        <w:t>was</w:t>
      </w:r>
      <w:r w:rsidR="00250317">
        <w:t xml:space="preserve"> used</w:t>
      </w:r>
      <w:r w:rsidR="00BB2183">
        <w:t xml:space="preserve">, as well as clear and </w:t>
      </w:r>
      <w:r w:rsidR="00333740">
        <w:t>specific eligibility criteria</w:t>
      </w:r>
      <w:r w:rsidR="00A921B6">
        <w:t>, have</w:t>
      </w:r>
      <w:r w:rsidR="000A3215">
        <w:t xml:space="preserve"> been suggested to </w:t>
      </w:r>
      <w:r w:rsidR="00A921B6">
        <w:t xml:space="preserve">have </w:t>
      </w:r>
      <w:r w:rsidR="000A3215">
        <w:t>mitigate</w:t>
      </w:r>
      <w:r w:rsidR="00A921B6">
        <w:t>d</w:t>
      </w:r>
      <w:r w:rsidR="000A3215">
        <w:t xml:space="preserve"> the risk of fraud</w:t>
      </w:r>
      <w:r w:rsidR="00333740">
        <w:t xml:space="preserve"> and incorrect</w:t>
      </w:r>
      <w:r w:rsidR="00A921B6">
        <w:t xml:space="preserve"> or disproportional</w:t>
      </w:r>
      <w:r w:rsidR="00333740">
        <w:t xml:space="preserve"> payments</w:t>
      </w:r>
      <w:r w:rsidR="00DD35CE">
        <w:t>.</w:t>
      </w:r>
      <w:r w:rsidR="00DD35CE">
        <w:rPr>
          <w:rStyle w:val="EndnoteReference"/>
        </w:rPr>
        <w:endnoteReference w:id="119"/>
      </w:r>
      <w:r w:rsidR="00A40402">
        <w:t xml:space="preserve"> While subsidies may be limited in scope to particular costs and necessitate greater administrative complexity, they </w:t>
      </w:r>
      <w:r w:rsidR="00731084">
        <w:t xml:space="preserve">can be designed </w:t>
      </w:r>
      <w:r w:rsidR="00A921B6">
        <w:t xml:space="preserve">to be proportional to the needs of the business in a way that a flat </w:t>
      </w:r>
      <w:r w:rsidR="003108F4">
        <w:t>grant amount cannot.</w:t>
      </w:r>
    </w:p>
    <w:p w14:paraId="18D4D6F5" w14:textId="77777777" w:rsidR="005809CC" w:rsidRDefault="005809CC" w:rsidP="00021EF3"/>
    <w:p w14:paraId="3BDD66B0" w14:textId="77777777" w:rsidR="00A1007E" w:rsidRDefault="00A1007E" w:rsidP="00021EF3">
      <w:pPr>
        <w:pStyle w:val="Appendixhead1"/>
      </w:pPr>
      <w:bookmarkStart w:id="598" w:name="_Ref173916243"/>
      <w:bookmarkStart w:id="599" w:name="_Ref173916855"/>
      <w:bookmarkStart w:id="600" w:name="_Ref173917083"/>
      <w:bookmarkStart w:id="601" w:name="_Ref173917380"/>
      <w:bookmarkStart w:id="602" w:name="_Ref173917406"/>
      <w:bookmarkStart w:id="603" w:name="_Ref173917464"/>
      <w:bookmarkStart w:id="604" w:name="_Ref173935382"/>
      <w:bookmarkStart w:id="605" w:name="_Ref173935457"/>
      <w:bookmarkStart w:id="606" w:name="_Ref173935910"/>
      <w:bookmarkStart w:id="607" w:name="_Ref173935917"/>
      <w:bookmarkStart w:id="608" w:name="_Ref173935923"/>
      <w:bookmarkStart w:id="609" w:name="_Ref173936078"/>
      <w:bookmarkStart w:id="610" w:name="_Ref173936298"/>
      <w:bookmarkStart w:id="611" w:name="_Ref174112428"/>
      <w:bookmarkStart w:id="612" w:name="_Ref174112657"/>
      <w:bookmarkStart w:id="613" w:name="_Ref174112975"/>
      <w:bookmarkStart w:id="614" w:name="_Toc176516321"/>
      <w:bookmarkStart w:id="615" w:name="_Toc173244992"/>
      <w:bookmarkStart w:id="616" w:name="_Toc170913993"/>
      <w:r>
        <w:lastRenderedPageBreak/>
        <w:t>Case Studies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1E7D9601" w14:textId="42BF1A45" w:rsidR="00284A75" w:rsidRDefault="00B87FD9" w:rsidP="00021EF3">
      <w:r w:rsidRPr="009E5B04">
        <w:rPr>
          <w:rFonts w:ascii="Calibri" w:hAnsi="Calibri" w:cs="Calibri"/>
          <w:noProof/>
        </w:rPr>
        <mc:AlternateContent>
          <mc:Choice Requires="wpg">
            <w:drawing>
              <wp:anchor distT="0" distB="0" distL="114300" distR="114300" simplePos="0" relativeHeight="251655680" behindDoc="0" locked="0" layoutInCell="1" allowOverlap="1" wp14:anchorId="2E4CFCC7" wp14:editId="1C2B6157">
                <wp:simplePos x="0" y="0"/>
                <wp:positionH relativeFrom="column">
                  <wp:posOffset>4297531</wp:posOffset>
                </wp:positionH>
                <wp:positionV relativeFrom="paragraph">
                  <wp:posOffset>368943</wp:posOffset>
                </wp:positionV>
                <wp:extent cx="1124248" cy="1123200"/>
                <wp:effectExtent l="0" t="0" r="0" b="1270"/>
                <wp:wrapNone/>
                <wp:docPr id="1489793614" name="Group 14897936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4248" cy="1123200"/>
                          <a:chOff x="1" y="-1"/>
                          <a:chExt cx="1124236" cy="1123194"/>
                        </a:xfrm>
                      </wpg:grpSpPr>
                      <wps:wsp>
                        <wps:cNvPr id="1489793615" name="Oval 1489793615"/>
                        <wps:cNvSpPr/>
                        <wps:spPr bwMode="gray">
                          <a:xfrm>
                            <a:off x="87919" y="37754"/>
                            <a:ext cx="1008000" cy="1008000"/>
                          </a:xfrm>
                          <a:prstGeom prst="ellipse">
                            <a:avLst/>
                          </a:prstGeom>
                          <a:solidFill>
                            <a:schemeClr val="bg1"/>
                          </a:solidFill>
                          <a:ln w="19050" algn="ctr">
                            <a:noFill/>
                            <a:miter lim="800000"/>
                            <a:headEnd/>
                            <a:tailEnd/>
                          </a:ln>
                        </wps:spPr>
                        <wps:bodyPr wrap="square" lIns="88900" tIns="88900" rIns="88900" bIns="88900" rtlCol="0" anchor="ctr"/>
                      </wps:wsp>
                      <wpg:grpSp>
                        <wpg:cNvPr id="1489793616" name="Graphic 4"/>
                        <wpg:cNvGrpSpPr>
                          <a:grpSpLocks noChangeAspect="1"/>
                        </wpg:cNvGrpSpPr>
                        <wpg:grpSpPr>
                          <a:xfrm>
                            <a:off x="1" y="-1"/>
                            <a:ext cx="1124236" cy="1123194"/>
                            <a:chOff x="0" y="0"/>
                            <a:chExt cx="361670" cy="361333"/>
                          </a:xfrm>
                          <a:solidFill>
                            <a:schemeClr val="accent1"/>
                          </a:solidFill>
                        </wpg:grpSpPr>
                        <wps:wsp>
                          <wps:cNvPr id="1489793617" name="Graphic 4"/>
                          <wps:cNvSpPr/>
                          <wps:spPr>
                            <a:xfrm>
                              <a:off x="190420" y="174282"/>
                              <a:ext cx="12779" cy="30643"/>
                            </a:xfrm>
                            <a:custGeom>
                              <a:avLst/>
                              <a:gdLst>
                                <a:gd name="connsiteX0" fmla="*/ 6390 w 12779"/>
                                <a:gd name="connsiteY0" fmla="*/ 0 h 30643"/>
                                <a:gd name="connsiteX1" fmla="*/ 0 w 12779"/>
                                <a:gd name="connsiteY1" fmla="*/ 15322 h 30643"/>
                                <a:gd name="connsiteX2" fmla="*/ 6390 w 12779"/>
                                <a:gd name="connsiteY2" fmla="*/ 30643 h 30643"/>
                                <a:gd name="connsiteX3" fmla="*/ 12780 w 12779"/>
                                <a:gd name="connsiteY3" fmla="*/ 15322 h 30643"/>
                                <a:gd name="connsiteX4" fmla="*/ 6390 w 12779"/>
                                <a:gd name="connsiteY4" fmla="*/ 0 h 306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79" h="30643">
                                  <a:moveTo>
                                    <a:pt x="6390" y="0"/>
                                  </a:moveTo>
                                  <a:cubicBezTo>
                                    <a:pt x="4473" y="0"/>
                                    <a:pt x="0" y="5107"/>
                                    <a:pt x="0" y="15322"/>
                                  </a:cubicBezTo>
                                  <a:cubicBezTo>
                                    <a:pt x="0" y="24897"/>
                                    <a:pt x="4473" y="30643"/>
                                    <a:pt x="6390" y="30643"/>
                                  </a:cubicBezTo>
                                  <a:cubicBezTo>
                                    <a:pt x="8307" y="30643"/>
                                    <a:pt x="12780" y="25536"/>
                                    <a:pt x="12780" y="15322"/>
                                  </a:cubicBezTo>
                                  <a:cubicBezTo>
                                    <a:pt x="12780" y="5107"/>
                                    <a:pt x="8307" y="0"/>
                                    <a:pt x="6390" y="0"/>
                                  </a:cubicBezTo>
                                  <a:close/>
                                </a:path>
                              </a:pathLst>
                            </a:custGeom>
                            <a:grpFill/>
                            <a:ln w="6390" cap="flat">
                              <a:noFill/>
                              <a:prstDash val="solid"/>
                              <a:miter/>
                            </a:ln>
                          </wps:spPr>
                          <wps:bodyPr rtlCol="0" anchor="ctr"/>
                        </wps:wsp>
                        <wps:wsp>
                          <wps:cNvPr id="1489793618" name="Graphic 4"/>
                          <wps:cNvSpPr/>
                          <wps:spPr>
                            <a:xfrm>
                              <a:off x="153997" y="101505"/>
                              <a:ext cx="54314" cy="21067"/>
                            </a:xfrm>
                            <a:custGeom>
                              <a:avLst/>
                              <a:gdLst>
                                <a:gd name="connsiteX0" fmla="*/ 26838 w 54314"/>
                                <a:gd name="connsiteY0" fmla="*/ 21067 h 21067"/>
                                <a:gd name="connsiteX1" fmla="*/ 54314 w 54314"/>
                                <a:gd name="connsiteY1" fmla="*/ 0 h 21067"/>
                                <a:gd name="connsiteX2" fmla="*/ 26838 w 54314"/>
                                <a:gd name="connsiteY2" fmla="*/ 2554 h 21067"/>
                                <a:gd name="connsiteX3" fmla="*/ 0 w 54314"/>
                                <a:gd name="connsiteY3" fmla="*/ 0 h 21067"/>
                                <a:gd name="connsiteX4" fmla="*/ 26838 w 54314"/>
                                <a:gd name="connsiteY4" fmla="*/ 21067 h 210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314" h="21067">
                                  <a:moveTo>
                                    <a:pt x="26838" y="21067"/>
                                  </a:moveTo>
                                  <a:cubicBezTo>
                                    <a:pt x="37701" y="21067"/>
                                    <a:pt x="47925" y="10853"/>
                                    <a:pt x="54314" y="0"/>
                                  </a:cubicBezTo>
                                  <a:cubicBezTo>
                                    <a:pt x="46008" y="1915"/>
                                    <a:pt x="35784" y="2554"/>
                                    <a:pt x="26838" y="2554"/>
                                  </a:cubicBezTo>
                                  <a:cubicBezTo>
                                    <a:pt x="17892" y="2554"/>
                                    <a:pt x="8307" y="1915"/>
                                    <a:pt x="0" y="0"/>
                                  </a:cubicBezTo>
                                  <a:cubicBezTo>
                                    <a:pt x="5751" y="10853"/>
                                    <a:pt x="15975" y="21067"/>
                                    <a:pt x="26838" y="21067"/>
                                  </a:cubicBezTo>
                                  <a:close/>
                                </a:path>
                              </a:pathLst>
                            </a:custGeom>
                            <a:grpFill/>
                            <a:ln w="6390" cap="flat">
                              <a:noFill/>
                              <a:prstDash val="solid"/>
                              <a:miter/>
                            </a:ln>
                          </wps:spPr>
                          <wps:bodyPr rtlCol="0" anchor="ctr"/>
                        </wps:wsp>
                        <wps:wsp>
                          <wps:cNvPr id="1489793619" name="Graphic 4"/>
                          <wps:cNvSpPr/>
                          <wps:spPr>
                            <a:xfrm>
                              <a:off x="78596" y="100228"/>
                              <a:ext cx="47924" cy="74054"/>
                            </a:xfrm>
                            <a:custGeom>
                              <a:avLst/>
                              <a:gdLst>
                                <a:gd name="connsiteX0" fmla="*/ 47925 w 47924"/>
                                <a:gd name="connsiteY0" fmla="*/ 28728 h 74054"/>
                                <a:gd name="connsiteX1" fmla="*/ 44730 w 47924"/>
                                <a:gd name="connsiteY1" fmla="*/ 0 h 74054"/>
                                <a:gd name="connsiteX2" fmla="*/ 0 w 47924"/>
                                <a:gd name="connsiteY2" fmla="*/ 44688 h 74054"/>
                                <a:gd name="connsiteX3" fmla="*/ 23643 w 47924"/>
                                <a:gd name="connsiteY3" fmla="*/ 74054 h 74054"/>
                                <a:gd name="connsiteX4" fmla="*/ 41535 w 47924"/>
                                <a:gd name="connsiteY4" fmla="*/ 56179 h 74054"/>
                                <a:gd name="connsiteX5" fmla="*/ 47925 w 47924"/>
                                <a:gd name="connsiteY5" fmla="*/ 28728 h 74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924" h="74054">
                                  <a:moveTo>
                                    <a:pt x="47925" y="28728"/>
                                  </a:moveTo>
                                  <a:cubicBezTo>
                                    <a:pt x="47925" y="15960"/>
                                    <a:pt x="46008" y="5746"/>
                                    <a:pt x="44730" y="0"/>
                                  </a:cubicBezTo>
                                  <a:lnTo>
                                    <a:pt x="0" y="44688"/>
                                  </a:lnTo>
                                  <a:lnTo>
                                    <a:pt x="23643" y="74054"/>
                                  </a:lnTo>
                                  <a:lnTo>
                                    <a:pt x="41535" y="56179"/>
                                  </a:lnTo>
                                  <a:cubicBezTo>
                                    <a:pt x="44091" y="52349"/>
                                    <a:pt x="47925" y="46603"/>
                                    <a:pt x="47925" y="28728"/>
                                  </a:cubicBezTo>
                                  <a:close/>
                                </a:path>
                              </a:pathLst>
                            </a:custGeom>
                            <a:grpFill/>
                            <a:ln w="6390" cap="flat">
                              <a:noFill/>
                              <a:prstDash val="solid"/>
                              <a:miter/>
                            </a:ln>
                          </wps:spPr>
                          <wps:bodyPr rtlCol="0" anchor="ctr"/>
                        </wps:wsp>
                        <wps:wsp>
                          <wps:cNvPr id="1489793620" name="Graphic 4"/>
                          <wps:cNvSpPr/>
                          <wps:spPr>
                            <a:xfrm>
                              <a:off x="130355" y="96398"/>
                              <a:ext cx="99682" cy="169175"/>
                            </a:xfrm>
                            <a:custGeom>
                              <a:avLst/>
                              <a:gdLst>
                                <a:gd name="connsiteX0" fmla="*/ 92015 w 99682"/>
                                <a:gd name="connsiteY0" fmla="*/ 32558 h 169175"/>
                                <a:gd name="connsiteX1" fmla="*/ 95849 w 99682"/>
                                <a:gd name="connsiteY1" fmla="*/ 0 h 169175"/>
                                <a:gd name="connsiteX2" fmla="*/ 93932 w 99682"/>
                                <a:gd name="connsiteY2" fmla="*/ 0 h 169175"/>
                                <a:gd name="connsiteX3" fmla="*/ 49841 w 99682"/>
                                <a:gd name="connsiteY3" fmla="*/ 38942 h 169175"/>
                                <a:gd name="connsiteX4" fmla="*/ 5751 w 99682"/>
                                <a:gd name="connsiteY4" fmla="*/ 0 h 169175"/>
                                <a:gd name="connsiteX5" fmla="*/ 4473 w 99682"/>
                                <a:gd name="connsiteY5" fmla="*/ 0 h 169175"/>
                                <a:gd name="connsiteX6" fmla="*/ 8307 w 99682"/>
                                <a:gd name="connsiteY6" fmla="*/ 32558 h 169175"/>
                                <a:gd name="connsiteX7" fmla="*/ 0 w 99682"/>
                                <a:gd name="connsiteY7" fmla="*/ 66393 h 169175"/>
                                <a:gd name="connsiteX8" fmla="*/ 0 w 99682"/>
                                <a:gd name="connsiteY8" fmla="*/ 169176 h 169175"/>
                                <a:gd name="connsiteX9" fmla="*/ 99683 w 99682"/>
                                <a:gd name="connsiteY9" fmla="*/ 169176 h 169175"/>
                                <a:gd name="connsiteX10" fmla="*/ 99683 w 99682"/>
                                <a:gd name="connsiteY10" fmla="*/ 66393 h 169175"/>
                                <a:gd name="connsiteX11" fmla="*/ 92015 w 99682"/>
                                <a:gd name="connsiteY11" fmla="*/ 32558 h 169175"/>
                                <a:gd name="connsiteX12" fmla="*/ 30032 w 99682"/>
                                <a:gd name="connsiteY12" fmla="*/ 121296 h 169175"/>
                                <a:gd name="connsiteX13" fmla="*/ 30032 w 99682"/>
                                <a:gd name="connsiteY13" fmla="*/ 121296 h 169175"/>
                                <a:gd name="connsiteX14" fmla="*/ 23642 w 99682"/>
                                <a:gd name="connsiteY14" fmla="*/ 114912 h 169175"/>
                                <a:gd name="connsiteX15" fmla="*/ 21726 w 99682"/>
                                <a:gd name="connsiteY15" fmla="*/ 71501 h 169175"/>
                                <a:gd name="connsiteX16" fmla="*/ 28115 w 99682"/>
                                <a:gd name="connsiteY16" fmla="*/ 65117 h 169175"/>
                                <a:gd name="connsiteX17" fmla="*/ 34505 w 99682"/>
                                <a:gd name="connsiteY17" fmla="*/ 71501 h 169175"/>
                                <a:gd name="connsiteX18" fmla="*/ 36422 w 99682"/>
                                <a:gd name="connsiteY18" fmla="*/ 114912 h 169175"/>
                                <a:gd name="connsiteX19" fmla="*/ 30032 w 99682"/>
                                <a:gd name="connsiteY19" fmla="*/ 121296 h 169175"/>
                                <a:gd name="connsiteX20" fmla="*/ 66455 w 99682"/>
                                <a:gd name="connsiteY20" fmla="*/ 121296 h 169175"/>
                                <a:gd name="connsiteX21" fmla="*/ 47285 w 99682"/>
                                <a:gd name="connsiteY21" fmla="*/ 93206 h 169175"/>
                                <a:gd name="connsiteX22" fmla="*/ 66455 w 99682"/>
                                <a:gd name="connsiteY22" fmla="*/ 65117 h 169175"/>
                                <a:gd name="connsiteX23" fmla="*/ 85625 w 99682"/>
                                <a:gd name="connsiteY23" fmla="*/ 93206 h 169175"/>
                                <a:gd name="connsiteX24" fmla="*/ 66455 w 99682"/>
                                <a:gd name="connsiteY24" fmla="*/ 121296 h 169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99682" h="169175">
                                  <a:moveTo>
                                    <a:pt x="92015" y="32558"/>
                                  </a:moveTo>
                                  <a:cubicBezTo>
                                    <a:pt x="92015" y="21706"/>
                                    <a:pt x="93293" y="8938"/>
                                    <a:pt x="95849" y="0"/>
                                  </a:cubicBezTo>
                                  <a:lnTo>
                                    <a:pt x="93932" y="0"/>
                                  </a:lnTo>
                                  <a:cubicBezTo>
                                    <a:pt x="87542" y="17875"/>
                                    <a:pt x="70928" y="38942"/>
                                    <a:pt x="49841" y="38942"/>
                                  </a:cubicBezTo>
                                  <a:cubicBezTo>
                                    <a:pt x="29394" y="38942"/>
                                    <a:pt x="12780" y="17237"/>
                                    <a:pt x="5751" y="0"/>
                                  </a:cubicBezTo>
                                  <a:lnTo>
                                    <a:pt x="4473" y="0"/>
                                  </a:lnTo>
                                  <a:cubicBezTo>
                                    <a:pt x="7668" y="9576"/>
                                    <a:pt x="8307" y="21706"/>
                                    <a:pt x="8307" y="32558"/>
                                  </a:cubicBezTo>
                                  <a:cubicBezTo>
                                    <a:pt x="8307" y="48518"/>
                                    <a:pt x="5751" y="58733"/>
                                    <a:pt x="0" y="66393"/>
                                  </a:cubicBezTo>
                                  <a:lnTo>
                                    <a:pt x="0" y="169176"/>
                                  </a:lnTo>
                                  <a:lnTo>
                                    <a:pt x="99683" y="169176"/>
                                  </a:lnTo>
                                  <a:lnTo>
                                    <a:pt x="99683" y="66393"/>
                                  </a:lnTo>
                                  <a:cubicBezTo>
                                    <a:pt x="94571" y="58733"/>
                                    <a:pt x="92015" y="48518"/>
                                    <a:pt x="92015" y="32558"/>
                                  </a:cubicBezTo>
                                  <a:close/>
                                  <a:moveTo>
                                    <a:pt x="30032" y="121296"/>
                                  </a:moveTo>
                                  <a:cubicBezTo>
                                    <a:pt x="30032" y="121296"/>
                                    <a:pt x="30032" y="121296"/>
                                    <a:pt x="30032" y="121296"/>
                                  </a:cubicBezTo>
                                  <a:cubicBezTo>
                                    <a:pt x="26199" y="121296"/>
                                    <a:pt x="23642" y="118742"/>
                                    <a:pt x="23642" y="114912"/>
                                  </a:cubicBezTo>
                                  <a:lnTo>
                                    <a:pt x="21726" y="71501"/>
                                  </a:lnTo>
                                  <a:cubicBezTo>
                                    <a:pt x="21726" y="67670"/>
                                    <a:pt x="24282" y="65117"/>
                                    <a:pt x="28115" y="65117"/>
                                  </a:cubicBezTo>
                                  <a:cubicBezTo>
                                    <a:pt x="31310" y="64478"/>
                                    <a:pt x="34505" y="67670"/>
                                    <a:pt x="34505" y="71501"/>
                                  </a:cubicBezTo>
                                  <a:lnTo>
                                    <a:pt x="36422" y="114912"/>
                                  </a:lnTo>
                                  <a:cubicBezTo>
                                    <a:pt x="36422" y="118104"/>
                                    <a:pt x="33867" y="120657"/>
                                    <a:pt x="30032" y="121296"/>
                                  </a:cubicBezTo>
                                  <a:close/>
                                  <a:moveTo>
                                    <a:pt x="66455" y="121296"/>
                                  </a:moveTo>
                                  <a:cubicBezTo>
                                    <a:pt x="55592" y="121296"/>
                                    <a:pt x="47285" y="109166"/>
                                    <a:pt x="47285" y="93206"/>
                                  </a:cubicBezTo>
                                  <a:cubicBezTo>
                                    <a:pt x="47285" y="77246"/>
                                    <a:pt x="55592" y="65117"/>
                                    <a:pt x="66455" y="65117"/>
                                  </a:cubicBezTo>
                                  <a:cubicBezTo>
                                    <a:pt x="77318" y="65117"/>
                                    <a:pt x="85625" y="77246"/>
                                    <a:pt x="85625" y="93206"/>
                                  </a:cubicBezTo>
                                  <a:cubicBezTo>
                                    <a:pt x="85625" y="109166"/>
                                    <a:pt x="77318" y="121296"/>
                                    <a:pt x="66455" y="121296"/>
                                  </a:cubicBezTo>
                                  <a:close/>
                                </a:path>
                              </a:pathLst>
                            </a:custGeom>
                            <a:grpFill/>
                            <a:ln w="6390" cap="flat">
                              <a:noFill/>
                              <a:prstDash val="solid"/>
                              <a:miter/>
                            </a:ln>
                          </wps:spPr>
                          <wps:bodyPr rtlCol="0" anchor="ctr"/>
                        </wps:wsp>
                        <wps:wsp>
                          <wps:cNvPr id="1489793621" name="Graphic 4"/>
                          <wps:cNvSpPr/>
                          <wps:spPr>
                            <a:xfrm>
                              <a:off x="235150" y="100867"/>
                              <a:ext cx="47924" cy="73415"/>
                            </a:xfrm>
                            <a:custGeom>
                              <a:avLst/>
                              <a:gdLst>
                                <a:gd name="connsiteX0" fmla="*/ 0 w 47924"/>
                                <a:gd name="connsiteY0" fmla="*/ 28089 h 73415"/>
                                <a:gd name="connsiteX1" fmla="*/ 6390 w 47924"/>
                                <a:gd name="connsiteY1" fmla="*/ 55541 h 73415"/>
                                <a:gd name="connsiteX2" fmla="*/ 24282 w 47924"/>
                                <a:gd name="connsiteY2" fmla="*/ 73416 h 73415"/>
                                <a:gd name="connsiteX3" fmla="*/ 47925 w 47924"/>
                                <a:gd name="connsiteY3" fmla="*/ 44049 h 73415"/>
                                <a:gd name="connsiteX4" fmla="*/ 3834 w 47924"/>
                                <a:gd name="connsiteY4" fmla="*/ 0 h 73415"/>
                                <a:gd name="connsiteX5" fmla="*/ 0 w 47924"/>
                                <a:gd name="connsiteY5" fmla="*/ 28089 h 73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924" h="73415">
                                  <a:moveTo>
                                    <a:pt x="0" y="28089"/>
                                  </a:moveTo>
                                  <a:cubicBezTo>
                                    <a:pt x="0" y="46603"/>
                                    <a:pt x="3195" y="52349"/>
                                    <a:pt x="6390" y="55541"/>
                                  </a:cubicBezTo>
                                  <a:lnTo>
                                    <a:pt x="24282" y="73416"/>
                                  </a:lnTo>
                                  <a:lnTo>
                                    <a:pt x="47925" y="44049"/>
                                  </a:lnTo>
                                  <a:lnTo>
                                    <a:pt x="3834" y="0"/>
                                  </a:lnTo>
                                  <a:cubicBezTo>
                                    <a:pt x="1278" y="5746"/>
                                    <a:pt x="0" y="15322"/>
                                    <a:pt x="0" y="28089"/>
                                  </a:cubicBezTo>
                                  <a:close/>
                                </a:path>
                              </a:pathLst>
                            </a:custGeom>
                            <a:grpFill/>
                            <a:ln w="6390" cap="flat">
                              <a:noFill/>
                              <a:prstDash val="solid"/>
                              <a:miter/>
                            </a:ln>
                          </wps:spPr>
                          <wps:bodyPr rtlCol="0" anchor="ctr"/>
                        </wps:wsp>
                        <wps:wsp>
                          <wps:cNvPr id="1489793622" name="Graphic 4"/>
                          <wps:cNvSpPr/>
                          <wps:spPr>
                            <a:xfrm>
                              <a:off x="0" y="0"/>
                              <a:ext cx="361670" cy="361333"/>
                            </a:xfrm>
                            <a:custGeom>
                              <a:avLst/>
                              <a:gdLst>
                                <a:gd name="connsiteX0" fmla="*/ 180835 w 361670"/>
                                <a:gd name="connsiteY0" fmla="*/ 0 h 361333"/>
                                <a:gd name="connsiteX1" fmla="*/ 0 w 361670"/>
                                <a:gd name="connsiteY1" fmla="*/ 180667 h 361333"/>
                                <a:gd name="connsiteX2" fmla="*/ 180835 w 361670"/>
                                <a:gd name="connsiteY2" fmla="*/ 361333 h 361333"/>
                                <a:gd name="connsiteX3" fmla="*/ 361670 w 361670"/>
                                <a:gd name="connsiteY3" fmla="*/ 180667 h 361333"/>
                                <a:gd name="connsiteX4" fmla="*/ 180835 w 361670"/>
                                <a:gd name="connsiteY4" fmla="*/ 0 h 361333"/>
                                <a:gd name="connsiteX5" fmla="*/ 295854 w 361670"/>
                                <a:gd name="connsiteY5" fmla="*/ 148108 h 361333"/>
                                <a:gd name="connsiteX6" fmla="*/ 264544 w 361670"/>
                                <a:gd name="connsiteY6" fmla="*/ 187689 h 361333"/>
                                <a:gd name="connsiteX7" fmla="*/ 260071 w 361670"/>
                                <a:gd name="connsiteY7" fmla="*/ 190243 h 361333"/>
                                <a:gd name="connsiteX8" fmla="*/ 254959 w 361670"/>
                                <a:gd name="connsiteY8" fmla="*/ 188327 h 361333"/>
                                <a:gd name="connsiteX9" fmla="*/ 242818 w 361670"/>
                                <a:gd name="connsiteY9" fmla="*/ 176198 h 361333"/>
                                <a:gd name="connsiteX10" fmla="*/ 242818 w 361670"/>
                                <a:gd name="connsiteY10" fmla="*/ 272596 h 361333"/>
                                <a:gd name="connsiteX11" fmla="*/ 236428 w 361670"/>
                                <a:gd name="connsiteY11" fmla="*/ 278980 h 361333"/>
                                <a:gd name="connsiteX12" fmla="*/ 124604 w 361670"/>
                                <a:gd name="connsiteY12" fmla="*/ 278980 h 361333"/>
                                <a:gd name="connsiteX13" fmla="*/ 118214 w 361670"/>
                                <a:gd name="connsiteY13" fmla="*/ 272596 h 361333"/>
                                <a:gd name="connsiteX14" fmla="*/ 118214 w 361670"/>
                                <a:gd name="connsiteY14" fmla="*/ 176198 h 361333"/>
                                <a:gd name="connsiteX15" fmla="*/ 106073 w 361670"/>
                                <a:gd name="connsiteY15" fmla="*/ 188327 h 361333"/>
                                <a:gd name="connsiteX16" fmla="*/ 100961 w 361670"/>
                                <a:gd name="connsiteY16" fmla="*/ 190243 h 361333"/>
                                <a:gd name="connsiteX17" fmla="*/ 96488 w 361670"/>
                                <a:gd name="connsiteY17" fmla="*/ 187689 h 361333"/>
                                <a:gd name="connsiteX18" fmla="*/ 65177 w 361670"/>
                                <a:gd name="connsiteY18" fmla="*/ 148108 h 361333"/>
                                <a:gd name="connsiteX19" fmla="*/ 65816 w 361670"/>
                                <a:gd name="connsiteY19" fmla="*/ 139809 h 361333"/>
                                <a:gd name="connsiteX20" fmla="*/ 120131 w 361670"/>
                                <a:gd name="connsiteY20" fmla="*/ 84907 h 361333"/>
                                <a:gd name="connsiteX21" fmla="*/ 124604 w 361670"/>
                                <a:gd name="connsiteY21" fmla="*/ 82992 h 361333"/>
                                <a:gd name="connsiteX22" fmla="*/ 141217 w 361670"/>
                                <a:gd name="connsiteY22" fmla="*/ 82992 h 361333"/>
                                <a:gd name="connsiteX23" fmla="*/ 145690 w 361670"/>
                                <a:gd name="connsiteY23" fmla="*/ 84907 h 361333"/>
                                <a:gd name="connsiteX24" fmla="*/ 180196 w 361670"/>
                                <a:gd name="connsiteY24" fmla="*/ 90653 h 361333"/>
                                <a:gd name="connsiteX25" fmla="*/ 215341 w 361670"/>
                                <a:gd name="connsiteY25" fmla="*/ 84269 h 361333"/>
                                <a:gd name="connsiteX26" fmla="*/ 215980 w 361670"/>
                                <a:gd name="connsiteY26" fmla="*/ 83630 h 361333"/>
                                <a:gd name="connsiteX27" fmla="*/ 215980 w 361670"/>
                                <a:gd name="connsiteY27" fmla="*/ 83630 h 361333"/>
                                <a:gd name="connsiteX28" fmla="*/ 217897 w 361670"/>
                                <a:gd name="connsiteY28" fmla="*/ 82992 h 361333"/>
                                <a:gd name="connsiteX29" fmla="*/ 219814 w 361670"/>
                                <a:gd name="connsiteY29" fmla="*/ 82353 h 361333"/>
                                <a:gd name="connsiteX30" fmla="*/ 236428 w 361670"/>
                                <a:gd name="connsiteY30" fmla="*/ 82353 h 361333"/>
                                <a:gd name="connsiteX31" fmla="*/ 237706 w 361670"/>
                                <a:gd name="connsiteY31" fmla="*/ 82353 h 361333"/>
                                <a:gd name="connsiteX32" fmla="*/ 238984 w 361670"/>
                                <a:gd name="connsiteY32" fmla="*/ 82353 h 361333"/>
                                <a:gd name="connsiteX33" fmla="*/ 240261 w 361670"/>
                                <a:gd name="connsiteY33" fmla="*/ 82992 h 361333"/>
                                <a:gd name="connsiteX34" fmla="*/ 241540 w 361670"/>
                                <a:gd name="connsiteY34" fmla="*/ 83630 h 361333"/>
                                <a:gd name="connsiteX35" fmla="*/ 241540 w 361670"/>
                                <a:gd name="connsiteY35" fmla="*/ 83630 h 361333"/>
                                <a:gd name="connsiteX36" fmla="*/ 241540 w 361670"/>
                                <a:gd name="connsiteY36" fmla="*/ 83630 h 361333"/>
                                <a:gd name="connsiteX37" fmla="*/ 295854 w 361670"/>
                                <a:gd name="connsiteY37" fmla="*/ 138532 h 361333"/>
                                <a:gd name="connsiteX38" fmla="*/ 295854 w 361670"/>
                                <a:gd name="connsiteY38" fmla="*/ 148108 h 361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1670" h="361333">
                                  <a:moveTo>
                                    <a:pt x="180835" y="0"/>
                                  </a:moveTo>
                                  <a:cubicBezTo>
                                    <a:pt x="80513" y="0"/>
                                    <a:pt x="0" y="81077"/>
                                    <a:pt x="0" y="180667"/>
                                  </a:cubicBezTo>
                                  <a:cubicBezTo>
                                    <a:pt x="0" y="280257"/>
                                    <a:pt x="81152" y="361333"/>
                                    <a:pt x="180835" y="361333"/>
                                  </a:cubicBezTo>
                                  <a:cubicBezTo>
                                    <a:pt x="280518" y="361333"/>
                                    <a:pt x="361670" y="280257"/>
                                    <a:pt x="361670" y="180667"/>
                                  </a:cubicBezTo>
                                  <a:cubicBezTo>
                                    <a:pt x="361670" y="81077"/>
                                    <a:pt x="280518" y="0"/>
                                    <a:pt x="180835" y="0"/>
                                  </a:cubicBezTo>
                                  <a:close/>
                                  <a:moveTo>
                                    <a:pt x="295854" y="148108"/>
                                  </a:moveTo>
                                  <a:lnTo>
                                    <a:pt x="264544" y="187689"/>
                                  </a:lnTo>
                                  <a:cubicBezTo>
                                    <a:pt x="263266" y="188966"/>
                                    <a:pt x="261987" y="190243"/>
                                    <a:pt x="260071" y="190243"/>
                                  </a:cubicBezTo>
                                  <a:cubicBezTo>
                                    <a:pt x="258154" y="190243"/>
                                    <a:pt x="256236" y="189604"/>
                                    <a:pt x="254959" y="188327"/>
                                  </a:cubicBezTo>
                                  <a:lnTo>
                                    <a:pt x="242818" y="176198"/>
                                  </a:lnTo>
                                  <a:lnTo>
                                    <a:pt x="242818" y="272596"/>
                                  </a:lnTo>
                                  <a:cubicBezTo>
                                    <a:pt x="242818" y="276426"/>
                                    <a:pt x="240261" y="278980"/>
                                    <a:pt x="236428" y="278980"/>
                                  </a:cubicBezTo>
                                  <a:lnTo>
                                    <a:pt x="124604" y="278980"/>
                                  </a:lnTo>
                                  <a:cubicBezTo>
                                    <a:pt x="120770" y="278980"/>
                                    <a:pt x="118214" y="276426"/>
                                    <a:pt x="118214" y="272596"/>
                                  </a:cubicBezTo>
                                  <a:lnTo>
                                    <a:pt x="118214" y="176198"/>
                                  </a:lnTo>
                                  <a:lnTo>
                                    <a:pt x="106073" y="188327"/>
                                  </a:lnTo>
                                  <a:cubicBezTo>
                                    <a:pt x="104795" y="189604"/>
                                    <a:pt x="102878" y="190243"/>
                                    <a:pt x="100961" y="190243"/>
                                  </a:cubicBezTo>
                                  <a:cubicBezTo>
                                    <a:pt x="99044" y="190243"/>
                                    <a:pt x="97766" y="188966"/>
                                    <a:pt x="96488" y="187689"/>
                                  </a:cubicBezTo>
                                  <a:lnTo>
                                    <a:pt x="65177" y="148108"/>
                                  </a:lnTo>
                                  <a:cubicBezTo>
                                    <a:pt x="63261" y="145555"/>
                                    <a:pt x="63261" y="141724"/>
                                    <a:pt x="65816" y="139809"/>
                                  </a:cubicBezTo>
                                  <a:lnTo>
                                    <a:pt x="120131" y="84907"/>
                                  </a:lnTo>
                                  <a:cubicBezTo>
                                    <a:pt x="121409" y="83630"/>
                                    <a:pt x="122687" y="82992"/>
                                    <a:pt x="124604" y="82992"/>
                                  </a:cubicBezTo>
                                  <a:lnTo>
                                    <a:pt x="141217" y="82992"/>
                                  </a:lnTo>
                                  <a:cubicBezTo>
                                    <a:pt x="143135" y="82992"/>
                                    <a:pt x="144412" y="83630"/>
                                    <a:pt x="145690" y="84907"/>
                                  </a:cubicBezTo>
                                  <a:cubicBezTo>
                                    <a:pt x="148885" y="87461"/>
                                    <a:pt x="161665" y="90653"/>
                                    <a:pt x="180196" y="90653"/>
                                  </a:cubicBezTo>
                                  <a:cubicBezTo>
                                    <a:pt x="199366" y="90653"/>
                                    <a:pt x="212146" y="86822"/>
                                    <a:pt x="215341" y="84269"/>
                                  </a:cubicBezTo>
                                  <a:cubicBezTo>
                                    <a:pt x="215341" y="84269"/>
                                    <a:pt x="215980" y="84269"/>
                                    <a:pt x="215980" y="83630"/>
                                  </a:cubicBezTo>
                                  <a:cubicBezTo>
                                    <a:pt x="215980" y="83630"/>
                                    <a:pt x="215980" y="83630"/>
                                    <a:pt x="215980" y="83630"/>
                                  </a:cubicBezTo>
                                  <a:cubicBezTo>
                                    <a:pt x="216619" y="82992"/>
                                    <a:pt x="217258" y="82992"/>
                                    <a:pt x="217897" y="82992"/>
                                  </a:cubicBezTo>
                                  <a:cubicBezTo>
                                    <a:pt x="218536" y="82992"/>
                                    <a:pt x="219175" y="82353"/>
                                    <a:pt x="219814" y="82353"/>
                                  </a:cubicBezTo>
                                  <a:lnTo>
                                    <a:pt x="236428" y="82353"/>
                                  </a:lnTo>
                                  <a:cubicBezTo>
                                    <a:pt x="237067" y="82353"/>
                                    <a:pt x="237067" y="82353"/>
                                    <a:pt x="237706" y="82353"/>
                                  </a:cubicBezTo>
                                  <a:cubicBezTo>
                                    <a:pt x="238345" y="82353"/>
                                    <a:pt x="238345" y="82353"/>
                                    <a:pt x="238984" y="82353"/>
                                  </a:cubicBezTo>
                                  <a:cubicBezTo>
                                    <a:pt x="239623" y="82353"/>
                                    <a:pt x="239623" y="82992"/>
                                    <a:pt x="240261" y="82992"/>
                                  </a:cubicBezTo>
                                  <a:cubicBezTo>
                                    <a:pt x="240901" y="82992"/>
                                    <a:pt x="240901" y="83630"/>
                                    <a:pt x="241540" y="83630"/>
                                  </a:cubicBezTo>
                                  <a:cubicBezTo>
                                    <a:pt x="241540" y="83630"/>
                                    <a:pt x="241540" y="83630"/>
                                    <a:pt x="241540" y="83630"/>
                                  </a:cubicBezTo>
                                  <a:cubicBezTo>
                                    <a:pt x="241540" y="83630"/>
                                    <a:pt x="241540" y="83630"/>
                                    <a:pt x="241540" y="83630"/>
                                  </a:cubicBezTo>
                                  <a:lnTo>
                                    <a:pt x="295854" y="138532"/>
                                  </a:lnTo>
                                  <a:cubicBezTo>
                                    <a:pt x="297771" y="141724"/>
                                    <a:pt x="298410" y="145555"/>
                                    <a:pt x="295854" y="148108"/>
                                  </a:cubicBezTo>
                                  <a:close/>
                                </a:path>
                              </a:pathLst>
                            </a:custGeom>
                            <a:grpFill/>
                            <a:ln w="6390" cap="flat">
                              <a:noFill/>
                              <a:prstDash val="solid"/>
                              <a:miter/>
                            </a:ln>
                          </wps:spPr>
                          <wps:bodyPr rtlCol="0" anchor="ctr"/>
                        </wps:wsp>
                      </wpg:grpSp>
                    </wpg:wgp>
                  </a:graphicData>
                </a:graphic>
              </wp:anchor>
            </w:drawing>
          </mc:Choice>
          <mc:Fallback>
            <w:pict>
              <v:group w14:anchorId="1ABFACBE" id="Group 1489793614" o:spid="_x0000_s1026" alt="&quot;&quot;" style="position:absolute;margin-left:338.4pt;margin-top:29.05pt;width:88.5pt;height:88.45pt;z-index:251655680" coordorigin="" coordsize="11242,1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">
                <v:oval id="Oval 1489793615" o:spid="_x0000_s1027" style="position:absolute;left:879;top:377;width:10080;height:1008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" fillcolor="white [3212]" stroked="f" strokeweight="1.5pt">
                  <v:stroke joinstyle="miter"/>
                  <v:textbox inset="7pt,7pt,7pt,7pt"/>
                </v:oval>
                <v:group id="Graphic 4" o:spid="_x0000_s1028" style="position:absolute;width:11242;height:11231" coordsize="361670,3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">
                  <o:lock v:ext="edit" aspectratio="t"/>
                  <v:shape id="Graphic 4" o:spid="_x0000_s1029" style="position:absolute;left:190420;top:174282;width:12779;height:30643;visibility:visible;mso-wrap-style:square;v-text-anchor:middle" coordsize="12779,3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" path="m6390,c4473,,,5107,,15322v,9575,4473,15321,6390,15321c8307,30643,12780,25536,12780,15322,12780,5107,8307,,6390,xe" filled="f" stroked="f" strokeweight=".1775mm">
                    <v:stroke joinstyle="miter"/>
                    <v:path arrowok="t" o:connecttype="custom" o:connectlocs="6390,0;0,15322;6390,30643;12780,15322;6390,0" o:connectangles="0,0,0,0,0"/>
                  </v:shape>
                  <v:shape id="Graphic 4" o:spid="_x0000_s1030" style="position:absolute;left:153997;top:101505;width:54314;height:21067;visibility:visible;mso-wrap-style:square;v-text-anchor:middle" coordsize="54314,2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" path="m26838,21067c37701,21067,47925,10853,54314,,46008,1915,35784,2554,26838,2554,17892,2554,8307,1915,,,5751,10853,15975,21067,26838,21067xe" filled="f" stroked="f" strokeweight=".1775mm">
                    <v:stroke joinstyle="miter"/>
                    <v:path arrowok="t" o:connecttype="custom" o:connectlocs="26838,21067;54314,0;26838,2554;0,0;26838,21067" o:connectangles="0,0,0,0,0"/>
                  </v:shape>
                  <v:shape id="Graphic 4" o:spid="_x0000_s1031" style="position:absolute;left:78596;top:100228;width:47924;height:74054;visibility:visible;mso-wrap-style:square;v-text-anchor:middle" coordsize="47924,7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" path="m47925,28728c47925,15960,46008,5746,44730,l,44688,23643,74054,41535,56179v2556,-3830,6390,-9576,6390,-27451xe" filled="f" stroked="f" strokeweight=".1775mm">
                    <v:stroke joinstyle="miter"/>
                    <v:path arrowok="t" o:connecttype="custom" o:connectlocs="47925,28728;44730,0;0,44688;23643,74054;41535,56179;47925,28728" o:connectangles="0,0,0,0,0,0"/>
                  </v:shape>
                  <v:shape id="Graphic 4" o:spid="_x0000_s1032" style="position:absolute;left:130355;top:96398;width:99682;height:169175;visibility:visible;mso-wrap-style:square;v-text-anchor:middle" coordsize="99682,16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" path="m92015,32558c92015,21706,93293,8938,95849,l93932,c87542,17875,70928,38942,49841,38942,29394,38942,12780,17237,5751,l4473,c7668,9576,8307,21706,8307,32558,8307,48518,5751,58733,,66393l,169176r99683,l99683,66393c94571,58733,92015,48518,92015,32558xm30032,121296v,,,,,c26199,121296,23642,118742,23642,114912l21726,71501v,-3831,2556,-6384,6389,-6384c31310,64478,34505,67670,34505,71501r1917,43411c36422,118104,33867,120657,30032,121296xm66455,121296v-10863,,-19170,-12130,-19170,-28090c47285,77246,55592,65117,66455,65117v10863,,19170,12129,19170,28089c85625,109166,77318,121296,66455,121296xe" filled="f" stroked="f" strokeweight=".1775mm">
                    <v:stroke joinstyle="miter"/>
                    <v:path arrowok="t" o:connecttype="custom" o:connectlocs="92015,32558;95849,0;93932,0;49841,38942;5751,0;4473,0;8307,32558;0,66393;0,169176;99683,169176;99683,66393;92015,32558;30032,121296;30032,121296;23642,114912;21726,71501;28115,65117;34505,71501;36422,114912;30032,121296;66455,121296;47285,93206;66455,65117;85625,93206;66455,121296" o:connectangles="0,0,0,0,0,0,0,0,0,0,0,0,0,0,0,0,0,0,0,0,0,0,0,0,0"/>
                  </v:shape>
                  <v:shape id="Graphic 4" o:spid="_x0000_s1033" style="position:absolute;left:235150;top:100867;width:47924;height:73415;visibility:visible;mso-wrap-style:square;v-text-anchor:middle" coordsize="47924,7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" path="m,28089c,46603,3195,52349,6390,55541l24282,73416,47925,44049,3834,c1278,5746,,15322,,28089xe" filled="f" stroked="f" strokeweight=".1775mm">
                    <v:stroke joinstyle="miter"/>
                    <v:path arrowok="t" o:connecttype="custom" o:connectlocs="0,28089;6390,55541;24282,73416;47925,44049;3834,0;0,28089" o:connectangles="0,0,0,0,0,0"/>
                  </v:shape>
                  <v:shape id="Graphic 4" o:spid="_x0000_s1034" style="position:absolute;width:361670;height:361333;visibility:visible;mso-wrap-style:square;v-text-anchor:middle" coordsize="361670,3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" path="m180835,c80513,,,81077,,180667v,99590,81152,180666,180835,180666c280518,361333,361670,280257,361670,180667,361670,81077,280518,,180835,xm295854,148108r-31310,39581c263266,188966,261987,190243,260071,190243v-1917,,-3835,-639,-5112,-1916l242818,176198r,96398c242818,276426,240261,278980,236428,278980r-111824,c120770,278980,118214,276426,118214,272596r,-96398l106073,188327v-1278,1277,-3195,1916,-5112,1916c99044,190243,97766,188966,96488,187689l65177,148108v-1916,-2553,-1916,-6384,639,-8299l120131,84907v1278,-1277,2556,-1915,4473,-1915l141217,82992v1918,,3195,638,4473,1915c148885,87461,161665,90653,180196,90653v19170,,31950,-3831,35145,-6384c215341,84269,215980,84269,215980,83630v,,,,,c216619,82992,217258,82992,217897,82992v639,,1278,-639,1917,-639l236428,82353v639,,639,,1278,c238345,82353,238345,82353,238984,82353v639,,639,639,1277,639c240901,82992,240901,83630,241540,83630v,,,,,c241540,83630,241540,83630,241540,83630r54314,54902c297771,141724,298410,145555,295854,148108xe" filled="f" stroked="f" strokeweight=".1775mm">
                    <v:stroke joinstyle="miter"/>
                    <v:path arrowok="t" o:connecttype="custom" o:connectlocs="180835,0;0,180667;180835,361333;361670,180667;180835,0;295854,148108;264544,187689;260071,190243;254959,188327;242818,176198;242818,272596;236428,278980;124604,278980;118214,272596;118214,176198;106073,188327;100961,190243;96488,187689;65177,148108;65816,139809;120131,84907;124604,82992;141217,82992;145690,84907;180196,90653;215341,84269;215980,83630;215980,83630;217897,82992;219814,82353;236428,82353;237706,82353;238984,82353;240261,82992;241540,83630;241540,83630;241540,83630;295854,138532;295854,148108" o:connectangles="0,0,0,0,0,0,0,0,0,0,0,0,0,0,0,0,0,0,0,0,0,0,0,0,0,0,0,0,0,0,0,0,0,0,0,0,0,0,0"/>
                  </v:shape>
                </v:group>
              </v:group>
            </w:pict>
          </mc:Fallback>
        </mc:AlternateContent>
      </w:r>
      <w:r>
        <w:rPr>
          <w:noProof/>
        </w:rPr>
        <mc:AlternateContent>
          <mc:Choice Requires="wps">
            <w:drawing>
              <wp:inline distT="0" distB="0" distL="0" distR="0" wp14:anchorId="5BFBB62C" wp14:editId="78C65AC5">
                <wp:extent cx="5715000" cy="1404620"/>
                <wp:effectExtent l="0" t="0" r="19050" b="2857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noFill/>
                        <a:ln w="19050">
                          <a:solidFill>
                            <a:schemeClr val="accent1"/>
                          </a:solidFill>
                          <a:miter lim="800000"/>
                          <a:headEnd/>
                          <a:tailEnd/>
                        </a:ln>
                        <a:effectLst/>
                      </wps:spPr>
                      <wps:txbx>
                        <w:txbxContent>
                          <w:p w14:paraId="11E41420" w14:textId="77777777" w:rsidR="00B87FD9" w:rsidRDefault="00B87FD9" w:rsidP="00B87FD9">
                            <w:pPr>
                              <w:rPr>
                                <w:b/>
                                <w:bCs/>
                                <w:color w:val="046A38" w:themeColor="accent2"/>
                                <w:sz w:val="32"/>
                                <w:szCs w:val="32"/>
                              </w:rPr>
                            </w:pPr>
                          </w:p>
                          <w:p w14:paraId="75E4D395" w14:textId="77777777" w:rsidR="00B87FD9" w:rsidRDefault="00B87FD9" w:rsidP="00B87FD9">
                            <w:pPr>
                              <w:rPr>
                                <w:rFonts w:cs="Arial"/>
                                <w:b/>
                                <w:bCs/>
                                <w:color w:val="86BC25" w:themeColor="accent1"/>
                                <w:sz w:val="32"/>
                                <w:szCs w:val="32"/>
                              </w:rPr>
                            </w:pPr>
                          </w:p>
                          <w:p w14:paraId="2164EE63" w14:textId="19D683E6" w:rsidR="00B87FD9" w:rsidRDefault="00B87FD9" w:rsidP="00B87FD9">
                            <w:pPr>
                              <w:rPr>
                                <w:rFonts w:cs="Arial"/>
                                <w:sz w:val="32"/>
                                <w:szCs w:val="32"/>
                              </w:rPr>
                            </w:pPr>
                            <w:r w:rsidRPr="00A13C24">
                              <w:rPr>
                                <w:rFonts w:cs="Arial"/>
                                <w:b/>
                                <w:bCs/>
                                <w:color w:val="86BC25" w:themeColor="accent1"/>
                                <w:sz w:val="32"/>
                                <w:szCs w:val="32"/>
                              </w:rPr>
                              <w:t>BCAP Case Study:</w:t>
                            </w:r>
                            <w:r w:rsidRPr="00A13C24">
                              <w:rPr>
                                <w:rFonts w:cs="Arial"/>
                                <w:sz w:val="32"/>
                                <w:szCs w:val="32"/>
                              </w:rPr>
                              <w:br/>
                              <w:t>Children’s sporting organisation</w:t>
                            </w:r>
                          </w:p>
                          <w:p w14:paraId="381A0775" w14:textId="77777777" w:rsidR="00B87FD9" w:rsidRPr="00A13C24" w:rsidRDefault="00B87FD9" w:rsidP="00B87FD9">
                            <w:pPr>
                              <w:rPr>
                                <w:rFonts w:cs="Arial"/>
                                <w:sz w:val="32"/>
                                <w:szCs w:val="32"/>
                              </w:rPr>
                            </w:pPr>
                          </w:p>
                          <w:p w14:paraId="3F320E1C" w14:textId="77777777" w:rsidR="00814B51" w:rsidRPr="00135E0A" w:rsidRDefault="00814B51" w:rsidP="00814B51">
                            <w:pPr>
                              <w:jc w:val="both"/>
                              <w:rPr>
                                <w:rFonts w:cs="Arial"/>
                                <w:b/>
                                <w:bCs/>
                                <w:color w:val="86BC25" w:themeColor="accent1"/>
                              </w:rPr>
                            </w:pPr>
                            <w:r w:rsidRPr="00135E0A">
                              <w:rPr>
                                <w:rFonts w:cs="Arial"/>
                                <w:b/>
                                <w:bCs/>
                                <w:color w:val="86BC25" w:themeColor="accent1"/>
                              </w:rPr>
                              <w:t>Business Description</w:t>
                            </w:r>
                          </w:p>
                          <w:p w14:paraId="7E543052" w14:textId="150F9E2D" w:rsidR="00814B51" w:rsidRPr="00135E0A" w:rsidRDefault="00814B51" w:rsidP="00814B51">
                            <w:pPr>
                              <w:jc w:val="both"/>
                              <w:rPr>
                                <w:rFonts w:cs="Arial"/>
                              </w:rPr>
                            </w:pPr>
                            <w:r w:rsidRPr="00135E0A">
                              <w:rPr>
                                <w:rFonts w:cs="Arial"/>
                              </w:rPr>
                              <w:t xml:space="preserve">A children's sporting business combines three entities: two dedicated to teaching sports and one providing administrative support. These businesses work collaboratively with staff teaching across </w:t>
                            </w:r>
                            <w:r w:rsidRPr="00814B51">
                              <w:rPr>
                                <w:rFonts w:cs="Arial"/>
                              </w:rPr>
                              <w:t>the two</w:t>
                            </w:r>
                            <w:r w:rsidRPr="00135E0A">
                              <w:rPr>
                                <w:rFonts w:cs="Arial"/>
                              </w:rPr>
                              <w:t xml:space="preserve"> locations while the administrative </w:t>
                            </w:r>
                            <w:r w:rsidRPr="00814B51">
                              <w:rPr>
                                <w:rFonts w:cs="Arial"/>
                              </w:rPr>
                              <w:t>business</w:t>
                            </w:r>
                            <w:r w:rsidRPr="00135E0A">
                              <w:rPr>
                                <w:rFonts w:cs="Arial"/>
                              </w:rPr>
                              <w:t xml:space="preserve"> handles payroll. The teaching entities are the public-facing side of the company and generate revenue.</w:t>
                            </w:r>
                          </w:p>
                          <w:p w14:paraId="7ECEA60F" w14:textId="77777777" w:rsidR="00814B51" w:rsidRPr="00135E0A" w:rsidRDefault="00814B51" w:rsidP="00814B51">
                            <w:pPr>
                              <w:jc w:val="both"/>
                              <w:rPr>
                                <w:rFonts w:cs="Arial"/>
                              </w:rPr>
                            </w:pPr>
                            <w:r w:rsidRPr="00135E0A">
                              <w:rPr>
                                <w:rFonts w:cs="Arial"/>
                              </w:rPr>
                              <w:t>This case study highlights the impact of COVID-19 lockdowns on the newest business, which began operations in January 2020, and how the BCAP2 program i</w:t>
                            </w:r>
                            <w:r w:rsidRPr="00814B51">
                              <w:rPr>
                                <w:rFonts w:cs="Arial"/>
                              </w:rPr>
                              <w:t>mpacted</w:t>
                            </w:r>
                            <w:r w:rsidRPr="00135E0A">
                              <w:rPr>
                                <w:rFonts w:cs="Arial"/>
                              </w:rPr>
                              <w:t xml:space="preserve"> it.</w:t>
                            </w:r>
                          </w:p>
                          <w:p w14:paraId="5074FBBB" w14:textId="62E7055C" w:rsidR="00814B51" w:rsidRPr="00135E0A" w:rsidRDefault="00814B51" w:rsidP="00814B51">
                            <w:pPr>
                              <w:jc w:val="both"/>
                              <w:rPr>
                                <w:rFonts w:cs="Arial"/>
                                <w:b/>
                                <w:bCs/>
                                <w:color w:val="86BC25" w:themeColor="accent1"/>
                              </w:rPr>
                            </w:pPr>
                            <w:r w:rsidRPr="00135E0A">
                              <w:rPr>
                                <w:rFonts w:cs="Arial"/>
                                <w:b/>
                                <w:bCs/>
                                <w:color w:val="86BC25" w:themeColor="accent1"/>
                              </w:rPr>
                              <w:t>Impact of COVID-19</w:t>
                            </w:r>
                          </w:p>
                          <w:p w14:paraId="2ACFF456" w14:textId="77777777" w:rsidR="00814B51" w:rsidRPr="00135E0A" w:rsidRDefault="00814B51" w:rsidP="00814B51">
                            <w:pPr>
                              <w:jc w:val="both"/>
                              <w:rPr>
                                <w:rFonts w:cs="Arial"/>
                              </w:rPr>
                            </w:pPr>
                            <w:r w:rsidRPr="00135E0A">
                              <w:rPr>
                                <w:rFonts w:cs="Arial"/>
                              </w:rPr>
                              <w:t xml:space="preserve">The business had to close in March 2020 due to COVID-19 public health restrictions and remained closed until October 2020. Further restrictions in 2021 led to additional closures, with full trading only resuming in October 2021. Since the classes were the sole source of revenue, no income was generated during the lockdowns. As the business had just opened in January 2020, it wasn't eligible for government support and lacked established savings. To cover costs, the business relied on a $100,000 private investment and support from the other two businesses within the company. The administrative division received </w:t>
                            </w:r>
                            <w:proofErr w:type="spellStart"/>
                            <w:r w:rsidRPr="00135E0A">
                              <w:rPr>
                                <w:rFonts w:cs="Arial"/>
                              </w:rPr>
                              <w:t>JobKeeper</w:t>
                            </w:r>
                            <w:proofErr w:type="spellEnd"/>
                            <w:r w:rsidRPr="00135E0A">
                              <w:rPr>
                                <w:rFonts w:cs="Arial"/>
                              </w:rPr>
                              <w:t xml:space="preserve"> funding, enabling them to pay all employees.</w:t>
                            </w:r>
                          </w:p>
                          <w:p w14:paraId="09BB3CB3" w14:textId="53C575D5" w:rsidR="00814B51" w:rsidRPr="00135E0A" w:rsidRDefault="00814B51" w:rsidP="00814B51">
                            <w:pPr>
                              <w:jc w:val="both"/>
                              <w:rPr>
                                <w:rFonts w:cs="Arial"/>
                                <w:b/>
                                <w:bCs/>
                                <w:color w:val="86BC25" w:themeColor="accent1"/>
                              </w:rPr>
                            </w:pPr>
                            <w:r w:rsidRPr="00135E0A">
                              <w:rPr>
                                <w:rFonts w:cs="Arial"/>
                                <w:b/>
                                <w:bCs/>
                                <w:color w:val="86BC25" w:themeColor="accent1"/>
                              </w:rPr>
                              <w:t>Engagement with BCAP</w:t>
                            </w:r>
                          </w:p>
                          <w:p w14:paraId="71224B01" w14:textId="77777777" w:rsidR="00814B51" w:rsidRPr="00135E0A" w:rsidRDefault="00814B51" w:rsidP="00814B51">
                            <w:pPr>
                              <w:jc w:val="both"/>
                              <w:rPr>
                                <w:rFonts w:cs="Arial"/>
                              </w:rPr>
                            </w:pPr>
                            <w:r w:rsidRPr="00135E0A">
                              <w:rPr>
                                <w:rFonts w:cs="Arial"/>
                              </w:rPr>
                              <w:t xml:space="preserve">The business first learned about the BCAP through emails from Business Victoria and other professional associations. Initially, it was ineligible for the </w:t>
                            </w:r>
                            <w:r w:rsidRPr="00814B51">
                              <w:rPr>
                                <w:rFonts w:cs="Arial"/>
                              </w:rPr>
                              <w:t xml:space="preserve">first round of </w:t>
                            </w:r>
                            <w:r w:rsidRPr="00135E0A">
                              <w:rPr>
                                <w:rFonts w:cs="Arial"/>
                              </w:rPr>
                              <w:t xml:space="preserve">BCAP due to its ANZIC code but later qualified for BCAP2 and subsequent rounds. The grant funds were used to pay outstanding bills and contribute to staff wages after the conclusion of </w:t>
                            </w:r>
                            <w:proofErr w:type="spellStart"/>
                            <w:r w:rsidRPr="00135E0A">
                              <w:rPr>
                                <w:rFonts w:cs="Arial"/>
                              </w:rPr>
                              <w:t>JobKeeper</w:t>
                            </w:r>
                            <w:proofErr w:type="spellEnd"/>
                            <w:r w:rsidRPr="00135E0A">
                              <w:rPr>
                                <w:rFonts w:cs="Arial"/>
                              </w:rPr>
                              <w:t>.</w:t>
                            </w:r>
                          </w:p>
                          <w:p w14:paraId="4BA44F9C" w14:textId="70558593" w:rsidR="00814B51" w:rsidRPr="00135E0A" w:rsidRDefault="00814B51" w:rsidP="00814B51">
                            <w:pPr>
                              <w:jc w:val="both"/>
                              <w:rPr>
                                <w:rFonts w:cs="Arial"/>
                              </w:rPr>
                            </w:pPr>
                            <w:r w:rsidRPr="00135E0A">
                              <w:rPr>
                                <w:rFonts w:cs="Arial"/>
                              </w:rPr>
                              <w:t>However, the business also acknowledged that without the support of the other businesses in the company, their loyal customer base and their understanding landlord, they would have closed despite receiving the grants. Many customers did not request refunds for missed classes, allowing the business to use the prepaid fees to stay afloat. Additionally, their landlord permitted reduced rent payments during the restrictions, although the accrued debt had to be paid later.</w:t>
                            </w:r>
                          </w:p>
                          <w:p w14:paraId="798F0363" w14:textId="77777777" w:rsidR="00814B51" w:rsidRPr="00135E0A" w:rsidRDefault="00814B51" w:rsidP="00814B51">
                            <w:pPr>
                              <w:jc w:val="both"/>
                              <w:rPr>
                                <w:rFonts w:cs="Arial"/>
                                <w:b/>
                                <w:bCs/>
                                <w:color w:val="86BC25" w:themeColor="accent1"/>
                              </w:rPr>
                            </w:pPr>
                            <w:r w:rsidRPr="00135E0A">
                              <w:rPr>
                                <w:rFonts w:cs="Arial"/>
                                <w:b/>
                                <w:bCs/>
                                <w:color w:val="86BC25" w:themeColor="accent1"/>
                              </w:rPr>
                              <w:t>Improvement Opportunities</w:t>
                            </w:r>
                          </w:p>
                          <w:p w14:paraId="3480DD33" w14:textId="18BD24B4" w:rsidR="002F2E4C" w:rsidRPr="00A13C24" w:rsidRDefault="00814B51" w:rsidP="00893EB3">
                            <w:pPr>
                              <w:jc w:val="both"/>
                              <w:rPr>
                                <w:rFonts w:cs="Arial"/>
                              </w:rPr>
                            </w:pPr>
                            <w:r w:rsidRPr="00135E0A">
                              <w:rPr>
                                <w:rFonts w:cs="Arial"/>
                              </w:rPr>
                              <w:t>The business found the online application process challenging</w:t>
                            </w:r>
                            <w:r w:rsidRPr="00814B51">
                              <w:rPr>
                                <w:rFonts w:cs="Arial"/>
                              </w:rPr>
                              <w:t xml:space="preserve">, contributing to the overall </w:t>
                            </w:r>
                            <w:r w:rsidRPr="00135E0A">
                              <w:rPr>
                                <w:rFonts w:cs="Arial"/>
                              </w:rPr>
                              <w:t>stress</w:t>
                            </w:r>
                            <w:r w:rsidRPr="00814B51">
                              <w:rPr>
                                <w:rFonts w:cs="Arial"/>
                              </w:rPr>
                              <w:t xml:space="preserve"> they were feeling from the COVID-19 lockdowns</w:t>
                            </w:r>
                            <w:r w:rsidRPr="00135E0A">
                              <w:rPr>
                                <w:rFonts w:cs="Arial"/>
                              </w:rPr>
                              <w:t>. The manager couldn't confirm if the required information was entered correctly, as there was no confirmation of the application progressing to the next round. The stress was only alleviated when the payment was received. The business manager reported a need for clear and regular communication throughout the process to improve the experience</w:t>
                            </w:r>
                            <w:r w:rsidRPr="00814B51">
                              <w:rPr>
                                <w:rFonts w:cs="Arial"/>
                              </w:rPr>
                              <w:t>.</w:t>
                            </w:r>
                          </w:p>
                        </w:txbxContent>
                      </wps:txbx>
                      <wps:bodyPr rot="0" vert="horz" wrap="square" lIns="91440" tIns="45720" rIns="91440" bIns="45720" anchor="t" anchorCtr="0">
                        <a:spAutoFit/>
                      </wps:bodyPr>
                    </wps:wsp>
                  </a:graphicData>
                </a:graphic>
              </wp:inline>
            </w:drawing>
          </mc:Choice>
          <mc:Fallback>
            <w:pict>
              <v:shape w14:anchorId="5BFBB62C" id="Text Box 30" o:spid="_x0000_s1031"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" filled="f" strokecolor="#86bc25 [3204]" strokeweight="1.5pt">
                <v:textbox style="mso-fit-shape-to-text:t">
                  <w:txbxContent>
                    <w:p w14:paraId="11E41420" w14:textId="77777777" w:rsidR="00B87FD9" w:rsidRDefault="00B87FD9" w:rsidP="00B87FD9">
                      <w:pPr>
                        <w:rPr>
                          <w:b/>
                          <w:bCs/>
                          <w:color w:val="046A38" w:themeColor="accent2"/>
                          <w:sz w:val="32"/>
                          <w:szCs w:val="32"/>
                        </w:rPr>
                      </w:pPr>
                    </w:p>
                    <w:p w14:paraId="75E4D395" w14:textId="77777777" w:rsidR="00B87FD9" w:rsidRDefault="00B87FD9" w:rsidP="00B87FD9">
                      <w:pPr>
                        <w:rPr>
                          <w:rFonts w:cs="Arial"/>
                          <w:b/>
                          <w:bCs/>
                          <w:color w:val="86BC25" w:themeColor="accent1"/>
                          <w:sz w:val="32"/>
                          <w:szCs w:val="32"/>
                        </w:rPr>
                      </w:pPr>
                    </w:p>
                    <w:p w14:paraId="2164EE63" w14:textId="19D683E6" w:rsidR="00B87FD9" w:rsidRDefault="00B87FD9" w:rsidP="00B87FD9">
                      <w:pPr>
                        <w:rPr>
                          <w:rFonts w:cs="Arial"/>
                          <w:sz w:val="32"/>
                          <w:szCs w:val="32"/>
                        </w:rPr>
                      </w:pPr>
                      <w:r w:rsidRPr="00A13C24">
                        <w:rPr>
                          <w:rFonts w:cs="Arial"/>
                          <w:b/>
                          <w:bCs/>
                          <w:color w:val="86BC25" w:themeColor="accent1"/>
                          <w:sz w:val="32"/>
                          <w:szCs w:val="32"/>
                        </w:rPr>
                        <w:t>BCAP Case Study:</w:t>
                      </w:r>
                      <w:r w:rsidRPr="00A13C24">
                        <w:rPr>
                          <w:rFonts w:cs="Arial"/>
                          <w:sz w:val="32"/>
                          <w:szCs w:val="32"/>
                        </w:rPr>
                        <w:br/>
                        <w:t>Children’s sporting organisation</w:t>
                      </w:r>
                    </w:p>
                    <w:p w14:paraId="381A0775" w14:textId="77777777" w:rsidR="00B87FD9" w:rsidRPr="00A13C24" w:rsidRDefault="00B87FD9" w:rsidP="00B87FD9">
                      <w:pPr>
                        <w:rPr>
                          <w:rFonts w:cs="Arial"/>
                          <w:sz w:val="32"/>
                          <w:szCs w:val="32"/>
                        </w:rPr>
                      </w:pPr>
                    </w:p>
                    <w:p w14:paraId="3F320E1C" w14:textId="77777777" w:rsidR="00814B51" w:rsidRPr="00135E0A" w:rsidRDefault="00814B51" w:rsidP="00814B51">
                      <w:pPr>
                        <w:jc w:val="both"/>
                        <w:rPr>
                          <w:rFonts w:cs="Arial"/>
                          <w:b/>
                          <w:bCs/>
                          <w:color w:val="86BC25" w:themeColor="accent1"/>
                        </w:rPr>
                      </w:pPr>
                      <w:r w:rsidRPr="00135E0A">
                        <w:rPr>
                          <w:rFonts w:cs="Arial"/>
                          <w:b/>
                          <w:bCs/>
                          <w:color w:val="86BC25" w:themeColor="accent1"/>
                        </w:rPr>
                        <w:t>Business Description</w:t>
                      </w:r>
                    </w:p>
                    <w:p w14:paraId="7E543052" w14:textId="150F9E2D" w:rsidR="00814B51" w:rsidRPr="00135E0A" w:rsidRDefault="00814B51" w:rsidP="00814B51">
                      <w:pPr>
                        <w:jc w:val="both"/>
                        <w:rPr>
                          <w:rFonts w:cs="Arial"/>
                        </w:rPr>
                      </w:pPr>
                      <w:r w:rsidRPr="00135E0A">
                        <w:rPr>
                          <w:rFonts w:cs="Arial"/>
                        </w:rPr>
                        <w:t xml:space="preserve">A children's sporting business combines three entities: two dedicated to teaching sports and one providing administrative support. These businesses work collaboratively with staff teaching across </w:t>
                      </w:r>
                      <w:r w:rsidRPr="00814B51">
                        <w:rPr>
                          <w:rFonts w:cs="Arial"/>
                        </w:rPr>
                        <w:t>the two</w:t>
                      </w:r>
                      <w:r w:rsidRPr="00135E0A">
                        <w:rPr>
                          <w:rFonts w:cs="Arial"/>
                        </w:rPr>
                        <w:t xml:space="preserve"> locations while the administrative </w:t>
                      </w:r>
                      <w:r w:rsidRPr="00814B51">
                        <w:rPr>
                          <w:rFonts w:cs="Arial"/>
                        </w:rPr>
                        <w:t>business</w:t>
                      </w:r>
                      <w:r w:rsidRPr="00135E0A">
                        <w:rPr>
                          <w:rFonts w:cs="Arial"/>
                        </w:rPr>
                        <w:t xml:space="preserve"> handles payroll. The teaching entities are the public-facing side of the company and generate revenue.</w:t>
                      </w:r>
                    </w:p>
                    <w:p w14:paraId="7ECEA60F" w14:textId="77777777" w:rsidR="00814B51" w:rsidRPr="00135E0A" w:rsidRDefault="00814B51" w:rsidP="00814B51">
                      <w:pPr>
                        <w:jc w:val="both"/>
                        <w:rPr>
                          <w:rFonts w:cs="Arial"/>
                        </w:rPr>
                      </w:pPr>
                      <w:r w:rsidRPr="00135E0A">
                        <w:rPr>
                          <w:rFonts w:cs="Arial"/>
                        </w:rPr>
                        <w:t>This case study highlights the impact of COVID-19 lockdowns on the newest business, which began operations in January 2020, and how the BCAP2 program i</w:t>
                      </w:r>
                      <w:r w:rsidRPr="00814B51">
                        <w:rPr>
                          <w:rFonts w:cs="Arial"/>
                        </w:rPr>
                        <w:t>mpacted</w:t>
                      </w:r>
                      <w:r w:rsidRPr="00135E0A">
                        <w:rPr>
                          <w:rFonts w:cs="Arial"/>
                        </w:rPr>
                        <w:t xml:space="preserve"> it.</w:t>
                      </w:r>
                    </w:p>
                    <w:p w14:paraId="5074FBBB" w14:textId="62E7055C" w:rsidR="00814B51" w:rsidRPr="00135E0A" w:rsidRDefault="00814B51" w:rsidP="00814B51">
                      <w:pPr>
                        <w:jc w:val="both"/>
                        <w:rPr>
                          <w:rFonts w:cs="Arial"/>
                          <w:b/>
                          <w:bCs/>
                          <w:color w:val="86BC25" w:themeColor="accent1"/>
                        </w:rPr>
                      </w:pPr>
                      <w:r w:rsidRPr="00135E0A">
                        <w:rPr>
                          <w:rFonts w:cs="Arial"/>
                          <w:b/>
                          <w:bCs/>
                          <w:color w:val="86BC25" w:themeColor="accent1"/>
                        </w:rPr>
                        <w:t>Impact of COVID-19</w:t>
                      </w:r>
                    </w:p>
                    <w:p w14:paraId="2ACFF456" w14:textId="77777777" w:rsidR="00814B51" w:rsidRPr="00135E0A" w:rsidRDefault="00814B51" w:rsidP="00814B51">
                      <w:pPr>
                        <w:jc w:val="both"/>
                        <w:rPr>
                          <w:rFonts w:cs="Arial"/>
                        </w:rPr>
                      </w:pPr>
                      <w:r w:rsidRPr="00135E0A">
                        <w:rPr>
                          <w:rFonts w:cs="Arial"/>
                        </w:rPr>
                        <w:t xml:space="preserve">The business had to close in March 2020 due to COVID-19 public health restrictions and remained closed until October 2020. Further restrictions in 2021 led to additional closures, with full trading only resuming in October 2021. Since the classes were the sole source of revenue, no income was generated during the lockdowns. As the business had just opened in January 2020, it wasn't eligible for government support and lacked established savings. To cover costs, the business relied on a $100,000 private investment and support from the other two businesses within the company. The administrative division received </w:t>
                      </w:r>
                      <w:proofErr w:type="spellStart"/>
                      <w:r w:rsidRPr="00135E0A">
                        <w:rPr>
                          <w:rFonts w:cs="Arial"/>
                        </w:rPr>
                        <w:t>JobKeeper</w:t>
                      </w:r>
                      <w:proofErr w:type="spellEnd"/>
                      <w:r w:rsidRPr="00135E0A">
                        <w:rPr>
                          <w:rFonts w:cs="Arial"/>
                        </w:rPr>
                        <w:t xml:space="preserve"> funding, enabling them to pay all employees.</w:t>
                      </w:r>
                    </w:p>
                    <w:p w14:paraId="09BB3CB3" w14:textId="53C575D5" w:rsidR="00814B51" w:rsidRPr="00135E0A" w:rsidRDefault="00814B51" w:rsidP="00814B51">
                      <w:pPr>
                        <w:jc w:val="both"/>
                        <w:rPr>
                          <w:rFonts w:cs="Arial"/>
                          <w:b/>
                          <w:bCs/>
                          <w:color w:val="86BC25" w:themeColor="accent1"/>
                        </w:rPr>
                      </w:pPr>
                      <w:r w:rsidRPr="00135E0A">
                        <w:rPr>
                          <w:rFonts w:cs="Arial"/>
                          <w:b/>
                          <w:bCs/>
                          <w:color w:val="86BC25" w:themeColor="accent1"/>
                        </w:rPr>
                        <w:t>Engagement with BCAP</w:t>
                      </w:r>
                    </w:p>
                    <w:p w14:paraId="71224B01" w14:textId="77777777" w:rsidR="00814B51" w:rsidRPr="00135E0A" w:rsidRDefault="00814B51" w:rsidP="00814B51">
                      <w:pPr>
                        <w:jc w:val="both"/>
                        <w:rPr>
                          <w:rFonts w:cs="Arial"/>
                        </w:rPr>
                      </w:pPr>
                      <w:r w:rsidRPr="00135E0A">
                        <w:rPr>
                          <w:rFonts w:cs="Arial"/>
                        </w:rPr>
                        <w:t xml:space="preserve">The business first learned about the BCAP through emails from Business Victoria and other professional associations. Initially, it was ineligible for the </w:t>
                      </w:r>
                      <w:r w:rsidRPr="00814B51">
                        <w:rPr>
                          <w:rFonts w:cs="Arial"/>
                        </w:rPr>
                        <w:t xml:space="preserve">first round of </w:t>
                      </w:r>
                      <w:r w:rsidRPr="00135E0A">
                        <w:rPr>
                          <w:rFonts w:cs="Arial"/>
                        </w:rPr>
                        <w:t xml:space="preserve">BCAP due to its ANZIC code but later qualified for BCAP2 and subsequent rounds. The grant funds were used to pay outstanding bills and contribute to staff wages after the conclusion of </w:t>
                      </w:r>
                      <w:proofErr w:type="spellStart"/>
                      <w:r w:rsidRPr="00135E0A">
                        <w:rPr>
                          <w:rFonts w:cs="Arial"/>
                        </w:rPr>
                        <w:t>JobKeeper</w:t>
                      </w:r>
                      <w:proofErr w:type="spellEnd"/>
                      <w:r w:rsidRPr="00135E0A">
                        <w:rPr>
                          <w:rFonts w:cs="Arial"/>
                        </w:rPr>
                        <w:t>.</w:t>
                      </w:r>
                    </w:p>
                    <w:p w14:paraId="4BA44F9C" w14:textId="70558593" w:rsidR="00814B51" w:rsidRPr="00135E0A" w:rsidRDefault="00814B51" w:rsidP="00814B51">
                      <w:pPr>
                        <w:jc w:val="both"/>
                        <w:rPr>
                          <w:rFonts w:cs="Arial"/>
                        </w:rPr>
                      </w:pPr>
                      <w:r w:rsidRPr="00135E0A">
                        <w:rPr>
                          <w:rFonts w:cs="Arial"/>
                        </w:rPr>
                        <w:t>However, the business also acknowledged that without the support of the other businesses in the company, their loyal customer base and their understanding landlord, they would have closed despite receiving the grants. Many customers did not request refunds for missed classes, allowing the business to use the prepaid fees to stay afloat. Additionally, their landlord permitted reduced rent payments during the restrictions, although the accrued debt had to be paid later.</w:t>
                      </w:r>
                    </w:p>
                    <w:p w14:paraId="798F0363" w14:textId="77777777" w:rsidR="00814B51" w:rsidRPr="00135E0A" w:rsidRDefault="00814B51" w:rsidP="00814B51">
                      <w:pPr>
                        <w:jc w:val="both"/>
                        <w:rPr>
                          <w:rFonts w:cs="Arial"/>
                          <w:b/>
                          <w:bCs/>
                          <w:color w:val="86BC25" w:themeColor="accent1"/>
                        </w:rPr>
                      </w:pPr>
                      <w:r w:rsidRPr="00135E0A">
                        <w:rPr>
                          <w:rFonts w:cs="Arial"/>
                          <w:b/>
                          <w:bCs/>
                          <w:color w:val="86BC25" w:themeColor="accent1"/>
                        </w:rPr>
                        <w:t>Improvement Opportunities</w:t>
                      </w:r>
                    </w:p>
                    <w:p w14:paraId="3480DD33" w14:textId="18BD24B4" w:rsidR="002F2E4C" w:rsidRPr="00A13C24" w:rsidRDefault="00814B51" w:rsidP="00893EB3">
                      <w:pPr>
                        <w:jc w:val="both"/>
                        <w:rPr>
                          <w:rFonts w:cs="Arial"/>
                        </w:rPr>
                      </w:pPr>
                      <w:r w:rsidRPr="00135E0A">
                        <w:rPr>
                          <w:rFonts w:cs="Arial"/>
                        </w:rPr>
                        <w:t>The business found the online application process challenging</w:t>
                      </w:r>
                      <w:r w:rsidRPr="00814B51">
                        <w:rPr>
                          <w:rFonts w:cs="Arial"/>
                        </w:rPr>
                        <w:t xml:space="preserve">, contributing to the overall </w:t>
                      </w:r>
                      <w:r w:rsidRPr="00135E0A">
                        <w:rPr>
                          <w:rFonts w:cs="Arial"/>
                        </w:rPr>
                        <w:t>stress</w:t>
                      </w:r>
                      <w:r w:rsidRPr="00814B51">
                        <w:rPr>
                          <w:rFonts w:cs="Arial"/>
                        </w:rPr>
                        <w:t xml:space="preserve"> they were feeling from the COVID-19 lockdowns</w:t>
                      </w:r>
                      <w:r w:rsidRPr="00135E0A">
                        <w:rPr>
                          <w:rFonts w:cs="Arial"/>
                        </w:rPr>
                        <w:t>. The manager couldn't confirm if the required information was entered correctly, as there was no confirmation of the application progressing to the next round. The stress was only alleviated when the payment was received. The business manager reported a need for clear and regular communication throughout the process to improve the experience</w:t>
                      </w:r>
                      <w:r w:rsidRPr="00814B51">
                        <w:rPr>
                          <w:rFonts w:cs="Arial"/>
                        </w:rPr>
                        <w:t>.</w:t>
                      </w:r>
                    </w:p>
                  </w:txbxContent>
                </v:textbox>
                <w10:anchorlock/>
              </v:shape>
            </w:pict>
          </mc:Fallback>
        </mc:AlternateContent>
      </w:r>
    </w:p>
    <w:p w14:paraId="20B40929" w14:textId="77777777" w:rsidR="00A1007E" w:rsidRDefault="00A1007E" w:rsidP="00021EF3"/>
    <w:p w14:paraId="34E592BE" w14:textId="77777777" w:rsidR="00B87FD9" w:rsidRDefault="00302BAC" w:rsidP="00021EF3">
      <w:r>
        <w:rPr>
          <w:noProof/>
        </w:rPr>
        <w:lastRenderedPageBreak/>
        <mc:AlternateContent>
          <mc:Choice Requires="wpg">
            <w:drawing>
              <wp:anchor distT="0" distB="0" distL="114300" distR="114300" simplePos="0" relativeHeight="251660800" behindDoc="0" locked="0" layoutInCell="1" allowOverlap="1" wp14:anchorId="2092B864" wp14:editId="78134DF1">
                <wp:simplePos x="0" y="0"/>
                <wp:positionH relativeFrom="column">
                  <wp:posOffset>4308054</wp:posOffset>
                </wp:positionH>
                <wp:positionV relativeFrom="paragraph">
                  <wp:posOffset>298913</wp:posOffset>
                </wp:positionV>
                <wp:extent cx="1123200" cy="1124559"/>
                <wp:effectExtent l="0" t="0" r="1270" b="0"/>
                <wp:wrapNone/>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3200" cy="1124559"/>
                          <a:chOff x="0" y="0"/>
                          <a:chExt cx="1513490" cy="1512000"/>
                        </a:xfrm>
                        <a:solidFill>
                          <a:srgbClr val="046A38"/>
                        </a:solidFill>
                      </wpg:grpSpPr>
                      <wps:wsp>
                        <wps:cNvPr id="52" name="Oval 52"/>
                        <wps:cNvSpPr/>
                        <wps:spPr bwMode="gray">
                          <a:xfrm>
                            <a:off x="0" y="0"/>
                            <a:ext cx="1513490" cy="1512000"/>
                          </a:xfrm>
                          <a:prstGeom prst="ellipse">
                            <a:avLst/>
                          </a:prstGeom>
                          <a:grp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wps:wsp>
                        <wps:cNvPr id="53" name="Straight Connector 53"/>
                        <wps:cNvCnPr/>
                        <wps:spPr>
                          <a:xfrm>
                            <a:off x="418443" y="662152"/>
                            <a:ext cx="0" cy="462455"/>
                          </a:xfrm>
                          <a:prstGeom prst="line">
                            <a:avLst/>
                          </a:prstGeom>
                          <a:grpFill/>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1069449" y="662437"/>
                            <a:ext cx="0" cy="462455"/>
                          </a:xfrm>
                          <a:prstGeom prst="line">
                            <a:avLst/>
                          </a:prstGeom>
                          <a:grpFill/>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635219" y="242373"/>
                            <a:ext cx="0" cy="882694"/>
                          </a:xfrm>
                          <a:prstGeom prst="line">
                            <a:avLst/>
                          </a:prstGeom>
                          <a:grpFill/>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852257" y="242373"/>
                            <a:ext cx="0" cy="882694"/>
                          </a:xfrm>
                          <a:prstGeom prst="line">
                            <a:avLst/>
                          </a:prstGeom>
                          <a:grpFill/>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3C7F98" id="Group 51" o:spid="_x0000_s1026" alt="&quot;&quot;" style="position:absolute;margin-left:339.2pt;margin-top:23.55pt;width:88.45pt;height:88.55pt;z-index:251660800;mso-width-relative:margin;mso-height-relative:margin" coordsize="15134,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">
                <v:oval id="Oval 52" o:spid="_x0000_s1027" style="position:absolute;width:15134;height:1512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" filled="f" stroked="f" strokeweight="1.5pt">
                  <v:stroke joinstyle="miter"/>
                  <v:textbox inset="7pt,7pt,7pt,7pt"/>
                </v:oval>
                <v:line id="Straight Connector 53" o:spid="_x0000_s1028" style="position:absolute;visibility:visible;mso-wrap-style:square" from="4184,6621" to="4184,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" strokecolor="white [3212]" strokeweight="2.25pt"/>
                <v:line id="Straight Connector 54" o:spid="_x0000_s1029" style="position:absolute;visibility:visible;mso-wrap-style:square" from="10694,6624" to="10694,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" strokecolor="white [3212]" strokeweight="2.25pt"/>
                <v:line id="Straight Connector 55" o:spid="_x0000_s1030" style="position:absolute;visibility:visible;mso-wrap-style:square" from="6352,2423" to="6352,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" strokecolor="white [3212]" strokeweight="2.25pt"/>
                <v:line id="Straight Connector 56" o:spid="_x0000_s1031" style="position:absolute;visibility:visible;mso-wrap-style:square" from="8522,2423" to="8522,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" strokecolor="white [3212]" strokeweight="2.25pt"/>
              </v:group>
            </w:pict>
          </mc:Fallback>
        </mc:AlternateContent>
      </w:r>
      <w:r w:rsidR="00DB6908">
        <w:rPr>
          <w:noProof/>
        </w:rPr>
        <mc:AlternateContent>
          <mc:Choice Requires="wps">
            <w:drawing>
              <wp:inline distT="0" distB="0" distL="0" distR="0" wp14:anchorId="694E0ECB" wp14:editId="1DFA0FE5">
                <wp:extent cx="5715000" cy="1404620"/>
                <wp:effectExtent l="0" t="0" r="19050" b="14605"/>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noFill/>
                        <a:ln w="19050">
                          <a:solidFill>
                            <a:schemeClr val="accent2"/>
                          </a:solidFill>
                          <a:miter lim="800000"/>
                          <a:headEnd/>
                          <a:tailEnd/>
                        </a:ln>
                        <a:effectLst/>
                      </wps:spPr>
                      <wps:txbx>
                        <w:txbxContent>
                          <w:p w14:paraId="7325B7C6" w14:textId="77777777" w:rsidR="00DB6908" w:rsidRPr="00A13C24" w:rsidRDefault="00DB6908" w:rsidP="00DB6908">
                            <w:pPr>
                              <w:rPr>
                                <w:rFonts w:cs="Arial"/>
                                <w:b/>
                                <w:bCs/>
                                <w:color w:val="046A38" w:themeColor="accent2"/>
                                <w:sz w:val="32"/>
                                <w:szCs w:val="32"/>
                              </w:rPr>
                            </w:pPr>
                          </w:p>
                          <w:p w14:paraId="57F62E1A" w14:textId="77777777" w:rsidR="00D26F24" w:rsidRPr="00A13C24" w:rsidRDefault="00D26F24" w:rsidP="00DB6908">
                            <w:pPr>
                              <w:rPr>
                                <w:rFonts w:cs="Arial"/>
                                <w:b/>
                                <w:bCs/>
                                <w:color w:val="046A38" w:themeColor="accent2"/>
                                <w:sz w:val="32"/>
                                <w:szCs w:val="32"/>
                              </w:rPr>
                            </w:pPr>
                          </w:p>
                          <w:p w14:paraId="09082B08" w14:textId="790CB596" w:rsidR="00DB6908" w:rsidRPr="00A13C24" w:rsidRDefault="00DB6908" w:rsidP="00DB6908">
                            <w:pPr>
                              <w:rPr>
                                <w:rFonts w:cs="Arial"/>
                                <w:sz w:val="32"/>
                                <w:szCs w:val="32"/>
                              </w:rPr>
                            </w:pPr>
                            <w:r w:rsidRPr="00893EB3">
                              <w:rPr>
                                <w:rFonts w:cs="Arial"/>
                                <w:b/>
                                <w:color w:val="034F29" w:themeColor="accent2" w:themeShade="BF"/>
                                <w:sz w:val="32"/>
                                <w:szCs w:val="32"/>
                              </w:rPr>
                              <w:t xml:space="preserve">LHVF Case Study: </w:t>
                            </w:r>
                            <w:r w:rsidRPr="00A13C24">
                              <w:rPr>
                                <w:rFonts w:cs="Arial"/>
                                <w:sz w:val="32"/>
                                <w:szCs w:val="32"/>
                              </w:rPr>
                              <w:br/>
                              <w:t>Local sports and recreation club</w:t>
                            </w:r>
                          </w:p>
                          <w:p w14:paraId="19678E60" w14:textId="77777777" w:rsidR="00DB6908" w:rsidRPr="00A13C24" w:rsidRDefault="00DB6908" w:rsidP="00DB6908">
                            <w:pPr>
                              <w:rPr>
                                <w:rFonts w:cs="Arial"/>
                                <w:sz w:val="32"/>
                                <w:szCs w:val="32"/>
                              </w:rPr>
                            </w:pPr>
                          </w:p>
                          <w:p w14:paraId="79797AF9" w14:textId="77777777" w:rsidR="00E179BC" w:rsidRDefault="00DB6908" w:rsidP="00E179BC">
                            <w:pPr>
                              <w:spacing w:after="0"/>
                              <w:jc w:val="both"/>
                              <w:rPr>
                                <w:rFonts w:cs="Arial"/>
                                <w:color w:val="034F29" w:themeColor="accent2" w:themeShade="BF"/>
                              </w:rPr>
                            </w:pPr>
                            <w:r w:rsidRPr="00893EB3">
                              <w:rPr>
                                <w:rFonts w:cs="Arial"/>
                                <w:b/>
                                <w:color w:val="034F29" w:themeColor="accent2" w:themeShade="BF"/>
                              </w:rPr>
                              <w:t>Business description</w:t>
                            </w:r>
                          </w:p>
                          <w:p w14:paraId="1E70C9DB" w14:textId="6ACD8007" w:rsidR="005F5B63" w:rsidRDefault="00D55AEE" w:rsidP="00E179BC">
                            <w:pPr>
                              <w:spacing w:after="0"/>
                              <w:jc w:val="both"/>
                              <w:rPr>
                                <w:rFonts w:cs="Arial"/>
                              </w:rPr>
                            </w:pPr>
                            <w:r>
                              <w:rPr>
                                <w:rFonts w:cs="Arial"/>
                              </w:rPr>
                              <w:t>The</w:t>
                            </w:r>
                            <w:r w:rsidR="005F5B63" w:rsidRPr="005F5B63">
                              <w:rPr>
                                <w:rFonts w:cs="Arial"/>
                              </w:rPr>
                              <w:t xml:space="preserve"> community sports and recreation club </w:t>
                            </w:r>
                            <w:proofErr w:type="gramStart"/>
                            <w:r w:rsidR="005F5B63" w:rsidRPr="005F5B63">
                              <w:rPr>
                                <w:rFonts w:cs="Arial"/>
                              </w:rPr>
                              <w:t>plays</w:t>
                            </w:r>
                            <w:proofErr w:type="gramEnd"/>
                            <w:r w:rsidR="005F5B63" w:rsidRPr="005F5B63">
                              <w:rPr>
                                <w:rFonts w:cs="Arial"/>
                              </w:rPr>
                              <w:t xml:space="preserve"> a pivotal role in the local community by hiring out its facilities for little or no fee for events such as birthdays, weddings, fundraisers and community gatherings. Additionally, it hosts functions for local sporting clubs. When COVID-19 </w:t>
                            </w:r>
                            <w:r>
                              <w:rPr>
                                <w:rFonts w:cs="Arial"/>
                              </w:rPr>
                              <w:t xml:space="preserve">public health </w:t>
                            </w:r>
                            <w:r w:rsidR="005F5B63" w:rsidRPr="005F5B63">
                              <w:rPr>
                                <w:rFonts w:cs="Arial"/>
                              </w:rPr>
                              <w:t>restrictions were announced, the club had two part-time employees but was mainly run by community volunteers. Most of the club’s operating profits were used to support local sports clubs, covering utilities, equipment maintenance, player payments and other costs.</w:t>
                            </w:r>
                          </w:p>
                          <w:p w14:paraId="0AAD2A20" w14:textId="77777777" w:rsidR="00331707" w:rsidRDefault="00331707" w:rsidP="00E179BC">
                            <w:pPr>
                              <w:spacing w:after="0"/>
                              <w:jc w:val="both"/>
                              <w:rPr>
                                <w:rFonts w:cs="Arial"/>
                              </w:rPr>
                            </w:pPr>
                          </w:p>
                          <w:p w14:paraId="0B49CD5A" w14:textId="1795CAD1" w:rsidR="00E179BC" w:rsidRPr="00331707" w:rsidRDefault="00331707" w:rsidP="00331707">
                            <w:pPr>
                              <w:jc w:val="both"/>
                              <w:rPr>
                                <w:rFonts w:cs="Arial"/>
                              </w:rPr>
                            </w:pPr>
                            <w:r w:rsidRPr="00135E0A">
                              <w:rPr>
                                <w:rFonts w:cs="Arial"/>
                              </w:rPr>
                              <w:t xml:space="preserve">This case study highlights the impact of COVID-19 lockdowns on the </w:t>
                            </w:r>
                            <w:r w:rsidRPr="005F5B63">
                              <w:rPr>
                                <w:rFonts w:cs="Arial"/>
                              </w:rPr>
                              <w:t>community sports and recreation club</w:t>
                            </w:r>
                            <w:r w:rsidRPr="00135E0A">
                              <w:rPr>
                                <w:rFonts w:cs="Arial"/>
                              </w:rPr>
                              <w:t xml:space="preserve">, and how the </w:t>
                            </w:r>
                            <w:r>
                              <w:rPr>
                                <w:rFonts w:cs="Arial"/>
                              </w:rPr>
                              <w:t xml:space="preserve">LHVF </w:t>
                            </w:r>
                            <w:r w:rsidRPr="00135E0A">
                              <w:rPr>
                                <w:rFonts w:cs="Arial"/>
                              </w:rPr>
                              <w:t>program i</w:t>
                            </w:r>
                            <w:r w:rsidRPr="00814B51">
                              <w:rPr>
                                <w:rFonts w:cs="Arial"/>
                              </w:rPr>
                              <w:t>mpacted</w:t>
                            </w:r>
                            <w:r w:rsidRPr="00135E0A">
                              <w:rPr>
                                <w:rFonts w:cs="Arial"/>
                              </w:rPr>
                              <w:t xml:space="preserve"> it.</w:t>
                            </w:r>
                          </w:p>
                          <w:p w14:paraId="553AE7A8" w14:textId="446FACED" w:rsidR="00D26F24" w:rsidRPr="00893EB3" w:rsidRDefault="00DB6908" w:rsidP="00893EB3">
                            <w:pPr>
                              <w:spacing w:after="0"/>
                              <w:jc w:val="both"/>
                              <w:rPr>
                                <w:rFonts w:cs="Arial"/>
                                <w:color w:val="034F29" w:themeColor="accent2" w:themeShade="BF"/>
                              </w:rPr>
                            </w:pPr>
                            <w:r w:rsidRPr="00893EB3">
                              <w:rPr>
                                <w:rFonts w:cs="Arial"/>
                                <w:b/>
                                <w:color w:val="034F29" w:themeColor="accent2" w:themeShade="BF"/>
                              </w:rPr>
                              <w:t>Impact of COVID-19</w:t>
                            </w:r>
                          </w:p>
                          <w:p w14:paraId="1C73956B" w14:textId="373B2021" w:rsidR="00E84DB0" w:rsidRDefault="00E84DB0" w:rsidP="00E84DB0">
                            <w:pPr>
                              <w:spacing w:after="0"/>
                              <w:jc w:val="both"/>
                              <w:rPr>
                                <w:rFonts w:cs="Arial"/>
                              </w:rPr>
                            </w:pPr>
                            <w:r w:rsidRPr="00135E0A">
                              <w:rPr>
                                <w:rFonts w:cs="Arial"/>
                              </w:rPr>
                              <w:t>The COVID-19 public health restrictions forced the club to cease operations. Since all profits were directed to local sports clubs, the club lacked reserves to cover essential bills like insurance and utilities. To meet these payments, the club sold its remaining alcohol stock. They were on the verge of requesting donations to cover outstanding costs before learning about the LHVF grants.</w:t>
                            </w:r>
                          </w:p>
                          <w:p w14:paraId="60A74C2B" w14:textId="77777777" w:rsidR="00E84DB0" w:rsidRPr="00135E0A" w:rsidRDefault="00E84DB0" w:rsidP="00E84DB0">
                            <w:pPr>
                              <w:spacing w:after="0"/>
                              <w:jc w:val="both"/>
                              <w:rPr>
                                <w:rFonts w:cs="Arial"/>
                              </w:rPr>
                            </w:pPr>
                          </w:p>
                          <w:p w14:paraId="71FC3CC4" w14:textId="77777777" w:rsidR="00AE4BD1" w:rsidRDefault="00DB6908" w:rsidP="00AE4BD1">
                            <w:pPr>
                              <w:spacing w:after="0"/>
                              <w:jc w:val="both"/>
                              <w:rPr>
                                <w:rFonts w:cs="Arial"/>
                                <w:color w:val="034F29" w:themeColor="accent2" w:themeShade="BF"/>
                              </w:rPr>
                            </w:pPr>
                            <w:r w:rsidRPr="00893EB3">
                              <w:rPr>
                                <w:rFonts w:cs="Arial"/>
                                <w:b/>
                                <w:color w:val="034F29" w:themeColor="accent2" w:themeShade="BF"/>
                              </w:rPr>
                              <w:t>Engagement with LHVF</w:t>
                            </w:r>
                          </w:p>
                          <w:p w14:paraId="5455888B" w14:textId="015A449F" w:rsidR="00AE4BD1" w:rsidRDefault="007910C4" w:rsidP="00AE4BD1">
                            <w:pPr>
                              <w:spacing w:after="0"/>
                              <w:jc w:val="both"/>
                              <w:rPr>
                                <w:rFonts w:cs="Arial"/>
                                <w:color w:val="034F29" w:themeColor="accent2" w:themeShade="BF"/>
                              </w:rPr>
                            </w:pPr>
                            <w:r w:rsidRPr="00135E0A">
                              <w:rPr>
                                <w:rFonts w:cs="Arial"/>
                              </w:rPr>
                              <w:t>The club received three rounds of LHVF funding. The club’s treasurer described the initial application as "simple</w:t>
                            </w:r>
                            <w:proofErr w:type="gramStart"/>
                            <w:r w:rsidRPr="00135E0A">
                              <w:rPr>
                                <w:rFonts w:cs="Arial"/>
                              </w:rPr>
                              <w:t>"</w:t>
                            </w:r>
                            <w:r w:rsidR="00CD44C8">
                              <w:rPr>
                                <w:rFonts w:cs="Arial"/>
                              </w:rPr>
                              <w:t>,</w:t>
                            </w:r>
                            <w:r w:rsidRPr="00135E0A">
                              <w:rPr>
                                <w:rFonts w:cs="Arial"/>
                              </w:rPr>
                              <w:t xml:space="preserve"> and</w:t>
                            </w:r>
                            <w:proofErr w:type="gramEnd"/>
                            <w:r w:rsidRPr="00135E0A">
                              <w:rPr>
                                <w:rFonts w:cs="Arial"/>
                              </w:rPr>
                              <w:t xml:space="preserve"> noted that subsequent applications were easier due to prepopulated forms, making the process "straightforward"</w:t>
                            </w:r>
                            <w:r w:rsidR="00CD44C8">
                              <w:rPr>
                                <w:rFonts w:cs="Arial"/>
                              </w:rPr>
                              <w:t>.</w:t>
                            </w:r>
                          </w:p>
                          <w:p w14:paraId="4D2F3697" w14:textId="77777777" w:rsidR="00AE4BD1" w:rsidRDefault="00AE4BD1" w:rsidP="00AE4BD1">
                            <w:pPr>
                              <w:spacing w:after="0"/>
                              <w:jc w:val="both"/>
                              <w:rPr>
                                <w:rFonts w:cs="Arial"/>
                                <w:color w:val="034F29" w:themeColor="accent2" w:themeShade="BF"/>
                              </w:rPr>
                            </w:pPr>
                          </w:p>
                          <w:p w14:paraId="6BD12FB5" w14:textId="352815E8" w:rsidR="00AE4BD1" w:rsidRDefault="007910C4" w:rsidP="00AE4BD1">
                            <w:pPr>
                              <w:spacing w:after="0"/>
                              <w:jc w:val="both"/>
                              <w:rPr>
                                <w:rFonts w:cs="Arial"/>
                                <w:color w:val="034F29" w:themeColor="accent2" w:themeShade="BF"/>
                              </w:rPr>
                            </w:pPr>
                            <w:r w:rsidRPr="00135E0A">
                              <w:rPr>
                                <w:rFonts w:cs="Arial"/>
                              </w:rPr>
                              <w:t>The club was satisfied with the grant amount received, acknowledging their smaller business size but appreciating that it allowed them to cover costs and continue operations once restrictions eased. LHVF funds were utilised to pay outstanding and incoming bills, support their two part-time employees and restock the liquor supply in preparation for reopening. The club credits these grants for enabling them to reopen and continue operations post-restrictions. However, following the reopening, the club has closed again for renovations and has not been generating revenue recently.</w:t>
                            </w:r>
                          </w:p>
                          <w:p w14:paraId="139506AB" w14:textId="77777777" w:rsidR="00AE4BD1" w:rsidRDefault="00AE4BD1" w:rsidP="00AE4BD1">
                            <w:pPr>
                              <w:spacing w:after="0"/>
                              <w:jc w:val="both"/>
                              <w:rPr>
                                <w:rFonts w:cs="Arial"/>
                                <w:color w:val="034F29" w:themeColor="accent2" w:themeShade="BF"/>
                              </w:rPr>
                            </w:pPr>
                          </w:p>
                          <w:p w14:paraId="5519B4D0" w14:textId="5320276B" w:rsidR="007910C4" w:rsidRDefault="007910C4" w:rsidP="00AE4BD1">
                            <w:pPr>
                              <w:spacing w:after="0"/>
                              <w:jc w:val="both"/>
                              <w:rPr>
                                <w:rFonts w:cs="Arial"/>
                              </w:rPr>
                            </w:pPr>
                            <w:r w:rsidRPr="00135E0A">
                              <w:rPr>
                                <w:rFonts w:cs="Arial"/>
                              </w:rPr>
                              <w:t>The closure of the club had ripple effects on the community. Local sporting clubs, deprived of a source of income during the restrictions and unable to receive government support, couldn’t replace broken equipment or pay players. Consequently, they sought alternative income sources, including sponsorships, and lost players to other clubs.</w:t>
                            </w:r>
                          </w:p>
                          <w:p w14:paraId="09975F39" w14:textId="77777777" w:rsidR="00F32651" w:rsidRPr="00135E0A" w:rsidRDefault="00F32651" w:rsidP="00AE4BD1">
                            <w:pPr>
                              <w:spacing w:after="0"/>
                              <w:jc w:val="both"/>
                              <w:rPr>
                                <w:rFonts w:cs="Arial"/>
                                <w:color w:val="034F29" w:themeColor="accent2" w:themeShade="BF"/>
                              </w:rPr>
                            </w:pPr>
                          </w:p>
                          <w:p w14:paraId="01A8E20A" w14:textId="77777777" w:rsidR="00AE4BD1" w:rsidRDefault="00DB6908" w:rsidP="00AE4BD1">
                            <w:pPr>
                              <w:spacing w:after="0"/>
                              <w:jc w:val="both"/>
                              <w:rPr>
                                <w:rFonts w:cs="Arial"/>
                                <w:color w:val="034F29" w:themeColor="accent2" w:themeShade="BF"/>
                              </w:rPr>
                            </w:pPr>
                            <w:r w:rsidRPr="00893EB3">
                              <w:rPr>
                                <w:rFonts w:cs="Arial"/>
                                <w:b/>
                                <w:color w:val="034F29" w:themeColor="accent2" w:themeShade="BF"/>
                              </w:rPr>
                              <w:t>Improvement opportunities</w:t>
                            </w:r>
                          </w:p>
                          <w:p w14:paraId="58F2C159" w14:textId="739A4DD5" w:rsidR="00DB6908" w:rsidRPr="00AE4BD1" w:rsidRDefault="00AE4BD1" w:rsidP="00AE4BD1">
                            <w:pPr>
                              <w:spacing w:after="0"/>
                              <w:jc w:val="both"/>
                              <w:rPr>
                                <w:rFonts w:cs="Arial"/>
                                <w:color w:val="034F29" w:themeColor="accent2" w:themeShade="BF"/>
                              </w:rPr>
                            </w:pPr>
                            <w:r w:rsidRPr="00135E0A">
                              <w:rPr>
                                <w:rFonts w:cs="Arial"/>
                              </w:rPr>
                              <w:t>The club’s treasurer felt that more communication and follow-up on the club’s progress during the closure period would have been beneficial. They noted limited communication from the Department, aside from notifications of new grant rounds. The treasurer believed that increased communication, including checks and balances on fund utilisation, would be advantageous and could reduce instances of businesses accessing grants without genuine need.</w:t>
                            </w:r>
                          </w:p>
                        </w:txbxContent>
                      </wps:txbx>
                      <wps:bodyPr rot="0" vert="horz" wrap="square" lIns="91440" tIns="45720" rIns="91440" bIns="45720" anchor="t" anchorCtr="0">
                        <a:spAutoFit/>
                      </wps:bodyPr>
                    </wps:wsp>
                  </a:graphicData>
                </a:graphic>
              </wp:inline>
            </w:drawing>
          </mc:Choice>
          <mc:Fallback>
            <w:pict>
              <v:shape w14:anchorId="694E0ECB" id="Text Box 50" o:spid="_x0000_s1032"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" filled="f" strokecolor="#046a38 [3205]" strokeweight="1.5pt">
                <v:textbox style="mso-fit-shape-to-text:t">
                  <w:txbxContent>
                    <w:p w14:paraId="7325B7C6" w14:textId="77777777" w:rsidR="00DB6908" w:rsidRPr="00A13C24" w:rsidRDefault="00DB6908" w:rsidP="00DB6908">
                      <w:pPr>
                        <w:rPr>
                          <w:rFonts w:cs="Arial"/>
                          <w:b/>
                          <w:bCs/>
                          <w:color w:val="046A38" w:themeColor="accent2"/>
                          <w:sz w:val="32"/>
                          <w:szCs w:val="32"/>
                        </w:rPr>
                      </w:pPr>
                    </w:p>
                    <w:p w14:paraId="57F62E1A" w14:textId="77777777" w:rsidR="00D26F24" w:rsidRPr="00A13C24" w:rsidRDefault="00D26F24" w:rsidP="00DB6908">
                      <w:pPr>
                        <w:rPr>
                          <w:rFonts w:cs="Arial"/>
                          <w:b/>
                          <w:bCs/>
                          <w:color w:val="046A38" w:themeColor="accent2"/>
                          <w:sz w:val="32"/>
                          <w:szCs w:val="32"/>
                        </w:rPr>
                      </w:pPr>
                    </w:p>
                    <w:p w14:paraId="09082B08" w14:textId="790CB596" w:rsidR="00DB6908" w:rsidRPr="00A13C24" w:rsidRDefault="00DB6908" w:rsidP="00DB6908">
                      <w:pPr>
                        <w:rPr>
                          <w:rFonts w:cs="Arial"/>
                          <w:sz w:val="32"/>
                          <w:szCs w:val="32"/>
                        </w:rPr>
                      </w:pPr>
                      <w:r w:rsidRPr="00893EB3">
                        <w:rPr>
                          <w:rFonts w:cs="Arial"/>
                          <w:b/>
                          <w:color w:val="034F29" w:themeColor="accent2" w:themeShade="BF"/>
                          <w:sz w:val="32"/>
                          <w:szCs w:val="32"/>
                        </w:rPr>
                        <w:t xml:space="preserve">LHVF Case Study: </w:t>
                      </w:r>
                      <w:r w:rsidRPr="00A13C24">
                        <w:rPr>
                          <w:rFonts w:cs="Arial"/>
                          <w:sz w:val="32"/>
                          <w:szCs w:val="32"/>
                        </w:rPr>
                        <w:br/>
                        <w:t>Local sports and recreation club</w:t>
                      </w:r>
                    </w:p>
                    <w:p w14:paraId="19678E60" w14:textId="77777777" w:rsidR="00DB6908" w:rsidRPr="00A13C24" w:rsidRDefault="00DB6908" w:rsidP="00DB6908">
                      <w:pPr>
                        <w:rPr>
                          <w:rFonts w:cs="Arial"/>
                          <w:sz w:val="32"/>
                          <w:szCs w:val="32"/>
                        </w:rPr>
                      </w:pPr>
                    </w:p>
                    <w:p w14:paraId="79797AF9" w14:textId="77777777" w:rsidR="00E179BC" w:rsidRDefault="00DB6908" w:rsidP="00E179BC">
                      <w:pPr>
                        <w:spacing w:after="0"/>
                        <w:jc w:val="both"/>
                        <w:rPr>
                          <w:rFonts w:cs="Arial"/>
                          <w:color w:val="034F29" w:themeColor="accent2" w:themeShade="BF"/>
                        </w:rPr>
                      </w:pPr>
                      <w:r w:rsidRPr="00893EB3">
                        <w:rPr>
                          <w:rFonts w:cs="Arial"/>
                          <w:b/>
                          <w:color w:val="034F29" w:themeColor="accent2" w:themeShade="BF"/>
                        </w:rPr>
                        <w:t>Business description</w:t>
                      </w:r>
                    </w:p>
                    <w:p w14:paraId="1E70C9DB" w14:textId="6ACD8007" w:rsidR="005F5B63" w:rsidRDefault="00D55AEE" w:rsidP="00E179BC">
                      <w:pPr>
                        <w:spacing w:after="0"/>
                        <w:jc w:val="both"/>
                        <w:rPr>
                          <w:rFonts w:cs="Arial"/>
                        </w:rPr>
                      </w:pPr>
                      <w:r>
                        <w:rPr>
                          <w:rFonts w:cs="Arial"/>
                        </w:rPr>
                        <w:t>The</w:t>
                      </w:r>
                      <w:r w:rsidR="005F5B63" w:rsidRPr="005F5B63">
                        <w:rPr>
                          <w:rFonts w:cs="Arial"/>
                        </w:rPr>
                        <w:t xml:space="preserve"> community sports and recreation club </w:t>
                      </w:r>
                      <w:proofErr w:type="gramStart"/>
                      <w:r w:rsidR="005F5B63" w:rsidRPr="005F5B63">
                        <w:rPr>
                          <w:rFonts w:cs="Arial"/>
                        </w:rPr>
                        <w:t>plays</w:t>
                      </w:r>
                      <w:proofErr w:type="gramEnd"/>
                      <w:r w:rsidR="005F5B63" w:rsidRPr="005F5B63">
                        <w:rPr>
                          <w:rFonts w:cs="Arial"/>
                        </w:rPr>
                        <w:t xml:space="preserve"> a pivotal role in the local community by hiring out its facilities for little or no fee for events such as birthdays, weddings, fundraisers and community gatherings. Additionally, it hosts functions for local sporting clubs. When COVID-19 </w:t>
                      </w:r>
                      <w:r>
                        <w:rPr>
                          <w:rFonts w:cs="Arial"/>
                        </w:rPr>
                        <w:t xml:space="preserve">public health </w:t>
                      </w:r>
                      <w:r w:rsidR="005F5B63" w:rsidRPr="005F5B63">
                        <w:rPr>
                          <w:rFonts w:cs="Arial"/>
                        </w:rPr>
                        <w:t>restrictions were announced, the club had two part-time employees but was mainly run by community volunteers. Most of the club’s operating profits were used to support local sports clubs, covering utilities, equipment maintenance, player payments and other costs.</w:t>
                      </w:r>
                    </w:p>
                    <w:p w14:paraId="0AAD2A20" w14:textId="77777777" w:rsidR="00331707" w:rsidRDefault="00331707" w:rsidP="00E179BC">
                      <w:pPr>
                        <w:spacing w:after="0"/>
                        <w:jc w:val="both"/>
                        <w:rPr>
                          <w:rFonts w:cs="Arial"/>
                        </w:rPr>
                      </w:pPr>
                    </w:p>
                    <w:p w14:paraId="0B49CD5A" w14:textId="1795CAD1" w:rsidR="00E179BC" w:rsidRPr="00331707" w:rsidRDefault="00331707" w:rsidP="00331707">
                      <w:pPr>
                        <w:jc w:val="both"/>
                        <w:rPr>
                          <w:rFonts w:cs="Arial"/>
                        </w:rPr>
                      </w:pPr>
                      <w:r w:rsidRPr="00135E0A">
                        <w:rPr>
                          <w:rFonts w:cs="Arial"/>
                        </w:rPr>
                        <w:t xml:space="preserve">This case study highlights the impact of COVID-19 lockdowns on the </w:t>
                      </w:r>
                      <w:r w:rsidRPr="005F5B63">
                        <w:rPr>
                          <w:rFonts w:cs="Arial"/>
                        </w:rPr>
                        <w:t>community sports and recreation club</w:t>
                      </w:r>
                      <w:r w:rsidRPr="00135E0A">
                        <w:rPr>
                          <w:rFonts w:cs="Arial"/>
                        </w:rPr>
                        <w:t xml:space="preserve">, and how the </w:t>
                      </w:r>
                      <w:r>
                        <w:rPr>
                          <w:rFonts w:cs="Arial"/>
                        </w:rPr>
                        <w:t xml:space="preserve">LHVF </w:t>
                      </w:r>
                      <w:r w:rsidRPr="00135E0A">
                        <w:rPr>
                          <w:rFonts w:cs="Arial"/>
                        </w:rPr>
                        <w:t>program i</w:t>
                      </w:r>
                      <w:r w:rsidRPr="00814B51">
                        <w:rPr>
                          <w:rFonts w:cs="Arial"/>
                        </w:rPr>
                        <w:t>mpacted</w:t>
                      </w:r>
                      <w:r w:rsidRPr="00135E0A">
                        <w:rPr>
                          <w:rFonts w:cs="Arial"/>
                        </w:rPr>
                        <w:t xml:space="preserve"> it.</w:t>
                      </w:r>
                    </w:p>
                    <w:p w14:paraId="553AE7A8" w14:textId="446FACED" w:rsidR="00D26F24" w:rsidRPr="00893EB3" w:rsidRDefault="00DB6908" w:rsidP="00893EB3">
                      <w:pPr>
                        <w:spacing w:after="0"/>
                        <w:jc w:val="both"/>
                        <w:rPr>
                          <w:rFonts w:cs="Arial"/>
                          <w:color w:val="034F29" w:themeColor="accent2" w:themeShade="BF"/>
                        </w:rPr>
                      </w:pPr>
                      <w:r w:rsidRPr="00893EB3">
                        <w:rPr>
                          <w:rFonts w:cs="Arial"/>
                          <w:b/>
                          <w:color w:val="034F29" w:themeColor="accent2" w:themeShade="BF"/>
                        </w:rPr>
                        <w:t>Impact of COVID-19</w:t>
                      </w:r>
                    </w:p>
                    <w:p w14:paraId="1C73956B" w14:textId="373B2021" w:rsidR="00E84DB0" w:rsidRDefault="00E84DB0" w:rsidP="00E84DB0">
                      <w:pPr>
                        <w:spacing w:after="0"/>
                        <w:jc w:val="both"/>
                        <w:rPr>
                          <w:rFonts w:cs="Arial"/>
                        </w:rPr>
                      </w:pPr>
                      <w:r w:rsidRPr="00135E0A">
                        <w:rPr>
                          <w:rFonts w:cs="Arial"/>
                        </w:rPr>
                        <w:t>The COVID-19 public health restrictions forced the club to cease operations. Since all profits were directed to local sports clubs, the club lacked reserves to cover essential bills like insurance and utilities. To meet these payments, the club sold its remaining alcohol stock. They were on the verge of requesting donations to cover outstanding costs before learning about the LHVF grants.</w:t>
                      </w:r>
                    </w:p>
                    <w:p w14:paraId="60A74C2B" w14:textId="77777777" w:rsidR="00E84DB0" w:rsidRPr="00135E0A" w:rsidRDefault="00E84DB0" w:rsidP="00E84DB0">
                      <w:pPr>
                        <w:spacing w:after="0"/>
                        <w:jc w:val="both"/>
                        <w:rPr>
                          <w:rFonts w:cs="Arial"/>
                        </w:rPr>
                      </w:pPr>
                    </w:p>
                    <w:p w14:paraId="71FC3CC4" w14:textId="77777777" w:rsidR="00AE4BD1" w:rsidRDefault="00DB6908" w:rsidP="00AE4BD1">
                      <w:pPr>
                        <w:spacing w:after="0"/>
                        <w:jc w:val="both"/>
                        <w:rPr>
                          <w:rFonts w:cs="Arial"/>
                          <w:color w:val="034F29" w:themeColor="accent2" w:themeShade="BF"/>
                        </w:rPr>
                      </w:pPr>
                      <w:r w:rsidRPr="00893EB3">
                        <w:rPr>
                          <w:rFonts w:cs="Arial"/>
                          <w:b/>
                          <w:color w:val="034F29" w:themeColor="accent2" w:themeShade="BF"/>
                        </w:rPr>
                        <w:t>Engagement with LHVF</w:t>
                      </w:r>
                    </w:p>
                    <w:p w14:paraId="5455888B" w14:textId="015A449F" w:rsidR="00AE4BD1" w:rsidRDefault="007910C4" w:rsidP="00AE4BD1">
                      <w:pPr>
                        <w:spacing w:after="0"/>
                        <w:jc w:val="both"/>
                        <w:rPr>
                          <w:rFonts w:cs="Arial"/>
                          <w:color w:val="034F29" w:themeColor="accent2" w:themeShade="BF"/>
                        </w:rPr>
                      </w:pPr>
                      <w:r w:rsidRPr="00135E0A">
                        <w:rPr>
                          <w:rFonts w:cs="Arial"/>
                        </w:rPr>
                        <w:t>The club received three rounds of LHVF funding. The club’s treasurer described the initial application as "simple</w:t>
                      </w:r>
                      <w:proofErr w:type="gramStart"/>
                      <w:r w:rsidRPr="00135E0A">
                        <w:rPr>
                          <w:rFonts w:cs="Arial"/>
                        </w:rPr>
                        <w:t>"</w:t>
                      </w:r>
                      <w:r w:rsidR="00CD44C8">
                        <w:rPr>
                          <w:rFonts w:cs="Arial"/>
                        </w:rPr>
                        <w:t>,</w:t>
                      </w:r>
                      <w:r w:rsidRPr="00135E0A">
                        <w:rPr>
                          <w:rFonts w:cs="Arial"/>
                        </w:rPr>
                        <w:t xml:space="preserve"> and</w:t>
                      </w:r>
                      <w:proofErr w:type="gramEnd"/>
                      <w:r w:rsidRPr="00135E0A">
                        <w:rPr>
                          <w:rFonts w:cs="Arial"/>
                        </w:rPr>
                        <w:t xml:space="preserve"> noted that subsequent applications were easier due to prepopulated forms, making the process "straightforward"</w:t>
                      </w:r>
                      <w:r w:rsidR="00CD44C8">
                        <w:rPr>
                          <w:rFonts w:cs="Arial"/>
                        </w:rPr>
                        <w:t>.</w:t>
                      </w:r>
                    </w:p>
                    <w:p w14:paraId="4D2F3697" w14:textId="77777777" w:rsidR="00AE4BD1" w:rsidRDefault="00AE4BD1" w:rsidP="00AE4BD1">
                      <w:pPr>
                        <w:spacing w:after="0"/>
                        <w:jc w:val="both"/>
                        <w:rPr>
                          <w:rFonts w:cs="Arial"/>
                          <w:color w:val="034F29" w:themeColor="accent2" w:themeShade="BF"/>
                        </w:rPr>
                      </w:pPr>
                    </w:p>
                    <w:p w14:paraId="6BD12FB5" w14:textId="352815E8" w:rsidR="00AE4BD1" w:rsidRDefault="007910C4" w:rsidP="00AE4BD1">
                      <w:pPr>
                        <w:spacing w:after="0"/>
                        <w:jc w:val="both"/>
                        <w:rPr>
                          <w:rFonts w:cs="Arial"/>
                          <w:color w:val="034F29" w:themeColor="accent2" w:themeShade="BF"/>
                        </w:rPr>
                      </w:pPr>
                      <w:r w:rsidRPr="00135E0A">
                        <w:rPr>
                          <w:rFonts w:cs="Arial"/>
                        </w:rPr>
                        <w:t>The club was satisfied with the grant amount received, acknowledging their smaller business size but appreciating that it allowed them to cover costs and continue operations once restrictions eased. LHVF funds were utilised to pay outstanding and incoming bills, support their two part-time employees and restock the liquor supply in preparation for reopening. The club credits these grants for enabling them to reopen and continue operations post-restrictions. However, following the reopening, the club has closed again for renovations and has not been generating revenue recently.</w:t>
                      </w:r>
                    </w:p>
                    <w:p w14:paraId="139506AB" w14:textId="77777777" w:rsidR="00AE4BD1" w:rsidRDefault="00AE4BD1" w:rsidP="00AE4BD1">
                      <w:pPr>
                        <w:spacing w:after="0"/>
                        <w:jc w:val="both"/>
                        <w:rPr>
                          <w:rFonts w:cs="Arial"/>
                          <w:color w:val="034F29" w:themeColor="accent2" w:themeShade="BF"/>
                        </w:rPr>
                      </w:pPr>
                    </w:p>
                    <w:p w14:paraId="5519B4D0" w14:textId="5320276B" w:rsidR="007910C4" w:rsidRDefault="007910C4" w:rsidP="00AE4BD1">
                      <w:pPr>
                        <w:spacing w:after="0"/>
                        <w:jc w:val="both"/>
                        <w:rPr>
                          <w:rFonts w:cs="Arial"/>
                        </w:rPr>
                      </w:pPr>
                      <w:r w:rsidRPr="00135E0A">
                        <w:rPr>
                          <w:rFonts w:cs="Arial"/>
                        </w:rPr>
                        <w:t>The closure of the club had ripple effects on the community. Local sporting clubs, deprived of a source of income during the restrictions and unable to receive government support, couldn’t replace broken equipment or pay players. Consequently, they sought alternative income sources, including sponsorships, and lost players to other clubs.</w:t>
                      </w:r>
                    </w:p>
                    <w:p w14:paraId="09975F39" w14:textId="77777777" w:rsidR="00F32651" w:rsidRPr="00135E0A" w:rsidRDefault="00F32651" w:rsidP="00AE4BD1">
                      <w:pPr>
                        <w:spacing w:after="0"/>
                        <w:jc w:val="both"/>
                        <w:rPr>
                          <w:rFonts w:cs="Arial"/>
                          <w:color w:val="034F29" w:themeColor="accent2" w:themeShade="BF"/>
                        </w:rPr>
                      </w:pPr>
                    </w:p>
                    <w:p w14:paraId="01A8E20A" w14:textId="77777777" w:rsidR="00AE4BD1" w:rsidRDefault="00DB6908" w:rsidP="00AE4BD1">
                      <w:pPr>
                        <w:spacing w:after="0"/>
                        <w:jc w:val="both"/>
                        <w:rPr>
                          <w:rFonts w:cs="Arial"/>
                          <w:color w:val="034F29" w:themeColor="accent2" w:themeShade="BF"/>
                        </w:rPr>
                      </w:pPr>
                      <w:r w:rsidRPr="00893EB3">
                        <w:rPr>
                          <w:rFonts w:cs="Arial"/>
                          <w:b/>
                          <w:color w:val="034F29" w:themeColor="accent2" w:themeShade="BF"/>
                        </w:rPr>
                        <w:t>Improvement opportunities</w:t>
                      </w:r>
                    </w:p>
                    <w:p w14:paraId="58F2C159" w14:textId="739A4DD5" w:rsidR="00DB6908" w:rsidRPr="00AE4BD1" w:rsidRDefault="00AE4BD1" w:rsidP="00AE4BD1">
                      <w:pPr>
                        <w:spacing w:after="0"/>
                        <w:jc w:val="both"/>
                        <w:rPr>
                          <w:rFonts w:cs="Arial"/>
                          <w:color w:val="034F29" w:themeColor="accent2" w:themeShade="BF"/>
                        </w:rPr>
                      </w:pPr>
                      <w:r w:rsidRPr="00135E0A">
                        <w:rPr>
                          <w:rFonts w:cs="Arial"/>
                        </w:rPr>
                        <w:t>The club’s treasurer felt that more communication and follow-up on the club’s progress during the closure period would have been beneficial. They noted limited communication from the Department, aside from notifications of new grant rounds. The treasurer believed that increased communication, including checks and balances on fund utilisation, would be advantageous and could reduce instances of businesses accessing grants without genuine need.</w:t>
                      </w:r>
                    </w:p>
                  </w:txbxContent>
                </v:textbox>
                <w10:anchorlock/>
              </v:shape>
            </w:pict>
          </mc:Fallback>
        </mc:AlternateContent>
      </w:r>
    </w:p>
    <w:p w14:paraId="5F831B61" w14:textId="77777777" w:rsidR="001C339C" w:rsidRDefault="001C339C" w:rsidP="00021EF3"/>
    <w:p w14:paraId="27C599AD" w14:textId="77777777" w:rsidR="001C339C" w:rsidRDefault="001C339C" w:rsidP="00021EF3"/>
    <w:p w14:paraId="136E061C" w14:textId="77777777" w:rsidR="001C339C" w:rsidRDefault="001C339C" w:rsidP="00021EF3"/>
    <w:p w14:paraId="0B4B6243" w14:textId="77777777" w:rsidR="001C339C" w:rsidRDefault="001C339C" w:rsidP="00021EF3"/>
    <w:p w14:paraId="3E30C419" w14:textId="77777777" w:rsidR="001C339C" w:rsidRDefault="001C339C" w:rsidP="00021EF3"/>
    <w:p w14:paraId="56E2E2FB" w14:textId="77777777" w:rsidR="001C339C" w:rsidRDefault="001C339C" w:rsidP="00021EF3"/>
    <w:p w14:paraId="0B8F8C35" w14:textId="77777777" w:rsidR="001C339C" w:rsidRDefault="001C339C" w:rsidP="00021EF3"/>
    <w:p w14:paraId="3654F578" w14:textId="77777777" w:rsidR="001C339C" w:rsidRDefault="001C339C" w:rsidP="00021EF3"/>
    <w:p w14:paraId="4E4C86AB" w14:textId="77777777" w:rsidR="001C339C" w:rsidRDefault="001C339C" w:rsidP="00021EF3"/>
    <w:p w14:paraId="37CE31EC" w14:textId="0157C17A" w:rsidR="00566F5D" w:rsidRDefault="009B07A3" w:rsidP="00021EF3">
      <w:r w:rsidRPr="00F327A9">
        <w:rPr>
          <w:rFonts w:ascii="Calibri" w:hAnsi="Calibri" w:cs="Calibri"/>
          <w:noProof/>
        </w:rPr>
        <mc:AlternateContent>
          <mc:Choice Requires="wpg">
            <w:drawing>
              <wp:anchor distT="0" distB="0" distL="114300" distR="114300" simplePos="0" relativeHeight="251661824" behindDoc="0" locked="0" layoutInCell="1" allowOverlap="1" wp14:anchorId="0AA0857E" wp14:editId="47420D90">
                <wp:simplePos x="0" y="0"/>
                <wp:positionH relativeFrom="column">
                  <wp:posOffset>4306974</wp:posOffset>
                </wp:positionH>
                <wp:positionV relativeFrom="paragraph">
                  <wp:posOffset>377858</wp:posOffset>
                </wp:positionV>
                <wp:extent cx="1123200" cy="1123200"/>
                <wp:effectExtent l="0" t="0" r="1270" b="1270"/>
                <wp:wrapNone/>
                <wp:docPr id="1489793655" name="Group 14897936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3200" cy="1123200"/>
                          <a:chOff x="-1" y="1"/>
                          <a:chExt cx="1123203" cy="1123198"/>
                        </a:xfrm>
                      </wpg:grpSpPr>
                      <wps:wsp>
                        <wps:cNvPr id="1489793656" name="Oval 1489793656"/>
                        <wps:cNvSpPr/>
                        <wps:spPr bwMode="gray">
                          <a:xfrm>
                            <a:off x="94841" y="19845"/>
                            <a:ext cx="1016866" cy="1061912"/>
                          </a:xfrm>
                          <a:prstGeom prst="ellipse">
                            <a:avLst/>
                          </a:prstGeom>
                          <a:solidFill>
                            <a:schemeClr val="bg1"/>
                          </a:solidFill>
                          <a:ln w="19050" algn="ctr">
                            <a:noFill/>
                            <a:miter lim="800000"/>
                            <a:headEnd/>
                            <a:tailEnd/>
                          </a:ln>
                        </wps:spPr>
                        <wps:bodyPr wrap="square" lIns="88900" tIns="88900" rIns="88900" bIns="88900" rtlCol="0" anchor="ctr"/>
                      </wps:wsp>
                      <wpg:grpSp>
                        <wpg:cNvPr id="1489793657" name="Graphic 4"/>
                        <wpg:cNvGrpSpPr/>
                        <wpg:grpSpPr>
                          <a:xfrm>
                            <a:off x="-1" y="1"/>
                            <a:ext cx="1123203" cy="1123198"/>
                            <a:chOff x="0" y="0"/>
                            <a:chExt cx="361670" cy="361333"/>
                          </a:xfrm>
                          <a:solidFill>
                            <a:schemeClr val="accent1"/>
                          </a:solidFill>
                        </wpg:grpSpPr>
                        <wps:wsp>
                          <wps:cNvPr id="1489793658" name="Graphic 4"/>
                          <wps:cNvSpPr/>
                          <wps:spPr>
                            <a:xfrm>
                              <a:off x="237227" y="150141"/>
                              <a:ext cx="18371" cy="7964"/>
                            </a:xfrm>
                            <a:custGeom>
                              <a:avLst/>
                              <a:gdLst>
                                <a:gd name="connsiteX0" fmla="*/ 15815 w 18371"/>
                                <a:gd name="connsiteY0" fmla="*/ 2436 h 7964"/>
                                <a:gd name="connsiteX1" fmla="*/ 4952 w 18371"/>
                                <a:gd name="connsiteY1" fmla="*/ 521 h 7964"/>
                                <a:gd name="connsiteX2" fmla="*/ 479 w 18371"/>
                                <a:gd name="connsiteY2" fmla="*/ 3713 h 7964"/>
                                <a:gd name="connsiteX3" fmla="*/ 479 w 18371"/>
                                <a:gd name="connsiteY3" fmla="*/ 7544 h 7964"/>
                                <a:gd name="connsiteX4" fmla="*/ 18371 w 18371"/>
                                <a:gd name="connsiteY4" fmla="*/ 5628 h 7964"/>
                                <a:gd name="connsiteX5" fmla="*/ 15815 w 18371"/>
                                <a:gd name="connsiteY5" fmla="*/ 2436 h 7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371" h="7964">
                                  <a:moveTo>
                                    <a:pt x="15815" y="2436"/>
                                  </a:moveTo>
                                  <a:cubicBezTo>
                                    <a:pt x="10703" y="-756"/>
                                    <a:pt x="6869" y="-117"/>
                                    <a:pt x="4952" y="521"/>
                                  </a:cubicBezTo>
                                  <a:cubicBezTo>
                                    <a:pt x="2396" y="1160"/>
                                    <a:pt x="1118" y="3075"/>
                                    <a:pt x="479" y="3713"/>
                                  </a:cubicBezTo>
                                  <a:cubicBezTo>
                                    <a:pt x="-160" y="4990"/>
                                    <a:pt x="-160" y="6905"/>
                                    <a:pt x="479" y="7544"/>
                                  </a:cubicBezTo>
                                  <a:cubicBezTo>
                                    <a:pt x="4313" y="8820"/>
                                    <a:pt x="14537" y="6905"/>
                                    <a:pt x="18371" y="5628"/>
                                  </a:cubicBezTo>
                                  <a:cubicBezTo>
                                    <a:pt x="18371" y="4990"/>
                                    <a:pt x="18371" y="3713"/>
                                    <a:pt x="15815" y="2436"/>
                                  </a:cubicBezTo>
                                  <a:close/>
                                </a:path>
                              </a:pathLst>
                            </a:custGeom>
                            <a:grpFill/>
                            <a:ln w="6390" cap="flat">
                              <a:noFill/>
                              <a:prstDash val="solid"/>
                              <a:miter/>
                            </a:ln>
                          </wps:spPr>
                          <wps:bodyPr rtlCol="0" anchor="ctr"/>
                        </wps:wsp>
                        <wps:wsp>
                          <wps:cNvPr id="1489793659" name="Graphic 4"/>
                          <wps:cNvSpPr/>
                          <wps:spPr>
                            <a:xfrm>
                              <a:off x="191698" y="141725"/>
                              <a:ext cx="17891" cy="10852"/>
                            </a:xfrm>
                            <a:custGeom>
                              <a:avLst/>
                              <a:gdLst>
                                <a:gd name="connsiteX0" fmla="*/ 17892 w 17891"/>
                                <a:gd name="connsiteY0" fmla="*/ 7022 h 10852"/>
                                <a:gd name="connsiteX1" fmla="*/ 14697 w 17891"/>
                                <a:gd name="connsiteY1" fmla="*/ 2554 h 10852"/>
                                <a:gd name="connsiteX2" fmla="*/ 7029 w 17891"/>
                                <a:gd name="connsiteY2" fmla="*/ 0 h 10852"/>
                                <a:gd name="connsiteX3" fmla="*/ 3834 w 17891"/>
                                <a:gd name="connsiteY3" fmla="*/ 638 h 10852"/>
                                <a:gd name="connsiteX4" fmla="*/ 3834 w 17891"/>
                                <a:gd name="connsiteY4" fmla="*/ 638 h 10852"/>
                                <a:gd name="connsiteX5" fmla="*/ 0 w 17891"/>
                                <a:gd name="connsiteY5" fmla="*/ 2554 h 10852"/>
                                <a:gd name="connsiteX6" fmla="*/ 16614 w 17891"/>
                                <a:gd name="connsiteY6" fmla="*/ 10853 h 10852"/>
                                <a:gd name="connsiteX7" fmla="*/ 17892 w 17891"/>
                                <a:gd name="connsiteY7" fmla="*/ 7022 h 10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891" h="10852">
                                  <a:moveTo>
                                    <a:pt x="17892" y="7022"/>
                                  </a:moveTo>
                                  <a:cubicBezTo>
                                    <a:pt x="17892" y="5746"/>
                                    <a:pt x="16614" y="3830"/>
                                    <a:pt x="14697" y="2554"/>
                                  </a:cubicBezTo>
                                  <a:cubicBezTo>
                                    <a:pt x="13419" y="1277"/>
                                    <a:pt x="10863" y="0"/>
                                    <a:pt x="7029" y="0"/>
                                  </a:cubicBezTo>
                                  <a:cubicBezTo>
                                    <a:pt x="5751" y="0"/>
                                    <a:pt x="4473" y="0"/>
                                    <a:pt x="3834" y="638"/>
                                  </a:cubicBezTo>
                                  <a:lnTo>
                                    <a:pt x="3834" y="638"/>
                                  </a:lnTo>
                                  <a:cubicBezTo>
                                    <a:pt x="1278" y="1277"/>
                                    <a:pt x="0" y="1915"/>
                                    <a:pt x="0" y="2554"/>
                                  </a:cubicBezTo>
                                  <a:cubicBezTo>
                                    <a:pt x="3195" y="5746"/>
                                    <a:pt x="12141" y="10853"/>
                                    <a:pt x="16614" y="10853"/>
                                  </a:cubicBezTo>
                                  <a:cubicBezTo>
                                    <a:pt x="17253" y="10214"/>
                                    <a:pt x="17892" y="8938"/>
                                    <a:pt x="17892" y="7022"/>
                                  </a:cubicBezTo>
                                  <a:close/>
                                </a:path>
                              </a:pathLst>
                            </a:custGeom>
                            <a:grpFill/>
                            <a:ln w="6390" cap="flat">
                              <a:noFill/>
                              <a:prstDash val="solid"/>
                              <a:miter/>
                            </a:ln>
                          </wps:spPr>
                          <wps:bodyPr rtlCol="0" anchor="ctr"/>
                        </wps:wsp>
                        <wps:wsp>
                          <wps:cNvPr id="70" name="Graphic 4"/>
                          <wps:cNvSpPr/>
                          <wps:spPr>
                            <a:xfrm>
                              <a:off x="85478" y="127680"/>
                              <a:ext cx="108776" cy="134702"/>
                            </a:xfrm>
                            <a:custGeom>
                              <a:avLst/>
                              <a:gdLst>
                                <a:gd name="connsiteX0" fmla="*/ 88968 w 108776"/>
                                <a:gd name="connsiteY0" fmla="*/ 92568 h 134702"/>
                                <a:gd name="connsiteX1" fmla="*/ 72993 w 108776"/>
                                <a:gd name="connsiteY1" fmla="*/ 93206 h 134702"/>
                                <a:gd name="connsiteX2" fmla="*/ 61491 w 108776"/>
                                <a:gd name="connsiteY2" fmla="*/ 115550 h 134702"/>
                                <a:gd name="connsiteX3" fmla="*/ 57018 w 108776"/>
                                <a:gd name="connsiteY3" fmla="*/ 123211 h 134702"/>
                                <a:gd name="connsiteX4" fmla="*/ 55740 w 108776"/>
                                <a:gd name="connsiteY4" fmla="*/ 123211 h 134702"/>
                                <a:gd name="connsiteX5" fmla="*/ 49350 w 108776"/>
                                <a:gd name="connsiteY5" fmla="*/ 118104 h 134702"/>
                                <a:gd name="connsiteX6" fmla="*/ 67881 w 108776"/>
                                <a:gd name="connsiteY6" fmla="*/ 81076 h 134702"/>
                                <a:gd name="connsiteX7" fmla="*/ 81300 w 108776"/>
                                <a:gd name="connsiteY7" fmla="*/ 78523 h 134702"/>
                                <a:gd name="connsiteX8" fmla="*/ 76827 w 108776"/>
                                <a:gd name="connsiteY8" fmla="*/ 62563 h 134702"/>
                                <a:gd name="connsiteX9" fmla="*/ 72993 w 108776"/>
                                <a:gd name="connsiteY9" fmla="*/ 63201 h 134702"/>
                                <a:gd name="connsiteX10" fmla="*/ 69159 w 108776"/>
                                <a:gd name="connsiteY10" fmla="*/ 62563 h 134702"/>
                                <a:gd name="connsiteX11" fmla="*/ 60852 w 108776"/>
                                <a:gd name="connsiteY11" fmla="*/ 45965 h 134702"/>
                                <a:gd name="connsiteX12" fmla="*/ 75549 w 108776"/>
                                <a:gd name="connsiteY12" fmla="*/ 33197 h 134702"/>
                                <a:gd name="connsiteX13" fmla="*/ 75549 w 108776"/>
                                <a:gd name="connsiteY13" fmla="*/ 29366 h 134702"/>
                                <a:gd name="connsiteX14" fmla="*/ 79383 w 108776"/>
                                <a:gd name="connsiteY14" fmla="*/ 0 h 134702"/>
                                <a:gd name="connsiteX15" fmla="*/ 77466 w 108776"/>
                                <a:gd name="connsiteY15" fmla="*/ 1277 h 134702"/>
                                <a:gd name="connsiteX16" fmla="*/ 42960 w 108776"/>
                                <a:gd name="connsiteY16" fmla="*/ 22982 h 134702"/>
                                <a:gd name="connsiteX17" fmla="*/ 3981 w 108776"/>
                                <a:gd name="connsiteY17" fmla="*/ 32558 h 134702"/>
                                <a:gd name="connsiteX18" fmla="*/ 786 w 108776"/>
                                <a:gd name="connsiteY18" fmla="*/ 33835 h 134702"/>
                                <a:gd name="connsiteX19" fmla="*/ 19956 w 108776"/>
                                <a:gd name="connsiteY19" fmla="*/ 91291 h 134702"/>
                                <a:gd name="connsiteX20" fmla="*/ 89607 w 108776"/>
                                <a:gd name="connsiteY20" fmla="*/ 132148 h 134702"/>
                                <a:gd name="connsiteX21" fmla="*/ 108776 w 108776"/>
                                <a:gd name="connsiteY21" fmla="*/ 111720 h 134702"/>
                                <a:gd name="connsiteX22" fmla="*/ 88968 w 108776"/>
                                <a:gd name="connsiteY22" fmla="*/ 92568 h 134702"/>
                                <a:gd name="connsiteX23" fmla="*/ 32736 w 108776"/>
                                <a:gd name="connsiteY23" fmla="*/ 84268 h 134702"/>
                                <a:gd name="connsiteX24" fmla="*/ 29541 w 108776"/>
                                <a:gd name="connsiteY24" fmla="*/ 84907 h 134702"/>
                                <a:gd name="connsiteX25" fmla="*/ 19317 w 108776"/>
                                <a:gd name="connsiteY25" fmla="*/ 80438 h 134702"/>
                                <a:gd name="connsiteX26" fmla="*/ 17400 w 108776"/>
                                <a:gd name="connsiteY26" fmla="*/ 63201 h 134702"/>
                                <a:gd name="connsiteX27" fmla="*/ 32736 w 108776"/>
                                <a:gd name="connsiteY27" fmla="*/ 47880 h 134702"/>
                                <a:gd name="connsiteX28" fmla="*/ 48711 w 108776"/>
                                <a:gd name="connsiteY28" fmla="*/ 49157 h 134702"/>
                                <a:gd name="connsiteX29" fmla="*/ 55740 w 108776"/>
                                <a:gd name="connsiteY29" fmla="*/ 68947 h 134702"/>
                                <a:gd name="connsiteX30" fmla="*/ 55740 w 108776"/>
                                <a:gd name="connsiteY30" fmla="*/ 68947 h 134702"/>
                                <a:gd name="connsiteX31" fmla="*/ 32736 w 108776"/>
                                <a:gd name="connsiteY31" fmla="*/ 84268 h 13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776" h="134702">
                                  <a:moveTo>
                                    <a:pt x="88968" y="92568"/>
                                  </a:moveTo>
                                  <a:cubicBezTo>
                                    <a:pt x="83217" y="90652"/>
                                    <a:pt x="78105" y="90652"/>
                                    <a:pt x="72993" y="93206"/>
                                  </a:cubicBezTo>
                                  <a:cubicBezTo>
                                    <a:pt x="62769" y="97675"/>
                                    <a:pt x="58935" y="104697"/>
                                    <a:pt x="61491" y="115550"/>
                                  </a:cubicBezTo>
                                  <a:cubicBezTo>
                                    <a:pt x="62130" y="118742"/>
                                    <a:pt x="60213" y="122572"/>
                                    <a:pt x="57018" y="123211"/>
                                  </a:cubicBezTo>
                                  <a:cubicBezTo>
                                    <a:pt x="56379" y="123211"/>
                                    <a:pt x="55740" y="123211"/>
                                    <a:pt x="55740" y="123211"/>
                                  </a:cubicBezTo>
                                  <a:cubicBezTo>
                                    <a:pt x="53184" y="123211"/>
                                    <a:pt x="49989" y="121296"/>
                                    <a:pt x="49350" y="118104"/>
                                  </a:cubicBezTo>
                                  <a:cubicBezTo>
                                    <a:pt x="44877" y="101505"/>
                                    <a:pt x="51906" y="88099"/>
                                    <a:pt x="67881" y="81076"/>
                                  </a:cubicBezTo>
                                  <a:cubicBezTo>
                                    <a:pt x="72354" y="79161"/>
                                    <a:pt x="76827" y="78523"/>
                                    <a:pt x="81300" y="78523"/>
                                  </a:cubicBezTo>
                                  <a:cubicBezTo>
                                    <a:pt x="79383" y="73416"/>
                                    <a:pt x="77466" y="68308"/>
                                    <a:pt x="76827" y="62563"/>
                                  </a:cubicBezTo>
                                  <a:cubicBezTo>
                                    <a:pt x="75549" y="62563"/>
                                    <a:pt x="74271" y="63201"/>
                                    <a:pt x="72993" y="63201"/>
                                  </a:cubicBezTo>
                                  <a:cubicBezTo>
                                    <a:pt x="71715" y="63201"/>
                                    <a:pt x="70437" y="63201"/>
                                    <a:pt x="69159" y="62563"/>
                                  </a:cubicBezTo>
                                  <a:cubicBezTo>
                                    <a:pt x="62769" y="61286"/>
                                    <a:pt x="58935" y="52987"/>
                                    <a:pt x="60852" y="45965"/>
                                  </a:cubicBezTo>
                                  <a:cubicBezTo>
                                    <a:pt x="62130" y="39581"/>
                                    <a:pt x="67881" y="34473"/>
                                    <a:pt x="75549" y="33197"/>
                                  </a:cubicBezTo>
                                  <a:cubicBezTo>
                                    <a:pt x="75549" y="31920"/>
                                    <a:pt x="75549" y="30643"/>
                                    <a:pt x="75549" y="29366"/>
                                  </a:cubicBezTo>
                                  <a:cubicBezTo>
                                    <a:pt x="76827" y="17875"/>
                                    <a:pt x="78105" y="8299"/>
                                    <a:pt x="79383" y="0"/>
                                  </a:cubicBezTo>
                                  <a:cubicBezTo>
                                    <a:pt x="78744" y="0"/>
                                    <a:pt x="78105" y="638"/>
                                    <a:pt x="77466" y="1277"/>
                                  </a:cubicBezTo>
                                  <a:cubicBezTo>
                                    <a:pt x="62130" y="15322"/>
                                    <a:pt x="43599" y="22344"/>
                                    <a:pt x="42960" y="22982"/>
                                  </a:cubicBezTo>
                                  <a:cubicBezTo>
                                    <a:pt x="42321" y="22982"/>
                                    <a:pt x="24429" y="31281"/>
                                    <a:pt x="3981" y="32558"/>
                                  </a:cubicBezTo>
                                  <a:cubicBezTo>
                                    <a:pt x="1426" y="32558"/>
                                    <a:pt x="786" y="33835"/>
                                    <a:pt x="786" y="33835"/>
                                  </a:cubicBezTo>
                                  <a:cubicBezTo>
                                    <a:pt x="-492" y="36389"/>
                                    <a:pt x="-3048" y="47241"/>
                                    <a:pt x="19956" y="91291"/>
                                  </a:cubicBezTo>
                                  <a:cubicBezTo>
                                    <a:pt x="39126" y="128956"/>
                                    <a:pt x="70437" y="140448"/>
                                    <a:pt x="89607" y="132148"/>
                                  </a:cubicBezTo>
                                  <a:cubicBezTo>
                                    <a:pt x="97913" y="128318"/>
                                    <a:pt x="104303" y="121296"/>
                                    <a:pt x="108776" y="111720"/>
                                  </a:cubicBezTo>
                                  <a:cubicBezTo>
                                    <a:pt x="101747" y="107251"/>
                                    <a:pt x="94718" y="100867"/>
                                    <a:pt x="88968" y="92568"/>
                                  </a:cubicBezTo>
                                  <a:close/>
                                  <a:moveTo>
                                    <a:pt x="32736" y="84268"/>
                                  </a:moveTo>
                                  <a:cubicBezTo>
                                    <a:pt x="31458" y="84268"/>
                                    <a:pt x="30819" y="84907"/>
                                    <a:pt x="29541" y="84907"/>
                                  </a:cubicBezTo>
                                  <a:cubicBezTo>
                                    <a:pt x="25707" y="84907"/>
                                    <a:pt x="21873" y="82992"/>
                                    <a:pt x="19317" y="80438"/>
                                  </a:cubicBezTo>
                                  <a:cubicBezTo>
                                    <a:pt x="17400" y="77884"/>
                                    <a:pt x="14205" y="72139"/>
                                    <a:pt x="17400" y="63201"/>
                                  </a:cubicBezTo>
                                  <a:cubicBezTo>
                                    <a:pt x="20595" y="55541"/>
                                    <a:pt x="25707" y="50433"/>
                                    <a:pt x="32736" y="47880"/>
                                  </a:cubicBezTo>
                                  <a:cubicBezTo>
                                    <a:pt x="38487" y="45965"/>
                                    <a:pt x="44238" y="46603"/>
                                    <a:pt x="48711" y="49157"/>
                                  </a:cubicBezTo>
                                  <a:cubicBezTo>
                                    <a:pt x="55740" y="53625"/>
                                    <a:pt x="58935" y="62563"/>
                                    <a:pt x="55740" y="68947"/>
                                  </a:cubicBezTo>
                                  <a:lnTo>
                                    <a:pt x="55740" y="68947"/>
                                  </a:lnTo>
                                  <a:cubicBezTo>
                                    <a:pt x="51906" y="77246"/>
                                    <a:pt x="36570" y="83630"/>
                                    <a:pt x="32736" y="84268"/>
                                  </a:cubicBezTo>
                                  <a:close/>
                                </a:path>
                              </a:pathLst>
                            </a:custGeom>
                            <a:grpFill/>
                            <a:ln w="6390" cap="flat">
                              <a:noFill/>
                              <a:prstDash val="solid"/>
                              <a:miter/>
                            </a:ln>
                          </wps:spPr>
                          <wps:bodyPr rtlCol="0" anchor="ctr"/>
                        </wps:wsp>
                        <wps:wsp>
                          <wps:cNvPr id="71" name="Graphic 4"/>
                          <wps:cNvSpPr/>
                          <wps:spPr>
                            <a:xfrm>
                              <a:off x="0" y="0"/>
                              <a:ext cx="361670" cy="361333"/>
                            </a:xfrm>
                            <a:custGeom>
                              <a:avLst/>
                              <a:gdLst>
                                <a:gd name="connsiteX0" fmla="*/ 180835 w 361670"/>
                                <a:gd name="connsiteY0" fmla="*/ 0 h 361333"/>
                                <a:gd name="connsiteX1" fmla="*/ 0 w 361670"/>
                                <a:gd name="connsiteY1" fmla="*/ 180667 h 361333"/>
                                <a:gd name="connsiteX2" fmla="*/ 180835 w 361670"/>
                                <a:gd name="connsiteY2" fmla="*/ 361333 h 361333"/>
                                <a:gd name="connsiteX3" fmla="*/ 361670 w 361670"/>
                                <a:gd name="connsiteY3" fmla="*/ 180667 h 361333"/>
                                <a:gd name="connsiteX4" fmla="*/ 180835 w 361670"/>
                                <a:gd name="connsiteY4" fmla="*/ 0 h 361333"/>
                                <a:gd name="connsiteX5" fmla="*/ 280518 w 361670"/>
                                <a:gd name="connsiteY5" fmla="*/ 178113 h 361333"/>
                                <a:gd name="connsiteX6" fmla="*/ 214702 w 361670"/>
                                <a:gd name="connsiteY6" fmla="*/ 243868 h 361333"/>
                                <a:gd name="connsiteX7" fmla="*/ 207034 w 361670"/>
                                <a:gd name="connsiteY7" fmla="*/ 243230 h 361333"/>
                                <a:gd name="connsiteX8" fmla="*/ 206395 w 361670"/>
                                <a:gd name="connsiteY8" fmla="*/ 243230 h 361333"/>
                                <a:gd name="connsiteX9" fmla="*/ 180196 w 361670"/>
                                <a:gd name="connsiteY9" fmla="*/ 271319 h 361333"/>
                                <a:gd name="connsiteX10" fmla="*/ 161665 w 361670"/>
                                <a:gd name="connsiteY10" fmla="*/ 275149 h 361333"/>
                                <a:gd name="connsiteX11" fmla="*/ 93932 w 361670"/>
                                <a:gd name="connsiteY11" fmla="*/ 225355 h 361333"/>
                                <a:gd name="connsiteX12" fmla="*/ 75401 w 361670"/>
                                <a:gd name="connsiteY12" fmla="*/ 155769 h 361333"/>
                                <a:gd name="connsiteX13" fmla="*/ 88820 w 361670"/>
                                <a:gd name="connsiteY13" fmla="*/ 148108 h 361333"/>
                                <a:gd name="connsiteX14" fmla="*/ 123326 w 361670"/>
                                <a:gd name="connsiteY14" fmla="*/ 139171 h 361333"/>
                                <a:gd name="connsiteX15" fmla="*/ 153998 w 361670"/>
                                <a:gd name="connsiteY15" fmla="*/ 120019 h 361333"/>
                                <a:gd name="connsiteX16" fmla="*/ 167416 w 361670"/>
                                <a:gd name="connsiteY16" fmla="*/ 115550 h 361333"/>
                                <a:gd name="connsiteX17" fmla="*/ 182752 w 361670"/>
                                <a:gd name="connsiteY17" fmla="*/ 89376 h 361333"/>
                                <a:gd name="connsiteX18" fmla="*/ 198088 w 361670"/>
                                <a:gd name="connsiteY18" fmla="*/ 90014 h 361333"/>
                                <a:gd name="connsiteX19" fmla="*/ 231955 w 361670"/>
                                <a:gd name="connsiteY19" fmla="*/ 101505 h 361333"/>
                                <a:gd name="connsiteX20" fmla="*/ 268377 w 361670"/>
                                <a:gd name="connsiteY20" fmla="*/ 102144 h 361333"/>
                                <a:gd name="connsiteX21" fmla="*/ 283074 w 361670"/>
                                <a:gd name="connsiteY21" fmla="*/ 106612 h 361333"/>
                                <a:gd name="connsiteX22" fmla="*/ 280518 w 361670"/>
                                <a:gd name="connsiteY22" fmla="*/ 178113 h 361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61670" h="361333">
                                  <a:moveTo>
                                    <a:pt x="180835" y="0"/>
                                  </a:moveTo>
                                  <a:cubicBezTo>
                                    <a:pt x="80513" y="0"/>
                                    <a:pt x="0" y="81076"/>
                                    <a:pt x="0" y="180667"/>
                                  </a:cubicBezTo>
                                  <a:cubicBezTo>
                                    <a:pt x="0" y="280257"/>
                                    <a:pt x="81152" y="361333"/>
                                    <a:pt x="180835" y="361333"/>
                                  </a:cubicBezTo>
                                  <a:cubicBezTo>
                                    <a:pt x="281157" y="361333"/>
                                    <a:pt x="361670" y="280257"/>
                                    <a:pt x="361670" y="180667"/>
                                  </a:cubicBezTo>
                                  <a:cubicBezTo>
                                    <a:pt x="361670" y="81076"/>
                                    <a:pt x="281157" y="0"/>
                                    <a:pt x="180835" y="0"/>
                                  </a:cubicBezTo>
                                  <a:close/>
                                  <a:moveTo>
                                    <a:pt x="280518" y="178113"/>
                                  </a:moveTo>
                                  <a:cubicBezTo>
                                    <a:pt x="269016" y="222801"/>
                                    <a:pt x="240262" y="243868"/>
                                    <a:pt x="214702" y="243868"/>
                                  </a:cubicBezTo>
                                  <a:cubicBezTo>
                                    <a:pt x="212146" y="243868"/>
                                    <a:pt x="209590" y="243868"/>
                                    <a:pt x="207034" y="243230"/>
                                  </a:cubicBezTo>
                                  <a:lnTo>
                                    <a:pt x="206395" y="243230"/>
                                  </a:lnTo>
                                  <a:cubicBezTo>
                                    <a:pt x="200644" y="256636"/>
                                    <a:pt x="191698" y="266212"/>
                                    <a:pt x="180196" y="271319"/>
                                  </a:cubicBezTo>
                                  <a:cubicBezTo>
                                    <a:pt x="174445" y="273873"/>
                                    <a:pt x="168055" y="275149"/>
                                    <a:pt x="161665" y="275149"/>
                                  </a:cubicBezTo>
                                  <a:cubicBezTo>
                                    <a:pt x="138662" y="275149"/>
                                    <a:pt x="111824" y="259828"/>
                                    <a:pt x="93932" y="225355"/>
                                  </a:cubicBezTo>
                                  <a:cubicBezTo>
                                    <a:pt x="74762" y="188327"/>
                                    <a:pt x="69011" y="167260"/>
                                    <a:pt x="75401" y="155769"/>
                                  </a:cubicBezTo>
                                  <a:cubicBezTo>
                                    <a:pt x="77318" y="152577"/>
                                    <a:pt x="81152" y="148747"/>
                                    <a:pt x="88820" y="148108"/>
                                  </a:cubicBezTo>
                                  <a:cubicBezTo>
                                    <a:pt x="106712" y="146832"/>
                                    <a:pt x="123326" y="139171"/>
                                    <a:pt x="123326" y="139171"/>
                                  </a:cubicBezTo>
                                  <a:cubicBezTo>
                                    <a:pt x="123965" y="139171"/>
                                    <a:pt x="140579" y="132148"/>
                                    <a:pt x="153998" y="120019"/>
                                  </a:cubicBezTo>
                                  <a:cubicBezTo>
                                    <a:pt x="157831" y="116188"/>
                                    <a:pt x="162304" y="114912"/>
                                    <a:pt x="167416" y="115550"/>
                                  </a:cubicBezTo>
                                  <a:cubicBezTo>
                                    <a:pt x="171250" y="101505"/>
                                    <a:pt x="176362" y="93206"/>
                                    <a:pt x="182752" y="89376"/>
                                  </a:cubicBezTo>
                                  <a:cubicBezTo>
                                    <a:pt x="185947" y="87460"/>
                                    <a:pt x="191698" y="86184"/>
                                    <a:pt x="198088" y="90014"/>
                                  </a:cubicBezTo>
                                  <a:cubicBezTo>
                                    <a:pt x="213424" y="98952"/>
                                    <a:pt x="231955" y="101505"/>
                                    <a:pt x="231955" y="101505"/>
                                  </a:cubicBezTo>
                                  <a:cubicBezTo>
                                    <a:pt x="232594" y="101505"/>
                                    <a:pt x="249847" y="104697"/>
                                    <a:pt x="268377" y="102144"/>
                                  </a:cubicBezTo>
                                  <a:cubicBezTo>
                                    <a:pt x="276045" y="100867"/>
                                    <a:pt x="280518" y="104059"/>
                                    <a:pt x="283074" y="106612"/>
                                  </a:cubicBezTo>
                                  <a:cubicBezTo>
                                    <a:pt x="292020" y="115550"/>
                                    <a:pt x="291381" y="137256"/>
                                    <a:pt x="280518" y="178113"/>
                                  </a:cubicBezTo>
                                  <a:close/>
                                </a:path>
                              </a:pathLst>
                            </a:custGeom>
                            <a:grpFill/>
                            <a:ln w="6390" cap="flat">
                              <a:noFill/>
                              <a:prstDash val="solid"/>
                              <a:miter/>
                            </a:ln>
                          </wps:spPr>
                          <wps:bodyPr rtlCol="0" anchor="ctr"/>
                        </wps:wsp>
                        <wps:wsp>
                          <wps:cNvPr id="72" name="Graphic 4"/>
                          <wps:cNvSpPr/>
                          <wps:spPr>
                            <a:xfrm>
                              <a:off x="158471" y="174283"/>
                              <a:ext cx="1917" cy="3830"/>
                            </a:xfrm>
                            <a:custGeom>
                              <a:avLst/>
                              <a:gdLst>
                                <a:gd name="connsiteX0" fmla="*/ 0 w 1917"/>
                                <a:gd name="connsiteY0" fmla="*/ 1915 h 3830"/>
                                <a:gd name="connsiteX1" fmla="*/ 0 w 1917"/>
                                <a:gd name="connsiteY1" fmla="*/ 3830 h 3830"/>
                                <a:gd name="connsiteX2" fmla="*/ 1917 w 1917"/>
                                <a:gd name="connsiteY2" fmla="*/ 3830 h 3830"/>
                                <a:gd name="connsiteX3" fmla="*/ 1917 w 1917"/>
                                <a:gd name="connsiteY3" fmla="*/ 0 h 3830"/>
                                <a:gd name="connsiteX4" fmla="*/ 0 w 1917"/>
                                <a:gd name="connsiteY4" fmla="*/ 1915 h 38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17" h="3830">
                                  <a:moveTo>
                                    <a:pt x="0" y="1915"/>
                                  </a:moveTo>
                                  <a:cubicBezTo>
                                    <a:pt x="0" y="2554"/>
                                    <a:pt x="0" y="3192"/>
                                    <a:pt x="0" y="3830"/>
                                  </a:cubicBezTo>
                                  <a:cubicBezTo>
                                    <a:pt x="639" y="3830"/>
                                    <a:pt x="1278" y="3830"/>
                                    <a:pt x="1917" y="3830"/>
                                  </a:cubicBezTo>
                                  <a:cubicBezTo>
                                    <a:pt x="1917" y="2554"/>
                                    <a:pt x="1917" y="1277"/>
                                    <a:pt x="1917" y="0"/>
                                  </a:cubicBezTo>
                                  <a:cubicBezTo>
                                    <a:pt x="639" y="638"/>
                                    <a:pt x="0" y="1277"/>
                                    <a:pt x="0" y="1915"/>
                                  </a:cubicBezTo>
                                  <a:close/>
                                </a:path>
                              </a:pathLst>
                            </a:custGeom>
                            <a:grpFill/>
                            <a:ln w="6390" cap="flat">
                              <a:noFill/>
                              <a:prstDash val="solid"/>
                              <a:miter/>
                            </a:ln>
                          </wps:spPr>
                          <wps:bodyPr rtlCol="0" anchor="ctr"/>
                        </wps:wsp>
                        <wps:wsp>
                          <wps:cNvPr id="73" name="Graphic 4"/>
                          <wps:cNvSpPr/>
                          <wps:spPr>
                            <a:xfrm>
                              <a:off x="114859" y="187051"/>
                              <a:ext cx="16134" cy="12767"/>
                            </a:xfrm>
                            <a:custGeom>
                              <a:avLst/>
                              <a:gdLst>
                                <a:gd name="connsiteX0" fmla="*/ 13579 w 16134"/>
                                <a:gd name="connsiteY0" fmla="*/ 638 h 12767"/>
                                <a:gd name="connsiteX1" fmla="*/ 11023 w 16134"/>
                                <a:gd name="connsiteY1" fmla="*/ 0 h 12767"/>
                                <a:gd name="connsiteX2" fmla="*/ 8467 w 16134"/>
                                <a:gd name="connsiteY2" fmla="*/ 638 h 12767"/>
                                <a:gd name="connsiteX3" fmla="*/ 799 w 16134"/>
                                <a:gd name="connsiteY3" fmla="*/ 8938 h 12767"/>
                                <a:gd name="connsiteX4" fmla="*/ 160 w 16134"/>
                                <a:gd name="connsiteY4" fmla="*/ 12768 h 12767"/>
                                <a:gd name="connsiteX5" fmla="*/ 16135 w 16134"/>
                                <a:gd name="connsiteY5" fmla="*/ 3830 h 12767"/>
                                <a:gd name="connsiteX6" fmla="*/ 13579 w 16134"/>
                                <a:gd name="connsiteY6" fmla="*/ 638 h 12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134" h="12767">
                                  <a:moveTo>
                                    <a:pt x="13579" y="638"/>
                                  </a:moveTo>
                                  <a:cubicBezTo>
                                    <a:pt x="12940" y="0"/>
                                    <a:pt x="12301" y="0"/>
                                    <a:pt x="11023" y="0"/>
                                  </a:cubicBezTo>
                                  <a:cubicBezTo>
                                    <a:pt x="10384" y="0"/>
                                    <a:pt x="9106" y="0"/>
                                    <a:pt x="8467" y="638"/>
                                  </a:cubicBezTo>
                                  <a:cubicBezTo>
                                    <a:pt x="6550" y="1277"/>
                                    <a:pt x="2716" y="3192"/>
                                    <a:pt x="799" y="8938"/>
                                  </a:cubicBezTo>
                                  <a:cubicBezTo>
                                    <a:pt x="-479" y="11491"/>
                                    <a:pt x="160" y="12768"/>
                                    <a:pt x="160" y="12768"/>
                                  </a:cubicBezTo>
                                  <a:cubicBezTo>
                                    <a:pt x="4633" y="12130"/>
                                    <a:pt x="14218" y="7022"/>
                                    <a:pt x="16135" y="3830"/>
                                  </a:cubicBezTo>
                                  <a:cubicBezTo>
                                    <a:pt x="16135" y="3192"/>
                                    <a:pt x="15496" y="1277"/>
                                    <a:pt x="13579" y="638"/>
                                  </a:cubicBezTo>
                                  <a:close/>
                                </a:path>
                              </a:pathLst>
                            </a:custGeom>
                            <a:grpFill/>
                            <a:ln w="6390" cap="flat">
                              <a:noFill/>
                              <a:prstDash val="solid"/>
                              <a:miter/>
                            </a:ln>
                          </wps:spPr>
                          <wps:bodyPr rtlCol="0" anchor="ctr"/>
                        </wps:wsp>
                        <wps:wsp>
                          <wps:cNvPr id="74" name="Graphic 4"/>
                          <wps:cNvSpPr/>
                          <wps:spPr>
                            <a:xfrm>
                              <a:off x="173169" y="100229"/>
                              <a:ext cx="103781" cy="130725"/>
                            </a:xfrm>
                            <a:custGeom>
                              <a:avLst/>
                              <a:gdLst>
                                <a:gd name="connsiteX0" fmla="*/ 97125 w 103781"/>
                                <a:gd name="connsiteY0" fmla="*/ 14045 h 130725"/>
                                <a:gd name="connsiteX1" fmla="*/ 56869 w 103781"/>
                                <a:gd name="connsiteY1" fmla="*/ 13406 h 130725"/>
                                <a:gd name="connsiteX2" fmla="*/ 19168 w 103781"/>
                                <a:gd name="connsiteY2" fmla="*/ 638 h 130725"/>
                                <a:gd name="connsiteX3" fmla="*/ 16612 w 103781"/>
                                <a:gd name="connsiteY3" fmla="*/ 0 h 130725"/>
                                <a:gd name="connsiteX4" fmla="*/ 15973 w 103781"/>
                                <a:gd name="connsiteY4" fmla="*/ 0 h 130725"/>
                                <a:gd name="connsiteX5" fmla="*/ 637 w 103781"/>
                                <a:gd name="connsiteY5" fmla="*/ 58094 h 130725"/>
                                <a:gd name="connsiteX6" fmla="*/ 37060 w 103781"/>
                                <a:gd name="connsiteY6" fmla="*/ 130233 h 130725"/>
                                <a:gd name="connsiteX7" fmla="*/ 95847 w 103781"/>
                                <a:gd name="connsiteY7" fmla="*/ 74693 h 130725"/>
                                <a:gd name="connsiteX8" fmla="*/ 101598 w 103781"/>
                                <a:gd name="connsiteY8" fmla="*/ 14683 h 130725"/>
                                <a:gd name="connsiteX9" fmla="*/ 97125 w 103781"/>
                                <a:gd name="connsiteY9" fmla="*/ 14045 h 130725"/>
                                <a:gd name="connsiteX10" fmla="*/ 6388 w 103781"/>
                                <a:gd name="connsiteY10" fmla="*/ 40219 h 130725"/>
                                <a:gd name="connsiteX11" fmla="*/ 19807 w 103781"/>
                                <a:gd name="connsiteY11" fmla="*/ 29366 h 130725"/>
                                <a:gd name="connsiteX12" fmla="*/ 41533 w 103781"/>
                                <a:gd name="connsiteY12" fmla="*/ 33835 h 130725"/>
                                <a:gd name="connsiteX13" fmla="*/ 49201 w 103781"/>
                                <a:gd name="connsiteY13" fmla="*/ 47880 h 130725"/>
                                <a:gd name="connsiteX14" fmla="*/ 36421 w 103781"/>
                                <a:gd name="connsiteY14" fmla="*/ 64478 h 130725"/>
                                <a:gd name="connsiteX15" fmla="*/ 35143 w 103781"/>
                                <a:gd name="connsiteY15" fmla="*/ 64478 h 130725"/>
                                <a:gd name="connsiteX16" fmla="*/ 9583 w 103781"/>
                                <a:gd name="connsiteY16" fmla="*/ 52987 h 130725"/>
                                <a:gd name="connsiteX17" fmla="*/ 6388 w 103781"/>
                                <a:gd name="connsiteY17" fmla="*/ 40219 h 130725"/>
                                <a:gd name="connsiteX18" fmla="*/ 78595 w 103781"/>
                                <a:gd name="connsiteY18" fmla="*/ 97675 h 130725"/>
                                <a:gd name="connsiteX19" fmla="*/ 49840 w 103781"/>
                                <a:gd name="connsiteY19" fmla="*/ 108528 h 130725"/>
                                <a:gd name="connsiteX20" fmla="*/ 38977 w 103781"/>
                                <a:gd name="connsiteY20" fmla="*/ 107251 h 130725"/>
                                <a:gd name="connsiteX21" fmla="*/ 8305 w 103781"/>
                                <a:gd name="connsiteY21" fmla="*/ 86184 h 130725"/>
                                <a:gd name="connsiteX22" fmla="*/ 7666 w 103781"/>
                                <a:gd name="connsiteY22" fmla="*/ 84907 h 130725"/>
                                <a:gd name="connsiteX23" fmla="*/ 7666 w 103781"/>
                                <a:gd name="connsiteY23" fmla="*/ 84907 h 130725"/>
                                <a:gd name="connsiteX24" fmla="*/ 7027 w 103781"/>
                                <a:gd name="connsiteY24" fmla="*/ 82353 h 130725"/>
                                <a:gd name="connsiteX25" fmla="*/ 12139 w 103781"/>
                                <a:gd name="connsiteY25" fmla="*/ 75969 h 130725"/>
                                <a:gd name="connsiteX26" fmla="*/ 19168 w 103781"/>
                                <a:gd name="connsiteY26" fmla="*/ 79800 h 130725"/>
                                <a:gd name="connsiteX27" fmla="*/ 19168 w 103781"/>
                                <a:gd name="connsiteY27" fmla="*/ 79800 h 130725"/>
                                <a:gd name="connsiteX28" fmla="*/ 40894 w 103781"/>
                                <a:gd name="connsiteY28" fmla="*/ 94483 h 130725"/>
                                <a:gd name="connsiteX29" fmla="*/ 68371 w 103781"/>
                                <a:gd name="connsiteY29" fmla="*/ 88737 h 130725"/>
                                <a:gd name="connsiteX30" fmla="*/ 77316 w 103781"/>
                                <a:gd name="connsiteY30" fmla="*/ 88099 h 130725"/>
                                <a:gd name="connsiteX31" fmla="*/ 78595 w 103781"/>
                                <a:gd name="connsiteY31" fmla="*/ 97675 h 130725"/>
                                <a:gd name="connsiteX32" fmla="*/ 95208 w 103781"/>
                                <a:gd name="connsiteY32" fmla="*/ 56179 h 130725"/>
                                <a:gd name="connsiteX33" fmla="*/ 86901 w 103781"/>
                                <a:gd name="connsiteY33" fmla="*/ 67032 h 130725"/>
                                <a:gd name="connsiteX34" fmla="*/ 86901 w 103781"/>
                                <a:gd name="connsiteY34" fmla="*/ 67032 h 130725"/>
                                <a:gd name="connsiteX35" fmla="*/ 67732 w 103781"/>
                                <a:gd name="connsiteY35" fmla="*/ 70224 h 130725"/>
                                <a:gd name="connsiteX36" fmla="*/ 58147 w 103781"/>
                                <a:gd name="connsiteY36" fmla="*/ 68309 h 130725"/>
                                <a:gd name="connsiteX37" fmla="*/ 52396 w 103781"/>
                                <a:gd name="connsiteY37" fmla="*/ 48518 h 130725"/>
                                <a:gd name="connsiteX38" fmla="*/ 64537 w 103781"/>
                                <a:gd name="connsiteY38" fmla="*/ 37665 h 130725"/>
                                <a:gd name="connsiteX39" fmla="*/ 86263 w 103781"/>
                                <a:gd name="connsiteY39" fmla="*/ 40857 h 130725"/>
                                <a:gd name="connsiteX40" fmla="*/ 95208 w 103781"/>
                                <a:gd name="connsiteY40" fmla="*/ 56179 h 130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03781" h="130725">
                                  <a:moveTo>
                                    <a:pt x="97125" y="14045"/>
                                  </a:moveTo>
                                  <a:cubicBezTo>
                                    <a:pt x="76678" y="17237"/>
                                    <a:pt x="57508" y="13406"/>
                                    <a:pt x="56869" y="13406"/>
                                  </a:cubicBezTo>
                                  <a:cubicBezTo>
                                    <a:pt x="56230" y="13406"/>
                                    <a:pt x="36421" y="10214"/>
                                    <a:pt x="19168" y="638"/>
                                  </a:cubicBezTo>
                                  <a:cubicBezTo>
                                    <a:pt x="17890" y="0"/>
                                    <a:pt x="17251" y="0"/>
                                    <a:pt x="16612" y="0"/>
                                  </a:cubicBezTo>
                                  <a:cubicBezTo>
                                    <a:pt x="15973" y="0"/>
                                    <a:pt x="15973" y="0"/>
                                    <a:pt x="15973" y="0"/>
                                  </a:cubicBezTo>
                                  <a:cubicBezTo>
                                    <a:pt x="13417" y="1277"/>
                                    <a:pt x="5749" y="8938"/>
                                    <a:pt x="637" y="58094"/>
                                  </a:cubicBezTo>
                                  <a:cubicBezTo>
                                    <a:pt x="-3836" y="100229"/>
                                    <a:pt x="15973" y="126403"/>
                                    <a:pt x="37060" y="130233"/>
                                  </a:cubicBezTo>
                                  <a:cubicBezTo>
                                    <a:pt x="57508" y="134064"/>
                                    <a:pt x="85623" y="115550"/>
                                    <a:pt x="95847" y="74693"/>
                                  </a:cubicBezTo>
                                  <a:cubicBezTo>
                                    <a:pt x="107349" y="28089"/>
                                    <a:pt x="103515" y="17237"/>
                                    <a:pt x="101598" y="14683"/>
                                  </a:cubicBezTo>
                                  <a:cubicBezTo>
                                    <a:pt x="100320" y="14683"/>
                                    <a:pt x="99681" y="14045"/>
                                    <a:pt x="97125" y="14045"/>
                                  </a:cubicBezTo>
                                  <a:close/>
                                  <a:moveTo>
                                    <a:pt x="6388" y="40219"/>
                                  </a:moveTo>
                                  <a:cubicBezTo>
                                    <a:pt x="7027" y="37027"/>
                                    <a:pt x="10222" y="31281"/>
                                    <a:pt x="19807" y="29366"/>
                                  </a:cubicBezTo>
                                  <a:cubicBezTo>
                                    <a:pt x="27475" y="27451"/>
                                    <a:pt x="35143" y="29366"/>
                                    <a:pt x="41533" y="33835"/>
                                  </a:cubicBezTo>
                                  <a:cubicBezTo>
                                    <a:pt x="46006" y="37665"/>
                                    <a:pt x="49201" y="42773"/>
                                    <a:pt x="49201" y="47880"/>
                                  </a:cubicBezTo>
                                  <a:cubicBezTo>
                                    <a:pt x="49840" y="56179"/>
                                    <a:pt x="43450" y="63840"/>
                                    <a:pt x="36421" y="64478"/>
                                  </a:cubicBezTo>
                                  <a:cubicBezTo>
                                    <a:pt x="35782" y="64478"/>
                                    <a:pt x="35782" y="64478"/>
                                    <a:pt x="35143" y="64478"/>
                                  </a:cubicBezTo>
                                  <a:cubicBezTo>
                                    <a:pt x="25558" y="64478"/>
                                    <a:pt x="12778" y="55541"/>
                                    <a:pt x="9583" y="52987"/>
                                  </a:cubicBezTo>
                                  <a:cubicBezTo>
                                    <a:pt x="6388" y="50433"/>
                                    <a:pt x="5110" y="45326"/>
                                    <a:pt x="6388" y="40219"/>
                                  </a:cubicBezTo>
                                  <a:close/>
                                  <a:moveTo>
                                    <a:pt x="78595" y="97675"/>
                                  </a:moveTo>
                                  <a:cubicBezTo>
                                    <a:pt x="77955" y="98313"/>
                                    <a:pt x="68371" y="108528"/>
                                    <a:pt x="49840" y="108528"/>
                                  </a:cubicBezTo>
                                  <a:cubicBezTo>
                                    <a:pt x="46645" y="108528"/>
                                    <a:pt x="42811" y="107889"/>
                                    <a:pt x="38977" y="107251"/>
                                  </a:cubicBezTo>
                                  <a:cubicBezTo>
                                    <a:pt x="19807" y="103421"/>
                                    <a:pt x="10861" y="91929"/>
                                    <a:pt x="8305" y="86184"/>
                                  </a:cubicBezTo>
                                  <a:cubicBezTo>
                                    <a:pt x="8305" y="85545"/>
                                    <a:pt x="7666" y="85545"/>
                                    <a:pt x="7666" y="84907"/>
                                  </a:cubicBezTo>
                                  <a:lnTo>
                                    <a:pt x="7666" y="84907"/>
                                  </a:lnTo>
                                  <a:cubicBezTo>
                                    <a:pt x="7027" y="83630"/>
                                    <a:pt x="7027" y="82992"/>
                                    <a:pt x="7027" y="82353"/>
                                  </a:cubicBezTo>
                                  <a:cubicBezTo>
                                    <a:pt x="7027" y="79161"/>
                                    <a:pt x="8944" y="76608"/>
                                    <a:pt x="12139" y="75969"/>
                                  </a:cubicBezTo>
                                  <a:cubicBezTo>
                                    <a:pt x="15334" y="75331"/>
                                    <a:pt x="17890" y="77246"/>
                                    <a:pt x="19168" y="79800"/>
                                  </a:cubicBezTo>
                                  <a:lnTo>
                                    <a:pt x="19168" y="79800"/>
                                  </a:lnTo>
                                  <a:cubicBezTo>
                                    <a:pt x="19807" y="81077"/>
                                    <a:pt x="24280" y="90653"/>
                                    <a:pt x="40894" y="94483"/>
                                  </a:cubicBezTo>
                                  <a:cubicBezTo>
                                    <a:pt x="59425" y="98313"/>
                                    <a:pt x="68371" y="88737"/>
                                    <a:pt x="68371" y="88737"/>
                                  </a:cubicBezTo>
                                  <a:cubicBezTo>
                                    <a:pt x="70927" y="86184"/>
                                    <a:pt x="74761" y="86184"/>
                                    <a:pt x="77316" y="88099"/>
                                  </a:cubicBezTo>
                                  <a:cubicBezTo>
                                    <a:pt x="80511" y="91291"/>
                                    <a:pt x="81150" y="95121"/>
                                    <a:pt x="78595" y="97675"/>
                                  </a:cubicBezTo>
                                  <a:close/>
                                  <a:moveTo>
                                    <a:pt x="95208" y="56179"/>
                                  </a:moveTo>
                                  <a:cubicBezTo>
                                    <a:pt x="94569" y="61286"/>
                                    <a:pt x="91374" y="65117"/>
                                    <a:pt x="86901" y="67032"/>
                                  </a:cubicBezTo>
                                  <a:lnTo>
                                    <a:pt x="86901" y="67032"/>
                                  </a:lnTo>
                                  <a:cubicBezTo>
                                    <a:pt x="84345" y="68309"/>
                                    <a:pt x="76039" y="70224"/>
                                    <a:pt x="67732" y="70224"/>
                                  </a:cubicBezTo>
                                  <a:cubicBezTo>
                                    <a:pt x="64537" y="70224"/>
                                    <a:pt x="60703" y="69585"/>
                                    <a:pt x="58147" y="68309"/>
                                  </a:cubicBezTo>
                                  <a:cubicBezTo>
                                    <a:pt x="51757" y="65117"/>
                                    <a:pt x="49201" y="56179"/>
                                    <a:pt x="52396" y="48518"/>
                                  </a:cubicBezTo>
                                  <a:cubicBezTo>
                                    <a:pt x="54313" y="43411"/>
                                    <a:pt x="58786" y="39581"/>
                                    <a:pt x="64537" y="37665"/>
                                  </a:cubicBezTo>
                                  <a:cubicBezTo>
                                    <a:pt x="71566" y="35112"/>
                                    <a:pt x="79234" y="36389"/>
                                    <a:pt x="86263" y="40857"/>
                                  </a:cubicBezTo>
                                  <a:cubicBezTo>
                                    <a:pt x="94569" y="46603"/>
                                    <a:pt x="95847" y="52987"/>
                                    <a:pt x="95208" y="56179"/>
                                  </a:cubicBezTo>
                                  <a:close/>
                                </a:path>
                              </a:pathLst>
                            </a:custGeom>
                            <a:grpFill/>
                            <a:ln w="6390" cap="flat">
                              <a:noFill/>
                              <a:prstDash val="solid"/>
                              <a:miter/>
                            </a:ln>
                          </wps:spPr>
                          <wps:bodyPr rtlCol="0" anchor="ctr"/>
                        </wps:wsp>
                      </wpg:grpSp>
                    </wpg:wgp>
                  </a:graphicData>
                </a:graphic>
              </wp:anchor>
            </w:drawing>
          </mc:Choice>
          <mc:Fallback>
            <w:pict>
              <v:group w14:anchorId="0A5853AF" id="Group 1489793655" o:spid="_x0000_s1026" alt="&quot;&quot;" style="position:absolute;margin-left:339.15pt;margin-top:29.75pt;width:88.45pt;height:88.45pt;z-index:251661824" coordorigin="" coordsize="11232,1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">
                <v:oval id="Oval 1489793656" o:spid="_x0000_s1027" style="position:absolute;left:948;top:198;width:10169;height:1061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" fillcolor="white [3212]" stroked="f" strokeweight="1.5pt">
                  <v:stroke joinstyle="miter"/>
                  <v:textbox inset="7pt,7pt,7pt,7pt"/>
                </v:oval>
                <v:group id="Graphic 4" o:spid="_x0000_s1028" style="position:absolute;width:11232;height:11231" coordsize="361670,3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">
                  <v:shape id="Graphic 4" o:spid="_x0000_s1029" style="position:absolute;left:237227;top:150141;width:18371;height:7964;visibility:visible;mso-wrap-style:square;v-text-anchor:middle" coordsize="1837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" path="m15815,2436c10703,-756,6869,-117,4952,521,2396,1160,1118,3075,479,3713v-639,1277,-639,3192,,3831c4313,8820,14537,6905,18371,5628v,-638,,-1915,-2556,-3192xe" filled="f" stroked="f" strokeweight=".1775mm">
                    <v:stroke joinstyle="miter"/>
                    <v:path arrowok="t" o:connecttype="custom" o:connectlocs="15815,2436;4952,521;479,3713;479,7544;18371,5628;15815,2436" o:connectangles="0,0,0,0,0,0"/>
                  </v:shape>
                  <v:shape id="Graphic 4" o:spid="_x0000_s1030" style="position:absolute;left:191698;top:141725;width:17891;height:10852;visibility:visible;mso-wrap-style:square;v-text-anchor:middle" coordsize="17891,1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" path="m17892,7022v,-1276,-1278,-3192,-3195,-4468c13419,1277,10863,,7029,,5751,,4473,,3834,638r,c1278,1277,,1915,,2554v3195,3192,12141,8299,16614,8299c17253,10214,17892,8938,17892,7022xe" filled="f" stroked="f" strokeweight=".1775mm">
                    <v:stroke joinstyle="miter"/>
                    <v:path arrowok="t" o:connecttype="custom" o:connectlocs="17892,7022;14697,2554;7029,0;3834,638;3834,638;0,2554;16614,10853;17892,7022" o:connectangles="0,0,0,0,0,0,0,0"/>
                  </v:shape>
                  <v:shape id="Graphic 4" o:spid="_x0000_s1031" style="position:absolute;left:85478;top:127680;width:108776;height:134702;visibility:visible;mso-wrap-style:square;v-text-anchor:middle" coordsize="108776,13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" path="m88968,92568c83217,90652,78105,90652,72993,93206,62769,97675,58935,104697,61491,115550v639,3192,-1278,7022,-4473,7661c56379,123211,55740,123211,55740,123211v-2556,,-5751,-1915,-6390,-5107c44877,101505,51906,88099,67881,81076v4473,-1915,8946,-2553,13419,-2553c79383,73416,77466,68308,76827,62563v-1278,,-2556,638,-3834,638c71715,63201,70437,63201,69159,62563,62769,61286,58935,52987,60852,45965,62130,39581,67881,34473,75549,33197v,-1277,,-2554,,-3831c76827,17875,78105,8299,79383,v-639,,-1278,638,-1917,1277c62130,15322,43599,22344,42960,22982v-639,,-18531,8299,-38979,9576c1426,32558,786,33835,786,33835,-492,36389,-3048,47241,19956,91291v19170,37665,50481,49157,69651,40857c97913,128318,104303,121296,108776,111720,101747,107251,94718,100867,88968,92568xm32736,84268v-1278,,-1917,639,-3195,639c25707,84907,21873,82992,19317,80438,17400,77884,14205,72139,17400,63201,20595,55541,25707,50433,32736,47880v5751,-1915,11502,-1277,15975,1277c55740,53625,58935,62563,55740,68947r,c51906,77246,36570,83630,32736,84268xe" filled="f" stroked="f" strokeweight=".1775mm">
                    <v:stroke joinstyle="miter"/>
                    <v:path arrowok="t" o:connecttype="custom" o:connectlocs="88968,92568;72993,93206;61491,115550;57018,123211;55740,123211;49350,118104;67881,81076;81300,78523;76827,62563;72993,63201;69159,62563;60852,45965;75549,33197;75549,29366;79383,0;77466,1277;42960,22982;3981,32558;786,33835;19956,91291;89607,132148;108776,111720;88968,92568;32736,84268;29541,84907;19317,80438;17400,63201;32736,47880;48711,49157;55740,68947;55740,68947;32736,84268" o:connectangles="0,0,0,0,0,0,0,0,0,0,0,0,0,0,0,0,0,0,0,0,0,0,0,0,0,0,0,0,0,0,0,0"/>
                  </v:shape>
                  <v:shape id="Graphic 4" o:spid="_x0000_s1032" style="position:absolute;width:361670;height:361333;visibility:visible;mso-wrap-style:square;v-text-anchor:middle" coordsize="361670,3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" path="m180835,c80513,,,81076,,180667v,99590,81152,180666,180835,180666c281157,361333,361670,280257,361670,180667,361670,81076,281157,,180835,xm280518,178113v-11502,44688,-40256,65755,-65816,65755c212146,243868,209590,243868,207034,243230r-639,c200644,256636,191698,266212,180196,271319v-5751,2554,-12141,3830,-18531,3830c138662,275149,111824,259828,93932,225355,74762,188327,69011,167260,75401,155769v1917,-3192,5751,-7022,13419,-7661c106712,146832,123326,139171,123326,139171v639,,17253,-7023,30672,-19152c157831,116188,162304,114912,167416,115550v3834,-14045,8946,-22344,15336,-26174c185947,87460,191698,86184,198088,90014v15336,8938,33867,11491,33867,11491c232594,101505,249847,104697,268377,102144v7668,-1277,12141,1915,14697,4468c292020,115550,291381,137256,280518,178113xe" filled="f" stroked="f" strokeweight=".1775mm">
                    <v:stroke joinstyle="miter"/>
                    <v:path arrowok="t" o:connecttype="custom" o:connectlocs="180835,0;0,180667;180835,361333;361670,180667;180835,0;280518,178113;214702,243868;207034,243230;206395,243230;180196,271319;161665,275149;93932,225355;75401,155769;88820,148108;123326,139171;153998,120019;167416,115550;182752,89376;198088,90014;231955,101505;268377,102144;283074,106612;280518,178113" o:connectangles="0,0,0,0,0,0,0,0,0,0,0,0,0,0,0,0,0,0,0,0,0,0,0"/>
                  </v:shape>
                  <v:shape id="Graphic 4" o:spid="_x0000_s1033" style="position:absolute;left:158471;top:174283;width:1917;height:3830;visibility:visible;mso-wrap-style:square;v-text-anchor:middle" coordsize="1917,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" path="m,1915v,639,,1277,,1915c639,3830,1278,3830,1917,3830v,-1276,,-2553,,-3830c639,638,,1277,,1915xe" filled="f" stroked="f" strokeweight=".1775mm">
                    <v:stroke joinstyle="miter"/>
                    <v:path arrowok="t" o:connecttype="custom" o:connectlocs="0,1915;0,3830;1917,3830;1917,0;0,1915" o:connectangles="0,0,0,0,0"/>
                  </v:shape>
                  <v:shape id="Graphic 4" o:spid="_x0000_s1034" style="position:absolute;left:114859;top:187051;width:16134;height:12767;visibility:visible;mso-wrap-style:square;v-text-anchor:middle" coordsize="16134,1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" path="m13579,638c12940,,12301,,11023,,10384,,9106,,8467,638,6550,1277,2716,3192,799,8938,-479,11491,160,12768,160,12768,4633,12130,14218,7022,16135,3830v,-638,-639,-2553,-2556,-3192xe" filled="f" stroked="f" strokeweight=".1775mm">
                    <v:stroke joinstyle="miter"/>
                    <v:path arrowok="t" o:connecttype="custom" o:connectlocs="13579,638;11023,0;8467,638;799,8938;160,12768;16135,3830;13579,638" o:connectangles="0,0,0,0,0,0,0"/>
                  </v:shape>
                  <v:shape id="Graphic 4" o:spid="_x0000_s1035" style="position:absolute;left:173169;top:100229;width:103781;height:130725;visibility:visible;mso-wrap-style:square;v-text-anchor:middle" coordsize="103781,1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" path="m97125,14045c76678,17237,57508,13406,56869,13406v-639,,-20448,-3192,-37701,-12768c17890,,17251,,16612,v-639,,-639,,-639,c13417,1277,5749,8938,637,58094v-4473,42135,15336,68309,36423,72139c57508,134064,85623,115550,95847,74693v11502,-46604,7668,-57456,5751,-60010c100320,14683,99681,14045,97125,14045xm6388,40219v639,-3192,3834,-8938,13419,-10853c27475,27451,35143,29366,41533,33835v4473,3830,7668,8938,7668,14045c49840,56179,43450,63840,36421,64478v-639,,-639,,-1278,c25558,64478,12778,55541,9583,52987,6388,50433,5110,45326,6388,40219xm78595,97675v-640,638,-10224,10853,-28755,10853c46645,108528,42811,107889,38977,107251,19807,103421,10861,91929,8305,86184v,-639,-639,-639,-639,-1277l7666,84907c7027,83630,7027,82992,7027,82353v,-3192,1917,-5745,5112,-6384c15334,75331,17890,77246,19168,79800r,c19807,81077,24280,90653,40894,94483v18531,3830,27477,-5746,27477,-5746c70927,86184,74761,86184,77316,88099v3195,3192,3834,7022,1279,9576xm95208,56179v-639,5107,-3834,8938,-8307,10853l86901,67032v-2556,1277,-10862,3192,-19169,3192c64537,70224,60703,69585,58147,68309,51757,65117,49201,56179,52396,48518v1917,-5107,6390,-8937,12141,-10853c71566,35112,79234,36389,86263,40857v8306,5746,9584,12130,8945,15322xe" filled="f" stroked="f" strokeweight=".1775mm">
                    <v:stroke joinstyle="miter"/>
                    <v:path arrowok="t" o:connecttype="custom" o:connectlocs="97125,14045;56869,13406;19168,638;16612,0;15973,0;637,58094;37060,130233;95847,74693;101598,14683;97125,14045;6388,40219;19807,29366;41533,33835;49201,47880;36421,64478;35143,64478;9583,52987;6388,40219;78595,97675;49840,108528;38977,107251;8305,86184;7666,84907;7666,84907;7027,82353;12139,75969;19168,79800;19168,79800;40894,94483;68371,88737;77316,88099;78595,97675;95208,56179;86901,67032;86901,67032;67732,70224;58147,68309;52396,48518;64537,37665;86263,40857;95208,56179" o:connectangles="0,0,0,0,0,0,0,0,0,0,0,0,0,0,0,0,0,0,0,0,0,0,0,0,0,0,0,0,0,0,0,0,0,0,0,0,0,0,0,0,0"/>
                  </v:shape>
                </v:group>
              </v:group>
            </w:pict>
          </mc:Fallback>
        </mc:AlternateContent>
      </w:r>
      <w:r w:rsidR="002D0D46">
        <w:rPr>
          <w:noProof/>
        </w:rPr>
        <mc:AlternateContent>
          <mc:Choice Requires="wps">
            <w:drawing>
              <wp:inline distT="0" distB="0" distL="0" distR="0" wp14:anchorId="2249FF44" wp14:editId="53A36434">
                <wp:extent cx="5715000" cy="1404620"/>
                <wp:effectExtent l="0" t="0" r="19050" b="22860"/>
                <wp:docPr id="1489793654" name="Text Box 1489793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noFill/>
                        <a:ln w="19050">
                          <a:solidFill>
                            <a:schemeClr val="accent1"/>
                          </a:solidFill>
                          <a:miter lim="800000"/>
                          <a:headEnd/>
                          <a:tailEnd/>
                        </a:ln>
                        <a:effectLst/>
                      </wps:spPr>
                      <wps:txbx>
                        <w:txbxContent>
                          <w:p w14:paraId="172A7E64" w14:textId="77777777" w:rsidR="002D0D46" w:rsidRDefault="002D0D46" w:rsidP="002D0D46">
                            <w:pPr>
                              <w:rPr>
                                <w:b/>
                                <w:bCs/>
                                <w:color w:val="046A38" w:themeColor="accent2"/>
                                <w:sz w:val="32"/>
                                <w:szCs w:val="32"/>
                              </w:rPr>
                            </w:pPr>
                          </w:p>
                          <w:p w14:paraId="543F8131" w14:textId="77777777" w:rsidR="002D0D46" w:rsidRDefault="002D0D46" w:rsidP="002D0D46">
                            <w:pPr>
                              <w:rPr>
                                <w:rFonts w:cs="Arial"/>
                                <w:b/>
                                <w:bCs/>
                                <w:color w:val="86BC25" w:themeColor="accent1"/>
                                <w:sz w:val="32"/>
                                <w:szCs w:val="32"/>
                              </w:rPr>
                            </w:pPr>
                          </w:p>
                          <w:p w14:paraId="3A2200FF" w14:textId="376ED5C7" w:rsidR="002D0D46" w:rsidRDefault="002D0D46" w:rsidP="002D0D46">
                            <w:pPr>
                              <w:rPr>
                                <w:rFonts w:cs="Arial"/>
                                <w:sz w:val="32"/>
                                <w:szCs w:val="32"/>
                              </w:rPr>
                            </w:pPr>
                            <w:r w:rsidRPr="00A13C24">
                              <w:rPr>
                                <w:rFonts w:cs="Arial"/>
                                <w:b/>
                                <w:bCs/>
                                <w:color w:val="86BC25" w:themeColor="accent1"/>
                                <w:sz w:val="32"/>
                                <w:szCs w:val="32"/>
                              </w:rPr>
                              <w:t>BCAP Case Study:</w:t>
                            </w:r>
                            <w:r w:rsidRPr="00A13C24">
                              <w:rPr>
                                <w:rFonts w:cs="Arial"/>
                                <w:sz w:val="32"/>
                                <w:szCs w:val="32"/>
                              </w:rPr>
                              <w:br/>
                            </w:r>
                            <w:r>
                              <w:rPr>
                                <w:rFonts w:cs="Arial"/>
                                <w:sz w:val="32"/>
                                <w:szCs w:val="32"/>
                              </w:rPr>
                              <w:t>Independent theatre company</w:t>
                            </w:r>
                          </w:p>
                          <w:p w14:paraId="458D1772" w14:textId="77777777" w:rsidR="002D0D46" w:rsidRPr="00A13C24" w:rsidRDefault="002D0D46" w:rsidP="00893EB3">
                            <w:pPr>
                              <w:jc w:val="both"/>
                              <w:rPr>
                                <w:rFonts w:cs="Arial"/>
                                <w:sz w:val="32"/>
                                <w:szCs w:val="32"/>
                              </w:rPr>
                            </w:pPr>
                          </w:p>
                          <w:p w14:paraId="25ABB519" w14:textId="320C11DB" w:rsidR="00D26F24" w:rsidRPr="00F77F1E" w:rsidRDefault="002D0D46" w:rsidP="00F77F1E">
                            <w:pPr>
                              <w:jc w:val="both"/>
                              <w:rPr>
                                <w:b/>
                                <w:color w:val="86BC25" w:themeColor="accent1"/>
                              </w:rPr>
                            </w:pPr>
                            <w:r w:rsidRPr="002649E7">
                              <w:rPr>
                                <w:b/>
                                <w:color w:val="86BC25" w:themeColor="accent1"/>
                              </w:rPr>
                              <w:t>Business description</w:t>
                            </w:r>
                          </w:p>
                          <w:p w14:paraId="50C93DF7" w14:textId="16D094A0" w:rsidR="002D0D46" w:rsidRDefault="002D0D46" w:rsidP="00893EB3">
                            <w:pPr>
                              <w:jc w:val="both"/>
                            </w:pPr>
                            <w:r>
                              <w:t>An independent theatre company operates creates and performs its own work</w:t>
                            </w:r>
                            <w:r w:rsidR="007D7C8A">
                              <w:t xml:space="preserve">, holding </w:t>
                            </w:r>
                            <w:r>
                              <w:t xml:space="preserve">an established residency at a local venue </w:t>
                            </w:r>
                            <w:r w:rsidR="007D7C8A">
                              <w:t xml:space="preserve">in </w:t>
                            </w:r>
                            <w:r w:rsidR="00E54F1A">
                              <w:t>the Melbourne suburbs</w:t>
                            </w:r>
                            <w:r>
                              <w:t xml:space="preserve"> which provides consistent and ongoing income. </w:t>
                            </w:r>
                            <w:r w:rsidR="00AB1F39">
                              <w:t>T</w:t>
                            </w:r>
                            <w:r>
                              <w:t xml:space="preserve">he company </w:t>
                            </w:r>
                            <w:r w:rsidR="00AB1F39">
                              <w:t>also</w:t>
                            </w:r>
                            <w:r>
                              <w:t xml:space="preserve"> runs youth drama programs and works with communities to build opportunities and interest in the performing arts. </w:t>
                            </w:r>
                          </w:p>
                          <w:p w14:paraId="575FA740" w14:textId="2DDA2AD0" w:rsidR="00AB1F39" w:rsidRPr="00A13C24" w:rsidRDefault="00AB1F39" w:rsidP="00893EB3">
                            <w:pPr>
                              <w:jc w:val="both"/>
                            </w:pPr>
                            <w:r>
                              <w:t xml:space="preserve">This case study highlights </w:t>
                            </w:r>
                            <w:r w:rsidR="00815CDC">
                              <w:t xml:space="preserve">the impacts of COVID-19 lockdowns on the </w:t>
                            </w:r>
                            <w:r w:rsidR="00FB4700">
                              <w:t>theatre company and how they were able to leverage the BCAP program</w:t>
                            </w:r>
                            <w:r w:rsidR="00AB6E73">
                              <w:t xml:space="preserve"> to cover costs and grow the business.</w:t>
                            </w:r>
                          </w:p>
                          <w:p w14:paraId="04F7B460" w14:textId="1415BAE1" w:rsidR="00D26F24" w:rsidRPr="00F77F1E" w:rsidRDefault="002D0D46" w:rsidP="00F77F1E">
                            <w:pPr>
                              <w:jc w:val="both"/>
                              <w:rPr>
                                <w:b/>
                                <w:color w:val="86BC25" w:themeColor="accent1"/>
                              </w:rPr>
                            </w:pPr>
                            <w:r w:rsidRPr="002649E7">
                              <w:rPr>
                                <w:b/>
                                <w:color w:val="86BC25" w:themeColor="accent1"/>
                              </w:rPr>
                              <w:t>Impact of COVID-19</w:t>
                            </w:r>
                          </w:p>
                          <w:p w14:paraId="0ACCED1D" w14:textId="367282F6" w:rsidR="00AB6E73" w:rsidRDefault="009A79E7" w:rsidP="00893EB3">
                            <w:pPr>
                              <w:jc w:val="both"/>
                            </w:pPr>
                            <w:r>
                              <w:t xml:space="preserve">As a result of the COVID-19 pandemic, public health restrictions </w:t>
                            </w:r>
                            <w:r w:rsidR="00AA3F70">
                              <w:t>prevented the theatre company from performing or running its programs, resulting in a complete loss of income.</w:t>
                            </w:r>
                            <w:r w:rsidR="005D20F6">
                              <w:t xml:space="preserve"> Even when the company could reopen, </w:t>
                            </w:r>
                            <w:r w:rsidR="002C6B65">
                              <w:t xml:space="preserve">audiences were restricted to a maximum of 10 people initially, drastically reducing the </w:t>
                            </w:r>
                            <w:r w:rsidR="001526FA">
                              <w:t xml:space="preserve">income potential of the business. Consequently, the theatre company was unable to pay staff and fund its programs, facing the possibility </w:t>
                            </w:r>
                            <w:r w:rsidR="00CD4E02">
                              <w:t xml:space="preserve">of </w:t>
                            </w:r>
                            <w:r w:rsidR="00F20EF2">
                              <w:t>cancelled tours.</w:t>
                            </w:r>
                            <w:r w:rsidR="005D20F6">
                              <w:t xml:space="preserve"> </w:t>
                            </w:r>
                          </w:p>
                          <w:p w14:paraId="7BD86316" w14:textId="20AF05AF" w:rsidR="00D26F24" w:rsidRPr="00F77F1E" w:rsidRDefault="002D0D46" w:rsidP="00F77F1E">
                            <w:pPr>
                              <w:jc w:val="both"/>
                              <w:rPr>
                                <w:b/>
                                <w:color w:val="86BC25" w:themeColor="accent1"/>
                              </w:rPr>
                            </w:pPr>
                            <w:r w:rsidRPr="002649E7">
                              <w:rPr>
                                <w:b/>
                                <w:color w:val="86BC25" w:themeColor="accent1"/>
                              </w:rPr>
                              <w:t>Engagement with BCAP</w:t>
                            </w:r>
                          </w:p>
                          <w:p w14:paraId="2B86FCA9" w14:textId="08675DFD" w:rsidR="00C506A3" w:rsidRDefault="002D0D46" w:rsidP="00F20EF2">
                            <w:pPr>
                              <w:jc w:val="both"/>
                            </w:pPr>
                            <w:r>
                              <w:t xml:space="preserve">The </w:t>
                            </w:r>
                            <w:r w:rsidR="00493D1E">
                              <w:t>theatre</w:t>
                            </w:r>
                            <w:r>
                              <w:t xml:space="preserve"> company </w:t>
                            </w:r>
                            <w:r w:rsidR="00F20EF2">
                              <w:t xml:space="preserve">first learned about the BCAP grant online. </w:t>
                            </w:r>
                            <w:r w:rsidR="00E73F4D">
                              <w:t xml:space="preserve">Though </w:t>
                            </w:r>
                            <w:r w:rsidR="00B6358A">
                              <w:t xml:space="preserve">it was initially ineligible due to its </w:t>
                            </w:r>
                            <w:r w:rsidR="00E73F4D">
                              <w:t xml:space="preserve">ANZSIC code, expansions in the eligibility criteria enabled the </w:t>
                            </w:r>
                            <w:r w:rsidR="00493D1E">
                              <w:t xml:space="preserve">theatre company to receive grants in </w:t>
                            </w:r>
                            <w:r w:rsidR="002F7DF3">
                              <w:t>BCAP2 and subsequent rounds</w:t>
                            </w:r>
                            <w:r w:rsidR="00493D1E">
                              <w:t>.</w:t>
                            </w:r>
                            <w:r w:rsidR="00A840DB">
                              <w:t xml:space="preserve"> Not only did it use the grants to cover costs and keep the company in operation, </w:t>
                            </w:r>
                            <w:r w:rsidR="00C30ADA">
                              <w:t xml:space="preserve">but </w:t>
                            </w:r>
                            <w:r w:rsidR="00A840DB">
                              <w:t>it was</w:t>
                            </w:r>
                            <w:r w:rsidR="00C30ADA">
                              <w:t xml:space="preserve"> also</w:t>
                            </w:r>
                            <w:r w:rsidR="00A840DB">
                              <w:t xml:space="preserve"> able to grow the business by purchasing new costumes, complete a tour</w:t>
                            </w:r>
                            <w:r w:rsidR="00100703">
                              <w:t xml:space="preserve"> (including venue hire fees) and establish a post-pandemic marketing fund to boost </w:t>
                            </w:r>
                            <w:r w:rsidR="00B01948">
                              <w:t>presence and attract patrons.</w:t>
                            </w:r>
                          </w:p>
                          <w:p w14:paraId="30EBC27B" w14:textId="43F57AC8" w:rsidR="00C30ADA" w:rsidRDefault="000C1525" w:rsidP="00F20EF2">
                            <w:pPr>
                              <w:jc w:val="both"/>
                            </w:pPr>
                            <w:r>
                              <w:t>With a “refreshingly easy” application process</w:t>
                            </w:r>
                            <w:r w:rsidR="00003F2E">
                              <w:t xml:space="preserve"> that made the process “almost stress free”</w:t>
                            </w:r>
                            <w:r>
                              <w:t>, t</w:t>
                            </w:r>
                            <w:r w:rsidR="00C30ADA">
                              <w:t xml:space="preserve">he </w:t>
                            </w:r>
                            <w:r w:rsidR="00170D77">
                              <w:t xml:space="preserve">theatre company </w:t>
                            </w:r>
                            <w:r>
                              <w:t xml:space="preserve">was </w:t>
                            </w:r>
                            <w:r w:rsidR="000B28AA">
                              <w:t>able to recover financially and facilitate a successful return to operation</w:t>
                            </w:r>
                            <w:r w:rsidR="00170D77">
                              <w:t xml:space="preserve"> </w:t>
                            </w:r>
                            <w:r w:rsidR="00003F2E">
                              <w:t>following the pandemic.</w:t>
                            </w:r>
                          </w:p>
                          <w:p w14:paraId="29F95A05" w14:textId="7579CA09" w:rsidR="00D26F24" w:rsidRPr="00F77F1E" w:rsidRDefault="002D0D46" w:rsidP="00F77F1E">
                            <w:pPr>
                              <w:jc w:val="both"/>
                              <w:rPr>
                                <w:b/>
                                <w:color w:val="86BC25" w:themeColor="accent1"/>
                              </w:rPr>
                            </w:pPr>
                            <w:r w:rsidRPr="002649E7">
                              <w:rPr>
                                <w:b/>
                                <w:color w:val="86BC25" w:themeColor="accent1"/>
                              </w:rPr>
                              <w:t>Improvement opportunities</w:t>
                            </w:r>
                          </w:p>
                          <w:p w14:paraId="7C310F53" w14:textId="19B11BBE" w:rsidR="002D0D46" w:rsidRPr="00B269D4" w:rsidRDefault="00003F2E" w:rsidP="00893EB3">
                            <w:pPr>
                              <w:jc w:val="both"/>
                            </w:pPr>
                            <w:r>
                              <w:t>Though the theatre</w:t>
                            </w:r>
                            <w:r w:rsidR="002D0D46">
                              <w:t xml:space="preserve"> company </w:t>
                            </w:r>
                            <w:r>
                              <w:t xml:space="preserve">was </w:t>
                            </w:r>
                            <w:r w:rsidR="006B042A">
                              <w:t xml:space="preserve">generally </w:t>
                            </w:r>
                            <w:r w:rsidR="003128F8">
                              <w:t xml:space="preserve">positive towards the grants and could not identify </w:t>
                            </w:r>
                            <w:r w:rsidR="00B269D4">
                              <w:t xml:space="preserve">specific </w:t>
                            </w:r>
                            <w:r w:rsidR="003128F8">
                              <w:t xml:space="preserve">opportunities for improvement, it did note that </w:t>
                            </w:r>
                            <w:r w:rsidR="007D610B">
                              <w:t xml:space="preserve">the breadth </w:t>
                            </w:r>
                            <w:r w:rsidR="000159B4">
                              <w:t>of how the grants could be used</w:t>
                            </w:r>
                            <w:r w:rsidR="00B269D4">
                              <w:t xml:space="preserve"> </w:t>
                            </w:r>
                            <w:r w:rsidR="002D0D46">
                              <w:t xml:space="preserve">did leave the grants vulnerable to </w:t>
                            </w:r>
                            <w:r w:rsidR="003D49A7">
                              <w:t>misuse</w:t>
                            </w:r>
                            <w:r w:rsidR="002D0D46">
                              <w:t xml:space="preserve">. </w:t>
                            </w:r>
                            <w:r w:rsidR="008F38D4">
                              <w:rPr>
                                <w:rFonts w:cs="Arial"/>
                              </w:rPr>
                              <w:t xml:space="preserve"> </w:t>
                            </w:r>
                          </w:p>
                        </w:txbxContent>
                      </wps:txbx>
                      <wps:bodyPr rot="0" vert="horz" wrap="square" lIns="91440" tIns="45720" rIns="91440" bIns="45720" anchor="t" anchorCtr="0">
                        <a:spAutoFit/>
                      </wps:bodyPr>
                    </wps:wsp>
                  </a:graphicData>
                </a:graphic>
              </wp:inline>
            </w:drawing>
          </mc:Choice>
          <mc:Fallback>
            <w:pict>
              <v:shape w14:anchorId="2249FF44" id="Text Box 1489793654" o:spid="_x0000_s1033"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" filled="f" strokecolor="#86bc25 [3204]" strokeweight="1.5pt">
                <v:textbox style="mso-fit-shape-to-text:t">
                  <w:txbxContent>
                    <w:p w14:paraId="172A7E64" w14:textId="77777777" w:rsidR="002D0D46" w:rsidRDefault="002D0D46" w:rsidP="002D0D46">
                      <w:pPr>
                        <w:rPr>
                          <w:b/>
                          <w:bCs/>
                          <w:color w:val="046A38" w:themeColor="accent2"/>
                          <w:sz w:val="32"/>
                          <w:szCs w:val="32"/>
                        </w:rPr>
                      </w:pPr>
                    </w:p>
                    <w:p w14:paraId="543F8131" w14:textId="77777777" w:rsidR="002D0D46" w:rsidRDefault="002D0D46" w:rsidP="002D0D46">
                      <w:pPr>
                        <w:rPr>
                          <w:rFonts w:cs="Arial"/>
                          <w:b/>
                          <w:bCs/>
                          <w:color w:val="86BC25" w:themeColor="accent1"/>
                          <w:sz w:val="32"/>
                          <w:szCs w:val="32"/>
                        </w:rPr>
                      </w:pPr>
                    </w:p>
                    <w:p w14:paraId="3A2200FF" w14:textId="376ED5C7" w:rsidR="002D0D46" w:rsidRDefault="002D0D46" w:rsidP="002D0D46">
                      <w:pPr>
                        <w:rPr>
                          <w:rFonts w:cs="Arial"/>
                          <w:sz w:val="32"/>
                          <w:szCs w:val="32"/>
                        </w:rPr>
                      </w:pPr>
                      <w:r w:rsidRPr="00A13C24">
                        <w:rPr>
                          <w:rFonts w:cs="Arial"/>
                          <w:b/>
                          <w:bCs/>
                          <w:color w:val="86BC25" w:themeColor="accent1"/>
                          <w:sz w:val="32"/>
                          <w:szCs w:val="32"/>
                        </w:rPr>
                        <w:t>BCAP Case Study:</w:t>
                      </w:r>
                      <w:r w:rsidRPr="00A13C24">
                        <w:rPr>
                          <w:rFonts w:cs="Arial"/>
                          <w:sz w:val="32"/>
                          <w:szCs w:val="32"/>
                        </w:rPr>
                        <w:br/>
                      </w:r>
                      <w:r>
                        <w:rPr>
                          <w:rFonts w:cs="Arial"/>
                          <w:sz w:val="32"/>
                          <w:szCs w:val="32"/>
                        </w:rPr>
                        <w:t>Independent theatre company</w:t>
                      </w:r>
                    </w:p>
                    <w:p w14:paraId="458D1772" w14:textId="77777777" w:rsidR="002D0D46" w:rsidRPr="00A13C24" w:rsidRDefault="002D0D46" w:rsidP="00893EB3">
                      <w:pPr>
                        <w:jc w:val="both"/>
                        <w:rPr>
                          <w:rFonts w:cs="Arial"/>
                          <w:sz w:val="32"/>
                          <w:szCs w:val="32"/>
                        </w:rPr>
                      </w:pPr>
                    </w:p>
                    <w:p w14:paraId="25ABB519" w14:textId="320C11DB" w:rsidR="00D26F24" w:rsidRPr="00F77F1E" w:rsidRDefault="002D0D46" w:rsidP="00F77F1E">
                      <w:pPr>
                        <w:jc w:val="both"/>
                        <w:rPr>
                          <w:b/>
                          <w:color w:val="86BC25" w:themeColor="accent1"/>
                        </w:rPr>
                      </w:pPr>
                      <w:r w:rsidRPr="002649E7">
                        <w:rPr>
                          <w:b/>
                          <w:color w:val="86BC25" w:themeColor="accent1"/>
                        </w:rPr>
                        <w:t>Business description</w:t>
                      </w:r>
                    </w:p>
                    <w:p w14:paraId="50C93DF7" w14:textId="16D094A0" w:rsidR="002D0D46" w:rsidRDefault="002D0D46" w:rsidP="00893EB3">
                      <w:pPr>
                        <w:jc w:val="both"/>
                      </w:pPr>
                      <w:r>
                        <w:t>An independent theatre company operates creates and performs its own work</w:t>
                      </w:r>
                      <w:r w:rsidR="007D7C8A">
                        <w:t xml:space="preserve">, holding </w:t>
                      </w:r>
                      <w:r>
                        <w:t xml:space="preserve">an established residency at a local venue </w:t>
                      </w:r>
                      <w:r w:rsidR="007D7C8A">
                        <w:t xml:space="preserve">in </w:t>
                      </w:r>
                      <w:r w:rsidR="00E54F1A">
                        <w:t>the Melbourne suburbs</w:t>
                      </w:r>
                      <w:r>
                        <w:t xml:space="preserve"> which provides consistent and ongoing income. </w:t>
                      </w:r>
                      <w:r w:rsidR="00AB1F39">
                        <w:t>T</w:t>
                      </w:r>
                      <w:r>
                        <w:t xml:space="preserve">he company </w:t>
                      </w:r>
                      <w:r w:rsidR="00AB1F39">
                        <w:t>also</w:t>
                      </w:r>
                      <w:r>
                        <w:t xml:space="preserve"> runs youth drama programs and works with communities to build opportunities and interest in the performing arts. </w:t>
                      </w:r>
                    </w:p>
                    <w:p w14:paraId="575FA740" w14:textId="2DDA2AD0" w:rsidR="00AB1F39" w:rsidRPr="00A13C24" w:rsidRDefault="00AB1F39" w:rsidP="00893EB3">
                      <w:pPr>
                        <w:jc w:val="both"/>
                      </w:pPr>
                      <w:r>
                        <w:t xml:space="preserve">This case study highlights </w:t>
                      </w:r>
                      <w:r w:rsidR="00815CDC">
                        <w:t xml:space="preserve">the impacts of COVID-19 lockdowns on the </w:t>
                      </w:r>
                      <w:r w:rsidR="00FB4700">
                        <w:t>theatre company and how they were able to leverage the BCAP program</w:t>
                      </w:r>
                      <w:r w:rsidR="00AB6E73">
                        <w:t xml:space="preserve"> to cover costs and grow the business.</w:t>
                      </w:r>
                    </w:p>
                    <w:p w14:paraId="04F7B460" w14:textId="1415BAE1" w:rsidR="00D26F24" w:rsidRPr="00F77F1E" w:rsidRDefault="002D0D46" w:rsidP="00F77F1E">
                      <w:pPr>
                        <w:jc w:val="both"/>
                        <w:rPr>
                          <w:b/>
                          <w:color w:val="86BC25" w:themeColor="accent1"/>
                        </w:rPr>
                      </w:pPr>
                      <w:r w:rsidRPr="002649E7">
                        <w:rPr>
                          <w:b/>
                          <w:color w:val="86BC25" w:themeColor="accent1"/>
                        </w:rPr>
                        <w:t>Impact of COVID-19</w:t>
                      </w:r>
                    </w:p>
                    <w:p w14:paraId="0ACCED1D" w14:textId="367282F6" w:rsidR="00AB6E73" w:rsidRDefault="009A79E7" w:rsidP="00893EB3">
                      <w:pPr>
                        <w:jc w:val="both"/>
                      </w:pPr>
                      <w:r>
                        <w:t xml:space="preserve">As a result of the COVID-19 pandemic, public health restrictions </w:t>
                      </w:r>
                      <w:r w:rsidR="00AA3F70">
                        <w:t>prevented the theatre company from performing or running its programs, resulting in a complete loss of income.</w:t>
                      </w:r>
                      <w:r w:rsidR="005D20F6">
                        <w:t xml:space="preserve"> Even when the company could reopen, </w:t>
                      </w:r>
                      <w:r w:rsidR="002C6B65">
                        <w:t xml:space="preserve">audiences were restricted to a maximum of 10 people initially, drastically reducing the </w:t>
                      </w:r>
                      <w:r w:rsidR="001526FA">
                        <w:t xml:space="preserve">income potential of the business. Consequently, the theatre company was unable to pay staff and fund its programs, facing the possibility </w:t>
                      </w:r>
                      <w:r w:rsidR="00CD4E02">
                        <w:t xml:space="preserve">of </w:t>
                      </w:r>
                      <w:r w:rsidR="00F20EF2">
                        <w:t>cancelled tours.</w:t>
                      </w:r>
                      <w:r w:rsidR="005D20F6">
                        <w:t xml:space="preserve"> </w:t>
                      </w:r>
                    </w:p>
                    <w:p w14:paraId="7BD86316" w14:textId="20AF05AF" w:rsidR="00D26F24" w:rsidRPr="00F77F1E" w:rsidRDefault="002D0D46" w:rsidP="00F77F1E">
                      <w:pPr>
                        <w:jc w:val="both"/>
                        <w:rPr>
                          <w:b/>
                          <w:color w:val="86BC25" w:themeColor="accent1"/>
                        </w:rPr>
                      </w:pPr>
                      <w:r w:rsidRPr="002649E7">
                        <w:rPr>
                          <w:b/>
                          <w:color w:val="86BC25" w:themeColor="accent1"/>
                        </w:rPr>
                        <w:t>Engagement with BCAP</w:t>
                      </w:r>
                    </w:p>
                    <w:p w14:paraId="2B86FCA9" w14:textId="08675DFD" w:rsidR="00C506A3" w:rsidRDefault="002D0D46" w:rsidP="00F20EF2">
                      <w:pPr>
                        <w:jc w:val="both"/>
                      </w:pPr>
                      <w:r>
                        <w:t xml:space="preserve">The </w:t>
                      </w:r>
                      <w:r w:rsidR="00493D1E">
                        <w:t>theatre</w:t>
                      </w:r>
                      <w:r>
                        <w:t xml:space="preserve"> company </w:t>
                      </w:r>
                      <w:r w:rsidR="00F20EF2">
                        <w:t xml:space="preserve">first learned about the BCAP grant online. </w:t>
                      </w:r>
                      <w:r w:rsidR="00E73F4D">
                        <w:t xml:space="preserve">Though </w:t>
                      </w:r>
                      <w:r w:rsidR="00B6358A">
                        <w:t xml:space="preserve">it was initially ineligible due to its </w:t>
                      </w:r>
                      <w:r w:rsidR="00E73F4D">
                        <w:t xml:space="preserve">ANZSIC code, expansions in the eligibility criteria enabled the </w:t>
                      </w:r>
                      <w:r w:rsidR="00493D1E">
                        <w:t xml:space="preserve">theatre company to receive grants in </w:t>
                      </w:r>
                      <w:r w:rsidR="002F7DF3">
                        <w:t>BCAP2 and subsequent rounds</w:t>
                      </w:r>
                      <w:r w:rsidR="00493D1E">
                        <w:t>.</w:t>
                      </w:r>
                      <w:r w:rsidR="00A840DB">
                        <w:t xml:space="preserve"> Not only did it use the grants to cover costs and keep the company in operation, </w:t>
                      </w:r>
                      <w:r w:rsidR="00C30ADA">
                        <w:t xml:space="preserve">but </w:t>
                      </w:r>
                      <w:r w:rsidR="00A840DB">
                        <w:t>it was</w:t>
                      </w:r>
                      <w:r w:rsidR="00C30ADA">
                        <w:t xml:space="preserve"> also</w:t>
                      </w:r>
                      <w:r w:rsidR="00A840DB">
                        <w:t xml:space="preserve"> able to grow the business by purchasing new costumes, complete a tour</w:t>
                      </w:r>
                      <w:r w:rsidR="00100703">
                        <w:t xml:space="preserve"> (including venue hire fees) and establish a post-pandemic marketing fund to boost </w:t>
                      </w:r>
                      <w:r w:rsidR="00B01948">
                        <w:t>presence and attract patrons.</w:t>
                      </w:r>
                    </w:p>
                    <w:p w14:paraId="30EBC27B" w14:textId="43F57AC8" w:rsidR="00C30ADA" w:rsidRDefault="000C1525" w:rsidP="00F20EF2">
                      <w:pPr>
                        <w:jc w:val="both"/>
                      </w:pPr>
                      <w:r>
                        <w:t>With a “refreshingly easy” application process</w:t>
                      </w:r>
                      <w:r w:rsidR="00003F2E">
                        <w:t xml:space="preserve"> that made the process “almost stress free”</w:t>
                      </w:r>
                      <w:r>
                        <w:t>, t</w:t>
                      </w:r>
                      <w:r w:rsidR="00C30ADA">
                        <w:t xml:space="preserve">he </w:t>
                      </w:r>
                      <w:r w:rsidR="00170D77">
                        <w:t xml:space="preserve">theatre company </w:t>
                      </w:r>
                      <w:r>
                        <w:t xml:space="preserve">was </w:t>
                      </w:r>
                      <w:r w:rsidR="000B28AA">
                        <w:t>able to recover financially and facilitate a successful return to operation</w:t>
                      </w:r>
                      <w:r w:rsidR="00170D77">
                        <w:t xml:space="preserve"> </w:t>
                      </w:r>
                      <w:r w:rsidR="00003F2E">
                        <w:t>following the pandemic.</w:t>
                      </w:r>
                    </w:p>
                    <w:p w14:paraId="29F95A05" w14:textId="7579CA09" w:rsidR="00D26F24" w:rsidRPr="00F77F1E" w:rsidRDefault="002D0D46" w:rsidP="00F77F1E">
                      <w:pPr>
                        <w:jc w:val="both"/>
                        <w:rPr>
                          <w:b/>
                          <w:color w:val="86BC25" w:themeColor="accent1"/>
                        </w:rPr>
                      </w:pPr>
                      <w:r w:rsidRPr="002649E7">
                        <w:rPr>
                          <w:b/>
                          <w:color w:val="86BC25" w:themeColor="accent1"/>
                        </w:rPr>
                        <w:t>Improvement opportunities</w:t>
                      </w:r>
                    </w:p>
                    <w:p w14:paraId="7C310F53" w14:textId="19B11BBE" w:rsidR="002D0D46" w:rsidRPr="00B269D4" w:rsidRDefault="00003F2E" w:rsidP="00893EB3">
                      <w:pPr>
                        <w:jc w:val="both"/>
                      </w:pPr>
                      <w:r>
                        <w:t>Though the theatre</w:t>
                      </w:r>
                      <w:r w:rsidR="002D0D46">
                        <w:t xml:space="preserve"> company </w:t>
                      </w:r>
                      <w:r>
                        <w:t xml:space="preserve">was </w:t>
                      </w:r>
                      <w:r w:rsidR="006B042A">
                        <w:t xml:space="preserve">generally </w:t>
                      </w:r>
                      <w:r w:rsidR="003128F8">
                        <w:t xml:space="preserve">positive towards the grants and could not identify </w:t>
                      </w:r>
                      <w:r w:rsidR="00B269D4">
                        <w:t xml:space="preserve">specific </w:t>
                      </w:r>
                      <w:r w:rsidR="003128F8">
                        <w:t xml:space="preserve">opportunities for improvement, it did note that </w:t>
                      </w:r>
                      <w:r w:rsidR="007D610B">
                        <w:t xml:space="preserve">the breadth </w:t>
                      </w:r>
                      <w:r w:rsidR="000159B4">
                        <w:t>of how the grants could be used</w:t>
                      </w:r>
                      <w:r w:rsidR="00B269D4">
                        <w:t xml:space="preserve"> </w:t>
                      </w:r>
                      <w:r w:rsidR="002D0D46">
                        <w:t xml:space="preserve">did leave the grants vulnerable to </w:t>
                      </w:r>
                      <w:r w:rsidR="003D49A7">
                        <w:t>misuse</w:t>
                      </w:r>
                      <w:r w:rsidR="002D0D46">
                        <w:t xml:space="preserve">. </w:t>
                      </w:r>
                      <w:r w:rsidR="008F38D4">
                        <w:rPr>
                          <w:rFonts w:cs="Arial"/>
                        </w:rPr>
                        <w:t xml:space="preserve"> </w:t>
                      </w:r>
                    </w:p>
                  </w:txbxContent>
                </v:textbox>
                <w10:anchorlock/>
              </v:shape>
            </w:pict>
          </mc:Fallback>
        </mc:AlternateContent>
      </w:r>
    </w:p>
    <w:p w14:paraId="75221CCE" w14:textId="77777777" w:rsidR="00566F5D" w:rsidRDefault="00566F5D" w:rsidP="00021EF3"/>
    <w:p w14:paraId="6CA683D9" w14:textId="77777777" w:rsidR="00566F5D" w:rsidRDefault="00566F5D" w:rsidP="00021EF3"/>
    <w:p w14:paraId="4AE48CDF" w14:textId="77777777" w:rsidR="00566F5D" w:rsidRDefault="00566F5D" w:rsidP="00021EF3"/>
    <w:p w14:paraId="6514B142" w14:textId="77777777" w:rsidR="00566F5D" w:rsidRDefault="00566F5D" w:rsidP="00021EF3"/>
    <w:p w14:paraId="0D8CB6AB" w14:textId="77777777" w:rsidR="00566F5D" w:rsidRDefault="00566F5D" w:rsidP="00021EF3"/>
    <w:p w14:paraId="13139C2C" w14:textId="77777777" w:rsidR="00566F5D" w:rsidRDefault="00566F5D" w:rsidP="00021EF3"/>
    <w:p w14:paraId="02D83E7A" w14:textId="77777777" w:rsidR="00566F5D" w:rsidRDefault="00566F5D" w:rsidP="00021EF3"/>
    <w:p w14:paraId="1FE552F5" w14:textId="77777777" w:rsidR="00566F5D" w:rsidRDefault="00566F5D" w:rsidP="00021EF3"/>
    <w:p w14:paraId="58A14D84" w14:textId="77777777" w:rsidR="00566F5D" w:rsidRDefault="007A6E4C" w:rsidP="00021EF3">
      <w:r w:rsidRPr="00767627">
        <w:rPr>
          <w:rFonts w:ascii="Calibri" w:hAnsi="Calibri" w:cs="Calibri"/>
          <w:noProof/>
        </w:rPr>
        <w:lastRenderedPageBreak/>
        <mc:AlternateContent>
          <mc:Choice Requires="wpg">
            <w:drawing>
              <wp:anchor distT="0" distB="0" distL="114300" distR="114300" simplePos="0" relativeHeight="251662848" behindDoc="0" locked="0" layoutInCell="1" allowOverlap="1" wp14:anchorId="07ADD3ED" wp14:editId="2DBAF344">
                <wp:simplePos x="0" y="0"/>
                <wp:positionH relativeFrom="margin">
                  <wp:posOffset>4306974</wp:posOffset>
                </wp:positionH>
                <wp:positionV relativeFrom="paragraph">
                  <wp:posOffset>294080</wp:posOffset>
                </wp:positionV>
                <wp:extent cx="1123200" cy="1123200"/>
                <wp:effectExtent l="0" t="0" r="1270" b="1270"/>
                <wp:wrapNone/>
                <wp:docPr id="76" name="Group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3200" cy="1123200"/>
                          <a:chOff x="0" y="0"/>
                          <a:chExt cx="1123200" cy="1123199"/>
                        </a:xfrm>
                      </wpg:grpSpPr>
                      <wps:wsp>
                        <wps:cNvPr id="77" name="Oval 77"/>
                        <wps:cNvSpPr/>
                        <wps:spPr bwMode="gray">
                          <a:xfrm>
                            <a:off x="21601" y="43199"/>
                            <a:ext cx="1080000" cy="1080000"/>
                          </a:xfrm>
                          <a:prstGeom prst="ellipse">
                            <a:avLst/>
                          </a:prstGeom>
                          <a:solidFill>
                            <a:schemeClr val="bg1"/>
                          </a:solidFill>
                          <a:ln w="19050" algn="ctr">
                            <a:noFill/>
                            <a:miter lim="800000"/>
                            <a:headEnd/>
                            <a:tailEnd/>
                          </a:ln>
                        </wps:spPr>
                        <wps:bodyPr wrap="square" lIns="88900" tIns="88900" rIns="88900" bIns="88900" rtlCol="0" anchor="ctr"/>
                      </wps:wsp>
                      <wpg:grpSp>
                        <wpg:cNvPr id="78" name="Graphic 4"/>
                        <wpg:cNvGrpSpPr/>
                        <wpg:grpSpPr>
                          <a:xfrm>
                            <a:off x="0" y="0"/>
                            <a:ext cx="1123200" cy="1123199"/>
                            <a:chOff x="0" y="0"/>
                            <a:chExt cx="361670" cy="361333"/>
                          </a:xfrm>
                          <a:solidFill>
                            <a:srgbClr val="046A38"/>
                          </a:solidFill>
                        </wpg:grpSpPr>
                        <wps:wsp>
                          <wps:cNvPr id="79" name="Graphic 4"/>
                          <wps:cNvSpPr/>
                          <wps:spPr>
                            <a:xfrm>
                              <a:off x="126055" y="85140"/>
                              <a:ext cx="111152" cy="89523"/>
                            </a:xfrm>
                            <a:custGeom>
                              <a:avLst/>
                              <a:gdLst>
                                <a:gd name="connsiteX0" fmla="*/ 5868 w 111152"/>
                                <a:gd name="connsiteY0" fmla="*/ 0 h 89523"/>
                                <a:gd name="connsiteX1" fmla="*/ 12897 w 111152"/>
                                <a:gd name="connsiteY1" fmla="*/ 70224 h 89523"/>
                                <a:gd name="connsiteX2" fmla="*/ 61460 w 111152"/>
                                <a:gd name="connsiteY2" fmla="*/ 89376 h 89523"/>
                                <a:gd name="connsiteX3" fmla="*/ 101717 w 111152"/>
                                <a:gd name="connsiteY3" fmla="*/ 67670 h 89523"/>
                                <a:gd name="connsiteX4" fmla="*/ 105551 w 111152"/>
                                <a:gd name="connsiteY4" fmla="*/ 0 h 89523"/>
                                <a:gd name="connsiteX5" fmla="*/ 5868 w 111152"/>
                                <a:gd name="connsiteY5" fmla="*/ 0 h 89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1152" h="89523">
                                  <a:moveTo>
                                    <a:pt x="5868" y="0"/>
                                  </a:moveTo>
                                  <a:cubicBezTo>
                                    <a:pt x="2034" y="11491"/>
                                    <a:pt x="-8190" y="47241"/>
                                    <a:pt x="12897" y="70224"/>
                                  </a:cubicBezTo>
                                  <a:cubicBezTo>
                                    <a:pt x="25677" y="83630"/>
                                    <a:pt x="42930" y="90653"/>
                                    <a:pt x="61460" y="89376"/>
                                  </a:cubicBezTo>
                                  <a:cubicBezTo>
                                    <a:pt x="78074" y="88099"/>
                                    <a:pt x="92771" y="80438"/>
                                    <a:pt x="101717" y="67670"/>
                                  </a:cubicBezTo>
                                  <a:cubicBezTo>
                                    <a:pt x="117692" y="45326"/>
                                    <a:pt x="109385" y="11491"/>
                                    <a:pt x="105551" y="0"/>
                                  </a:cubicBezTo>
                                  <a:lnTo>
                                    <a:pt x="5868" y="0"/>
                                  </a:lnTo>
                                  <a:close/>
                                </a:path>
                              </a:pathLst>
                            </a:custGeom>
                            <a:solidFill>
                              <a:srgbClr val="046A38"/>
                            </a:solidFill>
                            <a:ln w="6390" cap="flat">
                              <a:noFill/>
                              <a:prstDash val="solid"/>
                              <a:miter/>
                            </a:ln>
                          </wps:spPr>
                          <wps:bodyPr rtlCol="0" anchor="ctr"/>
                        </wps:wsp>
                        <wps:wsp>
                          <wps:cNvPr id="80" name="Graphic 4"/>
                          <wps:cNvSpPr/>
                          <wps:spPr>
                            <a:xfrm>
                              <a:off x="0" y="0"/>
                              <a:ext cx="361670" cy="361333"/>
                            </a:xfrm>
                            <a:custGeom>
                              <a:avLst/>
                              <a:gdLst>
                                <a:gd name="connsiteX0" fmla="*/ 180835 w 361670"/>
                                <a:gd name="connsiteY0" fmla="*/ 0 h 361333"/>
                                <a:gd name="connsiteX1" fmla="*/ 0 w 361670"/>
                                <a:gd name="connsiteY1" fmla="*/ 180667 h 361333"/>
                                <a:gd name="connsiteX2" fmla="*/ 180835 w 361670"/>
                                <a:gd name="connsiteY2" fmla="*/ 361333 h 361333"/>
                                <a:gd name="connsiteX3" fmla="*/ 361671 w 361670"/>
                                <a:gd name="connsiteY3" fmla="*/ 180667 h 361333"/>
                                <a:gd name="connsiteX4" fmla="*/ 180835 w 361670"/>
                                <a:gd name="connsiteY4" fmla="*/ 0 h 361333"/>
                                <a:gd name="connsiteX5" fmla="*/ 237706 w 361670"/>
                                <a:gd name="connsiteY5" fmla="*/ 159600 h 361333"/>
                                <a:gd name="connsiteX6" fmla="*/ 187864 w 361670"/>
                                <a:gd name="connsiteY6" fmla="*/ 187051 h 361333"/>
                                <a:gd name="connsiteX7" fmla="*/ 187864 w 361670"/>
                                <a:gd name="connsiteY7" fmla="*/ 277703 h 361333"/>
                                <a:gd name="connsiteX8" fmla="*/ 209590 w 361670"/>
                                <a:gd name="connsiteY8" fmla="*/ 277703 h 361333"/>
                                <a:gd name="connsiteX9" fmla="*/ 215980 w 361670"/>
                                <a:gd name="connsiteY9" fmla="*/ 284087 h 361333"/>
                                <a:gd name="connsiteX10" fmla="*/ 209590 w 361670"/>
                                <a:gd name="connsiteY10" fmla="*/ 290471 h 361333"/>
                                <a:gd name="connsiteX11" fmla="*/ 153358 w 361670"/>
                                <a:gd name="connsiteY11" fmla="*/ 290471 h 361333"/>
                                <a:gd name="connsiteX12" fmla="*/ 146969 w 361670"/>
                                <a:gd name="connsiteY12" fmla="*/ 284087 h 361333"/>
                                <a:gd name="connsiteX13" fmla="*/ 153358 w 361670"/>
                                <a:gd name="connsiteY13" fmla="*/ 277703 h 361333"/>
                                <a:gd name="connsiteX14" fmla="*/ 175084 w 361670"/>
                                <a:gd name="connsiteY14" fmla="*/ 277703 h 361333"/>
                                <a:gd name="connsiteX15" fmla="*/ 175084 w 361670"/>
                                <a:gd name="connsiteY15" fmla="*/ 187051 h 361333"/>
                                <a:gd name="connsiteX16" fmla="*/ 129077 w 361670"/>
                                <a:gd name="connsiteY16" fmla="*/ 164068 h 361333"/>
                                <a:gd name="connsiteX17" fmla="*/ 120770 w 361670"/>
                                <a:gd name="connsiteY17" fmla="*/ 75969 h 361333"/>
                                <a:gd name="connsiteX18" fmla="*/ 126521 w 361670"/>
                                <a:gd name="connsiteY18" fmla="*/ 72139 h 361333"/>
                                <a:gd name="connsiteX19" fmla="*/ 235150 w 361670"/>
                                <a:gd name="connsiteY19" fmla="*/ 72139 h 361333"/>
                                <a:gd name="connsiteX20" fmla="*/ 240901 w 361670"/>
                                <a:gd name="connsiteY20" fmla="*/ 75969 h 361333"/>
                                <a:gd name="connsiteX21" fmla="*/ 237706 w 361670"/>
                                <a:gd name="connsiteY21" fmla="*/ 159600 h 361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61670" h="361333">
                                  <a:moveTo>
                                    <a:pt x="180835" y="0"/>
                                  </a:moveTo>
                                  <a:cubicBezTo>
                                    <a:pt x="80513" y="0"/>
                                    <a:pt x="0" y="81076"/>
                                    <a:pt x="0" y="180667"/>
                                  </a:cubicBezTo>
                                  <a:cubicBezTo>
                                    <a:pt x="0" y="280257"/>
                                    <a:pt x="81152" y="361333"/>
                                    <a:pt x="180835" y="361333"/>
                                  </a:cubicBezTo>
                                  <a:cubicBezTo>
                                    <a:pt x="280518" y="361333"/>
                                    <a:pt x="361671" y="280257"/>
                                    <a:pt x="361671" y="180667"/>
                                  </a:cubicBezTo>
                                  <a:cubicBezTo>
                                    <a:pt x="361671" y="81076"/>
                                    <a:pt x="281157" y="0"/>
                                    <a:pt x="180835" y="0"/>
                                  </a:cubicBezTo>
                                  <a:close/>
                                  <a:moveTo>
                                    <a:pt x="237706" y="159600"/>
                                  </a:moveTo>
                                  <a:cubicBezTo>
                                    <a:pt x="226204" y="175560"/>
                                    <a:pt x="208312" y="185135"/>
                                    <a:pt x="187864" y="187051"/>
                                  </a:cubicBezTo>
                                  <a:lnTo>
                                    <a:pt x="187864" y="277703"/>
                                  </a:lnTo>
                                  <a:lnTo>
                                    <a:pt x="209590" y="277703"/>
                                  </a:lnTo>
                                  <a:cubicBezTo>
                                    <a:pt x="213424" y="277703"/>
                                    <a:pt x="215980" y="280257"/>
                                    <a:pt x="215980" y="284087"/>
                                  </a:cubicBezTo>
                                  <a:cubicBezTo>
                                    <a:pt x="215980" y="287917"/>
                                    <a:pt x="213424" y="290471"/>
                                    <a:pt x="209590" y="290471"/>
                                  </a:cubicBezTo>
                                  <a:lnTo>
                                    <a:pt x="153358" y="290471"/>
                                  </a:lnTo>
                                  <a:cubicBezTo>
                                    <a:pt x="149525" y="290471"/>
                                    <a:pt x="146969" y="287917"/>
                                    <a:pt x="146969" y="284087"/>
                                  </a:cubicBezTo>
                                  <a:cubicBezTo>
                                    <a:pt x="146969" y="280257"/>
                                    <a:pt x="149525" y="277703"/>
                                    <a:pt x="153358" y="277703"/>
                                  </a:cubicBezTo>
                                  <a:lnTo>
                                    <a:pt x="175084" y="277703"/>
                                  </a:lnTo>
                                  <a:lnTo>
                                    <a:pt x="175084" y="187051"/>
                                  </a:lnTo>
                                  <a:cubicBezTo>
                                    <a:pt x="157832" y="185135"/>
                                    <a:pt x="141857" y="176836"/>
                                    <a:pt x="129077" y="164068"/>
                                  </a:cubicBezTo>
                                  <a:cubicBezTo>
                                    <a:pt x="97127" y="130872"/>
                                    <a:pt x="120131" y="78523"/>
                                    <a:pt x="120770" y="75969"/>
                                  </a:cubicBezTo>
                                  <a:cubicBezTo>
                                    <a:pt x="122048" y="73416"/>
                                    <a:pt x="123965" y="72139"/>
                                    <a:pt x="126521" y="72139"/>
                                  </a:cubicBezTo>
                                  <a:lnTo>
                                    <a:pt x="235150" y="72139"/>
                                  </a:lnTo>
                                  <a:cubicBezTo>
                                    <a:pt x="237706" y="72139"/>
                                    <a:pt x="240262" y="73416"/>
                                    <a:pt x="240901" y="75969"/>
                                  </a:cubicBezTo>
                                  <a:cubicBezTo>
                                    <a:pt x="242179" y="77884"/>
                                    <a:pt x="261349" y="126403"/>
                                    <a:pt x="237706" y="159600"/>
                                  </a:cubicBezTo>
                                  <a:close/>
                                </a:path>
                              </a:pathLst>
                            </a:custGeom>
                            <a:solidFill>
                              <a:srgbClr val="046A38"/>
                            </a:solidFill>
                            <a:ln w="6390" cap="flat">
                              <a:noFill/>
                              <a:prstDash val="solid"/>
                              <a:miter/>
                            </a:ln>
                          </wps:spPr>
                          <wps:bodyPr rtlCol="0" anchor="ctr"/>
                        </wps:wsp>
                      </wpg:grpSp>
                    </wpg:wgp>
                  </a:graphicData>
                </a:graphic>
              </wp:anchor>
            </w:drawing>
          </mc:Choice>
          <mc:Fallback>
            <w:pict>
              <v:group w14:anchorId="2F987206" id="Group 76" o:spid="_x0000_s1026" alt="&quot;&quot;" style="position:absolute;margin-left:339.15pt;margin-top:23.15pt;width:88.45pt;height:88.45pt;z-index:251662848;mso-position-horizontal-relative:margin" coordsize="11232,1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">
                <v:oval id="Oval 77" o:spid="_x0000_s1027" style="position:absolute;left:216;top:431;width:10800;height:1080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" fillcolor="white [3212]" stroked="f" strokeweight="1.5pt">
                  <v:stroke joinstyle="miter"/>
                  <v:textbox inset="7pt,7pt,7pt,7pt"/>
                </v:oval>
                <v:group id="Graphic 4" o:spid="_x0000_s1028" style="position:absolute;width:11232;height:11231" coordsize="361670,3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Graphic 4" o:spid="_x0000_s1029" style="position:absolute;left:126055;top:85140;width:111152;height:89523;visibility:visible;mso-wrap-style:square;v-text-anchor:middle" coordsize="111152,8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" path="m5868,c2034,11491,-8190,47241,12897,70224,25677,83630,42930,90653,61460,89376,78074,88099,92771,80438,101717,67670,117692,45326,109385,11491,105551,l5868,xe" fillcolor="#046a38" stroked="f" strokeweight=".1775mm">
                    <v:stroke joinstyle="miter"/>
                    <v:path arrowok="t" o:connecttype="custom" o:connectlocs="5868,0;12897,70224;61460,89376;101717,67670;105551,0;5868,0" o:connectangles="0,0,0,0,0,0"/>
                  </v:shape>
                  <v:shape id="Graphic 4" o:spid="_x0000_s1030" style="position:absolute;width:361670;height:361333;visibility:visible;mso-wrap-style:square;v-text-anchor:middle" coordsize="361670,3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" path="m180835,c80513,,,81076,,180667v,99590,81152,180666,180835,180666c280518,361333,361671,280257,361671,180667,361671,81076,281157,,180835,xm237706,159600v-11502,15960,-29394,25535,-49842,27451l187864,277703r21726,c213424,277703,215980,280257,215980,284087v,3830,-2556,6384,-6390,6384l153358,290471v-3833,,-6389,-2554,-6389,-6384c146969,280257,149525,277703,153358,277703r21726,l175084,187051v-17252,-1916,-33227,-10215,-46007,-22983c97127,130872,120131,78523,120770,75969v1278,-2553,3195,-3830,5751,-3830l235150,72139v2556,,5112,1277,5751,3830c242179,77884,261349,126403,237706,159600xe" fillcolor="#046a38" stroked="f" strokeweight=".1775mm">
                    <v:stroke joinstyle="miter"/>
                    <v:path arrowok="t" o:connecttype="custom" o:connectlocs="180835,0;0,180667;180835,361333;361671,180667;180835,0;237706,159600;187864,187051;187864,277703;209590,277703;215980,284087;209590,290471;153358,290471;146969,284087;153358,277703;175084,277703;175084,187051;129077,164068;120770,75969;126521,72139;235150,72139;240901,75969;237706,159600" o:connectangles="0,0,0,0,0,0,0,0,0,0,0,0,0,0,0,0,0,0,0,0,0,0"/>
                  </v:shape>
                </v:group>
                <w10:wrap anchorx="margin"/>
              </v:group>
            </w:pict>
          </mc:Fallback>
        </mc:AlternateContent>
      </w:r>
      <w:r w:rsidR="00126390">
        <w:rPr>
          <w:noProof/>
        </w:rPr>
        <mc:AlternateContent>
          <mc:Choice Requires="wps">
            <w:drawing>
              <wp:inline distT="0" distB="0" distL="0" distR="0" wp14:anchorId="12781184" wp14:editId="0BFDF112">
                <wp:extent cx="5715000" cy="1404620"/>
                <wp:effectExtent l="0" t="0" r="19050" b="13335"/>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noFill/>
                        <a:ln w="19050">
                          <a:solidFill>
                            <a:schemeClr val="accent2"/>
                          </a:solidFill>
                          <a:miter lim="800000"/>
                          <a:headEnd/>
                          <a:tailEnd/>
                        </a:ln>
                        <a:effectLst/>
                      </wps:spPr>
                      <wps:txbx>
                        <w:txbxContent>
                          <w:p w14:paraId="4149C579" w14:textId="77777777" w:rsidR="00126390" w:rsidRPr="00A13C24" w:rsidRDefault="00126390" w:rsidP="00126390">
                            <w:pPr>
                              <w:rPr>
                                <w:rFonts w:cs="Arial"/>
                                <w:b/>
                                <w:bCs/>
                                <w:color w:val="046A38" w:themeColor="accent2"/>
                                <w:sz w:val="32"/>
                                <w:szCs w:val="32"/>
                              </w:rPr>
                            </w:pPr>
                          </w:p>
                          <w:p w14:paraId="4A849118" w14:textId="77777777" w:rsidR="00D26F24" w:rsidRPr="00A13C24" w:rsidRDefault="00D26F24" w:rsidP="00126390">
                            <w:pPr>
                              <w:rPr>
                                <w:rFonts w:cs="Arial"/>
                                <w:b/>
                                <w:bCs/>
                                <w:color w:val="046A38" w:themeColor="accent2"/>
                                <w:sz w:val="32"/>
                                <w:szCs w:val="32"/>
                              </w:rPr>
                            </w:pPr>
                          </w:p>
                          <w:p w14:paraId="4629878D" w14:textId="77777777" w:rsidR="00126390" w:rsidRPr="00893EB3" w:rsidRDefault="00126390" w:rsidP="00126390">
                            <w:pPr>
                              <w:rPr>
                                <w:rFonts w:cs="Arial"/>
                                <w:color w:val="034F29" w:themeColor="accent2" w:themeShade="BF"/>
                                <w:sz w:val="32"/>
                                <w:szCs w:val="32"/>
                              </w:rPr>
                            </w:pPr>
                            <w:r w:rsidRPr="00893EB3">
                              <w:rPr>
                                <w:rFonts w:cs="Arial"/>
                                <w:b/>
                                <w:color w:val="034F29" w:themeColor="accent2" w:themeShade="BF"/>
                                <w:sz w:val="32"/>
                                <w:szCs w:val="32"/>
                              </w:rPr>
                              <w:t xml:space="preserve">LHVF Case Study: </w:t>
                            </w:r>
                            <w:r w:rsidRPr="00893EB3">
                              <w:rPr>
                                <w:rFonts w:cs="Arial"/>
                                <w:color w:val="034F29" w:themeColor="accent2" w:themeShade="BF"/>
                                <w:sz w:val="32"/>
                                <w:szCs w:val="32"/>
                              </w:rPr>
                              <w:br/>
                              <w:t>Restaurant and event space</w:t>
                            </w:r>
                          </w:p>
                          <w:p w14:paraId="424208D6" w14:textId="77777777" w:rsidR="00126390" w:rsidRPr="00A13C24" w:rsidRDefault="00126390" w:rsidP="00126390">
                            <w:pPr>
                              <w:rPr>
                                <w:rFonts w:cs="Arial"/>
                                <w:sz w:val="32"/>
                                <w:szCs w:val="32"/>
                              </w:rPr>
                            </w:pPr>
                          </w:p>
                          <w:p w14:paraId="005AEFAD" w14:textId="77777777" w:rsidR="00D26F24" w:rsidRPr="00F77F1E" w:rsidRDefault="00126390" w:rsidP="00F77F1E">
                            <w:pPr>
                              <w:jc w:val="both"/>
                              <w:rPr>
                                <w:b/>
                                <w:color w:val="2C5234"/>
                              </w:rPr>
                            </w:pPr>
                            <w:r w:rsidRPr="00F77F1E">
                              <w:rPr>
                                <w:b/>
                                <w:color w:val="2C5234"/>
                              </w:rPr>
                              <w:t>Business description</w:t>
                            </w:r>
                          </w:p>
                          <w:p w14:paraId="77B8782A" w14:textId="277A50AC" w:rsidR="005B6EB6" w:rsidRDefault="00BC2526" w:rsidP="00893EB3">
                            <w:pPr>
                              <w:jc w:val="both"/>
                              <w:rPr>
                                <w:rFonts w:cs="Arial"/>
                              </w:rPr>
                            </w:pPr>
                            <w:r w:rsidRPr="00F77F1E">
                              <w:rPr>
                                <w:rFonts w:cs="Arial"/>
                              </w:rPr>
                              <w:t xml:space="preserve">The business is a licensed restaurant and event space located in the Mornington Peninsula within an established winery. They have a </w:t>
                            </w:r>
                            <w:r w:rsidR="004008DE">
                              <w:rPr>
                                <w:rFonts w:cs="Arial"/>
                              </w:rPr>
                              <w:t xml:space="preserve">long-established </w:t>
                            </w:r>
                            <w:r w:rsidRPr="00F77F1E">
                              <w:rPr>
                                <w:rFonts w:cs="Arial"/>
                              </w:rPr>
                              <w:t xml:space="preserve">community presence and are well-known in the area. With a </w:t>
                            </w:r>
                            <w:r w:rsidR="004008DE">
                              <w:rPr>
                                <w:rFonts w:cs="Arial"/>
                              </w:rPr>
                              <w:t xml:space="preserve">large </w:t>
                            </w:r>
                            <w:r w:rsidRPr="00F77F1E">
                              <w:rPr>
                                <w:rFonts w:cs="Arial"/>
                              </w:rPr>
                              <w:t>seating capacity, they regularly host weddings and other large events.</w:t>
                            </w:r>
                          </w:p>
                          <w:p w14:paraId="58D7ECFD" w14:textId="5905A8B8" w:rsidR="00EA477C" w:rsidRDefault="00DD6DD9" w:rsidP="00F77F1E">
                            <w:pPr>
                              <w:jc w:val="both"/>
                            </w:pPr>
                            <w:r>
                              <w:t xml:space="preserve">This case study highlights the impacts of COVID-19 lockdowns on the </w:t>
                            </w:r>
                            <w:r w:rsidRPr="00FC4DA2">
                              <w:rPr>
                                <w:rFonts w:cs="Arial"/>
                              </w:rPr>
                              <w:t>restaurant and event space</w:t>
                            </w:r>
                            <w:r>
                              <w:t xml:space="preserve"> and </w:t>
                            </w:r>
                            <w:r w:rsidR="00B634D7">
                              <w:t>their experience with the LHVF program</w:t>
                            </w:r>
                            <w:r>
                              <w:t>.</w:t>
                            </w:r>
                          </w:p>
                          <w:p w14:paraId="20E20EB2" w14:textId="77777777" w:rsidR="00D26F24" w:rsidRPr="00F77F1E" w:rsidRDefault="00126390" w:rsidP="00F77F1E">
                            <w:pPr>
                              <w:jc w:val="both"/>
                              <w:rPr>
                                <w:b/>
                                <w:color w:val="2C5234"/>
                              </w:rPr>
                            </w:pPr>
                            <w:r w:rsidRPr="00F77F1E">
                              <w:rPr>
                                <w:b/>
                                <w:color w:val="2C5234"/>
                              </w:rPr>
                              <w:t>Impact of COVID-19</w:t>
                            </w:r>
                          </w:p>
                          <w:p w14:paraId="1364CC49" w14:textId="771073CD" w:rsidR="00270E9C" w:rsidRDefault="00270E9C" w:rsidP="00F77F1E">
                            <w:pPr>
                              <w:jc w:val="both"/>
                              <w:rPr>
                                <w:rFonts w:cs="Arial"/>
                              </w:rPr>
                            </w:pPr>
                            <w:r w:rsidRPr="00F77F1E">
                              <w:rPr>
                                <w:rFonts w:cs="Arial"/>
                              </w:rPr>
                              <w:t>When COVID-19 public health restrictions were introduced, the restaurant had to close its operations</w:t>
                            </w:r>
                            <w:r w:rsidR="00003BFF">
                              <w:rPr>
                                <w:rFonts w:cs="Arial"/>
                              </w:rPr>
                              <w:t>.</w:t>
                            </w:r>
                            <w:r w:rsidR="00836BC3">
                              <w:rPr>
                                <w:rFonts w:cs="Arial"/>
                              </w:rPr>
                              <w:t xml:space="preserve"> </w:t>
                            </w:r>
                            <w:r w:rsidRPr="00F77F1E">
                              <w:rPr>
                                <w:rFonts w:cs="Arial"/>
                              </w:rPr>
                              <w:t>On the first weekend of the restrictions, the venue was booked for three separate weddings, all of which had to be rescheduled. The food prepared for these events was sold online at a discount as 'ready meals'</w:t>
                            </w:r>
                            <w:r w:rsidR="00CD44C8">
                              <w:rPr>
                                <w:rFonts w:cs="Arial"/>
                              </w:rPr>
                              <w:t>.</w:t>
                            </w:r>
                            <w:r w:rsidRPr="00F77F1E">
                              <w:rPr>
                                <w:rFonts w:cs="Arial"/>
                              </w:rPr>
                              <w:t xml:space="preserve"> Although the restaurant attempted to continue providing these meals as a source of income, it proved financially unsustainable.</w:t>
                            </w:r>
                          </w:p>
                          <w:p w14:paraId="4BC8B2DF" w14:textId="0A797B60" w:rsidR="006F4AEB" w:rsidRDefault="00270E9C" w:rsidP="00F77F1E">
                            <w:pPr>
                              <w:jc w:val="both"/>
                              <w:rPr>
                                <w:rFonts w:cs="Arial"/>
                              </w:rPr>
                            </w:pPr>
                            <w:r w:rsidRPr="00161655">
                              <w:rPr>
                                <w:rFonts w:cs="Arial"/>
                              </w:rPr>
                              <w:t xml:space="preserve">Despite the closure, ongoing costs such as rent, utilities, staff wages and other unavoidable expenses persisted. While the restaurant received </w:t>
                            </w:r>
                            <w:proofErr w:type="spellStart"/>
                            <w:r w:rsidRPr="00161655">
                              <w:rPr>
                                <w:rFonts w:cs="Arial"/>
                              </w:rPr>
                              <w:t>JobKeeper</w:t>
                            </w:r>
                            <w:proofErr w:type="spellEnd"/>
                            <w:r w:rsidRPr="00161655">
                              <w:rPr>
                                <w:rFonts w:cs="Arial"/>
                              </w:rPr>
                              <w:t xml:space="preserve"> to pay eligible </w:t>
                            </w:r>
                            <w:r w:rsidR="00F8567D">
                              <w:rPr>
                                <w:rFonts w:cs="Arial"/>
                              </w:rPr>
                              <w:t>s</w:t>
                            </w:r>
                            <w:r w:rsidRPr="00161655">
                              <w:rPr>
                                <w:rFonts w:cs="Arial"/>
                              </w:rPr>
                              <w:t>taff, those ineligible due to their visa status were paid from the business's reserves. These ongoing costs significantly strained the business, leading the owner to use personal funds to cover expenses.</w:t>
                            </w:r>
                            <w:r w:rsidR="00945FEB">
                              <w:rPr>
                                <w:rFonts w:cs="Arial"/>
                              </w:rPr>
                              <w:t xml:space="preserve"> </w:t>
                            </w:r>
                            <w:r w:rsidR="00945FEB" w:rsidRPr="00161655">
                              <w:rPr>
                                <w:rFonts w:cs="Arial"/>
                              </w:rPr>
                              <w:t>As public health restrictions gradually eased, the restaurant struggled to recover. Density limits reduced seating capacity, and travel restrictions in other parts of the state impacted patronage. Reduced headcounts at weddings further diminished revenue, prolonging the recovery process.</w:t>
                            </w:r>
                          </w:p>
                          <w:p w14:paraId="37CE2018" w14:textId="28F7F6ED" w:rsidR="00D26F24" w:rsidRPr="00F77F1E" w:rsidRDefault="00126390" w:rsidP="00F77F1E">
                            <w:pPr>
                              <w:jc w:val="both"/>
                              <w:rPr>
                                <w:b/>
                                <w:color w:val="2C5234"/>
                              </w:rPr>
                            </w:pPr>
                            <w:r w:rsidRPr="00F77F1E">
                              <w:rPr>
                                <w:b/>
                                <w:color w:val="2C5234"/>
                              </w:rPr>
                              <w:t>Engagement with LHVF</w:t>
                            </w:r>
                          </w:p>
                          <w:p w14:paraId="01576346" w14:textId="48337836" w:rsidR="00985733" w:rsidRPr="00F77F1E" w:rsidRDefault="00985733" w:rsidP="00F77F1E">
                            <w:pPr>
                              <w:jc w:val="both"/>
                              <w:rPr>
                                <w:rFonts w:cs="Arial"/>
                              </w:rPr>
                            </w:pPr>
                            <w:r w:rsidRPr="00F77F1E">
                              <w:rPr>
                                <w:rFonts w:cs="Arial"/>
                              </w:rPr>
                              <w:t xml:space="preserve">The restaurant applied for LHVF </w:t>
                            </w:r>
                            <w:r w:rsidR="00E91D65">
                              <w:rPr>
                                <w:rFonts w:cs="Arial"/>
                              </w:rPr>
                              <w:t>once</w:t>
                            </w:r>
                            <w:r w:rsidRPr="00F77F1E">
                              <w:rPr>
                                <w:rFonts w:cs="Arial"/>
                              </w:rPr>
                              <w:t xml:space="preserve"> the program was announced. However, the liquor licence associated with the property had not been updated for 20 years, inaccurately reflecting the venue's current capacity. </w:t>
                            </w:r>
                            <w:r w:rsidR="00CC73B2">
                              <w:rPr>
                                <w:rFonts w:cs="Arial"/>
                              </w:rPr>
                              <w:t xml:space="preserve">Since </w:t>
                            </w:r>
                            <w:r w:rsidRPr="00F77F1E">
                              <w:rPr>
                                <w:rFonts w:cs="Arial"/>
                              </w:rPr>
                              <w:t>this outdated information</w:t>
                            </w:r>
                            <w:r>
                              <w:rPr>
                                <w:rFonts w:cs="Arial"/>
                              </w:rPr>
                              <w:t xml:space="preserve"> </w:t>
                            </w:r>
                            <w:r w:rsidR="00CC73B2">
                              <w:rPr>
                                <w:rFonts w:cs="Arial"/>
                              </w:rPr>
                              <w:t>was relied on</w:t>
                            </w:r>
                            <w:r w:rsidRPr="00F77F1E">
                              <w:rPr>
                                <w:rFonts w:cs="Arial"/>
                              </w:rPr>
                              <w:t xml:space="preserve"> to determine grant amounts, the restaurant </w:t>
                            </w:r>
                            <w:r w:rsidR="00CC73B2">
                              <w:rPr>
                                <w:rFonts w:cs="Arial"/>
                              </w:rPr>
                              <w:t xml:space="preserve">consequently </w:t>
                            </w:r>
                            <w:r w:rsidRPr="00F77F1E">
                              <w:rPr>
                                <w:rFonts w:cs="Arial"/>
                              </w:rPr>
                              <w:t xml:space="preserve">received a grant tier equivalent to a small café, </w:t>
                            </w:r>
                            <w:r w:rsidR="00CC73B2">
                              <w:rPr>
                                <w:rFonts w:cs="Arial"/>
                              </w:rPr>
                              <w:t>rather than</w:t>
                            </w:r>
                            <w:r w:rsidRPr="00F77F1E">
                              <w:rPr>
                                <w:rFonts w:cs="Arial"/>
                              </w:rPr>
                              <w:t xml:space="preserve"> the 150-capacity venue registered with the local council. This amount was insufficient to cover many unavoidable costs</w:t>
                            </w:r>
                            <w:r w:rsidR="00CC73B2">
                              <w:rPr>
                                <w:rFonts w:cs="Arial"/>
                              </w:rPr>
                              <w:t xml:space="preserve"> experienced by the restaurant</w:t>
                            </w:r>
                            <w:r>
                              <w:rPr>
                                <w:rFonts w:cs="Arial"/>
                              </w:rPr>
                              <w:t>.</w:t>
                            </w:r>
                          </w:p>
                          <w:p w14:paraId="3F8664B6" w14:textId="4319FADA" w:rsidR="00985733" w:rsidRPr="00F77F1E" w:rsidRDefault="00945FEB" w:rsidP="00F77F1E">
                            <w:pPr>
                              <w:jc w:val="both"/>
                              <w:rPr>
                                <w:rFonts w:cs="Arial"/>
                              </w:rPr>
                            </w:pPr>
                            <w:r>
                              <w:rPr>
                                <w:rFonts w:cs="Arial"/>
                              </w:rPr>
                              <w:t xml:space="preserve">Once </w:t>
                            </w:r>
                            <w:proofErr w:type="spellStart"/>
                            <w:r>
                              <w:rPr>
                                <w:rFonts w:cs="Arial"/>
                              </w:rPr>
                              <w:t>JobKeeper</w:t>
                            </w:r>
                            <w:proofErr w:type="spellEnd"/>
                            <w:r>
                              <w:rPr>
                                <w:rFonts w:cs="Arial"/>
                              </w:rPr>
                              <w:t xml:space="preserve"> concluded in March 2021</w:t>
                            </w:r>
                            <w:r w:rsidR="00985733" w:rsidRPr="00F77F1E">
                              <w:rPr>
                                <w:rFonts w:cs="Arial"/>
                              </w:rPr>
                              <w:t>, the restaurant lacked support to pay staff wages</w:t>
                            </w:r>
                            <w:r>
                              <w:rPr>
                                <w:rFonts w:cs="Arial"/>
                              </w:rPr>
                              <w:t xml:space="preserve">, requiring </w:t>
                            </w:r>
                            <w:r w:rsidR="00985733" w:rsidRPr="00F77F1E">
                              <w:rPr>
                                <w:rFonts w:cs="Arial"/>
                              </w:rPr>
                              <w:t xml:space="preserve">the owner </w:t>
                            </w:r>
                            <w:r>
                              <w:rPr>
                                <w:rFonts w:cs="Arial"/>
                              </w:rPr>
                              <w:t>to use</w:t>
                            </w:r>
                            <w:r w:rsidR="00985733" w:rsidRPr="00F77F1E">
                              <w:rPr>
                                <w:rFonts w:cs="Arial"/>
                              </w:rPr>
                              <w:t xml:space="preserve"> personal savings and business reserves to ensure staff wages, rent and utilities were paid. To rectify the liquor licence issue, the restaurant hired a bookkeeper to provide all requested information</w:t>
                            </w:r>
                            <w:r w:rsidR="00CD44C8">
                              <w:rPr>
                                <w:rFonts w:cs="Arial"/>
                              </w:rPr>
                              <w:t>;</w:t>
                            </w:r>
                            <w:r>
                              <w:rPr>
                                <w:rFonts w:cs="Arial"/>
                              </w:rPr>
                              <w:t xml:space="preserve"> however, t</w:t>
                            </w:r>
                            <w:r w:rsidR="00985733" w:rsidRPr="00F77F1E">
                              <w:rPr>
                                <w:rFonts w:cs="Arial"/>
                              </w:rPr>
                              <w:t>his additional cost did not lead to more grant funds.</w:t>
                            </w:r>
                          </w:p>
                          <w:p w14:paraId="3C306897" w14:textId="77777777" w:rsidR="00985733" w:rsidRPr="00F77F1E" w:rsidRDefault="00985733" w:rsidP="00F77F1E">
                            <w:pPr>
                              <w:jc w:val="both"/>
                              <w:rPr>
                                <w:rFonts w:cs="Arial"/>
                              </w:rPr>
                            </w:pPr>
                            <w:r w:rsidRPr="00F77F1E">
                              <w:rPr>
                                <w:rFonts w:cs="Arial"/>
                              </w:rPr>
                              <w:t>Due to the financial strain, the owner is now considering closing the business after 20 years.</w:t>
                            </w:r>
                          </w:p>
                          <w:p w14:paraId="00CC989A" w14:textId="77777777" w:rsidR="00D26F24" w:rsidRPr="00F77F1E" w:rsidRDefault="00126390" w:rsidP="00F77F1E">
                            <w:pPr>
                              <w:jc w:val="both"/>
                              <w:rPr>
                                <w:b/>
                                <w:color w:val="2C5234"/>
                              </w:rPr>
                            </w:pPr>
                            <w:r w:rsidRPr="00F77F1E">
                              <w:rPr>
                                <w:b/>
                                <w:color w:val="2C5234"/>
                              </w:rPr>
                              <w:t>Improvement opportunities</w:t>
                            </w:r>
                          </w:p>
                          <w:p w14:paraId="77107139" w14:textId="6E580082" w:rsidR="00126390" w:rsidRPr="00A13C24" w:rsidRDefault="009F0EC4" w:rsidP="00003BFF">
                            <w:pPr>
                              <w:jc w:val="both"/>
                              <w:rPr>
                                <w:rFonts w:cs="Arial"/>
                              </w:rPr>
                            </w:pPr>
                            <w:r>
                              <w:rPr>
                                <w:rFonts w:cs="Arial"/>
                              </w:rPr>
                              <w:t>Though</w:t>
                            </w:r>
                            <w:r w:rsidR="00003BFF" w:rsidRPr="00902DDD">
                              <w:rPr>
                                <w:rFonts w:cs="Arial"/>
                              </w:rPr>
                              <w:t xml:space="preserve"> the grants </w:t>
                            </w:r>
                            <w:r w:rsidR="00003BFF" w:rsidRPr="00F77F1E">
                              <w:rPr>
                                <w:rFonts w:cs="Arial"/>
                              </w:rPr>
                              <w:t>helped</w:t>
                            </w:r>
                            <w:r w:rsidR="00003BFF" w:rsidRPr="00902DDD">
                              <w:rPr>
                                <w:rFonts w:cs="Arial"/>
                              </w:rPr>
                              <w:t xml:space="preserve"> cover </w:t>
                            </w:r>
                            <w:r w:rsidR="00003BFF" w:rsidRPr="00F77F1E">
                              <w:rPr>
                                <w:rFonts w:cs="Arial"/>
                              </w:rPr>
                              <w:t xml:space="preserve">some </w:t>
                            </w:r>
                            <w:r w:rsidR="00003BFF" w:rsidRPr="00902DDD">
                              <w:rPr>
                                <w:rFonts w:cs="Arial"/>
                              </w:rPr>
                              <w:t xml:space="preserve">costs, </w:t>
                            </w:r>
                            <w:r w:rsidR="00003BFF" w:rsidRPr="00F77F1E">
                              <w:rPr>
                                <w:rFonts w:cs="Arial"/>
                              </w:rPr>
                              <w:t>the restaurant was</w:t>
                            </w:r>
                            <w:r w:rsidR="00003BFF" w:rsidRPr="00902DDD">
                              <w:rPr>
                                <w:rFonts w:cs="Arial"/>
                              </w:rPr>
                              <w:t xml:space="preserve"> </w:t>
                            </w:r>
                            <w:r>
                              <w:rPr>
                                <w:rFonts w:cs="Arial"/>
                              </w:rPr>
                              <w:t xml:space="preserve">generally </w:t>
                            </w:r>
                            <w:r w:rsidR="00003BFF" w:rsidRPr="00902DDD">
                              <w:rPr>
                                <w:rFonts w:cs="Arial"/>
                              </w:rPr>
                              <w:t xml:space="preserve">dissatisfied with the perceived lack of compassion from the government. </w:t>
                            </w:r>
                            <w:r>
                              <w:rPr>
                                <w:rFonts w:cs="Arial"/>
                              </w:rPr>
                              <w:t>They believed that</w:t>
                            </w:r>
                            <w:r w:rsidR="00003BFF" w:rsidRPr="00902DDD">
                              <w:rPr>
                                <w:rFonts w:cs="Arial"/>
                              </w:rPr>
                              <w:t xml:space="preserve"> more open communication</w:t>
                            </w:r>
                            <w:r>
                              <w:rPr>
                                <w:rFonts w:cs="Arial"/>
                              </w:rPr>
                              <w:t xml:space="preserve"> </w:t>
                            </w:r>
                            <w:r w:rsidR="00651B27">
                              <w:rPr>
                                <w:rFonts w:cs="Arial"/>
                              </w:rPr>
                              <w:t xml:space="preserve">from the Department </w:t>
                            </w:r>
                            <w:r>
                              <w:rPr>
                                <w:rFonts w:cs="Arial"/>
                              </w:rPr>
                              <w:t xml:space="preserve">may </w:t>
                            </w:r>
                            <w:r w:rsidR="00003BFF" w:rsidRPr="00902DDD">
                              <w:rPr>
                                <w:rFonts w:cs="Arial"/>
                              </w:rPr>
                              <w:t xml:space="preserve">have </w:t>
                            </w:r>
                            <w:r w:rsidR="00651B27">
                              <w:rPr>
                                <w:rFonts w:cs="Arial"/>
                              </w:rPr>
                              <w:t>enabled them</w:t>
                            </w:r>
                            <w:r w:rsidR="00003BFF" w:rsidRPr="00902DDD">
                              <w:rPr>
                                <w:rFonts w:cs="Arial"/>
                              </w:rPr>
                              <w:t xml:space="preserve"> to explain their liquor licence conditions and access the </w:t>
                            </w:r>
                            <w:r w:rsidR="00003BFF" w:rsidRPr="00F77F1E">
                              <w:rPr>
                                <w:rFonts w:cs="Arial"/>
                              </w:rPr>
                              <w:t xml:space="preserve">appropriate </w:t>
                            </w:r>
                            <w:r w:rsidR="00003BFF" w:rsidRPr="00902DDD">
                              <w:rPr>
                                <w:rFonts w:cs="Arial"/>
                              </w:rPr>
                              <w:t xml:space="preserve">grant amount </w:t>
                            </w:r>
                            <w:r w:rsidR="00003BFF" w:rsidRPr="00F77F1E">
                              <w:rPr>
                                <w:rFonts w:cs="Arial"/>
                              </w:rPr>
                              <w:t>for</w:t>
                            </w:r>
                            <w:r w:rsidR="00003BFF" w:rsidRPr="00902DDD">
                              <w:rPr>
                                <w:rFonts w:cs="Arial"/>
                              </w:rPr>
                              <w:t xml:space="preserve"> their seating capacity.</w:t>
                            </w:r>
                          </w:p>
                        </w:txbxContent>
                      </wps:txbx>
                      <wps:bodyPr rot="0" vert="horz" wrap="square" lIns="91440" tIns="45720" rIns="91440" bIns="45720" anchor="t" anchorCtr="0">
                        <a:spAutoFit/>
                      </wps:bodyPr>
                    </wps:wsp>
                  </a:graphicData>
                </a:graphic>
              </wp:inline>
            </w:drawing>
          </mc:Choice>
          <mc:Fallback>
            <w:pict>
              <v:shape w14:anchorId="12781184" id="Text Box 75" o:spid="_x0000_s103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" filled="f" strokecolor="#046a38 [3205]" strokeweight="1.5pt">
                <v:textbox style="mso-fit-shape-to-text:t">
                  <w:txbxContent>
                    <w:p w14:paraId="4149C579" w14:textId="77777777" w:rsidR="00126390" w:rsidRPr="00A13C24" w:rsidRDefault="00126390" w:rsidP="00126390">
                      <w:pPr>
                        <w:rPr>
                          <w:rFonts w:cs="Arial"/>
                          <w:b/>
                          <w:bCs/>
                          <w:color w:val="046A38" w:themeColor="accent2"/>
                          <w:sz w:val="32"/>
                          <w:szCs w:val="32"/>
                        </w:rPr>
                      </w:pPr>
                    </w:p>
                    <w:p w14:paraId="4A849118" w14:textId="77777777" w:rsidR="00D26F24" w:rsidRPr="00A13C24" w:rsidRDefault="00D26F24" w:rsidP="00126390">
                      <w:pPr>
                        <w:rPr>
                          <w:rFonts w:cs="Arial"/>
                          <w:b/>
                          <w:bCs/>
                          <w:color w:val="046A38" w:themeColor="accent2"/>
                          <w:sz w:val="32"/>
                          <w:szCs w:val="32"/>
                        </w:rPr>
                      </w:pPr>
                    </w:p>
                    <w:p w14:paraId="4629878D" w14:textId="77777777" w:rsidR="00126390" w:rsidRPr="00893EB3" w:rsidRDefault="00126390" w:rsidP="00126390">
                      <w:pPr>
                        <w:rPr>
                          <w:rFonts w:cs="Arial"/>
                          <w:color w:val="034F29" w:themeColor="accent2" w:themeShade="BF"/>
                          <w:sz w:val="32"/>
                          <w:szCs w:val="32"/>
                        </w:rPr>
                      </w:pPr>
                      <w:r w:rsidRPr="00893EB3">
                        <w:rPr>
                          <w:rFonts w:cs="Arial"/>
                          <w:b/>
                          <w:color w:val="034F29" w:themeColor="accent2" w:themeShade="BF"/>
                          <w:sz w:val="32"/>
                          <w:szCs w:val="32"/>
                        </w:rPr>
                        <w:t xml:space="preserve">LHVF Case Study: </w:t>
                      </w:r>
                      <w:r w:rsidRPr="00893EB3">
                        <w:rPr>
                          <w:rFonts w:cs="Arial"/>
                          <w:color w:val="034F29" w:themeColor="accent2" w:themeShade="BF"/>
                          <w:sz w:val="32"/>
                          <w:szCs w:val="32"/>
                        </w:rPr>
                        <w:br/>
                        <w:t>Restaurant and event space</w:t>
                      </w:r>
                    </w:p>
                    <w:p w14:paraId="424208D6" w14:textId="77777777" w:rsidR="00126390" w:rsidRPr="00A13C24" w:rsidRDefault="00126390" w:rsidP="00126390">
                      <w:pPr>
                        <w:rPr>
                          <w:rFonts w:cs="Arial"/>
                          <w:sz w:val="32"/>
                          <w:szCs w:val="32"/>
                        </w:rPr>
                      </w:pPr>
                    </w:p>
                    <w:p w14:paraId="005AEFAD" w14:textId="77777777" w:rsidR="00D26F24" w:rsidRPr="00F77F1E" w:rsidRDefault="00126390" w:rsidP="00F77F1E">
                      <w:pPr>
                        <w:jc w:val="both"/>
                        <w:rPr>
                          <w:b/>
                          <w:color w:val="2C5234"/>
                        </w:rPr>
                      </w:pPr>
                      <w:r w:rsidRPr="00F77F1E">
                        <w:rPr>
                          <w:b/>
                          <w:color w:val="2C5234"/>
                        </w:rPr>
                        <w:t>Business description</w:t>
                      </w:r>
                    </w:p>
                    <w:p w14:paraId="77B8782A" w14:textId="277A50AC" w:rsidR="005B6EB6" w:rsidRDefault="00BC2526" w:rsidP="00893EB3">
                      <w:pPr>
                        <w:jc w:val="both"/>
                        <w:rPr>
                          <w:rFonts w:cs="Arial"/>
                        </w:rPr>
                      </w:pPr>
                      <w:r w:rsidRPr="00F77F1E">
                        <w:rPr>
                          <w:rFonts w:cs="Arial"/>
                        </w:rPr>
                        <w:t xml:space="preserve">The business is a licensed restaurant and event space located in the Mornington Peninsula within an established winery. They have a </w:t>
                      </w:r>
                      <w:r w:rsidR="004008DE">
                        <w:rPr>
                          <w:rFonts w:cs="Arial"/>
                        </w:rPr>
                        <w:t xml:space="preserve">long-established </w:t>
                      </w:r>
                      <w:r w:rsidRPr="00F77F1E">
                        <w:rPr>
                          <w:rFonts w:cs="Arial"/>
                        </w:rPr>
                        <w:t xml:space="preserve">community presence and are well-known in the area. With a </w:t>
                      </w:r>
                      <w:r w:rsidR="004008DE">
                        <w:rPr>
                          <w:rFonts w:cs="Arial"/>
                        </w:rPr>
                        <w:t xml:space="preserve">large </w:t>
                      </w:r>
                      <w:r w:rsidRPr="00F77F1E">
                        <w:rPr>
                          <w:rFonts w:cs="Arial"/>
                        </w:rPr>
                        <w:t>seating capacity, they regularly host weddings and other large events.</w:t>
                      </w:r>
                    </w:p>
                    <w:p w14:paraId="58D7ECFD" w14:textId="5905A8B8" w:rsidR="00EA477C" w:rsidRDefault="00DD6DD9" w:rsidP="00F77F1E">
                      <w:pPr>
                        <w:jc w:val="both"/>
                      </w:pPr>
                      <w:r>
                        <w:t xml:space="preserve">This case study highlights the impacts of COVID-19 lockdowns on the </w:t>
                      </w:r>
                      <w:r w:rsidRPr="00FC4DA2">
                        <w:rPr>
                          <w:rFonts w:cs="Arial"/>
                        </w:rPr>
                        <w:t>restaurant and event space</w:t>
                      </w:r>
                      <w:r>
                        <w:t xml:space="preserve"> and </w:t>
                      </w:r>
                      <w:r w:rsidR="00B634D7">
                        <w:t>their experience with the LHVF program</w:t>
                      </w:r>
                      <w:r>
                        <w:t>.</w:t>
                      </w:r>
                    </w:p>
                    <w:p w14:paraId="20E20EB2" w14:textId="77777777" w:rsidR="00D26F24" w:rsidRPr="00F77F1E" w:rsidRDefault="00126390" w:rsidP="00F77F1E">
                      <w:pPr>
                        <w:jc w:val="both"/>
                        <w:rPr>
                          <w:b/>
                          <w:color w:val="2C5234"/>
                        </w:rPr>
                      </w:pPr>
                      <w:r w:rsidRPr="00F77F1E">
                        <w:rPr>
                          <w:b/>
                          <w:color w:val="2C5234"/>
                        </w:rPr>
                        <w:t>Impact of COVID-19</w:t>
                      </w:r>
                    </w:p>
                    <w:p w14:paraId="1364CC49" w14:textId="771073CD" w:rsidR="00270E9C" w:rsidRDefault="00270E9C" w:rsidP="00F77F1E">
                      <w:pPr>
                        <w:jc w:val="both"/>
                        <w:rPr>
                          <w:rFonts w:cs="Arial"/>
                        </w:rPr>
                      </w:pPr>
                      <w:r w:rsidRPr="00F77F1E">
                        <w:rPr>
                          <w:rFonts w:cs="Arial"/>
                        </w:rPr>
                        <w:t>When COVID-19 public health restrictions were introduced, the restaurant had to close its operations</w:t>
                      </w:r>
                      <w:r w:rsidR="00003BFF">
                        <w:rPr>
                          <w:rFonts w:cs="Arial"/>
                        </w:rPr>
                        <w:t>.</w:t>
                      </w:r>
                      <w:r w:rsidR="00836BC3">
                        <w:rPr>
                          <w:rFonts w:cs="Arial"/>
                        </w:rPr>
                        <w:t xml:space="preserve"> </w:t>
                      </w:r>
                      <w:r w:rsidRPr="00F77F1E">
                        <w:rPr>
                          <w:rFonts w:cs="Arial"/>
                        </w:rPr>
                        <w:t>On the first weekend of the restrictions, the venue was booked for three separate weddings, all of which had to be rescheduled. The food prepared for these events was sold online at a discount as 'ready meals'</w:t>
                      </w:r>
                      <w:r w:rsidR="00CD44C8">
                        <w:rPr>
                          <w:rFonts w:cs="Arial"/>
                        </w:rPr>
                        <w:t>.</w:t>
                      </w:r>
                      <w:r w:rsidRPr="00F77F1E">
                        <w:rPr>
                          <w:rFonts w:cs="Arial"/>
                        </w:rPr>
                        <w:t xml:space="preserve"> Although the restaurant attempted to continue providing these meals as a source of income, it proved financially unsustainable.</w:t>
                      </w:r>
                    </w:p>
                    <w:p w14:paraId="4BC8B2DF" w14:textId="0A797B60" w:rsidR="006F4AEB" w:rsidRDefault="00270E9C" w:rsidP="00F77F1E">
                      <w:pPr>
                        <w:jc w:val="both"/>
                        <w:rPr>
                          <w:rFonts w:cs="Arial"/>
                        </w:rPr>
                      </w:pPr>
                      <w:r w:rsidRPr="00161655">
                        <w:rPr>
                          <w:rFonts w:cs="Arial"/>
                        </w:rPr>
                        <w:t xml:space="preserve">Despite the closure, ongoing costs such as rent, utilities, staff wages and other unavoidable expenses persisted. While the restaurant received </w:t>
                      </w:r>
                      <w:proofErr w:type="spellStart"/>
                      <w:r w:rsidRPr="00161655">
                        <w:rPr>
                          <w:rFonts w:cs="Arial"/>
                        </w:rPr>
                        <w:t>JobKeeper</w:t>
                      </w:r>
                      <w:proofErr w:type="spellEnd"/>
                      <w:r w:rsidRPr="00161655">
                        <w:rPr>
                          <w:rFonts w:cs="Arial"/>
                        </w:rPr>
                        <w:t xml:space="preserve"> to pay eligible </w:t>
                      </w:r>
                      <w:r w:rsidR="00F8567D">
                        <w:rPr>
                          <w:rFonts w:cs="Arial"/>
                        </w:rPr>
                        <w:t>s</w:t>
                      </w:r>
                      <w:r w:rsidRPr="00161655">
                        <w:rPr>
                          <w:rFonts w:cs="Arial"/>
                        </w:rPr>
                        <w:t>taff, those ineligible due to their visa status were paid from the business's reserves. These ongoing costs significantly strained the business, leading the owner to use personal funds to cover expenses.</w:t>
                      </w:r>
                      <w:r w:rsidR="00945FEB">
                        <w:rPr>
                          <w:rFonts w:cs="Arial"/>
                        </w:rPr>
                        <w:t xml:space="preserve"> </w:t>
                      </w:r>
                      <w:r w:rsidR="00945FEB" w:rsidRPr="00161655">
                        <w:rPr>
                          <w:rFonts w:cs="Arial"/>
                        </w:rPr>
                        <w:t>As public health restrictions gradually eased, the restaurant struggled to recover. Density limits reduced seating capacity, and travel restrictions in other parts of the state impacted patronage. Reduced headcounts at weddings further diminished revenue, prolonging the recovery process.</w:t>
                      </w:r>
                    </w:p>
                    <w:p w14:paraId="37CE2018" w14:textId="28F7F6ED" w:rsidR="00D26F24" w:rsidRPr="00F77F1E" w:rsidRDefault="00126390" w:rsidP="00F77F1E">
                      <w:pPr>
                        <w:jc w:val="both"/>
                        <w:rPr>
                          <w:b/>
                          <w:color w:val="2C5234"/>
                        </w:rPr>
                      </w:pPr>
                      <w:r w:rsidRPr="00F77F1E">
                        <w:rPr>
                          <w:b/>
                          <w:color w:val="2C5234"/>
                        </w:rPr>
                        <w:t>Engagement with LHVF</w:t>
                      </w:r>
                    </w:p>
                    <w:p w14:paraId="01576346" w14:textId="48337836" w:rsidR="00985733" w:rsidRPr="00F77F1E" w:rsidRDefault="00985733" w:rsidP="00F77F1E">
                      <w:pPr>
                        <w:jc w:val="both"/>
                        <w:rPr>
                          <w:rFonts w:cs="Arial"/>
                        </w:rPr>
                      </w:pPr>
                      <w:r w:rsidRPr="00F77F1E">
                        <w:rPr>
                          <w:rFonts w:cs="Arial"/>
                        </w:rPr>
                        <w:t xml:space="preserve">The restaurant applied for LHVF </w:t>
                      </w:r>
                      <w:r w:rsidR="00E91D65">
                        <w:rPr>
                          <w:rFonts w:cs="Arial"/>
                        </w:rPr>
                        <w:t>once</w:t>
                      </w:r>
                      <w:r w:rsidRPr="00F77F1E">
                        <w:rPr>
                          <w:rFonts w:cs="Arial"/>
                        </w:rPr>
                        <w:t xml:space="preserve"> the program was announced. However, the liquor licence associated with the property had not been updated for 20 years, inaccurately reflecting the venue's current capacity. </w:t>
                      </w:r>
                      <w:r w:rsidR="00CC73B2">
                        <w:rPr>
                          <w:rFonts w:cs="Arial"/>
                        </w:rPr>
                        <w:t xml:space="preserve">Since </w:t>
                      </w:r>
                      <w:r w:rsidRPr="00F77F1E">
                        <w:rPr>
                          <w:rFonts w:cs="Arial"/>
                        </w:rPr>
                        <w:t>this outdated information</w:t>
                      </w:r>
                      <w:r>
                        <w:rPr>
                          <w:rFonts w:cs="Arial"/>
                        </w:rPr>
                        <w:t xml:space="preserve"> </w:t>
                      </w:r>
                      <w:r w:rsidR="00CC73B2">
                        <w:rPr>
                          <w:rFonts w:cs="Arial"/>
                        </w:rPr>
                        <w:t>was relied on</w:t>
                      </w:r>
                      <w:r w:rsidRPr="00F77F1E">
                        <w:rPr>
                          <w:rFonts w:cs="Arial"/>
                        </w:rPr>
                        <w:t xml:space="preserve"> to determine grant amounts, the restaurant </w:t>
                      </w:r>
                      <w:r w:rsidR="00CC73B2">
                        <w:rPr>
                          <w:rFonts w:cs="Arial"/>
                        </w:rPr>
                        <w:t xml:space="preserve">consequently </w:t>
                      </w:r>
                      <w:r w:rsidRPr="00F77F1E">
                        <w:rPr>
                          <w:rFonts w:cs="Arial"/>
                        </w:rPr>
                        <w:t xml:space="preserve">received a grant tier equivalent to a small café, </w:t>
                      </w:r>
                      <w:r w:rsidR="00CC73B2">
                        <w:rPr>
                          <w:rFonts w:cs="Arial"/>
                        </w:rPr>
                        <w:t>rather than</w:t>
                      </w:r>
                      <w:r w:rsidRPr="00F77F1E">
                        <w:rPr>
                          <w:rFonts w:cs="Arial"/>
                        </w:rPr>
                        <w:t xml:space="preserve"> the 150-capacity venue registered with the local council. This amount was insufficient to cover many unavoidable costs</w:t>
                      </w:r>
                      <w:r w:rsidR="00CC73B2">
                        <w:rPr>
                          <w:rFonts w:cs="Arial"/>
                        </w:rPr>
                        <w:t xml:space="preserve"> experienced by the restaurant</w:t>
                      </w:r>
                      <w:r>
                        <w:rPr>
                          <w:rFonts w:cs="Arial"/>
                        </w:rPr>
                        <w:t>.</w:t>
                      </w:r>
                    </w:p>
                    <w:p w14:paraId="3F8664B6" w14:textId="4319FADA" w:rsidR="00985733" w:rsidRPr="00F77F1E" w:rsidRDefault="00945FEB" w:rsidP="00F77F1E">
                      <w:pPr>
                        <w:jc w:val="both"/>
                        <w:rPr>
                          <w:rFonts w:cs="Arial"/>
                        </w:rPr>
                      </w:pPr>
                      <w:r>
                        <w:rPr>
                          <w:rFonts w:cs="Arial"/>
                        </w:rPr>
                        <w:t xml:space="preserve">Once </w:t>
                      </w:r>
                      <w:proofErr w:type="spellStart"/>
                      <w:r>
                        <w:rPr>
                          <w:rFonts w:cs="Arial"/>
                        </w:rPr>
                        <w:t>JobKeeper</w:t>
                      </w:r>
                      <w:proofErr w:type="spellEnd"/>
                      <w:r>
                        <w:rPr>
                          <w:rFonts w:cs="Arial"/>
                        </w:rPr>
                        <w:t xml:space="preserve"> concluded in March 2021</w:t>
                      </w:r>
                      <w:r w:rsidR="00985733" w:rsidRPr="00F77F1E">
                        <w:rPr>
                          <w:rFonts w:cs="Arial"/>
                        </w:rPr>
                        <w:t>, the restaurant lacked support to pay staff wages</w:t>
                      </w:r>
                      <w:r>
                        <w:rPr>
                          <w:rFonts w:cs="Arial"/>
                        </w:rPr>
                        <w:t xml:space="preserve">, requiring </w:t>
                      </w:r>
                      <w:r w:rsidR="00985733" w:rsidRPr="00F77F1E">
                        <w:rPr>
                          <w:rFonts w:cs="Arial"/>
                        </w:rPr>
                        <w:t xml:space="preserve">the owner </w:t>
                      </w:r>
                      <w:r>
                        <w:rPr>
                          <w:rFonts w:cs="Arial"/>
                        </w:rPr>
                        <w:t>to use</w:t>
                      </w:r>
                      <w:r w:rsidR="00985733" w:rsidRPr="00F77F1E">
                        <w:rPr>
                          <w:rFonts w:cs="Arial"/>
                        </w:rPr>
                        <w:t xml:space="preserve"> personal savings and business reserves to ensure staff wages, rent and utilities were paid. To rectify the liquor licence issue, the restaurant hired a bookkeeper to provide all requested information</w:t>
                      </w:r>
                      <w:r w:rsidR="00CD44C8">
                        <w:rPr>
                          <w:rFonts w:cs="Arial"/>
                        </w:rPr>
                        <w:t>;</w:t>
                      </w:r>
                      <w:r>
                        <w:rPr>
                          <w:rFonts w:cs="Arial"/>
                        </w:rPr>
                        <w:t xml:space="preserve"> however, t</w:t>
                      </w:r>
                      <w:r w:rsidR="00985733" w:rsidRPr="00F77F1E">
                        <w:rPr>
                          <w:rFonts w:cs="Arial"/>
                        </w:rPr>
                        <w:t>his additional cost did not lead to more grant funds.</w:t>
                      </w:r>
                    </w:p>
                    <w:p w14:paraId="3C306897" w14:textId="77777777" w:rsidR="00985733" w:rsidRPr="00F77F1E" w:rsidRDefault="00985733" w:rsidP="00F77F1E">
                      <w:pPr>
                        <w:jc w:val="both"/>
                        <w:rPr>
                          <w:rFonts w:cs="Arial"/>
                        </w:rPr>
                      </w:pPr>
                      <w:r w:rsidRPr="00F77F1E">
                        <w:rPr>
                          <w:rFonts w:cs="Arial"/>
                        </w:rPr>
                        <w:t>Due to the financial strain, the owner is now considering closing the business after 20 years.</w:t>
                      </w:r>
                    </w:p>
                    <w:p w14:paraId="00CC989A" w14:textId="77777777" w:rsidR="00D26F24" w:rsidRPr="00F77F1E" w:rsidRDefault="00126390" w:rsidP="00F77F1E">
                      <w:pPr>
                        <w:jc w:val="both"/>
                        <w:rPr>
                          <w:b/>
                          <w:color w:val="2C5234"/>
                        </w:rPr>
                      </w:pPr>
                      <w:r w:rsidRPr="00F77F1E">
                        <w:rPr>
                          <w:b/>
                          <w:color w:val="2C5234"/>
                        </w:rPr>
                        <w:t>Improvement opportunities</w:t>
                      </w:r>
                    </w:p>
                    <w:p w14:paraId="77107139" w14:textId="6E580082" w:rsidR="00126390" w:rsidRPr="00A13C24" w:rsidRDefault="009F0EC4" w:rsidP="00003BFF">
                      <w:pPr>
                        <w:jc w:val="both"/>
                        <w:rPr>
                          <w:rFonts w:cs="Arial"/>
                        </w:rPr>
                      </w:pPr>
                      <w:r>
                        <w:rPr>
                          <w:rFonts w:cs="Arial"/>
                        </w:rPr>
                        <w:t>Though</w:t>
                      </w:r>
                      <w:r w:rsidR="00003BFF" w:rsidRPr="00902DDD">
                        <w:rPr>
                          <w:rFonts w:cs="Arial"/>
                        </w:rPr>
                        <w:t xml:space="preserve"> the grants </w:t>
                      </w:r>
                      <w:r w:rsidR="00003BFF" w:rsidRPr="00F77F1E">
                        <w:rPr>
                          <w:rFonts w:cs="Arial"/>
                        </w:rPr>
                        <w:t>helped</w:t>
                      </w:r>
                      <w:r w:rsidR="00003BFF" w:rsidRPr="00902DDD">
                        <w:rPr>
                          <w:rFonts w:cs="Arial"/>
                        </w:rPr>
                        <w:t xml:space="preserve"> cover </w:t>
                      </w:r>
                      <w:r w:rsidR="00003BFF" w:rsidRPr="00F77F1E">
                        <w:rPr>
                          <w:rFonts w:cs="Arial"/>
                        </w:rPr>
                        <w:t xml:space="preserve">some </w:t>
                      </w:r>
                      <w:r w:rsidR="00003BFF" w:rsidRPr="00902DDD">
                        <w:rPr>
                          <w:rFonts w:cs="Arial"/>
                        </w:rPr>
                        <w:t xml:space="preserve">costs, </w:t>
                      </w:r>
                      <w:r w:rsidR="00003BFF" w:rsidRPr="00F77F1E">
                        <w:rPr>
                          <w:rFonts w:cs="Arial"/>
                        </w:rPr>
                        <w:t>the restaurant was</w:t>
                      </w:r>
                      <w:r w:rsidR="00003BFF" w:rsidRPr="00902DDD">
                        <w:rPr>
                          <w:rFonts w:cs="Arial"/>
                        </w:rPr>
                        <w:t xml:space="preserve"> </w:t>
                      </w:r>
                      <w:r>
                        <w:rPr>
                          <w:rFonts w:cs="Arial"/>
                        </w:rPr>
                        <w:t xml:space="preserve">generally </w:t>
                      </w:r>
                      <w:r w:rsidR="00003BFF" w:rsidRPr="00902DDD">
                        <w:rPr>
                          <w:rFonts w:cs="Arial"/>
                        </w:rPr>
                        <w:t xml:space="preserve">dissatisfied with the perceived lack of compassion from the government. </w:t>
                      </w:r>
                      <w:r>
                        <w:rPr>
                          <w:rFonts w:cs="Arial"/>
                        </w:rPr>
                        <w:t>They believed that</w:t>
                      </w:r>
                      <w:r w:rsidR="00003BFF" w:rsidRPr="00902DDD">
                        <w:rPr>
                          <w:rFonts w:cs="Arial"/>
                        </w:rPr>
                        <w:t xml:space="preserve"> more open communication</w:t>
                      </w:r>
                      <w:r>
                        <w:rPr>
                          <w:rFonts w:cs="Arial"/>
                        </w:rPr>
                        <w:t xml:space="preserve"> </w:t>
                      </w:r>
                      <w:r w:rsidR="00651B27">
                        <w:rPr>
                          <w:rFonts w:cs="Arial"/>
                        </w:rPr>
                        <w:t xml:space="preserve">from the Department </w:t>
                      </w:r>
                      <w:r>
                        <w:rPr>
                          <w:rFonts w:cs="Arial"/>
                        </w:rPr>
                        <w:t xml:space="preserve">may </w:t>
                      </w:r>
                      <w:r w:rsidR="00003BFF" w:rsidRPr="00902DDD">
                        <w:rPr>
                          <w:rFonts w:cs="Arial"/>
                        </w:rPr>
                        <w:t xml:space="preserve">have </w:t>
                      </w:r>
                      <w:r w:rsidR="00651B27">
                        <w:rPr>
                          <w:rFonts w:cs="Arial"/>
                        </w:rPr>
                        <w:t>enabled them</w:t>
                      </w:r>
                      <w:r w:rsidR="00003BFF" w:rsidRPr="00902DDD">
                        <w:rPr>
                          <w:rFonts w:cs="Arial"/>
                        </w:rPr>
                        <w:t xml:space="preserve"> to explain their liquor licence conditions and access the </w:t>
                      </w:r>
                      <w:r w:rsidR="00003BFF" w:rsidRPr="00F77F1E">
                        <w:rPr>
                          <w:rFonts w:cs="Arial"/>
                        </w:rPr>
                        <w:t xml:space="preserve">appropriate </w:t>
                      </w:r>
                      <w:r w:rsidR="00003BFF" w:rsidRPr="00902DDD">
                        <w:rPr>
                          <w:rFonts w:cs="Arial"/>
                        </w:rPr>
                        <w:t xml:space="preserve">grant amount </w:t>
                      </w:r>
                      <w:r w:rsidR="00003BFF" w:rsidRPr="00F77F1E">
                        <w:rPr>
                          <w:rFonts w:cs="Arial"/>
                        </w:rPr>
                        <w:t>for</w:t>
                      </w:r>
                      <w:r w:rsidR="00003BFF" w:rsidRPr="00902DDD">
                        <w:rPr>
                          <w:rFonts w:cs="Arial"/>
                        </w:rPr>
                        <w:t xml:space="preserve"> their seating capacity.</w:t>
                      </w:r>
                    </w:p>
                  </w:txbxContent>
                </v:textbox>
                <w10:anchorlock/>
              </v:shape>
            </w:pict>
          </mc:Fallback>
        </mc:AlternateContent>
      </w:r>
    </w:p>
    <w:p w14:paraId="54440D98" w14:textId="77777777" w:rsidR="00FC15D0" w:rsidRDefault="00FC15D0" w:rsidP="00021EF3"/>
    <w:p w14:paraId="1560AA34" w14:textId="77777777" w:rsidR="00FC15D0" w:rsidRDefault="00FC15D0" w:rsidP="00021EF3"/>
    <w:p w14:paraId="49747F50" w14:textId="77777777" w:rsidR="00FC15D0" w:rsidRDefault="00FC15D0" w:rsidP="00021EF3"/>
    <w:p w14:paraId="77F8A157" w14:textId="77777777" w:rsidR="00FC15D0" w:rsidRDefault="00FC15D0" w:rsidP="00021EF3"/>
    <w:p w14:paraId="791CB156" w14:textId="77777777" w:rsidR="00FC15D0" w:rsidRDefault="00FC15D0" w:rsidP="00021EF3"/>
    <w:p w14:paraId="57A06019" w14:textId="214AA876" w:rsidR="00FC15D0" w:rsidRDefault="002717EE" w:rsidP="00021EF3">
      <w:r w:rsidRPr="008223B6">
        <w:rPr>
          <w:rFonts w:ascii="Calibri" w:hAnsi="Calibri" w:cs="Calibri"/>
          <w:noProof/>
        </w:rPr>
        <w:lastRenderedPageBreak/>
        <mc:AlternateContent>
          <mc:Choice Requires="wpg">
            <w:drawing>
              <wp:anchor distT="0" distB="0" distL="114300" distR="114300" simplePos="0" relativeHeight="251663872" behindDoc="0" locked="0" layoutInCell="1" allowOverlap="1" wp14:anchorId="2DA11D0B" wp14:editId="7708F564">
                <wp:simplePos x="0" y="0"/>
                <wp:positionH relativeFrom="column">
                  <wp:posOffset>4242902</wp:posOffset>
                </wp:positionH>
                <wp:positionV relativeFrom="paragraph">
                  <wp:posOffset>367920</wp:posOffset>
                </wp:positionV>
                <wp:extent cx="1123200" cy="1126710"/>
                <wp:effectExtent l="0" t="0" r="1270" b="0"/>
                <wp:wrapNone/>
                <wp:docPr id="61" name="Group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3200" cy="1126710"/>
                          <a:chOff x="0" y="0"/>
                          <a:chExt cx="1123202" cy="1126710"/>
                        </a:xfrm>
                      </wpg:grpSpPr>
                      <wps:wsp>
                        <wps:cNvPr id="62" name="Oval 62"/>
                        <wps:cNvSpPr/>
                        <wps:spPr bwMode="gray">
                          <a:xfrm>
                            <a:off x="21600" y="0"/>
                            <a:ext cx="1080000" cy="1080000"/>
                          </a:xfrm>
                          <a:prstGeom prst="ellipse">
                            <a:avLst/>
                          </a:prstGeom>
                          <a:solidFill>
                            <a:schemeClr val="bg1"/>
                          </a:solidFill>
                          <a:ln w="19050" algn="ctr">
                            <a:noFill/>
                            <a:miter lim="800000"/>
                            <a:headEnd/>
                            <a:tailEnd/>
                          </a:ln>
                        </wps:spPr>
                        <wps:bodyPr wrap="square" lIns="88900" tIns="88900" rIns="88900" bIns="88900" rtlCol="0" anchor="ctr"/>
                      </wps:wsp>
                      <wpg:grpSp>
                        <wpg:cNvPr id="63" name="Graphic 4"/>
                        <wpg:cNvGrpSpPr/>
                        <wpg:grpSpPr>
                          <a:xfrm>
                            <a:off x="0" y="3510"/>
                            <a:ext cx="1123202" cy="1123200"/>
                            <a:chOff x="0" y="3510"/>
                            <a:chExt cx="361674" cy="361333"/>
                          </a:xfrm>
                          <a:solidFill>
                            <a:schemeClr val="accent1"/>
                          </a:solidFill>
                        </wpg:grpSpPr>
                        <wps:wsp>
                          <wps:cNvPr id="64" name="Graphic 4"/>
                          <wps:cNvSpPr/>
                          <wps:spPr>
                            <a:xfrm>
                              <a:off x="151442" y="117145"/>
                              <a:ext cx="62635" cy="130233"/>
                            </a:xfrm>
                            <a:custGeom>
                              <a:avLst/>
                              <a:gdLst>
                                <a:gd name="connsiteX0" fmla="*/ 28755 w 62635"/>
                                <a:gd name="connsiteY0" fmla="*/ 130233 h 130233"/>
                                <a:gd name="connsiteX1" fmla="*/ 62622 w 62635"/>
                                <a:gd name="connsiteY1" fmla="*/ 66393 h 130233"/>
                                <a:gd name="connsiteX2" fmla="*/ 32589 w 62635"/>
                                <a:gd name="connsiteY2" fmla="*/ 0 h 130233"/>
                                <a:gd name="connsiteX3" fmla="*/ 0 w 62635"/>
                                <a:gd name="connsiteY3" fmla="*/ 65755 h 130233"/>
                                <a:gd name="connsiteX4" fmla="*/ 28755 w 62635"/>
                                <a:gd name="connsiteY4" fmla="*/ 130233 h 130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635" h="130233">
                                  <a:moveTo>
                                    <a:pt x="28755" y="130233"/>
                                  </a:moveTo>
                                  <a:cubicBezTo>
                                    <a:pt x="51119" y="110443"/>
                                    <a:pt x="62622" y="88737"/>
                                    <a:pt x="62622" y="66393"/>
                                  </a:cubicBezTo>
                                  <a:cubicBezTo>
                                    <a:pt x="63261" y="35112"/>
                                    <a:pt x="41535" y="9576"/>
                                    <a:pt x="32589" y="0"/>
                                  </a:cubicBezTo>
                                  <a:cubicBezTo>
                                    <a:pt x="10863" y="20429"/>
                                    <a:pt x="0" y="42773"/>
                                    <a:pt x="0" y="65755"/>
                                  </a:cubicBezTo>
                                  <a:cubicBezTo>
                                    <a:pt x="0" y="96398"/>
                                    <a:pt x="19809" y="121296"/>
                                    <a:pt x="28755" y="130233"/>
                                  </a:cubicBezTo>
                                </a:path>
                              </a:pathLst>
                            </a:custGeom>
                            <a:grpFill/>
                            <a:ln w="6390" cap="flat">
                              <a:noFill/>
                              <a:prstDash val="solid"/>
                              <a:miter/>
                            </a:ln>
                          </wps:spPr>
                          <wps:bodyPr rtlCol="0" anchor="ctr"/>
                        </wps:wsp>
                        <wps:wsp>
                          <wps:cNvPr id="65" name="Graphic 4"/>
                          <wps:cNvSpPr/>
                          <wps:spPr>
                            <a:xfrm>
                              <a:off x="0" y="3510"/>
                              <a:ext cx="361674" cy="361333"/>
                            </a:xfrm>
                            <a:custGeom>
                              <a:avLst/>
                              <a:gdLst>
                                <a:gd name="connsiteX0" fmla="*/ 273490 w 361674"/>
                                <a:gd name="connsiteY0" fmla="*/ 243230 h 361333"/>
                                <a:gd name="connsiteX1" fmla="*/ 209590 w 361674"/>
                                <a:gd name="connsiteY1" fmla="*/ 262382 h 361333"/>
                                <a:gd name="connsiteX2" fmla="*/ 181474 w 361674"/>
                                <a:gd name="connsiteY2" fmla="*/ 259828 h 361333"/>
                                <a:gd name="connsiteX3" fmla="*/ 181474 w 361674"/>
                                <a:gd name="connsiteY3" fmla="*/ 259828 h 361333"/>
                                <a:gd name="connsiteX4" fmla="*/ 180836 w 361674"/>
                                <a:gd name="connsiteY4" fmla="*/ 259828 h 361333"/>
                                <a:gd name="connsiteX5" fmla="*/ 152720 w 361674"/>
                                <a:gd name="connsiteY5" fmla="*/ 262382 h 361333"/>
                                <a:gd name="connsiteX6" fmla="*/ 88820 w 361674"/>
                                <a:gd name="connsiteY6" fmla="*/ 243230 h 361333"/>
                                <a:gd name="connsiteX7" fmla="*/ 46647 w 361674"/>
                                <a:gd name="connsiteY7" fmla="*/ 171729 h 361333"/>
                                <a:gd name="connsiteX8" fmla="*/ 51758 w 361674"/>
                                <a:gd name="connsiteY8" fmla="*/ 164707 h 361333"/>
                                <a:gd name="connsiteX9" fmla="*/ 94571 w 361674"/>
                                <a:gd name="connsiteY9" fmla="*/ 160876 h 361333"/>
                                <a:gd name="connsiteX10" fmla="*/ 100322 w 361674"/>
                                <a:gd name="connsiteY10" fmla="*/ 129595 h 361333"/>
                                <a:gd name="connsiteX11" fmla="*/ 107990 w 361674"/>
                                <a:gd name="connsiteY11" fmla="*/ 125764 h 361333"/>
                                <a:gd name="connsiteX12" fmla="*/ 148886 w 361674"/>
                                <a:gd name="connsiteY12" fmla="*/ 141086 h 361333"/>
                                <a:gd name="connsiteX13" fmla="*/ 180836 w 361674"/>
                                <a:gd name="connsiteY13" fmla="*/ 100867 h 361333"/>
                                <a:gd name="connsiteX14" fmla="*/ 189142 w 361674"/>
                                <a:gd name="connsiteY14" fmla="*/ 100867 h 361333"/>
                                <a:gd name="connsiteX15" fmla="*/ 217258 w 361674"/>
                                <a:gd name="connsiteY15" fmla="*/ 138532 h 361333"/>
                                <a:gd name="connsiteX16" fmla="*/ 253041 w 361674"/>
                                <a:gd name="connsiteY16" fmla="*/ 126403 h 361333"/>
                                <a:gd name="connsiteX17" fmla="*/ 260710 w 361674"/>
                                <a:gd name="connsiteY17" fmla="*/ 130233 h 361333"/>
                                <a:gd name="connsiteX18" fmla="*/ 266460 w 361674"/>
                                <a:gd name="connsiteY18" fmla="*/ 161515 h 361333"/>
                                <a:gd name="connsiteX19" fmla="*/ 311190 w 361674"/>
                                <a:gd name="connsiteY19" fmla="*/ 165345 h 361333"/>
                                <a:gd name="connsiteX20" fmla="*/ 316302 w 361674"/>
                                <a:gd name="connsiteY20" fmla="*/ 172368 h 361333"/>
                                <a:gd name="connsiteX21" fmla="*/ 273490 w 361674"/>
                                <a:gd name="connsiteY21" fmla="*/ 243230 h 361333"/>
                                <a:gd name="connsiteX22" fmla="*/ 180836 w 361674"/>
                                <a:gd name="connsiteY22" fmla="*/ 0 h 361333"/>
                                <a:gd name="connsiteX23" fmla="*/ 0 w 361674"/>
                                <a:gd name="connsiteY23" fmla="*/ 180667 h 361333"/>
                                <a:gd name="connsiteX24" fmla="*/ 180836 w 361674"/>
                                <a:gd name="connsiteY24" fmla="*/ 361333 h 361333"/>
                                <a:gd name="connsiteX25" fmla="*/ 361670 w 361674"/>
                                <a:gd name="connsiteY25" fmla="*/ 180667 h 361333"/>
                                <a:gd name="connsiteX26" fmla="*/ 180836 w 361674"/>
                                <a:gd name="connsiteY26" fmla="*/ 0 h 361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61674" h="361333">
                                  <a:moveTo>
                                    <a:pt x="273490" y="243230"/>
                                  </a:moveTo>
                                  <a:cubicBezTo>
                                    <a:pt x="256236" y="255998"/>
                                    <a:pt x="234510" y="262382"/>
                                    <a:pt x="209590" y="262382"/>
                                  </a:cubicBezTo>
                                  <a:cubicBezTo>
                                    <a:pt x="200644" y="262382"/>
                                    <a:pt x="191059" y="261743"/>
                                    <a:pt x="181474" y="259828"/>
                                  </a:cubicBezTo>
                                  <a:cubicBezTo>
                                    <a:pt x="181474" y="259828"/>
                                    <a:pt x="181474" y="259828"/>
                                    <a:pt x="181474" y="259828"/>
                                  </a:cubicBezTo>
                                  <a:cubicBezTo>
                                    <a:pt x="181474" y="259828"/>
                                    <a:pt x="180836" y="259828"/>
                                    <a:pt x="180836" y="259828"/>
                                  </a:cubicBezTo>
                                  <a:cubicBezTo>
                                    <a:pt x="170611" y="261743"/>
                                    <a:pt x="161666" y="262382"/>
                                    <a:pt x="152720" y="262382"/>
                                  </a:cubicBezTo>
                                  <a:cubicBezTo>
                                    <a:pt x="127799" y="262382"/>
                                    <a:pt x="106712" y="255998"/>
                                    <a:pt x="88820" y="243230"/>
                                  </a:cubicBezTo>
                                  <a:cubicBezTo>
                                    <a:pt x="53037" y="217055"/>
                                    <a:pt x="46647" y="173644"/>
                                    <a:pt x="46647" y="171729"/>
                                  </a:cubicBezTo>
                                  <a:cubicBezTo>
                                    <a:pt x="46007" y="168537"/>
                                    <a:pt x="48563" y="165345"/>
                                    <a:pt x="51758" y="164707"/>
                                  </a:cubicBezTo>
                                  <a:cubicBezTo>
                                    <a:pt x="67094" y="161515"/>
                                    <a:pt x="81152" y="160238"/>
                                    <a:pt x="94571" y="160876"/>
                                  </a:cubicBezTo>
                                  <a:cubicBezTo>
                                    <a:pt x="95849" y="143640"/>
                                    <a:pt x="100322" y="130233"/>
                                    <a:pt x="100322" y="129595"/>
                                  </a:cubicBezTo>
                                  <a:cubicBezTo>
                                    <a:pt x="101600" y="126403"/>
                                    <a:pt x="104795" y="125126"/>
                                    <a:pt x="107990" y="125764"/>
                                  </a:cubicBezTo>
                                  <a:cubicBezTo>
                                    <a:pt x="125881" y="129595"/>
                                    <a:pt x="138022" y="134064"/>
                                    <a:pt x="148886" y="141086"/>
                                  </a:cubicBezTo>
                                  <a:cubicBezTo>
                                    <a:pt x="155915" y="127041"/>
                                    <a:pt x="166777" y="113635"/>
                                    <a:pt x="180836" y="100867"/>
                                  </a:cubicBezTo>
                                  <a:cubicBezTo>
                                    <a:pt x="183391" y="98952"/>
                                    <a:pt x="186586" y="98952"/>
                                    <a:pt x="189142" y="100867"/>
                                  </a:cubicBezTo>
                                  <a:cubicBezTo>
                                    <a:pt x="190420" y="101505"/>
                                    <a:pt x="206395" y="116188"/>
                                    <a:pt x="217258" y="138532"/>
                                  </a:cubicBezTo>
                                  <a:cubicBezTo>
                                    <a:pt x="226843" y="133425"/>
                                    <a:pt x="237705" y="129595"/>
                                    <a:pt x="253041" y="126403"/>
                                  </a:cubicBezTo>
                                  <a:cubicBezTo>
                                    <a:pt x="256236" y="125764"/>
                                    <a:pt x="259431" y="127680"/>
                                    <a:pt x="260710" y="130233"/>
                                  </a:cubicBezTo>
                                  <a:cubicBezTo>
                                    <a:pt x="261349" y="131510"/>
                                    <a:pt x="265821" y="144278"/>
                                    <a:pt x="266460" y="161515"/>
                                  </a:cubicBezTo>
                                  <a:cubicBezTo>
                                    <a:pt x="279880" y="160876"/>
                                    <a:pt x="294576" y="162153"/>
                                    <a:pt x="311190" y="165345"/>
                                  </a:cubicBezTo>
                                  <a:cubicBezTo>
                                    <a:pt x="314385" y="165984"/>
                                    <a:pt x="316941" y="169176"/>
                                    <a:pt x="316302" y="172368"/>
                                  </a:cubicBezTo>
                                  <a:cubicBezTo>
                                    <a:pt x="315024" y="173644"/>
                                    <a:pt x="309273" y="217055"/>
                                    <a:pt x="273490" y="243230"/>
                                  </a:cubicBezTo>
                                  <a:moveTo>
                                    <a:pt x="180836" y="0"/>
                                  </a:moveTo>
                                  <a:cubicBezTo>
                                    <a:pt x="80513" y="0"/>
                                    <a:pt x="0" y="81076"/>
                                    <a:pt x="0" y="180667"/>
                                  </a:cubicBezTo>
                                  <a:cubicBezTo>
                                    <a:pt x="0" y="280895"/>
                                    <a:pt x="81152" y="361333"/>
                                    <a:pt x="180836" y="361333"/>
                                  </a:cubicBezTo>
                                  <a:cubicBezTo>
                                    <a:pt x="281157" y="361333"/>
                                    <a:pt x="361670" y="280257"/>
                                    <a:pt x="361670" y="180667"/>
                                  </a:cubicBezTo>
                                  <a:cubicBezTo>
                                    <a:pt x="362309" y="80438"/>
                                    <a:pt x="281157" y="0"/>
                                    <a:pt x="180836" y="0"/>
                                  </a:cubicBezTo>
                                </a:path>
                              </a:pathLst>
                            </a:custGeom>
                            <a:grpFill/>
                            <a:ln w="6390" cap="flat">
                              <a:noFill/>
                              <a:prstDash val="solid"/>
                              <a:miter/>
                            </a:ln>
                          </wps:spPr>
                          <wps:bodyPr rtlCol="0" anchor="ctr"/>
                        </wps:wsp>
                        <wps:wsp>
                          <wps:cNvPr id="66" name="Graphic 4"/>
                          <wps:cNvSpPr/>
                          <wps:spPr>
                            <a:xfrm>
                              <a:off x="201283" y="143320"/>
                              <a:ext cx="51758" cy="100866"/>
                            </a:xfrm>
                            <a:custGeom>
                              <a:avLst/>
                              <a:gdLst>
                                <a:gd name="connsiteX0" fmla="*/ 0 w 51758"/>
                                <a:gd name="connsiteY0" fmla="*/ 100867 h 100866"/>
                                <a:gd name="connsiteX1" fmla="*/ 42173 w 51758"/>
                                <a:gd name="connsiteY1" fmla="*/ 68308 h 100866"/>
                                <a:gd name="connsiteX2" fmla="*/ 47925 w 51758"/>
                                <a:gd name="connsiteY2" fmla="*/ 0 h 100866"/>
                                <a:gd name="connsiteX3" fmla="*/ 20447 w 51758"/>
                                <a:gd name="connsiteY3" fmla="*/ 10214 h 100866"/>
                                <a:gd name="connsiteX4" fmla="*/ 25560 w 51758"/>
                                <a:gd name="connsiteY4" fmla="*/ 40857 h 100866"/>
                                <a:gd name="connsiteX5" fmla="*/ 0 w 51758"/>
                                <a:gd name="connsiteY5" fmla="*/ 100867 h 100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758" h="100866">
                                  <a:moveTo>
                                    <a:pt x="0" y="100867"/>
                                  </a:moveTo>
                                  <a:cubicBezTo>
                                    <a:pt x="19809" y="93844"/>
                                    <a:pt x="33867" y="82992"/>
                                    <a:pt x="42173" y="68308"/>
                                  </a:cubicBezTo>
                                  <a:cubicBezTo>
                                    <a:pt x="56871" y="42773"/>
                                    <a:pt x="51119" y="12130"/>
                                    <a:pt x="47925" y="0"/>
                                  </a:cubicBezTo>
                                  <a:cubicBezTo>
                                    <a:pt x="35783" y="3192"/>
                                    <a:pt x="28116" y="5746"/>
                                    <a:pt x="20447" y="10214"/>
                                  </a:cubicBezTo>
                                  <a:cubicBezTo>
                                    <a:pt x="23642" y="19152"/>
                                    <a:pt x="25560" y="29366"/>
                                    <a:pt x="25560" y="40857"/>
                                  </a:cubicBezTo>
                                  <a:cubicBezTo>
                                    <a:pt x="25560" y="61925"/>
                                    <a:pt x="16614" y="82353"/>
                                    <a:pt x="0" y="100867"/>
                                  </a:cubicBezTo>
                                </a:path>
                              </a:pathLst>
                            </a:custGeom>
                            <a:grpFill/>
                            <a:ln w="6390" cap="flat">
                              <a:noFill/>
                              <a:prstDash val="solid"/>
                              <a:miter/>
                            </a:ln>
                          </wps:spPr>
                          <wps:bodyPr rtlCol="0" anchor="ctr"/>
                        </wps:wsp>
                        <wps:wsp>
                          <wps:cNvPr id="67" name="Graphic 4"/>
                          <wps:cNvSpPr/>
                          <wps:spPr>
                            <a:xfrm>
                              <a:off x="106713" y="143320"/>
                              <a:ext cx="54953" cy="102143"/>
                            </a:xfrm>
                            <a:custGeom>
                              <a:avLst/>
                              <a:gdLst>
                                <a:gd name="connsiteX0" fmla="*/ 54954 w 54953"/>
                                <a:gd name="connsiteY0" fmla="*/ 102144 h 102143"/>
                                <a:gd name="connsiteX1" fmla="*/ 31949 w 54953"/>
                                <a:gd name="connsiteY1" fmla="*/ 40219 h 102143"/>
                                <a:gd name="connsiteX2" fmla="*/ 36423 w 54953"/>
                                <a:gd name="connsiteY2" fmla="*/ 13406 h 102143"/>
                                <a:gd name="connsiteX3" fmla="*/ 3834 w 54953"/>
                                <a:gd name="connsiteY3" fmla="*/ 0 h 102143"/>
                                <a:gd name="connsiteX4" fmla="*/ 9584 w 54953"/>
                                <a:gd name="connsiteY4" fmla="*/ 68308 h 102143"/>
                                <a:gd name="connsiteX5" fmla="*/ 54954 w 54953"/>
                                <a:gd name="connsiteY5" fmla="*/ 102144 h 102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953" h="102143">
                                  <a:moveTo>
                                    <a:pt x="54954" y="102144"/>
                                  </a:moveTo>
                                  <a:cubicBezTo>
                                    <a:pt x="44729" y="88099"/>
                                    <a:pt x="31949" y="66393"/>
                                    <a:pt x="31949" y="40219"/>
                                  </a:cubicBezTo>
                                  <a:cubicBezTo>
                                    <a:pt x="31949" y="31281"/>
                                    <a:pt x="33866" y="22344"/>
                                    <a:pt x="36423" y="13406"/>
                                  </a:cubicBezTo>
                                  <a:cubicBezTo>
                                    <a:pt x="27477" y="7661"/>
                                    <a:pt x="17892" y="3192"/>
                                    <a:pt x="3834" y="0"/>
                                  </a:cubicBezTo>
                                  <a:cubicBezTo>
                                    <a:pt x="639" y="12130"/>
                                    <a:pt x="-5112" y="42773"/>
                                    <a:pt x="9584" y="68308"/>
                                  </a:cubicBezTo>
                                  <a:cubicBezTo>
                                    <a:pt x="18530" y="83630"/>
                                    <a:pt x="33866" y="95121"/>
                                    <a:pt x="54954" y="102144"/>
                                  </a:cubicBezTo>
                                </a:path>
                              </a:pathLst>
                            </a:custGeom>
                            <a:grpFill/>
                            <a:ln w="6390" cap="flat">
                              <a:noFill/>
                              <a:prstDash val="solid"/>
                              <a:miter/>
                            </a:ln>
                          </wps:spPr>
                          <wps:bodyPr rtlCol="0" anchor="ctr"/>
                        </wps:wsp>
                        <wps:wsp>
                          <wps:cNvPr id="68" name="Graphic 4"/>
                          <wps:cNvSpPr/>
                          <wps:spPr>
                            <a:xfrm>
                              <a:off x="60066" y="177627"/>
                              <a:ext cx="86264" cy="76135"/>
                            </a:xfrm>
                            <a:custGeom>
                              <a:avLst/>
                              <a:gdLst>
                                <a:gd name="connsiteX0" fmla="*/ 45368 w 86264"/>
                                <a:gd name="connsiteY0" fmla="*/ 40385 h 76135"/>
                                <a:gd name="connsiteX1" fmla="*/ 33866 w 86264"/>
                                <a:gd name="connsiteY1" fmla="*/ 166 h 76135"/>
                                <a:gd name="connsiteX2" fmla="*/ 0 w 86264"/>
                                <a:gd name="connsiteY2" fmla="*/ 2720 h 76135"/>
                                <a:gd name="connsiteX3" fmla="*/ 35783 w 86264"/>
                                <a:gd name="connsiteY3" fmla="*/ 59537 h 76135"/>
                                <a:gd name="connsiteX4" fmla="*/ 86264 w 86264"/>
                                <a:gd name="connsiteY4" fmla="*/ 76135 h 76135"/>
                                <a:gd name="connsiteX5" fmla="*/ 45368 w 86264"/>
                                <a:gd name="connsiteY5" fmla="*/ 40385 h 76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264" h="76135">
                                  <a:moveTo>
                                    <a:pt x="45368" y="40385"/>
                                  </a:moveTo>
                                  <a:cubicBezTo>
                                    <a:pt x="37701" y="26979"/>
                                    <a:pt x="34506" y="12934"/>
                                    <a:pt x="33866" y="166"/>
                                  </a:cubicBezTo>
                                  <a:cubicBezTo>
                                    <a:pt x="23642" y="-472"/>
                                    <a:pt x="12141" y="805"/>
                                    <a:pt x="0" y="2720"/>
                                  </a:cubicBezTo>
                                  <a:cubicBezTo>
                                    <a:pt x="3195" y="14849"/>
                                    <a:pt x="12141" y="42300"/>
                                    <a:pt x="35783" y="59537"/>
                                  </a:cubicBezTo>
                                  <a:cubicBezTo>
                                    <a:pt x="49841" y="69751"/>
                                    <a:pt x="66456" y="74859"/>
                                    <a:pt x="86264" y="76135"/>
                                  </a:cubicBezTo>
                                  <a:cubicBezTo>
                                    <a:pt x="67733" y="67198"/>
                                    <a:pt x="54314" y="55707"/>
                                    <a:pt x="45368" y="40385"/>
                                  </a:cubicBezTo>
                                </a:path>
                              </a:pathLst>
                            </a:custGeom>
                            <a:grpFill/>
                            <a:ln w="6390" cap="flat">
                              <a:noFill/>
                              <a:prstDash val="solid"/>
                              <a:miter/>
                            </a:ln>
                          </wps:spPr>
                          <wps:bodyPr rtlCol="0" anchor="ctr"/>
                        </wps:wsp>
                        <wps:wsp>
                          <wps:cNvPr id="69" name="Graphic 4"/>
                          <wps:cNvSpPr/>
                          <wps:spPr>
                            <a:xfrm>
                              <a:off x="214063" y="176924"/>
                              <a:ext cx="87541" cy="76199"/>
                            </a:xfrm>
                            <a:custGeom>
                              <a:avLst/>
                              <a:gdLst>
                                <a:gd name="connsiteX0" fmla="*/ 52397 w 87541"/>
                                <a:gd name="connsiteY0" fmla="*/ 230 h 76199"/>
                                <a:gd name="connsiteX1" fmla="*/ 40896 w 87541"/>
                                <a:gd name="connsiteY1" fmla="*/ 41088 h 76199"/>
                                <a:gd name="connsiteX2" fmla="*/ 0 w 87541"/>
                                <a:gd name="connsiteY2" fmla="*/ 76200 h 76199"/>
                                <a:gd name="connsiteX3" fmla="*/ 51758 w 87541"/>
                                <a:gd name="connsiteY3" fmla="*/ 59601 h 76199"/>
                                <a:gd name="connsiteX4" fmla="*/ 87542 w 87541"/>
                                <a:gd name="connsiteY4" fmla="*/ 2784 h 76199"/>
                                <a:gd name="connsiteX5" fmla="*/ 52397 w 87541"/>
                                <a:gd name="connsiteY5" fmla="*/ 230 h 76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541" h="76199">
                                  <a:moveTo>
                                    <a:pt x="52397" y="230"/>
                                  </a:moveTo>
                                  <a:cubicBezTo>
                                    <a:pt x="51758" y="12998"/>
                                    <a:pt x="48563" y="27682"/>
                                    <a:pt x="40896" y="41088"/>
                                  </a:cubicBezTo>
                                  <a:cubicBezTo>
                                    <a:pt x="31950" y="56409"/>
                                    <a:pt x="17892" y="67901"/>
                                    <a:pt x="0" y="76200"/>
                                  </a:cubicBezTo>
                                  <a:cubicBezTo>
                                    <a:pt x="20447" y="75561"/>
                                    <a:pt x="37701" y="69816"/>
                                    <a:pt x="51758" y="59601"/>
                                  </a:cubicBezTo>
                                  <a:cubicBezTo>
                                    <a:pt x="76040" y="41726"/>
                                    <a:pt x="84986" y="14914"/>
                                    <a:pt x="87542" y="2784"/>
                                  </a:cubicBezTo>
                                  <a:cubicBezTo>
                                    <a:pt x="74762" y="230"/>
                                    <a:pt x="62622" y="-408"/>
                                    <a:pt x="52397" y="230"/>
                                  </a:cubicBezTo>
                                </a:path>
                              </a:pathLst>
                            </a:custGeom>
                            <a:grpFill/>
                            <a:ln w="6390" cap="flat">
                              <a:noFill/>
                              <a:prstDash val="solid"/>
                              <a:miter/>
                            </a:ln>
                          </wps:spPr>
                          <wps:bodyPr rtlCol="0" anchor="ctr"/>
                        </wps:wsp>
                      </wpg:grpSp>
                    </wpg:wgp>
                  </a:graphicData>
                </a:graphic>
              </wp:anchor>
            </w:drawing>
          </mc:Choice>
          <mc:Fallback>
            <w:pict>
              <v:group w14:anchorId="6FE2E873" id="Group 61" o:spid="_x0000_s1026" alt="&quot;&quot;" style="position:absolute;margin-left:334.1pt;margin-top:28.95pt;width:88.45pt;height:88.7pt;z-index:251663872" coordsize="11232,1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">
                <v:oval id="Oval 62" o:spid="_x0000_s1027" style="position:absolute;left:216;width:10800;height:1080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" fillcolor="white [3212]" stroked="f" strokeweight="1.5pt">
                  <v:stroke joinstyle="miter"/>
                  <v:textbox inset="7pt,7pt,7pt,7pt"/>
                </v:oval>
                <v:group id="Graphic 4" o:spid="_x0000_s1028" style="position:absolute;top:35;width:11232;height:11232" coordorigin=",3510" coordsize="361674,3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Graphic 4" o:spid="_x0000_s1029" style="position:absolute;left:151442;top:117145;width:62635;height:130233;visibility:visible;mso-wrap-style:square;v-text-anchor:middle" coordsize="62635,1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" path="m28755,130233c51119,110443,62622,88737,62622,66393,63261,35112,41535,9576,32589,,10863,20429,,42773,,65755v,30643,19809,55541,28755,64478e" filled="f" stroked="f" strokeweight=".1775mm">
                    <v:stroke joinstyle="miter"/>
                    <v:path arrowok="t" o:connecttype="custom" o:connectlocs="28755,130233;62622,66393;32589,0;0,65755;28755,130233" o:connectangles="0,0,0,0,0"/>
                  </v:shape>
                  <v:shape id="Graphic 4" o:spid="_x0000_s1030" style="position:absolute;top:3510;width:361674;height:361333;visibility:visible;mso-wrap-style:square;v-text-anchor:middle" coordsize="361674,3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" path="m273490,243230v-17254,12768,-38980,19152,-63900,19152c200644,262382,191059,261743,181474,259828v,,,,,c181474,259828,180836,259828,180836,259828v-10225,1915,-19170,2554,-28116,2554c127799,262382,106712,255998,88820,243230,53037,217055,46647,173644,46647,171729v-640,-3192,1916,-6384,5111,-7022c67094,161515,81152,160238,94571,160876v1278,-17236,5751,-30643,5751,-31281c101600,126403,104795,125126,107990,125764v17891,3831,30032,8300,40896,15322c155915,127041,166777,113635,180836,100867v2555,-1915,5750,-1915,8306,c190420,101505,206395,116188,217258,138532v9585,-5107,20447,-8937,35783,-12129c256236,125764,259431,127680,260710,130233v639,1277,5111,14045,5750,31282c279880,160876,294576,162153,311190,165345v3195,639,5751,3831,5112,7023c315024,173644,309273,217055,273490,243230m180836,c80513,,,81076,,180667,,280895,81152,361333,180836,361333v100321,,180834,-81076,180834,-180666c362309,80438,281157,,180836,e" filled="f" stroked="f" strokeweight=".1775mm">
                    <v:stroke joinstyle="miter"/>
                    <v:path arrowok="t" o:connecttype="custom" o:connectlocs="273490,243230;209590,262382;181474,259828;181474,259828;180836,259828;152720,262382;88820,243230;46647,171729;51758,164707;94571,160876;100322,129595;107990,125764;148886,141086;180836,100867;189142,100867;217258,138532;253041,126403;260710,130233;266460,161515;311190,165345;316302,172368;273490,243230;180836,0;0,180667;180836,361333;361670,180667;180836,0" o:connectangles="0,0,0,0,0,0,0,0,0,0,0,0,0,0,0,0,0,0,0,0,0,0,0,0,0,0,0"/>
                  </v:shape>
                  <v:shape id="Graphic 4" o:spid="_x0000_s1031" style="position:absolute;left:201283;top:143320;width:51758;height:100866;visibility:visible;mso-wrap-style:square;v-text-anchor:middle" coordsize="51758,10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" path="m,100867c19809,93844,33867,82992,42173,68308,56871,42773,51119,12130,47925,,35783,3192,28116,5746,20447,10214v3195,8938,5113,19152,5113,30643c25560,61925,16614,82353,,100867e" filled="f" stroked="f" strokeweight=".1775mm">
                    <v:stroke joinstyle="miter"/>
                    <v:path arrowok="t" o:connecttype="custom" o:connectlocs="0,100867;42173,68308;47925,0;20447,10214;25560,40857;0,100867" o:connectangles="0,0,0,0,0,0"/>
                  </v:shape>
                  <v:shape id="Graphic 4" o:spid="_x0000_s1032" style="position:absolute;left:106713;top:143320;width:54953;height:102143;visibility:visible;mso-wrap-style:square;v-text-anchor:middle" coordsize="54953,10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" path="m54954,102144c44729,88099,31949,66393,31949,40219v,-8938,1917,-17875,4474,-26813c27477,7661,17892,3192,3834,,639,12130,-5112,42773,9584,68308v8946,15322,24282,26813,45370,33836e" filled="f" stroked="f" strokeweight=".1775mm">
                    <v:stroke joinstyle="miter"/>
                    <v:path arrowok="t" o:connecttype="custom" o:connectlocs="54954,102144;31949,40219;36423,13406;3834,0;9584,68308;54954,102144" o:connectangles="0,0,0,0,0,0"/>
                  </v:shape>
                  <v:shape id="Graphic 4" o:spid="_x0000_s1033" style="position:absolute;left:60066;top:177627;width:86264;height:76135;visibility:visible;mso-wrap-style:square;v-text-anchor:middle" coordsize="86264,7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" path="m45368,40385c37701,26979,34506,12934,33866,166,23642,-472,12141,805,,2720,3195,14849,12141,42300,35783,59537,49841,69751,66456,74859,86264,76135,67733,67198,54314,55707,45368,40385e" filled="f" stroked="f" strokeweight=".1775mm">
                    <v:stroke joinstyle="miter"/>
                    <v:path arrowok="t" o:connecttype="custom" o:connectlocs="45368,40385;33866,166;0,2720;35783,59537;86264,76135;45368,40385" o:connectangles="0,0,0,0,0,0"/>
                  </v:shape>
                  <v:shape id="Graphic 4" o:spid="_x0000_s1034" style="position:absolute;left:214063;top:176924;width:87541;height:76199;visibility:visible;mso-wrap-style:square;v-text-anchor:middle" coordsize="87541,7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" path="m52397,230c51758,12998,48563,27682,40896,41088,31950,56409,17892,67901,,76200,20447,75561,37701,69816,51758,59601,76040,41726,84986,14914,87542,2784,74762,230,62622,-408,52397,230e" filled="f" stroked="f" strokeweight=".1775mm">
                    <v:stroke joinstyle="miter"/>
                    <v:path arrowok="t" o:connecttype="custom" o:connectlocs="52397,230;40896,41088;0,76200;51758,59601;87542,2784;52397,230" o:connectangles="0,0,0,0,0,0"/>
                  </v:shape>
                </v:group>
              </v:group>
            </w:pict>
          </mc:Fallback>
        </mc:AlternateContent>
      </w:r>
      <w:r w:rsidR="00B534F7">
        <w:rPr>
          <w:noProof/>
        </w:rPr>
        <mc:AlternateContent>
          <mc:Choice Requires="wps">
            <w:drawing>
              <wp:inline distT="0" distB="0" distL="0" distR="0" wp14:anchorId="2897D346" wp14:editId="3563859F">
                <wp:extent cx="5715000" cy="1404620"/>
                <wp:effectExtent l="0" t="0" r="19050" b="15240"/>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noFill/>
                        <a:ln w="19050">
                          <a:solidFill>
                            <a:schemeClr val="accent1"/>
                          </a:solidFill>
                          <a:miter lim="800000"/>
                          <a:headEnd/>
                          <a:tailEnd/>
                        </a:ln>
                        <a:effectLst/>
                      </wps:spPr>
                      <wps:txbx>
                        <w:txbxContent>
                          <w:p w14:paraId="70B5E2D0" w14:textId="77777777" w:rsidR="00B534F7" w:rsidRDefault="00B534F7" w:rsidP="00B534F7">
                            <w:pPr>
                              <w:rPr>
                                <w:rFonts w:cs="Arial"/>
                                <w:b/>
                                <w:bCs/>
                                <w:color w:val="86BC25" w:themeColor="accent1"/>
                                <w:sz w:val="32"/>
                                <w:szCs w:val="32"/>
                              </w:rPr>
                            </w:pPr>
                          </w:p>
                          <w:p w14:paraId="5973A64C" w14:textId="77777777" w:rsidR="00D26F24" w:rsidRDefault="00D26F24" w:rsidP="00B534F7">
                            <w:pPr>
                              <w:rPr>
                                <w:rFonts w:cs="Arial"/>
                                <w:b/>
                                <w:bCs/>
                                <w:color w:val="86BC25" w:themeColor="accent1"/>
                                <w:sz w:val="32"/>
                                <w:szCs w:val="32"/>
                              </w:rPr>
                            </w:pPr>
                          </w:p>
                          <w:p w14:paraId="3E171974" w14:textId="64AB8234" w:rsidR="00D26F24" w:rsidRPr="00A13C24" w:rsidRDefault="00B534F7" w:rsidP="00B534F7">
                            <w:pPr>
                              <w:rPr>
                                <w:rFonts w:cs="Arial"/>
                                <w:sz w:val="32"/>
                                <w:szCs w:val="32"/>
                              </w:rPr>
                            </w:pPr>
                            <w:r w:rsidRPr="00A13C24">
                              <w:rPr>
                                <w:rFonts w:cs="Arial"/>
                                <w:b/>
                                <w:bCs/>
                                <w:color w:val="86BC25" w:themeColor="accent1"/>
                                <w:sz w:val="32"/>
                                <w:szCs w:val="32"/>
                              </w:rPr>
                              <w:t>BCAP Case Study:</w:t>
                            </w:r>
                            <w:r w:rsidRPr="00A13C24">
                              <w:rPr>
                                <w:rFonts w:cs="Arial"/>
                                <w:sz w:val="32"/>
                                <w:szCs w:val="32"/>
                              </w:rPr>
                              <w:br/>
                            </w:r>
                            <w:r>
                              <w:rPr>
                                <w:rFonts w:cs="Arial"/>
                                <w:sz w:val="32"/>
                                <w:szCs w:val="32"/>
                              </w:rPr>
                              <w:t xml:space="preserve">Independent </w:t>
                            </w:r>
                            <w:proofErr w:type="spellStart"/>
                            <w:r>
                              <w:rPr>
                                <w:rFonts w:cs="Arial"/>
                                <w:sz w:val="32"/>
                                <w:szCs w:val="32"/>
                              </w:rPr>
                              <w:t>myotherapis</w:t>
                            </w:r>
                            <w:r w:rsidR="00D26F24" w:rsidRPr="00893EB3">
                              <w:rPr>
                                <w:rFonts w:cs="Arial"/>
                                <w:sz w:val="32"/>
                                <w:szCs w:val="32"/>
                              </w:rPr>
                              <w:t>t</w:t>
                            </w:r>
                            <w:proofErr w:type="spellEnd"/>
                          </w:p>
                          <w:p w14:paraId="0632E35F" w14:textId="77777777" w:rsidR="009665DB" w:rsidRPr="00893EB3" w:rsidRDefault="009665DB" w:rsidP="00B534F7">
                            <w:pPr>
                              <w:rPr>
                                <w:rFonts w:cs="Arial"/>
                                <w:sz w:val="32"/>
                                <w:szCs w:val="32"/>
                              </w:rPr>
                            </w:pPr>
                          </w:p>
                          <w:p w14:paraId="6A555D26" w14:textId="222CB0E0" w:rsidR="009665DB" w:rsidRPr="00F77F1E" w:rsidRDefault="00B534F7" w:rsidP="00F77F1E">
                            <w:pPr>
                              <w:jc w:val="both"/>
                              <w:rPr>
                                <w:b/>
                                <w:color w:val="86BC25" w:themeColor="accent1"/>
                              </w:rPr>
                            </w:pPr>
                            <w:r w:rsidRPr="0026634A">
                              <w:rPr>
                                <w:b/>
                                <w:color w:val="86BC25" w:themeColor="accent1"/>
                              </w:rPr>
                              <w:t>Business description</w:t>
                            </w:r>
                            <w:r w:rsidR="009665DB" w:rsidRPr="0026634A">
                              <w:rPr>
                                <w:b/>
                                <w:color w:val="86BC25" w:themeColor="accent1"/>
                              </w:rPr>
                              <w:t xml:space="preserve"> </w:t>
                            </w:r>
                          </w:p>
                          <w:p w14:paraId="62ADECC1" w14:textId="62A303F3" w:rsidR="00973677" w:rsidRDefault="00142AA4" w:rsidP="00142AA4">
                            <w:pPr>
                              <w:jc w:val="both"/>
                              <w:rPr>
                                <w:rFonts w:cs="Arial"/>
                              </w:rPr>
                            </w:pPr>
                            <w:r>
                              <w:t xml:space="preserve">A sole trader operates their own myotherapy practice, renting a </w:t>
                            </w:r>
                            <w:r w:rsidR="00973677">
                              <w:t xml:space="preserve">space from a larger clinic but operating independently. </w:t>
                            </w:r>
                          </w:p>
                          <w:p w14:paraId="1CC66CCB" w14:textId="3B7504C2" w:rsidR="00B534F7" w:rsidRPr="00A13C24" w:rsidRDefault="00973677" w:rsidP="00893EB3">
                            <w:pPr>
                              <w:jc w:val="both"/>
                              <w:rPr>
                                <w:rFonts w:cs="Arial"/>
                              </w:rPr>
                            </w:pPr>
                            <w:r>
                              <w:rPr>
                                <w:rFonts w:cs="Arial"/>
                              </w:rPr>
                              <w:t xml:space="preserve">This case study highlights the impact of COVID-19 public health restrictions on the </w:t>
                            </w:r>
                            <w:r w:rsidR="00D33DDB">
                              <w:rPr>
                                <w:rFonts w:cs="Arial"/>
                              </w:rPr>
                              <w:t xml:space="preserve">myotherapy practice and the impact of </w:t>
                            </w:r>
                            <w:r w:rsidR="00304969">
                              <w:rPr>
                                <w:rFonts w:cs="Arial"/>
                              </w:rPr>
                              <w:t>BCAP2.</w:t>
                            </w:r>
                            <w:r w:rsidR="00B534F7">
                              <w:rPr>
                                <w:rFonts w:cs="Arial"/>
                              </w:rPr>
                              <w:t xml:space="preserve"> </w:t>
                            </w:r>
                          </w:p>
                          <w:p w14:paraId="3B2797F7" w14:textId="77777777" w:rsidR="009665DB" w:rsidRPr="0026634A" w:rsidRDefault="00B534F7" w:rsidP="00F77F1E">
                            <w:pPr>
                              <w:jc w:val="both"/>
                              <w:rPr>
                                <w:b/>
                                <w:color w:val="86BC25" w:themeColor="accent1"/>
                              </w:rPr>
                            </w:pPr>
                            <w:r w:rsidRPr="0026634A">
                              <w:rPr>
                                <w:b/>
                                <w:color w:val="86BC25" w:themeColor="accent1"/>
                              </w:rPr>
                              <w:t>Impact of COVID-19</w:t>
                            </w:r>
                          </w:p>
                          <w:p w14:paraId="05014573" w14:textId="57A3F24D" w:rsidR="00304969" w:rsidRDefault="00EE51A3" w:rsidP="00142AA4">
                            <w:pPr>
                              <w:jc w:val="both"/>
                              <w:rPr>
                                <w:rFonts w:cs="Arial"/>
                              </w:rPr>
                            </w:pPr>
                            <w:r>
                              <w:rPr>
                                <w:rFonts w:cs="Arial"/>
                              </w:rPr>
                              <w:t xml:space="preserve">The COVID-19 public heath restrictions </w:t>
                            </w:r>
                            <w:r w:rsidR="00D233AB">
                              <w:rPr>
                                <w:rFonts w:cs="Arial"/>
                              </w:rPr>
                              <w:t xml:space="preserve">severely impacted the ability of the </w:t>
                            </w:r>
                            <w:proofErr w:type="spellStart"/>
                            <w:r w:rsidR="00D233AB">
                              <w:rPr>
                                <w:rFonts w:cs="Arial"/>
                              </w:rPr>
                              <w:t>myotherapist</w:t>
                            </w:r>
                            <w:proofErr w:type="spellEnd"/>
                            <w:r w:rsidR="00D233AB">
                              <w:rPr>
                                <w:rFonts w:cs="Arial"/>
                              </w:rPr>
                              <w:t xml:space="preserve"> to generate income, requiring their operations to close.</w:t>
                            </w:r>
                            <w:r w:rsidR="00F7078D">
                              <w:rPr>
                                <w:rFonts w:cs="Arial"/>
                              </w:rPr>
                              <w:t xml:space="preserve"> Unable to see clients, the </w:t>
                            </w:r>
                            <w:proofErr w:type="spellStart"/>
                            <w:r w:rsidR="00F7078D">
                              <w:rPr>
                                <w:rFonts w:cs="Arial"/>
                              </w:rPr>
                              <w:t>myotherapist</w:t>
                            </w:r>
                            <w:proofErr w:type="spellEnd"/>
                            <w:r w:rsidR="00F7078D">
                              <w:rPr>
                                <w:rFonts w:cs="Arial"/>
                              </w:rPr>
                              <w:t xml:space="preserve"> was unable to generate income, </w:t>
                            </w:r>
                            <w:r w:rsidR="00B85A70">
                              <w:rPr>
                                <w:rFonts w:cs="Arial"/>
                              </w:rPr>
                              <w:t xml:space="preserve">nor </w:t>
                            </w:r>
                            <w:r w:rsidR="005C3276">
                              <w:rPr>
                                <w:rFonts w:cs="Arial"/>
                              </w:rPr>
                              <w:t xml:space="preserve">pay rent </w:t>
                            </w:r>
                            <w:r w:rsidR="00B85A70">
                              <w:rPr>
                                <w:rFonts w:cs="Arial"/>
                              </w:rPr>
                              <w:t xml:space="preserve">and associated utility costs </w:t>
                            </w:r>
                            <w:r w:rsidR="000E2216">
                              <w:rPr>
                                <w:rFonts w:cs="Arial"/>
                              </w:rPr>
                              <w:t>under their agreement with the larger clinic.</w:t>
                            </w:r>
                          </w:p>
                          <w:p w14:paraId="6D47CB43" w14:textId="77777777" w:rsidR="009665DB" w:rsidRPr="0026634A" w:rsidRDefault="00B534F7" w:rsidP="00F77F1E">
                            <w:pPr>
                              <w:jc w:val="both"/>
                              <w:rPr>
                                <w:b/>
                                <w:color w:val="86BC25" w:themeColor="accent1"/>
                              </w:rPr>
                            </w:pPr>
                            <w:r w:rsidRPr="0026634A">
                              <w:rPr>
                                <w:b/>
                                <w:color w:val="86BC25" w:themeColor="accent1"/>
                              </w:rPr>
                              <w:t>Engagement with BCAP</w:t>
                            </w:r>
                          </w:p>
                          <w:p w14:paraId="5C09E48E" w14:textId="0480808D" w:rsidR="000E2216" w:rsidRDefault="005B7820" w:rsidP="00142AA4">
                            <w:pPr>
                              <w:jc w:val="both"/>
                              <w:rPr>
                                <w:rFonts w:cs="Arial"/>
                              </w:rPr>
                            </w:pPr>
                            <w:r>
                              <w:rPr>
                                <w:rFonts w:cs="Arial"/>
                              </w:rPr>
                              <w:t xml:space="preserve">Hearing about the BCAP grants through a friend, the </w:t>
                            </w:r>
                            <w:r w:rsidR="00481E2F">
                              <w:rPr>
                                <w:rFonts w:cs="Arial"/>
                              </w:rPr>
                              <w:t>sole trader</w:t>
                            </w:r>
                            <w:r>
                              <w:rPr>
                                <w:rFonts w:cs="Arial"/>
                              </w:rPr>
                              <w:t xml:space="preserve"> </w:t>
                            </w:r>
                            <w:r w:rsidR="00443BD9">
                              <w:rPr>
                                <w:rFonts w:cs="Arial"/>
                              </w:rPr>
                              <w:t xml:space="preserve">qualified for BCAP2 and subsequent rounds. The funds received through the program enabled </w:t>
                            </w:r>
                            <w:r w:rsidR="00481E2F">
                              <w:rPr>
                                <w:rFonts w:cs="Arial"/>
                              </w:rPr>
                              <w:t xml:space="preserve">the </w:t>
                            </w:r>
                            <w:proofErr w:type="spellStart"/>
                            <w:r w:rsidR="00481E2F">
                              <w:rPr>
                                <w:rFonts w:cs="Arial"/>
                              </w:rPr>
                              <w:t>myotherapist</w:t>
                            </w:r>
                            <w:proofErr w:type="spellEnd"/>
                            <w:r w:rsidR="00443BD9">
                              <w:rPr>
                                <w:rFonts w:cs="Arial"/>
                              </w:rPr>
                              <w:t xml:space="preserve"> to </w:t>
                            </w:r>
                            <w:r w:rsidR="00542F73">
                              <w:rPr>
                                <w:rFonts w:cs="Arial"/>
                              </w:rPr>
                              <w:t xml:space="preserve">pay rent and utility costs and avoid surrendering their lease which would have likely </w:t>
                            </w:r>
                            <w:r w:rsidR="002D2C80">
                              <w:rPr>
                                <w:rFonts w:cs="Arial"/>
                              </w:rPr>
                              <w:t xml:space="preserve">ended their practice and ruined </w:t>
                            </w:r>
                            <w:r w:rsidR="008B480A">
                              <w:rPr>
                                <w:rFonts w:cs="Arial"/>
                              </w:rPr>
                              <w:t xml:space="preserve">their </w:t>
                            </w:r>
                            <w:r w:rsidR="002D2C80">
                              <w:rPr>
                                <w:rFonts w:cs="Arial"/>
                              </w:rPr>
                              <w:t>efforts to establish themselves in the local community.</w:t>
                            </w:r>
                            <w:r w:rsidR="000B0D78">
                              <w:rPr>
                                <w:rFonts w:cs="Arial"/>
                              </w:rPr>
                              <w:t xml:space="preserve"> </w:t>
                            </w:r>
                            <w:r w:rsidR="000C2F02">
                              <w:rPr>
                                <w:rFonts w:cs="Arial"/>
                              </w:rPr>
                              <w:t>Without the grants they believed they</w:t>
                            </w:r>
                            <w:r w:rsidR="00481E2F">
                              <w:rPr>
                                <w:rFonts w:cs="Arial"/>
                              </w:rPr>
                              <w:t xml:space="preserve"> would have needed to find alternative employment through a larger company. </w:t>
                            </w:r>
                            <w:r w:rsidR="000B0D78">
                              <w:rPr>
                                <w:rFonts w:cs="Arial"/>
                              </w:rPr>
                              <w:t xml:space="preserve">The </w:t>
                            </w:r>
                            <w:r w:rsidR="004D102C">
                              <w:rPr>
                                <w:rFonts w:cs="Arial"/>
                              </w:rPr>
                              <w:t>sole trader also found the application process and associated instructions to be easy and clear.</w:t>
                            </w:r>
                          </w:p>
                          <w:p w14:paraId="77DFFBA5" w14:textId="77777777" w:rsidR="009665DB" w:rsidRPr="0026634A" w:rsidRDefault="00B534F7" w:rsidP="00F77F1E">
                            <w:pPr>
                              <w:jc w:val="both"/>
                              <w:rPr>
                                <w:b/>
                                <w:color w:val="86BC25" w:themeColor="accent1"/>
                              </w:rPr>
                            </w:pPr>
                            <w:r w:rsidRPr="0026634A">
                              <w:rPr>
                                <w:b/>
                                <w:color w:val="86BC25" w:themeColor="accent1"/>
                              </w:rPr>
                              <w:t>Improvement opportunities</w:t>
                            </w:r>
                          </w:p>
                          <w:p w14:paraId="5E303284" w14:textId="605545D3" w:rsidR="00B534F7" w:rsidRPr="00A13C24" w:rsidRDefault="00B534F7" w:rsidP="00F77F1E">
                            <w:pPr>
                              <w:jc w:val="both"/>
                            </w:pPr>
                            <w:r>
                              <w:t>The</w:t>
                            </w:r>
                            <w:r w:rsidDel="004335B6">
                              <w:t xml:space="preserve"> </w:t>
                            </w:r>
                            <w:proofErr w:type="spellStart"/>
                            <w:r w:rsidR="004335B6">
                              <w:t>myotherapist</w:t>
                            </w:r>
                            <w:proofErr w:type="spellEnd"/>
                            <w:r w:rsidR="004335B6">
                              <w:t xml:space="preserve"> was generally positive towards the BCAP grants and could not offer any specific improvement opportunities for the program.</w:t>
                            </w:r>
                          </w:p>
                        </w:txbxContent>
                      </wps:txbx>
                      <wps:bodyPr rot="0" vert="horz" wrap="square" lIns="91440" tIns="45720" rIns="91440" bIns="45720" anchor="t" anchorCtr="0">
                        <a:spAutoFit/>
                      </wps:bodyPr>
                    </wps:wsp>
                  </a:graphicData>
                </a:graphic>
              </wp:inline>
            </w:drawing>
          </mc:Choice>
          <mc:Fallback>
            <w:pict>
              <v:shape w14:anchorId="2897D346" id="Text Box 81" o:spid="_x0000_s1035"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" filled="f" strokecolor="#86bc25 [3204]" strokeweight="1.5pt">
                <v:textbox style="mso-fit-shape-to-text:t">
                  <w:txbxContent>
                    <w:p w14:paraId="70B5E2D0" w14:textId="77777777" w:rsidR="00B534F7" w:rsidRDefault="00B534F7" w:rsidP="00B534F7">
                      <w:pPr>
                        <w:rPr>
                          <w:rFonts w:cs="Arial"/>
                          <w:b/>
                          <w:bCs/>
                          <w:color w:val="86BC25" w:themeColor="accent1"/>
                          <w:sz w:val="32"/>
                          <w:szCs w:val="32"/>
                        </w:rPr>
                      </w:pPr>
                    </w:p>
                    <w:p w14:paraId="5973A64C" w14:textId="77777777" w:rsidR="00D26F24" w:rsidRDefault="00D26F24" w:rsidP="00B534F7">
                      <w:pPr>
                        <w:rPr>
                          <w:rFonts w:cs="Arial"/>
                          <w:b/>
                          <w:bCs/>
                          <w:color w:val="86BC25" w:themeColor="accent1"/>
                          <w:sz w:val="32"/>
                          <w:szCs w:val="32"/>
                        </w:rPr>
                      </w:pPr>
                    </w:p>
                    <w:p w14:paraId="3E171974" w14:textId="64AB8234" w:rsidR="00D26F24" w:rsidRPr="00A13C24" w:rsidRDefault="00B534F7" w:rsidP="00B534F7">
                      <w:pPr>
                        <w:rPr>
                          <w:rFonts w:cs="Arial"/>
                          <w:sz w:val="32"/>
                          <w:szCs w:val="32"/>
                        </w:rPr>
                      </w:pPr>
                      <w:r w:rsidRPr="00A13C24">
                        <w:rPr>
                          <w:rFonts w:cs="Arial"/>
                          <w:b/>
                          <w:bCs/>
                          <w:color w:val="86BC25" w:themeColor="accent1"/>
                          <w:sz w:val="32"/>
                          <w:szCs w:val="32"/>
                        </w:rPr>
                        <w:t>BCAP Case Study:</w:t>
                      </w:r>
                      <w:r w:rsidRPr="00A13C24">
                        <w:rPr>
                          <w:rFonts w:cs="Arial"/>
                          <w:sz w:val="32"/>
                          <w:szCs w:val="32"/>
                        </w:rPr>
                        <w:br/>
                      </w:r>
                      <w:r>
                        <w:rPr>
                          <w:rFonts w:cs="Arial"/>
                          <w:sz w:val="32"/>
                          <w:szCs w:val="32"/>
                        </w:rPr>
                        <w:t xml:space="preserve">Independent </w:t>
                      </w:r>
                      <w:proofErr w:type="spellStart"/>
                      <w:r>
                        <w:rPr>
                          <w:rFonts w:cs="Arial"/>
                          <w:sz w:val="32"/>
                          <w:szCs w:val="32"/>
                        </w:rPr>
                        <w:t>myotherapis</w:t>
                      </w:r>
                      <w:r w:rsidR="00D26F24" w:rsidRPr="00893EB3">
                        <w:rPr>
                          <w:rFonts w:cs="Arial"/>
                          <w:sz w:val="32"/>
                          <w:szCs w:val="32"/>
                        </w:rPr>
                        <w:t>t</w:t>
                      </w:r>
                      <w:proofErr w:type="spellEnd"/>
                    </w:p>
                    <w:p w14:paraId="0632E35F" w14:textId="77777777" w:rsidR="009665DB" w:rsidRPr="00893EB3" w:rsidRDefault="009665DB" w:rsidP="00B534F7">
                      <w:pPr>
                        <w:rPr>
                          <w:rFonts w:cs="Arial"/>
                          <w:sz w:val="32"/>
                          <w:szCs w:val="32"/>
                        </w:rPr>
                      </w:pPr>
                    </w:p>
                    <w:p w14:paraId="6A555D26" w14:textId="222CB0E0" w:rsidR="009665DB" w:rsidRPr="00F77F1E" w:rsidRDefault="00B534F7" w:rsidP="00F77F1E">
                      <w:pPr>
                        <w:jc w:val="both"/>
                        <w:rPr>
                          <w:b/>
                          <w:color w:val="86BC25" w:themeColor="accent1"/>
                        </w:rPr>
                      </w:pPr>
                      <w:r w:rsidRPr="0026634A">
                        <w:rPr>
                          <w:b/>
                          <w:color w:val="86BC25" w:themeColor="accent1"/>
                        </w:rPr>
                        <w:t>Business description</w:t>
                      </w:r>
                      <w:r w:rsidR="009665DB" w:rsidRPr="0026634A">
                        <w:rPr>
                          <w:b/>
                          <w:color w:val="86BC25" w:themeColor="accent1"/>
                        </w:rPr>
                        <w:t xml:space="preserve"> </w:t>
                      </w:r>
                    </w:p>
                    <w:p w14:paraId="62ADECC1" w14:textId="62A303F3" w:rsidR="00973677" w:rsidRDefault="00142AA4" w:rsidP="00142AA4">
                      <w:pPr>
                        <w:jc w:val="both"/>
                        <w:rPr>
                          <w:rFonts w:cs="Arial"/>
                        </w:rPr>
                      </w:pPr>
                      <w:r>
                        <w:t xml:space="preserve">A sole trader operates their own myotherapy practice, renting a </w:t>
                      </w:r>
                      <w:r w:rsidR="00973677">
                        <w:t xml:space="preserve">space from a larger clinic but operating independently. </w:t>
                      </w:r>
                    </w:p>
                    <w:p w14:paraId="1CC66CCB" w14:textId="3B7504C2" w:rsidR="00B534F7" w:rsidRPr="00A13C24" w:rsidRDefault="00973677" w:rsidP="00893EB3">
                      <w:pPr>
                        <w:jc w:val="both"/>
                        <w:rPr>
                          <w:rFonts w:cs="Arial"/>
                        </w:rPr>
                      </w:pPr>
                      <w:r>
                        <w:rPr>
                          <w:rFonts w:cs="Arial"/>
                        </w:rPr>
                        <w:t xml:space="preserve">This case study highlights the impact of COVID-19 public health restrictions on the </w:t>
                      </w:r>
                      <w:r w:rsidR="00D33DDB">
                        <w:rPr>
                          <w:rFonts w:cs="Arial"/>
                        </w:rPr>
                        <w:t xml:space="preserve">myotherapy practice and the impact of </w:t>
                      </w:r>
                      <w:r w:rsidR="00304969">
                        <w:rPr>
                          <w:rFonts w:cs="Arial"/>
                        </w:rPr>
                        <w:t>BCAP2.</w:t>
                      </w:r>
                      <w:r w:rsidR="00B534F7">
                        <w:rPr>
                          <w:rFonts w:cs="Arial"/>
                        </w:rPr>
                        <w:t xml:space="preserve"> </w:t>
                      </w:r>
                    </w:p>
                    <w:p w14:paraId="3B2797F7" w14:textId="77777777" w:rsidR="009665DB" w:rsidRPr="0026634A" w:rsidRDefault="00B534F7" w:rsidP="00F77F1E">
                      <w:pPr>
                        <w:jc w:val="both"/>
                        <w:rPr>
                          <w:b/>
                          <w:color w:val="86BC25" w:themeColor="accent1"/>
                        </w:rPr>
                      </w:pPr>
                      <w:r w:rsidRPr="0026634A">
                        <w:rPr>
                          <w:b/>
                          <w:color w:val="86BC25" w:themeColor="accent1"/>
                        </w:rPr>
                        <w:t>Impact of COVID-19</w:t>
                      </w:r>
                    </w:p>
                    <w:p w14:paraId="05014573" w14:textId="57A3F24D" w:rsidR="00304969" w:rsidRDefault="00EE51A3" w:rsidP="00142AA4">
                      <w:pPr>
                        <w:jc w:val="both"/>
                        <w:rPr>
                          <w:rFonts w:cs="Arial"/>
                        </w:rPr>
                      </w:pPr>
                      <w:r>
                        <w:rPr>
                          <w:rFonts w:cs="Arial"/>
                        </w:rPr>
                        <w:t xml:space="preserve">The COVID-19 public heath restrictions </w:t>
                      </w:r>
                      <w:r w:rsidR="00D233AB">
                        <w:rPr>
                          <w:rFonts w:cs="Arial"/>
                        </w:rPr>
                        <w:t xml:space="preserve">severely impacted the ability of the </w:t>
                      </w:r>
                      <w:proofErr w:type="spellStart"/>
                      <w:r w:rsidR="00D233AB">
                        <w:rPr>
                          <w:rFonts w:cs="Arial"/>
                        </w:rPr>
                        <w:t>myotherapist</w:t>
                      </w:r>
                      <w:proofErr w:type="spellEnd"/>
                      <w:r w:rsidR="00D233AB">
                        <w:rPr>
                          <w:rFonts w:cs="Arial"/>
                        </w:rPr>
                        <w:t xml:space="preserve"> to generate income, requiring their operations to close.</w:t>
                      </w:r>
                      <w:r w:rsidR="00F7078D">
                        <w:rPr>
                          <w:rFonts w:cs="Arial"/>
                        </w:rPr>
                        <w:t xml:space="preserve"> Unable to see clients, the </w:t>
                      </w:r>
                      <w:proofErr w:type="spellStart"/>
                      <w:r w:rsidR="00F7078D">
                        <w:rPr>
                          <w:rFonts w:cs="Arial"/>
                        </w:rPr>
                        <w:t>myotherapist</w:t>
                      </w:r>
                      <w:proofErr w:type="spellEnd"/>
                      <w:r w:rsidR="00F7078D">
                        <w:rPr>
                          <w:rFonts w:cs="Arial"/>
                        </w:rPr>
                        <w:t xml:space="preserve"> was unable to generate income, </w:t>
                      </w:r>
                      <w:r w:rsidR="00B85A70">
                        <w:rPr>
                          <w:rFonts w:cs="Arial"/>
                        </w:rPr>
                        <w:t xml:space="preserve">nor </w:t>
                      </w:r>
                      <w:r w:rsidR="005C3276">
                        <w:rPr>
                          <w:rFonts w:cs="Arial"/>
                        </w:rPr>
                        <w:t xml:space="preserve">pay rent </w:t>
                      </w:r>
                      <w:r w:rsidR="00B85A70">
                        <w:rPr>
                          <w:rFonts w:cs="Arial"/>
                        </w:rPr>
                        <w:t xml:space="preserve">and associated utility costs </w:t>
                      </w:r>
                      <w:r w:rsidR="000E2216">
                        <w:rPr>
                          <w:rFonts w:cs="Arial"/>
                        </w:rPr>
                        <w:t>under their agreement with the larger clinic.</w:t>
                      </w:r>
                    </w:p>
                    <w:p w14:paraId="6D47CB43" w14:textId="77777777" w:rsidR="009665DB" w:rsidRPr="0026634A" w:rsidRDefault="00B534F7" w:rsidP="00F77F1E">
                      <w:pPr>
                        <w:jc w:val="both"/>
                        <w:rPr>
                          <w:b/>
                          <w:color w:val="86BC25" w:themeColor="accent1"/>
                        </w:rPr>
                      </w:pPr>
                      <w:r w:rsidRPr="0026634A">
                        <w:rPr>
                          <w:b/>
                          <w:color w:val="86BC25" w:themeColor="accent1"/>
                        </w:rPr>
                        <w:t>Engagement with BCAP</w:t>
                      </w:r>
                    </w:p>
                    <w:p w14:paraId="5C09E48E" w14:textId="0480808D" w:rsidR="000E2216" w:rsidRDefault="005B7820" w:rsidP="00142AA4">
                      <w:pPr>
                        <w:jc w:val="both"/>
                        <w:rPr>
                          <w:rFonts w:cs="Arial"/>
                        </w:rPr>
                      </w:pPr>
                      <w:r>
                        <w:rPr>
                          <w:rFonts w:cs="Arial"/>
                        </w:rPr>
                        <w:t xml:space="preserve">Hearing about the BCAP grants through a friend, the </w:t>
                      </w:r>
                      <w:r w:rsidR="00481E2F">
                        <w:rPr>
                          <w:rFonts w:cs="Arial"/>
                        </w:rPr>
                        <w:t>sole trader</w:t>
                      </w:r>
                      <w:r>
                        <w:rPr>
                          <w:rFonts w:cs="Arial"/>
                        </w:rPr>
                        <w:t xml:space="preserve"> </w:t>
                      </w:r>
                      <w:r w:rsidR="00443BD9">
                        <w:rPr>
                          <w:rFonts w:cs="Arial"/>
                        </w:rPr>
                        <w:t xml:space="preserve">qualified for BCAP2 and subsequent rounds. The funds received through the program enabled </w:t>
                      </w:r>
                      <w:r w:rsidR="00481E2F">
                        <w:rPr>
                          <w:rFonts w:cs="Arial"/>
                        </w:rPr>
                        <w:t xml:space="preserve">the </w:t>
                      </w:r>
                      <w:proofErr w:type="spellStart"/>
                      <w:r w:rsidR="00481E2F">
                        <w:rPr>
                          <w:rFonts w:cs="Arial"/>
                        </w:rPr>
                        <w:t>myotherapist</w:t>
                      </w:r>
                      <w:proofErr w:type="spellEnd"/>
                      <w:r w:rsidR="00443BD9">
                        <w:rPr>
                          <w:rFonts w:cs="Arial"/>
                        </w:rPr>
                        <w:t xml:space="preserve"> to </w:t>
                      </w:r>
                      <w:r w:rsidR="00542F73">
                        <w:rPr>
                          <w:rFonts w:cs="Arial"/>
                        </w:rPr>
                        <w:t xml:space="preserve">pay rent and utility costs and avoid surrendering their lease which would have likely </w:t>
                      </w:r>
                      <w:r w:rsidR="002D2C80">
                        <w:rPr>
                          <w:rFonts w:cs="Arial"/>
                        </w:rPr>
                        <w:t xml:space="preserve">ended their practice and ruined </w:t>
                      </w:r>
                      <w:r w:rsidR="008B480A">
                        <w:rPr>
                          <w:rFonts w:cs="Arial"/>
                        </w:rPr>
                        <w:t xml:space="preserve">their </w:t>
                      </w:r>
                      <w:r w:rsidR="002D2C80">
                        <w:rPr>
                          <w:rFonts w:cs="Arial"/>
                        </w:rPr>
                        <w:t>efforts to establish themselves in the local community.</w:t>
                      </w:r>
                      <w:r w:rsidR="000B0D78">
                        <w:rPr>
                          <w:rFonts w:cs="Arial"/>
                        </w:rPr>
                        <w:t xml:space="preserve"> </w:t>
                      </w:r>
                      <w:r w:rsidR="000C2F02">
                        <w:rPr>
                          <w:rFonts w:cs="Arial"/>
                        </w:rPr>
                        <w:t>Without the grants they believed they</w:t>
                      </w:r>
                      <w:r w:rsidR="00481E2F">
                        <w:rPr>
                          <w:rFonts w:cs="Arial"/>
                        </w:rPr>
                        <w:t xml:space="preserve"> would have needed to find alternative employment through a larger company. </w:t>
                      </w:r>
                      <w:r w:rsidR="000B0D78">
                        <w:rPr>
                          <w:rFonts w:cs="Arial"/>
                        </w:rPr>
                        <w:t xml:space="preserve">The </w:t>
                      </w:r>
                      <w:r w:rsidR="004D102C">
                        <w:rPr>
                          <w:rFonts w:cs="Arial"/>
                        </w:rPr>
                        <w:t>sole trader also found the application process and associated instructions to be easy and clear.</w:t>
                      </w:r>
                    </w:p>
                    <w:p w14:paraId="77DFFBA5" w14:textId="77777777" w:rsidR="009665DB" w:rsidRPr="0026634A" w:rsidRDefault="00B534F7" w:rsidP="00F77F1E">
                      <w:pPr>
                        <w:jc w:val="both"/>
                        <w:rPr>
                          <w:b/>
                          <w:color w:val="86BC25" w:themeColor="accent1"/>
                        </w:rPr>
                      </w:pPr>
                      <w:r w:rsidRPr="0026634A">
                        <w:rPr>
                          <w:b/>
                          <w:color w:val="86BC25" w:themeColor="accent1"/>
                        </w:rPr>
                        <w:t>Improvement opportunities</w:t>
                      </w:r>
                    </w:p>
                    <w:p w14:paraId="5E303284" w14:textId="605545D3" w:rsidR="00B534F7" w:rsidRPr="00A13C24" w:rsidRDefault="00B534F7" w:rsidP="00F77F1E">
                      <w:pPr>
                        <w:jc w:val="both"/>
                      </w:pPr>
                      <w:r>
                        <w:t>The</w:t>
                      </w:r>
                      <w:r w:rsidDel="004335B6">
                        <w:t xml:space="preserve"> </w:t>
                      </w:r>
                      <w:proofErr w:type="spellStart"/>
                      <w:r w:rsidR="004335B6">
                        <w:t>myotherapist</w:t>
                      </w:r>
                      <w:proofErr w:type="spellEnd"/>
                      <w:r w:rsidR="004335B6">
                        <w:t xml:space="preserve"> was generally positive towards the BCAP grants and could not offer any specific improvement opportunities for the program.</w:t>
                      </w:r>
                    </w:p>
                  </w:txbxContent>
                </v:textbox>
                <w10:anchorlock/>
              </v:shape>
            </w:pict>
          </mc:Fallback>
        </mc:AlternateContent>
      </w:r>
    </w:p>
    <w:p w14:paraId="5FF9E2B9" w14:textId="52F303E6" w:rsidR="004335B6" w:rsidRDefault="004335B6" w:rsidP="00021EF3">
      <w:pPr>
        <w:spacing w:after="0" w:line="240" w:lineRule="atLeast"/>
      </w:pPr>
      <w:r>
        <w:br w:type="page"/>
      </w:r>
    </w:p>
    <w:p w14:paraId="4CFE529D" w14:textId="634F949A" w:rsidR="002717EE" w:rsidRDefault="00933431" w:rsidP="00021EF3">
      <w:r w:rsidRPr="00653696">
        <w:rPr>
          <w:rFonts w:ascii="Calibri" w:hAnsi="Calibri" w:cs="Calibri"/>
          <w:noProof/>
        </w:rPr>
        <w:lastRenderedPageBreak/>
        <mc:AlternateContent>
          <mc:Choice Requires="wpg">
            <w:drawing>
              <wp:anchor distT="0" distB="0" distL="114300" distR="114300" simplePos="0" relativeHeight="251664896" behindDoc="0" locked="0" layoutInCell="1" allowOverlap="1" wp14:anchorId="5E06A5FC" wp14:editId="15479AC3">
                <wp:simplePos x="0" y="0"/>
                <wp:positionH relativeFrom="column">
                  <wp:posOffset>4357873</wp:posOffset>
                </wp:positionH>
                <wp:positionV relativeFrom="paragraph">
                  <wp:posOffset>256540</wp:posOffset>
                </wp:positionV>
                <wp:extent cx="1123200" cy="1123200"/>
                <wp:effectExtent l="0" t="0" r="1270" b="1270"/>
                <wp:wrapNone/>
                <wp:docPr id="83" name="Group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3200" cy="1123200"/>
                          <a:chOff x="0" y="0"/>
                          <a:chExt cx="1123202" cy="1123199"/>
                        </a:xfrm>
                      </wpg:grpSpPr>
                      <wps:wsp>
                        <wps:cNvPr id="84" name="Oval 84"/>
                        <wps:cNvSpPr/>
                        <wps:spPr bwMode="gray">
                          <a:xfrm>
                            <a:off x="21600" y="0"/>
                            <a:ext cx="1080000" cy="1080000"/>
                          </a:xfrm>
                          <a:prstGeom prst="ellipse">
                            <a:avLst/>
                          </a:prstGeom>
                          <a:solidFill>
                            <a:schemeClr val="bg1"/>
                          </a:solidFill>
                          <a:ln w="19050" algn="ctr">
                            <a:noFill/>
                            <a:miter lim="800000"/>
                            <a:headEnd/>
                            <a:tailEnd/>
                          </a:ln>
                        </wps:spPr>
                        <wps:bodyPr wrap="square" lIns="88900" tIns="88900" rIns="88900" bIns="88900" rtlCol="0" anchor="ctr"/>
                      </wps:wsp>
                      <wpg:grpSp>
                        <wpg:cNvPr id="85" name="Graphic 4"/>
                        <wpg:cNvGrpSpPr/>
                        <wpg:grpSpPr>
                          <a:xfrm>
                            <a:off x="0" y="0"/>
                            <a:ext cx="1123202" cy="1123199"/>
                            <a:chOff x="0" y="0"/>
                            <a:chExt cx="361670" cy="361333"/>
                          </a:xfrm>
                          <a:solidFill>
                            <a:srgbClr val="046A38"/>
                          </a:solidFill>
                        </wpg:grpSpPr>
                        <wps:wsp>
                          <wps:cNvPr id="86" name="Graphic 4"/>
                          <wps:cNvSpPr/>
                          <wps:spPr>
                            <a:xfrm>
                              <a:off x="139939" y="196627"/>
                              <a:ext cx="75401" cy="71500"/>
                            </a:xfrm>
                            <a:custGeom>
                              <a:avLst/>
                              <a:gdLst>
                                <a:gd name="connsiteX0" fmla="*/ 71567 w 75401"/>
                                <a:gd name="connsiteY0" fmla="*/ 56179 h 71500"/>
                                <a:gd name="connsiteX1" fmla="*/ 36423 w 75401"/>
                                <a:gd name="connsiteY1" fmla="*/ 64478 h 71500"/>
                                <a:gd name="connsiteX2" fmla="*/ 12141 w 75401"/>
                                <a:gd name="connsiteY2" fmla="*/ 60648 h 71500"/>
                                <a:gd name="connsiteX3" fmla="*/ 8307 w 75401"/>
                                <a:gd name="connsiteY3" fmla="*/ 52349 h 71500"/>
                                <a:gd name="connsiteX4" fmla="*/ 16614 w 75401"/>
                                <a:gd name="connsiteY4" fmla="*/ 48518 h 71500"/>
                                <a:gd name="connsiteX5" fmla="*/ 65177 w 75401"/>
                                <a:gd name="connsiteY5" fmla="*/ 45326 h 71500"/>
                                <a:gd name="connsiteX6" fmla="*/ 37062 w 75401"/>
                                <a:gd name="connsiteY6" fmla="*/ 0 h 71500"/>
                                <a:gd name="connsiteX7" fmla="*/ 6390 w 75401"/>
                                <a:gd name="connsiteY7" fmla="*/ 51710 h 71500"/>
                                <a:gd name="connsiteX8" fmla="*/ 6390 w 75401"/>
                                <a:gd name="connsiteY8" fmla="*/ 51710 h 71500"/>
                                <a:gd name="connsiteX9" fmla="*/ 6390 w 75401"/>
                                <a:gd name="connsiteY9" fmla="*/ 51710 h 71500"/>
                                <a:gd name="connsiteX10" fmla="*/ 0 w 75401"/>
                                <a:gd name="connsiteY10" fmla="*/ 62563 h 71500"/>
                                <a:gd name="connsiteX11" fmla="*/ 37062 w 75401"/>
                                <a:gd name="connsiteY11" fmla="*/ 71500 h 71500"/>
                                <a:gd name="connsiteX12" fmla="*/ 75401 w 75401"/>
                                <a:gd name="connsiteY12" fmla="*/ 61925 h 71500"/>
                                <a:gd name="connsiteX13" fmla="*/ 71567 w 75401"/>
                                <a:gd name="connsiteY13" fmla="*/ 56179 h 71500"/>
                                <a:gd name="connsiteX14" fmla="*/ 47285 w 75401"/>
                                <a:gd name="connsiteY14" fmla="*/ 34473 h 71500"/>
                                <a:gd name="connsiteX15" fmla="*/ 53675 w 75401"/>
                                <a:gd name="connsiteY15" fmla="*/ 40857 h 71500"/>
                                <a:gd name="connsiteX16" fmla="*/ 47285 w 75401"/>
                                <a:gd name="connsiteY16" fmla="*/ 47241 h 71500"/>
                                <a:gd name="connsiteX17" fmla="*/ 47285 w 75401"/>
                                <a:gd name="connsiteY17" fmla="*/ 47241 h 71500"/>
                                <a:gd name="connsiteX18" fmla="*/ 40896 w 75401"/>
                                <a:gd name="connsiteY18" fmla="*/ 40857 h 71500"/>
                                <a:gd name="connsiteX19" fmla="*/ 47285 w 75401"/>
                                <a:gd name="connsiteY19" fmla="*/ 34473 h 71500"/>
                                <a:gd name="connsiteX20" fmla="*/ 31311 w 75401"/>
                                <a:gd name="connsiteY20" fmla="*/ 23621 h 71500"/>
                                <a:gd name="connsiteX21" fmla="*/ 37701 w 75401"/>
                                <a:gd name="connsiteY21" fmla="*/ 30005 h 71500"/>
                                <a:gd name="connsiteX22" fmla="*/ 31311 w 75401"/>
                                <a:gd name="connsiteY22" fmla="*/ 36389 h 71500"/>
                                <a:gd name="connsiteX23" fmla="*/ 30672 w 75401"/>
                                <a:gd name="connsiteY23" fmla="*/ 36389 h 71500"/>
                                <a:gd name="connsiteX24" fmla="*/ 24282 w 75401"/>
                                <a:gd name="connsiteY24" fmla="*/ 30005 h 71500"/>
                                <a:gd name="connsiteX25" fmla="*/ 31311 w 75401"/>
                                <a:gd name="connsiteY25" fmla="*/ 23621 h 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5401" h="71500">
                                  <a:moveTo>
                                    <a:pt x="71567" y="56179"/>
                                  </a:moveTo>
                                  <a:cubicBezTo>
                                    <a:pt x="60704" y="61925"/>
                                    <a:pt x="48563" y="64478"/>
                                    <a:pt x="36423" y="64478"/>
                                  </a:cubicBezTo>
                                  <a:cubicBezTo>
                                    <a:pt x="28116" y="64478"/>
                                    <a:pt x="19809" y="63201"/>
                                    <a:pt x="12141" y="60648"/>
                                  </a:cubicBezTo>
                                  <a:cubicBezTo>
                                    <a:pt x="8946" y="59371"/>
                                    <a:pt x="7029" y="56179"/>
                                    <a:pt x="8307" y="52349"/>
                                  </a:cubicBezTo>
                                  <a:cubicBezTo>
                                    <a:pt x="9585" y="49157"/>
                                    <a:pt x="12780" y="47241"/>
                                    <a:pt x="16614" y="48518"/>
                                  </a:cubicBezTo>
                                  <a:cubicBezTo>
                                    <a:pt x="32589" y="53625"/>
                                    <a:pt x="49841" y="52349"/>
                                    <a:pt x="65177" y="45326"/>
                                  </a:cubicBezTo>
                                  <a:lnTo>
                                    <a:pt x="37062" y="0"/>
                                  </a:lnTo>
                                  <a:lnTo>
                                    <a:pt x="6390" y="51710"/>
                                  </a:lnTo>
                                  <a:cubicBezTo>
                                    <a:pt x="6390" y="51710"/>
                                    <a:pt x="6390" y="51710"/>
                                    <a:pt x="6390" y="51710"/>
                                  </a:cubicBezTo>
                                  <a:cubicBezTo>
                                    <a:pt x="6390" y="51710"/>
                                    <a:pt x="6390" y="51710"/>
                                    <a:pt x="6390" y="51710"/>
                                  </a:cubicBezTo>
                                  <a:lnTo>
                                    <a:pt x="0" y="62563"/>
                                  </a:lnTo>
                                  <a:cubicBezTo>
                                    <a:pt x="11502" y="68308"/>
                                    <a:pt x="23643" y="71500"/>
                                    <a:pt x="37062" y="71500"/>
                                  </a:cubicBezTo>
                                  <a:cubicBezTo>
                                    <a:pt x="51119" y="71500"/>
                                    <a:pt x="63899" y="68308"/>
                                    <a:pt x="75401" y="61925"/>
                                  </a:cubicBezTo>
                                  <a:lnTo>
                                    <a:pt x="71567" y="56179"/>
                                  </a:lnTo>
                                  <a:close/>
                                  <a:moveTo>
                                    <a:pt x="47285" y="34473"/>
                                  </a:moveTo>
                                  <a:cubicBezTo>
                                    <a:pt x="51119" y="34473"/>
                                    <a:pt x="53675" y="37027"/>
                                    <a:pt x="53675" y="40857"/>
                                  </a:cubicBezTo>
                                  <a:cubicBezTo>
                                    <a:pt x="53675" y="44688"/>
                                    <a:pt x="51119" y="47241"/>
                                    <a:pt x="47285" y="47241"/>
                                  </a:cubicBezTo>
                                  <a:lnTo>
                                    <a:pt x="47285" y="47241"/>
                                  </a:lnTo>
                                  <a:cubicBezTo>
                                    <a:pt x="43451" y="47241"/>
                                    <a:pt x="40896" y="44688"/>
                                    <a:pt x="40896" y="40857"/>
                                  </a:cubicBezTo>
                                  <a:cubicBezTo>
                                    <a:pt x="40896" y="37027"/>
                                    <a:pt x="43451" y="34473"/>
                                    <a:pt x="47285" y="34473"/>
                                  </a:cubicBezTo>
                                  <a:close/>
                                  <a:moveTo>
                                    <a:pt x="31311" y="23621"/>
                                  </a:moveTo>
                                  <a:cubicBezTo>
                                    <a:pt x="35145" y="23621"/>
                                    <a:pt x="37701" y="26174"/>
                                    <a:pt x="37701" y="30005"/>
                                  </a:cubicBezTo>
                                  <a:cubicBezTo>
                                    <a:pt x="37701" y="33835"/>
                                    <a:pt x="35145" y="36389"/>
                                    <a:pt x="31311" y="36389"/>
                                  </a:cubicBezTo>
                                  <a:lnTo>
                                    <a:pt x="30672" y="36389"/>
                                  </a:lnTo>
                                  <a:cubicBezTo>
                                    <a:pt x="26838" y="36389"/>
                                    <a:pt x="24282" y="33835"/>
                                    <a:pt x="24282" y="30005"/>
                                  </a:cubicBezTo>
                                  <a:cubicBezTo>
                                    <a:pt x="24282" y="26174"/>
                                    <a:pt x="28116" y="23621"/>
                                    <a:pt x="31311" y="23621"/>
                                  </a:cubicBezTo>
                                  <a:close/>
                                </a:path>
                              </a:pathLst>
                            </a:custGeom>
                            <a:solidFill>
                              <a:srgbClr val="046A38"/>
                            </a:solidFill>
                            <a:ln w="6390" cap="flat">
                              <a:noFill/>
                              <a:prstDash val="solid"/>
                              <a:miter/>
                            </a:ln>
                          </wps:spPr>
                          <wps:bodyPr rtlCol="0" anchor="ctr"/>
                        </wps:wsp>
                        <wps:wsp>
                          <wps:cNvPr id="87" name="Graphic 4"/>
                          <wps:cNvSpPr/>
                          <wps:spPr>
                            <a:xfrm>
                              <a:off x="93293" y="190881"/>
                              <a:ext cx="71567" cy="61924"/>
                            </a:xfrm>
                            <a:custGeom>
                              <a:avLst/>
                              <a:gdLst>
                                <a:gd name="connsiteX0" fmla="*/ 38340 w 71567"/>
                                <a:gd name="connsiteY0" fmla="*/ 56179 h 61924"/>
                                <a:gd name="connsiteX1" fmla="*/ 7668 w 71567"/>
                                <a:gd name="connsiteY1" fmla="*/ 10214 h 61924"/>
                                <a:gd name="connsiteX2" fmla="*/ 12780 w 71567"/>
                                <a:gd name="connsiteY2" fmla="*/ 2554 h 61924"/>
                                <a:gd name="connsiteX3" fmla="*/ 20448 w 71567"/>
                                <a:gd name="connsiteY3" fmla="*/ 7661 h 61924"/>
                                <a:gd name="connsiteX4" fmla="*/ 44730 w 71567"/>
                                <a:gd name="connsiteY4" fmla="*/ 45326 h 61924"/>
                                <a:gd name="connsiteX5" fmla="*/ 71567 w 71567"/>
                                <a:gd name="connsiteY5" fmla="*/ 0 h 61924"/>
                                <a:gd name="connsiteX6" fmla="*/ 12780 w 71567"/>
                                <a:gd name="connsiteY6" fmla="*/ 0 h 61924"/>
                                <a:gd name="connsiteX7" fmla="*/ 12780 w 71567"/>
                                <a:gd name="connsiteY7" fmla="*/ 0 h 61924"/>
                                <a:gd name="connsiteX8" fmla="*/ 12780 w 71567"/>
                                <a:gd name="connsiteY8" fmla="*/ 0 h 61924"/>
                                <a:gd name="connsiteX9" fmla="*/ 0 w 71567"/>
                                <a:gd name="connsiteY9" fmla="*/ 0 h 61924"/>
                                <a:gd name="connsiteX10" fmla="*/ 35145 w 71567"/>
                                <a:gd name="connsiteY10" fmla="*/ 61925 h 61924"/>
                                <a:gd name="connsiteX11" fmla="*/ 38340 w 71567"/>
                                <a:gd name="connsiteY11" fmla="*/ 56179 h 61924"/>
                                <a:gd name="connsiteX12" fmla="*/ 49842 w 71567"/>
                                <a:gd name="connsiteY12" fmla="*/ 12130 h 61924"/>
                                <a:gd name="connsiteX13" fmla="*/ 56231 w 71567"/>
                                <a:gd name="connsiteY13" fmla="*/ 18514 h 61924"/>
                                <a:gd name="connsiteX14" fmla="*/ 49842 w 71567"/>
                                <a:gd name="connsiteY14" fmla="*/ 24898 h 61924"/>
                                <a:gd name="connsiteX15" fmla="*/ 49202 w 71567"/>
                                <a:gd name="connsiteY15" fmla="*/ 24898 h 61924"/>
                                <a:gd name="connsiteX16" fmla="*/ 42813 w 71567"/>
                                <a:gd name="connsiteY16" fmla="*/ 18514 h 61924"/>
                                <a:gd name="connsiteX17" fmla="*/ 49842 w 71567"/>
                                <a:gd name="connsiteY17" fmla="*/ 12130 h 61924"/>
                                <a:gd name="connsiteX18" fmla="*/ 32589 w 71567"/>
                                <a:gd name="connsiteY18" fmla="*/ 4469 h 61924"/>
                                <a:gd name="connsiteX19" fmla="*/ 38979 w 71567"/>
                                <a:gd name="connsiteY19" fmla="*/ 10853 h 61924"/>
                                <a:gd name="connsiteX20" fmla="*/ 32589 w 71567"/>
                                <a:gd name="connsiteY20" fmla="*/ 17237 h 61924"/>
                                <a:gd name="connsiteX21" fmla="*/ 31950 w 71567"/>
                                <a:gd name="connsiteY21" fmla="*/ 17237 h 61924"/>
                                <a:gd name="connsiteX22" fmla="*/ 25560 w 71567"/>
                                <a:gd name="connsiteY22" fmla="*/ 10853 h 61924"/>
                                <a:gd name="connsiteX23" fmla="*/ 32589 w 71567"/>
                                <a:gd name="connsiteY23" fmla="*/ 4469 h 61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1567" h="61924">
                                  <a:moveTo>
                                    <a:pt x="38340" y="56179"/>
                                  </a:moveTo>
                                  <a:cubicBezTo>
                                    <a:pt x="23004" y="45326"/>
                                    <a:pt x="12141" y="28728"/>
                                    <a:pt x="7668" y="10214"/>
                                  </a:cubicBezTo>
                                  <a:cubicBezTo>
                                    <a:pt x="7029" y="7022"/>
                                    <a:pt x="8946" y="3192"/>
                                    <a:pt x="12780" y="2554"/>
                                  </a:cubicBezTo>
                                  <a:cubicBezTo>
                                    <a:pt x="15975" y="1915"/>
                                    <a:pt x="19809" y="3830"/>
                                    <a:pt x="20448" y="7661"/>
                                  </a:cubicBezTo>
                                  <a:cubicBezTo>
                                    <a:pt x="23643" y="22982"/>
                                    <a:pt x="32589" y="36389"/>
                                    <a:pt x="44730" y="45326"/>
                                  </a:cubicBezTo>
                                  <a:lnTo>
                                    <a:pt x="71567" y="0"/>
                                  </a:lnTo>
                                  <a:lnTo>
                                    <a:pt x="12780" y="0"/>
                                  </a:lnTo>
                                  <a:cubicBezTo>
                                    <a:pt x="12780" y="0"/>
                                    <a:pt x="12780" y="0"/>
                                    <a:pt x="12780" y="0"/>
                                  </a:cubicBezTo>
                                  <a:cubicBezTo>
                                    <a:pt x="12780" y="0"/>
                                    <a:pt x="12780" y="0"/>
                                    <a:pt x="12780" y="0"/>
                                  </a:cubicBezTo>
                                  <a:lnTo>
                                    <a:pt x="0" y="0"/>
                                  </a:lnTo>
                                  <a:cubicBezTo>
                                    <a:pt x="1917" y="25536"/>
                                    <a:pt x="15336" y="47880"/>
                                    <a:pt x="35145" y="61925"/>
                                  </a:cubicBezTo>
                                  <a:lnTo>
                                    <a:pt x="38340" y="56179"/>
                                  </a:lnTo>
                                  <a:close/>
                                  <a:moveTo>
                                    <a:pt x="49842" y="12130"/>
                                  </a:moveTo>
                                  <a:cubicBezTo>
                                    <a:pt x="53675" y="12130"/>
                                    <a:pt x="56231" y="14683"/>
                                    <a:pt x="56231" y="18514"/>
                                  </a:cubicBezTo>
                                  <a:cubicBezTo>
                                    <a:pt x="56231" y="22344"/>
                                    <a:pt x="53675" y="24898"/>
                                    <a:pt x="49842" y="24898"/>
                                  </a:cubicBezTo>
                                  <a:lnTo>
                                    <a:pt x="49202" y="24898"/>
                                  </a:lnTo>
                                  <a:cubicBezTo>
                                    <a:pt x="45368" y="24898"/>
                                    <a:pt x="42813" y="22344"/>
                                    <a:pt x="42813" y="18514"/>
                                  </a:cubicBezTo>
                                  <a:cubicBezTo>
                                    <a:pt x="42813" y="14683"/>
                                    <a:pt x="46008" y="12130"/>
                                    <a:pt x="49842" y="12130"/>
                                  </a:cubicBezTo>
                                  <a:close/>
                                  <a:moveTo>
                                    <a:pt x="32589" y="4469"/>
                                  </a:moveTo>
                                  <a:cubicBezTo>
                                    <a:pt x="36423" y="4469"/>
                                    <a:pt x="38979" y="7022"/>
                                    <a:pt x="38979" y="10853"/>
                                  </a:cubicBezTo>
                                  <a:cubicBezTo>
                                    <a:pt x="38979" y="14683"/>
                                    <a:pt x="36423" y="17237"/>
                                    <a:pt x="32589" y="17237"/>
                                  </a:cubicBezTo>
                                  <a:lnTo>
                                    <a:pt x="31950" y="17237"/>
                                  </a:lnTo>
                                  <a:cubicBezTo>
                                    <a:pt x="28116" y="17237"/>
                                    <a:pt x="25560" y="14683"/>
                                    <a:pt x="25560" y="10853"/>
                                  </a:cubicBezTo>
                                  <a:cubicBezTo>
                                    <a:pt x="25560" y="7022"/>
                                    <a:pt x="28755" y="4469"/>
                                    <a:pt x="32589" y="4469"/>
                                  </a:cubicBezTo>
                                  <a:close/>
                                </a:path>
                              </a:pathLst>
                            </a:custGeom>
                            <a:solidFill>
                              <a:srgbClr val="046A38"/>
                            </a:solidFill>
                            <a:ln w="6390" cap="flat">
                              <a:noFill/>
                              <a:prstDash val="solid"/>
                              <a:miter/>
                            </a:ln>
                          </wps:spPr>
                          <wps:bodyPr rtlCol="0" anchor="ctr"/>
                        </wps:wsp>
                        <wps:wsp>
                          <wps:cNvPr id="88" name="Graphic 4"/>
                          <wps:cNvSpPr/>
                          <wps:spPr>
                            <a:xfrm>
                              <a:off x="93293" y="116827"/>
                              <a:ext cx="71567" cy="61286"/>
                            </a:xfrm>
                            <a:custGeom>
                              <a:avLst/>
                              <a:gdLst>
                                <a:gd name="connsiteX0" fmla="*/ 6390 w 71567"/>
                                <a:gd name="connsiteY0" fmla="*/ 61286 h 61286"/>
                                <a:gd name="connsiteX1" fmla="*/ 29394 w 71567"/>
                                <a:gd name="connsiteY1" fmla="*/ 12768 h 61286"/>
                                <a:gd name="connsiteX2" fmla="*/ 38340 w 71567"/>
                                <a:gd name="connsiteY2" fmla="*/ 12768 h 61286"/>
                                <a:gd name="connsiteX3" fmla="*/ 38340 w 71567"/>
                                <a:gd name="connsiteY3" fmla="*/ 21706 h 61286"/>
                                <a:gd name="connsiteX4" fmla="*/ 19170 w 71567"/>
                                <a:gd name="connsiteY4" fmla="*/ 61286 h 61286"/>
                                <a:gd name="connsiteX5" fmla="*/ 71567 w 71567"/>
                                <a:gd name="connsiteY5" fmla="*/ 61286 h 61286"/>
                                <a:gd name="connsiteX6" fmla="*/ 33867 w 71567"/>
                                <a:gd name="connsiteY6" fmla="*/ 0 h 61286"/>
                                <a:gd name="connsiteX7" fmla="*/ 0 w 71567"/>
                                <a:gd name="connsiteY7" fmla="*/ 61286 h 61286"/>
                                <a:gd name="connsiteX8" fmla="*/ 6390 w 71567"/>
                                <a:gd name="connsiteY8" fmla="*/ 61286 h 61286"/>
                                <a:gd name="connsiteX9" fmla="*/ 53036 w 71567"/>
                                <a:gd name="connsiteY9" fmla="*/ 45965 h 61286"/>
                                <a:gd name="connsiteX10" fmla="*/ 59426 w 71567"/>
                                <a:gd name="connsiteY10" fmla="*/ 52349 h 61286"/>
                                <a:gd name="connsiteX11" fmla="*/ 53036 w 71567"/>
                                <a:gd name="connsiteY11" fmla="*/ 58733 h 61286"/>
                                <a:gd name="connsiteX12" fmla="*/ 52397 w 71567"/>
                                <a:gd name="connsiteY12" fmla="*/ 58733 h 61286"/>
                                <a:gd name="connsiteX13" fmla="*/ 46008 w 71567"/>
                                <a:gd name="connsiteY13" fmla="*/ 52349 h 61286"/>
                                <a:gd name="connsiteX14" fmla="*/ 53036 w 71567"/>
                                <a:gd name="connsiteY14" fmla="*/ 45965 h 61286"/>
                                <a:gd name="connsiteX15" fmla="*/ 45368 w 71567"/>
                                <a:gd name="connsiteY15" fmla="*/ 35750 h 61286"/>
                                <a:gd name="connsiteX16" fmla="*/ 38979 w 71567"/>
                                <a:gd name="connsiteY16" fmla="*/ 42134 h 61286"/>
                                <a:gd name="connsiteX17" fmla="*/ 38340 w 71567"/>
                                <a:gd name="connsiteY17" fmla="*/ 42134 h 61286"/>
                                <a:gd name="connsiteX18" fmla="*/ 31950 w 71567"/>
                                <a:gd name="connsiteY18" fmla="*/ 35750 h 61286"/>
                                <a:gd name="connsiteX19" fmla="*/ 38340 w 71567"/>
                                <a:gd name="connsiteY19" fmla="*/ 29366 h 61286"/>
                                <a:gd name="connsiteX20" fmla="*/ 45368 w 71567"/>
                                <a:gd name="connsiteY20" fmla="*/ 35750 h 612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1567" h="61286">
                                  <a:moveTo>
                                    <a:pt x="6390" y="61286"/>
                                  </a:moveTo>
                                  <a:cubicBezTo>
                                    <a:pt x="7668" y="42773"/>
                                    <a:pt x="15975" y="25536"/>
                                    <a:pt x="29394" y="12768"/>
                                  </a:cubicBezTo>
                                  <a:cubicBezTo>
                                    <a:pt x="31950" y="10214"/>
                                    <a:pt x="35784" y="10214"/>
                                    <a:pt x="38340" y="12768"/>
                                  </a:cubicBezTo>
                                  <a:cubicBezTo>
                                    <a:pt x="40896" y="15322"/>
                                    <a:pt x="40896" y="19152"/>
                                    <a:pt x="38340" y="21706"/>
                                  </a:cubicBezTo>
                                  <a:cubicBezTo>
                                    <a:pt x="27477" y="32558"/>
                                    <a:pt x="20448" y="45965"/>
                                    <a:pt x="19170" y="61286"/>
                                  </a:cubicBezTo>
                                  <a:lnTo>
                                    <a:pt x="71567" y="61286"/>
                                  </a:lnTo>
                                  <a:lnTo>
                                    <a:pt x="33867" y="0"/>
                                  </a:lnTo>
                                  <a:cubicBezTo>
                                    <a:pt x="14697" y="14045"/>
                                    <a:pt x="1278" y="36389"/>
                                    <a:pt x="0" y="61286"/>
                                  </a:cubicBezTo>
                                  <a:lnTo>
                                    <a:pt x="6390" y="61286"/>
                                  </a:lnTo>
                                  <a:close/>
                                  <a:moveTo>
                                    <a:pt x="53036" y="45965"/>
                                  </a:moveTo>
                                  <a:cubicBezTo>
                                    <a:pt x="56870" y="45965"/>
                                    <a:pt x="59426" y="48518"/>
                                    <a:pt x="59426" y="52349"/>
                                  </a:cubicBezTo>
                                  <a:cubicBezTo>
                                    <a:pt x="59426" y="56179"/>
                                    <a:pt x="56870" y="58733"/>
                                    <a:pt x="53036" y="58733"/>
                                  </a:cubicBezTo>
                                  <a:lnTo>
                                    <a:pt x="52397" y="58733"/>
                                  </a:lnTo>
                                  <a:cubicBezTo>
                                    <a:pt x="48563" y="58733"/>
                                    <a:pt x="46008" y="56179"/>
                                    <a:pt x="46008" y="52349"/>
                                  </a:cubicBezTo>
                                  <a:cubicBezTo>
                                    <a:pt x="46008" y="48518"/>
                                    <a:pt x="49202" y="45965"/>
                                    <a:pt x="53036" y="45965"/>
                                  </a:cubicBezTo>
                                  <a:close/>
                                  <a:moveTo>
                                    <a:pt x="45368" y="35750"/>
                                  </a:moveTo>
                                  <a:cubicBezTo>
                                    <a:pt x="45368" y="39581"/>
                                    <a:pt x="42813" y="42134"/>
                                    <a:pt x="38979" y="42134"/>
                                  </a:cubicBezTo>
                                  <a:lnTo>
                                    <a:pt x="38340" y="42134"/>
                                  </a:lnTo>
                                  <a:cubicBezTo>
                                    <a:pt x="34506" y="42134"/>
                                    <a:pt x="31950" y="39581"/>
                                    <a:pt x="31950" y="35750"/>
                                  </a:cubicBezTo>
                                  <a:cubicBezTo>
                                    <a:pt x="31950" y="31920"/>
                                    <a:pt x="34506" y="29366"/>
                                    <a:pt x="38340" y="29366"/>
                                  </a:cubicBezTo>
                                  <a:cubicBezTo>
                                    <a:pt x="42174" y="29366"/>
                                    <a:pt x="45368" y="31920"/>
                                    <a:pt x="45368" y="35750"/>
                                  </a:cubicBezTo>
                                  <a:close/>
                                </a:path>
                              </a:pathLst>
                            </a:custGeom>
                            <a:solidFill>
                              <a:srgbClr val="046A38"/>
                            </a:solidFill>
                            <a:ln w="6390" cap="flat">
                              <a:noFill/>
                              <a:prstDash val="solid"/>
                              <a:miter/>
                            </a:ln>
                          </wps:spPr>
                          <wps:bodyPr rtlCol="0" anchor="ctr"/>
                        </wps:wsp>
                        <wps:wsp>
                          <wps:cNvPr id="89" name="Graphic 4"/>
                          <wps:cNvSpPr/>
                          <wps:spPr>
                            <a:xfrm>
                              <a:off x="138022" y="100228"/>
                              <a:ext cx="75401" cy="71500"/>
                            </a:xfrm>
                            <a:custGeom>
                              <a:avLst/>
                              <a:gdLst>
                                <a:gd name="connsiteX0" fmla="*/ 3834 w 75401"/>
                                <a:gd name="connsiteY0" fmla="*/ 15960 h 71500"/>
                                <a:gd name="connsiteX1" fmla="*/ 62621 w 75401"/>
                                <a:gd name="connsiteY1" fmla="*/ 11491 h 71500"/>
                                <a:gd name="connsiteX2" fmla="*/ 66455 w 75401"/>
                                <a:gd name="connsiteY2" fmla="*/ 19790 h 71500"/>
                                <a:gd name="connsiteX3" fmla="*/ 58148 w 75401"/>
                                <a:gd name="connsiteY3" fmla="*/ 23621 h 71500"/>
                                <a:gd name="connsiteX4" fmla="*/ 10224 w 75401"/>
                                <a:gd name="connsiteY4" fmla="*/ 26813 h 71500"/>
                                <a:gd name="connsiteX5" fmla="*/ 38340 w 75401"/>
                                <a:gd name="connsiteY5" fmla="*/ 71500 h 71500"/>
                                <a:gd name="connsiteX6" fmla="*/ 75401 w 75401"/>
                                <a:gd name="connsiteY6" fmla="*/ 8938 h 71500"/>
                                <a:gd name="connsiteX7" fmla="*/ 38340 w 75401"/>
                                <a:gd name="connsiteY7" fmla="*/ 0 h 71500"/>
                                <a:gd name="connsiteX8" fmla="*/ 0 w 75401"/>
                                <a:gd name="connsiteY8" fmla="*/ 9576 h 71500"/>
                                <a:gd name="connsiteX9" fmla="*/ 3834 w 75401"/>
                                <a:gd name="connsiteY9" fmla="*/ 15960 h 71500"/>
                                <a:gd name="connsiteX10" fmla="*/ 33867 w 75401"/>
                                <a:gd name="connsiteY10" fmla="*/ 53625 h 71500"/>
                                <a:gd name="connsiteX11" fmla="*/ 33867 w 75401"/>
                                <a:gd name="connsiteY11" fmla="*/ 53625 h 71500"/>
                                <a:gd name="connsiteX12" fmla="*/ 26838 w 75401"/>
                                <a:gd name="connsiteY12" fmla="*/ 47241 h 71500"/>
                                <a:gd name="connsiteX13" fmla="*/ 33228 w 75401"/>
                                <a:gd name="connsiteY13" fmla="*/ 40857 h 71500"/>
                                <a:gd name="connsiteX14" fmla="*/ 39618 w 75401"/>
                                <a:gd name="connsiteY14" fmla="*/ 47241 h 71500"/>
                                <a:gd name="connsiteX15" fmla="*/ 33867 w 75401"/>
                                <a:gd name="connsiteY15" fmla="*/ 53625 h 71500"/>
                                <a:gd name="connsiteX16" fmla="*/ 42174 w 75401"/>
                                <a:gd name="connsiteY16" fmla="*/ 35750 h 71500"/>
                                <a:gd name="connsiteX17" fmla="*/ 42174 w 75401"/>
                                <a:gd name="connsiteY17" fmla="*/ 35750 h 71500"/>
                                <a:gd name="connsiteX18" fmla="*/ 35145 w 75401"/>
                                <a:gd name="connsiteY18" fmla="*/ 29366 h 71500"/>
                                <a:gd name="connsiteX19" fmla="*/ 41535 w 75401"/>
                                <a:gd name="connsiteY19" fmla="*/ 22982 h 71500"/>
                                <a:gd name="connsiteX20" fmla="*/ 47925 w 75401"/>
                                <a:gd name="connsiteY20" fmla="*/ 29366 h 71500"/>
                                <a:gd name="connsiteX21" fmla="*/ 42174 w 75401"/>
                                <a:gd name="connsiteY21" fmla="*/ 35750 h 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5401" h="71500">
                                  <a:moveTo>
                                    <a:pt x="3834" y="15960"/>
                                  </a:moveTo>
                                  <a:cubicBezTo>
                                    <a:pt x="21726" y="7022"/>
                                    <a:pt x="43452" y="5107"/>
                                    <a:pt x="62621" y="11491"/>
                                  </a:cubicBezTo>
                                  <a:cubicBezTo>
                                    <a:pt x="65816" y="12768"/>
                                    <a:pt x="67733" y="15960"/>
                                    <a:pt x="66455" y="19790"/>
                                  </a:cubicBezTo>
                                  <a:cubicBezTo>
                                    <a:pt x="65177" y="23621"/>
                                    <a:pt x="61982" y="24897"/>
                                    <a:pt x="58148" y="23621"/>
                                  </a:cubicBezTo>
                                  <a:cubicBezTo>
                                    <a:pt x="42813" y="18514"/>
                                    <a:pt x="24921" y="19790"/>
                                    <a:pt x="10224" y="26813"/>
                                  </a:cubicBezTo>
                                  <a:lnTo>
                                    <a:pt x="38340" y="71500"/>
                                  </a:lnTo>
                                  <a:lnTo>
                                    <a:pt x="75401" y="8938"/>
                                  </a:lnTo>
                                  <a:cubicBezTo>
                                    <a:pt x="63899" y="3192"/>
                                    <a:pt x="51119" y="0"/>
                                    <a:pt x="38340" y="0"/>
                                  </a:cubicBezTo>
                                  <a:cubicBezTo>
                                    <a:pt x="24282" y="0"/>
                                    <a:pt x="11502" y="3192"/>
                                    <a:pt x="0" y="9576"/>
                                  </a:cubicBezTo>
                                  <a:lnTo>
                                    <a:pt x="3834" y="15960"/>
                                  </a:lnTo>
                                  <a:close/>
                                  <a:moveTo>
                                    <a:pt x="33867" y="53625"/>
                                  </a:moveTo>
                                  <a:lnTo>
                                    <a:pt x="33867" y="53625"/>
                                  </a:lnTo>
                                  <a:cubicBezTo>
                                    <a:pt x="30033" y="53625"/>
                                    <a:pt x="26838" y="51072"/>
                                    <a:pt x="26838" y="47241"/>
                                  </a:cubicBezTo>
                                  <a:cubicBezTo>
                                    <a:pt x="26838" y="43411"/>
                                    <a:pt x="29394" y="40857"/>
                                    <a:pt x="33228" y="40857"/>
                                  </a:cubicBezTo>
                                  <a:cubicBezTo>
                                    <a:pt x="37062" y="40857"/>
                                    <a:pt x="39618" y="43411"/>
                                    <a:pt x="39618" y="47241"/>
                                  </a:cubicBezTo>
                                  <a:cubicBezTo>
                                    <a:pt x="39618" y="51072"/>
                                    <a:pt x="37701" y="53625"/>
                                    <a:pt x="33867" y="53625"/>
                                  </a:cubicBezTo>
                                  <a:close/>
                                  <a:moveTo>
                                    <a:pt x="42174" y="35750"/>
                                  </a:moveTo>
                                  <a:lnTo>
                                    <a:pt x="42174" y="35750"/>
                                  </a:lnTo>
                                  <a:cubicBezTo>
                                    <a:pt x="38340" y="35750"/>
                                    <a:pt x="35145" y="33197"/>
                                    <a:pt x="35145" y="29366"/>
                                  </a:cubicBezTo>
                                  <a:cubicBezTo>
                                    <a:pt x="35145" y="25536"/>
                                    <a:pt x="37701" y="22982"/>
                                    <a:pt x="41535" y="22982"/>
                                  </a:cubicBezTo>
                                  <a:cubicBezTo>
                                    <a:pt x="45368" y="22982"/>
                                    <a:pt x="47925" y="25536"/>
                                    <a:pt x="47925" y="29366"/>
                                  </a:cubicBezTo>
                                  <a:cubicBezTo>
                                    <a:pt x="47925" y="33197"/>
                                    <a:pt x="46008" y="35750"/>
                                    <a:pt x="42174" y="35750"/>
                                  </a:cubicBezTo>
                                  <a:close/>
                                </a:path>
                              </a:pathLst>
                            </a:custGeom>
                            <a:solidFill>
                              <a:srgbClr val="046A38"/>
                            </a:solidFill>
                            <a:ln w="6390" cap="flat">
                              <a:noFill/>
                              <a:prstDash val="solid"/>
                              <a:miter/>
                            </a:ln>
                          </wps:spPr>
                          <wps:bodyPr rtlCol="0" anchor="ctr"/>
                        </wps:wsp>
                        <wps:wsp>
                          <wps:cNvPr id="90" name="Graphic 4"/>
                          <wps:cNvSpPr/>
                          <wps:spPr>
                            <a:xfrm>
                              <a:off x="187864" y="190243"/>
                              <a:ext cx="71567" cy="61924"/>
                            </a:xfrm>
                            <a:custGeom>
                              <a:avLst/>
                              <a:gdLst>
                                <a:gd name="connsiteX0" fmla="*/ 65177 w 71567"/>
                                <a:gd name="connsiteY0" fmla="*/ 0 h 61924"/>
                                <a:gd name="connsiteX1" fmla="*/ 42174 w 71567"/>
                                <a:gd name="connsiteY1" fmla="*/ 49157 h 61924"/>
                                <a:gd name="connsiteX2" fmla="*/ 37701 w 71567"/>
                                <a:gd name="connsiteY2" fmla="*/ 51072 h 61924"/>
                                <a:gd name="connsiteX3" fmla="*/ 33228 w 71567"/>
                                <a:gd name="connsiteY3" fmla="*/ 49157 h 61924"/>
                                <a:gd name="connsiteX4" fmla="*/ 33228 w 71567"/>
                                <a:gd name="connsiteY4" fmla="*/ 40219 h 61924"/>
                                <a:gd name="connsiteX5" fmla="*/ 52397 w 71567"/>
                                <a:gd name="connsiteY5" fmla="*/ 638 h 61924"/>
                                <a:gd name="connsiteX6" fmla="*/ 0 w 71567"/>
                                <a:gd name="connsiteY6" fmla="*/ 638 h 61924"/>
                                <a:gd name="connsiteX7" fmla="*/ 37701 w 71567"/>
                                <a:gd name="connsiteY7" fmla="*/ 61925 h 61924"/>
                                <a:gd name="connsiteX8" fmla="*/ 71567 w 71567"/>
                                <a:gd name="connsiteY8" fmla="*/ 638 h 61924"/>
                                <a:gd name="connsiteX9" fmla="*/ 65177 w 71567"/>
                                <a:gd name="connsiteY9" fmla="*/ 0 h 61924"/>
                                <a:gd name="connsiteX10" fmla="*/ 41535 w 71567"/>
                                <a:gd name="connsiteY10" fmla="*/ 3830 h 61924"/>
                                <a:gd name="connsiteX11" fmla="*/ 47925 w 71567"/>
                                <a:gd name="connsiteY11" fmla="*/ 10214 h 61924"/>
                                <a:gd name="connsiteX12" fmla="*/ 41535 w 71567"/>
                                <a:gd name="connsiteY12" fmla="*/ 16598 h 61924"/>
                                <a:gd name="connsiteX13" fmla="*/ 40896 w 71567"/>
                                <a:gd name="connsiteY13" fmla="*/ 16598 h 61924"/>
                                <a:gd name="connsiteX14" fmla="*/ 34506 w 71567"/>
                                <a:gd name="connsiteY14" fmla="*/ 10214 h 61924"/>
                                <a:gd name="connsiteX15" fmla="*/ 41535 w 71567"/>
                                <a:gd name="connsiteY15" fmla="*/ 3830 h 61924"/>
                                <a:gd name="connsiteX16" fmla="*/ 20448 w 71567"/>
                                <a:gd name="connsiteY16" fmla="*/ 17875 h 61924"/>
                                <a:gd name="connsiteX17" fmla="*/ 20448 w 71567"/>
                                <a:gd name="connsiteY17" fmla="*/ 17875 h 61924"/>
                                <a:gd name="connsiteX18" fmla="*/ 13419 w 71567"/>
                                <a:gd name="connsiteY18" fmla="*/ 11491 h 61924"/>
                                <a:gd name="connsiteX19" fmla="*/ 19809 w 71567"/>
                                <a:gd name="connsiteY19" fmla="*/ 5107 h 61924"/>
                                <a:gd name="connsiteX20" fmla="*/ 26199 w 71567"/>
                                <a:gd name="connsiteY20" fmla="*/ 11491 h 61924"/>
                                <a:gd name="connsiteX21" fmla="*/ 20448 w 71567"/>
                                <a:gd name="connsiteY21" fmla="*/ 17875 h 61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1567" h="61924">
                                  <a:moveTo>
                                    <a:pt x="65177" y="0"/>
                                  </a:moveTo>
                                  <a:cubicBezTo>
                                    <a:pt x="63899" y="18514"/>
                                    <a:pt x="55592" y="35750"/>
                                    <a:pt x="42174" y="49157"/>
                                  </a:cubicBezTo>
                                  <a:cubicBezTo>
                                    <a:pt x="40896" y="50433"/>
                                    <a:pt x="39618" y="51072"/>
                                    <a:pt x="37701" y="51072"/>
                                  </a:cubicBezTo>
                                  <a:cubicBezTo>
                                    <a:pt x="35784" y="51072"/>
                                    <a:pt x="34506" y="50433"/>
                                    <a:pt x="33228" y="49157"/>
                                  </a:cubicBezTo>
                                  <a:cubicBezTo>
                                    <a:pt x="30672" y="46603"/>
                                    <a:pt x="30672" y="42773"/>
                                    <a:pt x="33228" y="40219"/>
                                  </a:cubicBezTo>
                                  <a:cubicBezTo>
                                    <a:pt x="44091" y="29366"/>
                                    <a:pt x="50480" y="15322"/>
                                    <a:pt x="52397" y="638"/>
                                  </a:cubicBezTo>
                                  <a:lnTo>
                                    <a:pt x="0" y="638"/>
                                  </a:lnTo>
                                  <a:lnTo>
                                    <a:pt x="37701" y="61925"/>
                                  </a:lnTo>
                                  <a:cubicBezTo>
                                    <a:pt x="56870" y="47880"/>
                                    <a:pt x="70289" y="25536"/>
                                    <a:pt x="71567" y="638"/>
                                  </a:cubicBezTo>
                                  <a:lnTo>
                                    <a:pt x="65177" y="0"/>
                                  </a:lnTo>
                                  <a:close/>
                                  <a:moveTo>
                                    <a:pt x="41535" y="3830"/>
                                  </a:moveTo>
                                  <a:cubicBezTo>
                                    <a:pt x="45368" y="3830"/>
                                    <a:pt x="47925" y="6384"/>
                                    <a:pt x="47925" y="10214"/>
                                  </a:cubicBezTo>
                                  <a:cubicBezTo>
                                    <a:pt x="47925" y="14045"/>
                                    <a:pt x="45368" y="16598"/>
                                    <a:pt x="41535" y="16598"/>
                                  </a:cubicBezTo>
                                  <a:lnTo>
                                    <a:pt x="40896" y="16598"/>
                                  </a:lnTo>
                                  <a:cubicBezTo>
                                    <a:pt x="37062" y="16598"/>
                                    <a:pt x="34506" y="14045"/>
                                    <a:pt x="34506" y="10214"/>
                                  </a:cubicBezTo>
                                  <a:cubicBezTo>
                                    <a:pt x="34506" y="6384"/>
                                    <a:pt x="37701" y="3830"/>
                                    <a:pt x="41535" y="3830"/>
                                  </a:cubicBezTo>
                                  <a:close/>
                                  <a:moveTo>
                                    <a:pt x="20448" y="17875"/>
                                  </a:moveTo>
                                  <a:lnTo>
                                    <a:pt x="20448" y="17875"/>
                                  </a:lnTo>
                                  <a:cubicBezTo>
                                    <a:pt x="16614" y="17875"/>
                                    <a:pt x="13419" y="15322"/>
                                    <a:pt x="13419" y="11491"/>
                                  </a:cubicBezTo>
                                  <a:cubicBezTo>
                                    <a:pt x="13419" y="7661"/>
                                    <a:pt x="15975" y="5107"/>
                                    <a:pt x="19809" y="5107"/>
                                  </a:cubicBezTo>
                                  <a:cubicBezTo>
                                    <a:pt x="23643" y="5107"/>
                                    <a:pt x="26199" y="7661"/>
                                    <a:pt x="26199" y="11491"/>
                                  </a:cubicBezTo>
                                  <a:cubicBezTo>
                                    <a:pt x="26199" y="15322"/>
                                    <a:pt x="24282" y="17875"/>
                                    <a:pt x="20448" y="17875"/>
                                  </a:cubicBezTo>
                                  <a:close/>
                                </a:path>
                              </a:pathLst>
                            </a:custGeom>
                            <a:solidFill>
                              <a:srgbClr val="046A38"/>
                            </a:solidFill>
                            <a:ln w="6390" cap="flat">
                              <a:noFill/>
                              <a:prstDash val="solid"/>
                              <a:miter/>
                            </a:ln>
                          </wps:spPr>
                          <wps:bodyPr rtlCol="0" anchor="ctr"/>
                        </wps:wsp>
                        <wps:wsp>
                          <wps:cNvPr id="91" name="Graphic 4"/>
                          <wps:cNvSpPr/>
                          <wps:spPr>
                            <a:xfrm>
                              <a:off x="0" y="0"/>
                              <a:ext cx="361670" cy="361333"/>
                            </a:xfrm>
                            <a:custGeom>
                              <a:avLst/>
                              <a:gdLst>
                                <a:gd name="connsiteX0" fmla="*/ 180835 w 361670"/>
                                <a:gd name="connsiteY0" fmla="*/ 0 h 361333"/>
                                <a:gd name="connsiteX1" fmla="*/ 0 w 361670"/>
                                <a:gd name="connsiteY1" fmla="*/ 180667 h 361333"/>
                                <a:gd name="connsiteX2" fmla="*/ 180835 w 361670"/>
                                <a:gd name="connsiteY2" fmla="*/ 361333 h 361333"/>
                                <a:gd name="connsiteX3" fmla="*/ 361670 w 361670"/>
                                <a:gd name="connsiteY3" fmla="*/ 180667 h 361333"/>
                                <a:gd name="connsiteX4" fmla="*/ 180835 w 361670"/>
                                <a:gd name="connsiteY4" fmla="*/ 0 h 361333"/>
                                <a:gd name="connsiteX5" fmla="*/ 272850 w 361670"/>
                                <a:gd name="connsiteY5" fmla="*/ 183859 h 361333"/>
                                <a:gd name="connsiteX6" fmla="*/ 176362 w 361670"/>
                                <a:gd name="connsiteY6" fmla="*/ 280257 h 361333"/>
                                <a:gd name="connsiteX7" fmla="*/ 129077 w 361670"/>
                                <a:gd name="connsiteY7" fmla="*/ 268127 h 361333"/>
                                <a:gd name="connsiteX8" fmla="*/ 127160 w 361670"/>
                                <a:gd name="connsiteY8" fmla="*/ 267489 h 361333"/>
                                <a:gd name="connsiteX9" fmla="*/ 125243 w 361670"/>
                                <a:gd name="connsiteY9" fmla="*/ 265574 h 361333"/>
                                <a:gd name="connsiteX10" fmla="*/ 79874 w 361670"/>
                                <a:gd name="connsiteY10" fmla="*/ 184497 h 361333"/>
                                <a:gd name="connsiteX11" fmla="*/ 79874 w 361670"/>
                                <a:gd name="connsiteY11" fmla="*/ 184497 h 361333"/>
                                <a:gd name="connsiteX12" fmla="*/ 79874 w 361670"/>
                                <a:gd name="connsiteY12" fmla="*/ 184497 h 361333"/>
                                <a:gd name="connsiteX13" fmla="*/ 79874 w 361670"/>
                                <a:gd name="connsiteY13" fmla="*/ 184497 h 361333"/>
                                <a:gd name="connsiteX14" fmla="*/ 176362 w 361670"/>
                                <a:gd name="connsiteY14" fmla="*/ 88099 h 361333"/>
                                <a:gd name="connsiteX15" fmla="*/ 223648 w 361670"/>
                                <a:gd name="connsiteY15" fmla="*/ 100867 h 361333"/>
                                <a:gd name="connsiteX16" fmla="*/ 225565 w 361670"/>
                                <a:gd name="connsiteY16" fmla="*/ 101505 h 361333"/>
                                <a:gd name="connsiteX17" fmla="*/ 228121 w 361670"/>
                                <a:gd name="connsiteY17" fmla="*/ 110443 h 361333"/>
                                <a:gd name="connsiteX18" fmla="*/ 228121 w 361670"/>
                                <a:gd name="connsiteY18" fmla="*/ 110443 h 361333"/>
                                <a:gd name="connsiteX19" fmla="*/ 228121 w 361670"/>
                                <a:gd name="connsiteY19" fmla="*/ 110443 h 361333"/>
                                <a:gd name="connsiteX20" fmla="*/ 228121 w 361670"/>
                                <a:gd name="connsiteY20" fmla="*/ 110443 h 361333"/>
                                <a:gd name="connsiteX21" fmla="*/ 187864 w 361670"/>
                                <a:gd name="connsiteY21" fmla="*/ 178113 h 361333"/>
                                <a:gd name="connsiteX22" fmla="*/ 267099 w 361670"/>
                                <a:gd name="connsiteY22" fmla="*/ 178113 h 361333"/>
                                <a:gd name="connsiteX23" fmla="*/ 267099 w 361670"/>
                                <a:gd name="connsiteY23" fmla="*/ 178113 h 361333"/>
                                <a:gd name="connsiteX24" fmla="*/ 272850 w 361670"/>
                                <a:gd name="connsiteY24" fmla="*/ 183859 h 361333"/>
                                <a:gd name="connsiteX25" fmla="*/ 272850 w 361670"/>
                                <a:gd name="connsiteY25" fmla="*/ 183859 h 361333"/>
                                <a:gd name="connsiteX26" fmla="*/ 272850 w 361670"/>
                                <a:gd name="connsiteY26" fmla="*/ 183859 h 361333"/>
                                <a:gd name="connsiteX27" fmla="*/ 301605 w 361670"/>
                                <a:gd name="connsiteY27" fmla="*/ 171729 h 361333"/>
                                <a:gd name="connsiteX28" fmla="*/ 211507 w 361670"/>
                                <a:gd name="connsiteY28" fmla="*/ 171729 h 361333"/>
                                <a:gd name="connsiteX29" fmla="*/ 205756 w 361670"/>
                                <a:gd name="connsiteY29" fmla="*/ 168537 h 361333"/>
                                <a:gd name="connsiteX30" fmla="*/ 205756 w 361670"/>
                                <a:gd name="connsiteY30" fmla="*/ 162153 h 361333"/>
                                <a:gd name="connsiteX31" fmla="*/ 239623 w 361670"/>
                                <a:gd name="connsiteY31" fmla="*/ 105336 h 361333"/>
                                <a:gd name="connsiteX32" fmla="*/ 240262 w 361670"/>
                                <a:gd name="connsiteY32" fmla="*/ 102782 h 361333"/>
                                <a:gd name="connsiteX33" fmla="*/ 242179 w 361670"/>
                                <a:gd name="connsiteY33" fmla="*/ 100229 h 361333"/>
                                <a:gd name="connsiteX34" fmla="*/ 251764 w 361670"/>
                                <a:gd name="connsiteY34" fmla="*/ 84269 h 361333"/>
                                <a:gd name="connsiteX35" fmla="*/ 255597 w 361670"/>
                                <a:gd name="connsiteY35" fmla="*/ 81077 h 361333"/>
                                <a:gd name="connsiteX36" fmla="*/ 260709 w 361670"/>
                                <a:gd name="connsiteY36" fmla="*/ 81715 h 361333"/>
                                <a:gd name="connsiteX37" fmla="*/ 307995 w 361670"/>
                                <a:gd name="connsiteY37" fmla="*/ 164707 h 361333"/>
                                <a:gd name="connsiteX38" fmla="*/ 301605 w 361670"/>
                                <a:gd name="connsiteY38" fmla="*/ 171729 h 361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1670" h="361333">
                                  <a:moveTo>
                                    <a:pt x="180835" y="0"/>
                                  </a:moveTo>
                                  <a:cubicBezTo>
                                    <a:pt x="80513" y="0"/>
                                    <a:pt x="0" y="81077"/>
                                    <a:pt x="0" y="180667"/>
                                  </a:cubicBezTo>
                                  <a:cubicBezTo>
                                    <a:pt x="0" y="280257"/>
                                    <a:pt x="81152" y="361333"/>
                                    <a:pt x="180835" y="361333"/>
                                  </a:cubicBezTo>
                                  <a:cubicBezTo>
                                    <a:pt x="281157" y="361333"/>
                                    <a:pt x="361670" y="280257"/>
                                    <a:pt x="361670" y="180667"/>
                                  </a:cubicBezTo>
                                  <a:cubicBezTo>
                                    <a:pt x="361670" y="81077"/>
                                    <a:pt x="281157" y="0"/>
                                    <a:pt x="180835" y="0"/>
                                  </a:cubicBezTo>
                                  <a:close/>
                                  <a:moveTo>
                                    <a:pt x="272850" y="183859"/>
                                  </a:moveTo>
                                  <a:cubicBezTo>
                                    <a:pt x="272850" y="236846"/>
                                    <a:pt x="229399" y="280257"/>
                                    <a:pt x="176362" y="280257"/>
                                  </a:cubicBezTo>
                                  <a:cubicBezTo>
                                    <a:pt x="159110" y="280257"/>
                                    <a:pt x="143135" y="275788"/>
                                    <a:pt x="129077" y="268127"/>
                                  </a:cubicBezTo>
                                  <a:cubicBezTo>
                                    <a:pt x="128438" y="268127"/>
                                    <a:pt x="127799" y="267489"/>
                                    <a:pt x="127160" y="267489"/>
                                  </a:cubicBezTo>
                                  <a:cubicBezTo>
                                    <a:pt x="126521" y="266851"/>
                                    <a:pt x="125882" y="266212"/>
                                    <a:pt x="125243" y="265574"/>
                                  </a:cubicBezTo>
                                  <a:cubicBezTo>
                                    <a:pt x="98405" y="248337"/>
                                    <a:pt x="79874" y="218332"/>
                                    <a:pt x="79874" y="184497"/>
                                  </a:cubicBezTo>
                                  <a:cubicBezTo>
                                    <a:pt x="79874" y="184497"/>
                                    <a:pt x="79874" y="184497"/>
                                    <a:pt x="79874" y="184497"/>
                                  </a:cubicBezTo>
                                  <a:cubicBezTo>
                                    <a:pt x="79874" y="184497"/>
                                    <a:pt x="79874" y="184497"/>
                                    <a:pt x="79874" y="184497"/>
                                  </a:cubicBezTo>
                                  <a:cubicBezTo>
                                    <a:pt x="79874" y="184497"/>
                                    <a:pt x="79874" y="184497"/>
                                    <a:pt x="79874" y="184497"/>
                                  </a:cubicBezTo>
                                  <a:cubicBezTo>
                                    <a:pt x="79874" y="131510"/>
                                    <a:pt x="123326" y="88099"/>
                                    <a:pt x="176362" y="88099"/>
                                  </a:cubicBezTo>
                                  <a:cubicBezTo>
                                    <a:pt x="192976" y="88099"/>
                                    <a:pt x="209590" y="92568"/>
                                    <a:pt x="223648" y="100867"/>
                                  </a:cubicBezTo>
                                  <a:cubicBezTo>
                                    <a:pt x="224287" y="100867"/>
                                    <a:pt x="224926" y="100867"/>
                                    <a:pt x="225565" y="101505"/>
                                  </a:cubicBezTo>
                                  <a:cubicBezTo>
                                    <a:pt x="228760" y="103421"/>
                                    <a:pt x="229399" y="107251"/>
                                    <a:pt x="228121" y="110443"/>
                                  </a:cubicBezTo>
                                  <a:lnTo>
                                    <a:pt x="228121" y="110443"/>
                                  </a:lnTo>
                                  <a:cubicBezTo>
                                    <a:pt x="228121" y="110443"/>
                                    <a:pt x="228121" y="110443"/>
                                    <a:pt x="228121" y="110443"/>
                                  </a:cubicBezTo>
                                  <a:cubicBezTo>
                                    <a:pt x="228121" y="110443"/>
                                    <a:pt x="228121" y="110443"/>
                                    <a:pt x="228121" y="110443"/>
                                  </a:cubicBezTo>
                                  <a:lnTo>
                                    <a:pt x="187864" y="178113"/>
                                  </a:lnTo>
                                  <a:lnTo>
                                    <a:pt x="267099" y="178113"/>
                                  </a:lnTo>
                                  <a:cubicBezTo>
                                    <a:pt x="267099" y="178113"/>
                                    <a:pt x="267099" y="178113"/>
                                    <a:pt x="267099" y="178113"/>
                                  </a:cubicBezTo>
                                  <a:cubicBezTo>
                                    <a:pt x="270294" y="177475"/>
                                    <a:pt x="272850" y="180028"/>
                                    <a:pt x="272850" y="183859"/>
                                  </a:cubicBezTo>
                                  <a:cubicBezTo>
                                    <a:pt x="272850" y="183859"/>
                                    <a:pt x="272850" y="183859"/>
                                    <a:pt x="272850" y="183859"/>
                                  </a:cubicBezTo>
                                  <a:cubicBezTo>
                                    <a:pt x="272850" y="183859"/>
                                    <a:pt x="272850" y="183859"/>
                                    <a:pt x="272850" y="183859"/>
                                  </a:cubicBezTo>
                                  <a:close/>
                                  <a:moveTo>
                                    <a:pt x="301605" y="171729"/>
                                  </a:moveTo>
                                  <a:lnTo>
                                    <a:pt x="211507" y="171729"/>
                                  </a:lnTo>
                                  <a:cubicBezTo>
                                    <a:pt x="208951" y="171729"/>
                                    <a:pt x="207034" y="170452"/>
                                    <a:pt x="205756" y="168537"/>
                                  </a:cubicBezTo>
                                  <a:cubicBezTo>
                                    <a:pt x="204478" y="166622"/>
                                    <a:pt x="204478" y="164068"/>
                                    <a:pt x="205756" y="162153"/>
                                  </a:cubicBezTo>
                                  <a:lnTo>
                                    <a:pt x="239623" y="105336"/>
                                  </a:lnTo>
                                  <a:cubicBezTo>
                                    <a:pt x="239623" y="104697"/>
                                    <a:pt x="239623" y="103421"/>
                                    <a:pt x="240262" y="102782"/>
                                  </a:cubicBezTo>
                                  <a:cubicBezTo>
                                    <a:pt x="240901" y="101505"/>
                                    <a:pt x="241540" y="100867"/>
                                    <a:pt x="242179" y="100229"/>
                                  </a:cubicBezTo>
                                  <a:lnTo>
                                    <a:pt x="251764" y="84269"/>
                                  </a:lnTo>
                                  <a:cubicBezTo>
                                    <a:pt x="252403" y="82992"/>
                                    <a:pt x="254320" y="81715"/>
                                    <a:pt x="255597" y="81077"/>
                                  </a:cubicBezTo>
                                  <a:cubicBezTo>
                                    <a:pt x="257514" y="80438"/>
                                    <a:pt x="258792" y="81077"/>
                                    <a:pt x="260709" y="81715"/>
                                  </a:cubicBezTo>
                                  <a:cubicBezTo>
                                    <a:pt x="290103" y="98952"/>
                                    <a:pt x="307995" y="130872"/>
                                    <a:pt x="307995" y="164707"/>
                                  </a:cubicBezTo>
                                  <a:cubicBezTo>
                                    <a:pt x="307995" y="168537"/>
                                    <a:pt x="304800" y="171729"/>
                                    <a:pt x="301605" y="171729"/>
                                  </a:cubicBezTo>
                                  <a:close/>
                                </a:path>
                              </a:pathLst>
                            </a:custGeom>
                            <a:solidFill>
                              <a:srgbClr val="046A38"/>
                            </a:solidFill>
                            <a:ln w="6390" cap="flat">
                              <a:noFill/>
                              <a:prstDash val="solid"/>
                              <a:miter/>
                            </a:ln>
                          </wps:spPr>
                          <wps:bodyPr rtlCol="0" anchor="ctr"/>
                        </wps:wsp>
                        <wps:wsp>
                          <wps:cNvPr id="92" name="Graphic 4"/>
                          <wps:cNvSpPr/>
                          <wps:spPr>
                            <a:xfrm>
                              <a:off x="221730" y="96398"/>
                              <a:ext cx="72206" cy="61924"/>
                            </a:xfrm>
                            <a:custGeom>
                              <a:avLst/>
                              <a:gdLst>
                                <a:gd name="connsiteX0" fmla="*/ 37701 w 72206"/>
                                <a:gd name="connsiteY0" fmla="*/ 0 h 61924"/>
                                <a:gd name="connsiteX1" fmla="*/ 33228 w 72206"/>
                                <a:gd name="connsiteY1" fmla="*/ 7022 h 61924"/>
                                <a:gd name="connsiteX2" fmla="*/ 64538 w 72206"/>
                                <a:gd name="connsiteY2" fmla="*/ 51072 h 61924"/>
                                <a:gd name="connsiteX3" fmla="*/ 60065 w 72206"/>
                                <a:gd name="connsiteY3" fmla="*/ 58733 h 61924"/>
                                <a:gd name="connsiteX4" fmla="*/ 58148 w 72206"/>
                                <a:gd name="connsiteY4" fmla="*/ 58733 h 61924"/>
                                <a:gd name="connsiteX5" fmla="*/ 51759 w 72206"/>
                                <a:gd name="connsiteY5" fmla="*/ 54264 h 61924"/>
                                <a:gd name="connsiteX6" fmla="*/ 26199 w 72206"/>
                                <a:gd name="connsiteY6" fmla="*/ 17875 h 61924"/>
                                <a:gd name="connsiteX7" fmla="*/ 0 w 72206"/>
                                <a:gd name="connsiteY7" fmla="*/ 61925 h 61924"/>
                                <a:gd name="connsiteX8" fmla="*/ 72206 w 72206"/>
                                <a:gd name="connsiteY8" fmla="*/ 61925 h 61924"/>
                                <a:gd name="connsiteX9" fmla="*/ 37701 w 72206"/>
                                <a:gd name="connsiteY9" fmla="*/ 0 h 61924"/>
                                <a:gd name="connsiteX10" fmla="*/ 24282 w 72206"/>
                                <a:gd name="connsiteY10" fmla="*/ 52349 h 61924"/>
                                <a:gd name="connsiteX11" fmla="*/ 24282 w 72206"/>
                                <a:gd name="connsiteY11" fmla="*/ 52349 h 61924"/>
                                <a:gd name="connsiteX12" fmla="*/ 17253 w 72206"/>
                                <a:gd name="connsiteY12" fmla="*/ 45965 h 61924"/>
                                <a:gd name="connsiteX13" fmla="*/ 23643 w 72206"/>
                                <a:gd name="connsiteY13" fmla="*/ 39581 h 61924"/>
                                <a:gd name="connsiteX14" fmla="*/ 30033 w 72206"/>
                                <a:gd name="connsiteY14" fmla="*/ 45965 h 61924"/>
                                <a:gd name="connsiteX15" fmla="*/ 24282 w 72206"/>
                                <a:gd name="connsiteY15" fmla="*/ 52349 h 61924"/>
                                <a:gd name="connsiteX16" fmla="*/ 42813 w 72206"/>
                                <a:gd name="connsiteY16" fmla="*/ 57456 h 61924"/>
                                <a:gd name="connsiteX17" fmla="*/ 42813 w 72206"/>
                                <a:gd name="connsiteY17" fmla="*/ 57456 h 61924"/>
                                <a:gd name="connsiteX18" fmla="*/ 35784 w 72206"/>
                                <a:gd name="connsiteY18" fmla="*/ 51072 h 61924"/>
                                <a:gd name="connsiteX19" fmla="*/ 42174 w 72206"/>
                                <a:gd name="connsiteY19" fmla="*/ 44688 h 61924"/>
                                <a:gd name="connsiteX20" fmla="*/ 48564 w 72206"/>
                                <a:gd name="connsiteY20" fmla="*/ 51072 h 61924"/>
                                <a:gd name="connsiteX21" fmla="*/ 42813 w 72206"/>
                                <a:gd name="connsiteY21" fmla="*/ 57456 h 61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2206" h="61924">
                                  <a:moveTo>
                                    <a:pt x="37701" y="0"/>
                                  </a:moveTo>
                                  <a:lnTo>
                                    <a:pt x="33228" y="7022"/>
                                  </a:lnTo>
                                  <a:cubicBezTo>
                                    <a:pt x="48564" y="17237"/>
                                    <a:pt x="60065" y="33197"/>
                                    <a:pt x="64538" y="51072"/>
                                  </a:cubicBezTo>
                                  <a:cubicBezTo>
                                    <a:pt x="65177" y="54264"/>
                                    <a:pt x="63260" y="58094"/>
                                    <a:pt x="60065" y="58733"/>
                                  </a:cubicBezTo>
                                  <a:cubicBezTo>
                                    <a:pt x="59426" y="58733"/>
                                    <a:pt x="58788" y="58733"/>
                                    <a:pt x="58148" y="58733"/>
                                  </a:cubicBezTo>
                                  <a:cubicBezTo>
                                    <a:pt x="55593" y="58733"/>
                                    <a:pt x="52398" y="56817"/>
                                    <a:pt x="51759" y="54264"/>
                                  </a:cubicBezTo>
                                  <a:cubicBezTo>
                                    <a:pt x="47925" y="39581"/>
                                    <a:pt x="38979" y="26174"/>
                                    <a:pt x="26199" y="17875"/>
                                  </a:cubicBezTo>
                                  <a:lnTo>
                                    <a:pt x="0" y="61925"/>
                                  </a:lnTo>
                                  <a:lnTo>
                                    <a:pt x="72206" y="61925"/>
                                  </a:lnTo>
                                  <a:cubicBezTo>
                                    <a:pt x="70928" y="37665"/>
                                    <a:pt x="58148" y="14683"/>
                                    <a:pt x="37701" y="0"/>
                                  </a:cubicBezTo>
                                  <a:close/>
                                  <a:moveTo>
                                    <a:pt x="24282" y="52349"/>
                                  </a:moveTo>
                                  <a:lnTo>
                                    <a:pt x="24282" y="52349"/>
                                  </a:lnTo>
                                  <a:cubicBezTo>
                                    <a:pt x="20448" y="52349"/>
                                    <a:pt x="17253" y="49795"/>
                                    <a:pt x="17253" y="45965"/>
                                  </a:cubicBezTo>
                                  <a:cubicBezTo>
                                    <a:pt x="17253" y="42134"/>
                                    <a:pt x="19809" y="39581"/>
                                    <a:pt x="23643" y="39581"/>
                                  </a:cubicBezTo>
                                  <a:cubicBezTo>
                                    <a:pt x="27477" y="39581"/>
                                    <a:pt x="30033" y="42134"/>
                                    <a:pt x="30033" y="45965"/>
                                  </a:cubicBezTo>
                                  <a:cubicBezTo>
                                    <a:pt x="30033" y="49795"/>
                                    <a:pt x="27477" y="52349"/>
                                    <a:pt x="24282" y="52349"/>
                                  </a:cubicBezTo>
                                  <a:close/>
                                  <a:moveTo>
                                    <a:pt x="42813" y="57456"/>
                                  </a:moveTo>
                                  <a:lnTo>
                                    <a:pt x="42813" y="57456"/>
                                  </a:lnTo>
                                  <a:cubicBezTo>
                                    <a:pt x="38979" y="57456"/>
                                    <a:pt x="35784" y="54902"/>
                                    <a:pt x="35784" y="51072"/>
                                  </a:cubicBezTo>
                                  <a:cubicBezTo>
                                    <a:pt x="35784" y="47241"/>
                                    <a:pt x="38340" y="44688"/>
                                    <a:pt x="42174" y="44688"/>
                                  </a:cubicBezTo>
                                  <a:cubicBezTo>
                                    <a:pt x="46008" y="44688"/>
                                    <a:pt x="48564" y="47241"/>
                                    <a:pt x="48564" y="51072"/>
                                  </a:cubicBezTo>
                                  <a:cubicBezTo>
                                    <a:pt x="48564" y="54902"/>
                                    <a:pt x="46008" y="57456"/>
                                    <a:pt x="42813" y="57456"/>
                                  </a:cubicBezTo>
                                  <a:close/>
                                </a:path>
                              </a:pathLst>
                            </a:custGeom>
                            <a:solidFill>
                              <a:srgbClr val="046A38"/>
                            </a:solidFill>
                            <a:ln w="6390" cap="flat">
                              <a:noFill/>
                              <a:prstDash val="solid"/>
                              <a:miter/>
                            </a:ln>
                          </wps:spPr>
                          <wps:bodyPr rtlCol="0" anchor="ctr"/>
                        </wps:wsp>
                      </wpg:grpSp>
                    </wpg:wgp>
                  </a:graphicData>
                </a:graphic>
              </wp:anchor>
            </w:drawing>
          </mc:Choice>
          <mc:Fallback>
            <w:pict>
              <v:group w14:anchorId="7DEFA5D8" id="Group 83" o:spid="_x0000_s1026" alt="&quot;&quot;" style="position:absolute;margin-left:343.15pt;margin-top:20.2pt;width:88.45pt;height:88.45pt;z-index:251664896" coordsize="11232,1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">
                <v:oval id="Oval 84" o:spid="_x0000_s1027" style="position:absolute;left:216;width:10800;height:1080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" fillcolor="white [3212]" stroked="f" strokeweight="1.5pt">
                  <v:stroke joinstyle="miter"/>
                  <v:textbox inset="7pt,7pt,7pt,7pt"/>
                </v:oval>
                <v:group id="Graphic 4" o:spid="_x0000_s1028" style="position:absolute;width:11232;height:11231" coordsize="361670,3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4" o:spid="_x0000_s1029" style="position:absolute;left:139939;top:196627;width:75401;height:71500;visibility:visible;mso-wrap-style:square;v-text-anchor:middle" coordsize="75401,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" path="m71567,56179c60704,61925,48563,64478,36423,64478v-8307,,-16614,-1277,-24282,-3830c8946,59371,7029,56179,8307,52349v1278,-3192,4473,-5108,8307,-3831c32589,53625,49841,52349,65177,45326l37062,,6390,51710v,,,,,c6390,51710,6390,51710,6390,51710l,62563v11502,5745,23643,8937,37062,8937c51119,71500,63899,68308,75401,61925l71567,56179xm47285,34473v3834,,6390,2554,6390,6384c53675,44688,51119,47241,47285,47241r,c43451,47241,40896,44688,40896,40857v,-3830,2555,-6384,6389,-6384xm31311,23621v3834,,6390,2553,6390,6384c37701,33835,35145,36389,31311,36389r-639,c26838,36389,24282,33835,24282,30005v,-3831,3834,-6384,7029,-6384xe" fillcolor="#046a38" stroked="f" strokeweight=".1775mm">
                    <v:stroke joinstyle="miter"/>
                    <v:path arrowok="t" o:connecttype="custom" o:connectlocs="71567,56179;36423,64478;12141,60648;8307,52349;16614,48518;65177,45326;37062,0;6390,51710;6390,51710;6390,51710;0,62563;37062,71500;75401,61925;71567,56179;47285,34473;53675,40857;47285,47241;47285,47241;40896,40857;47285,34473;31311,23621;37701,30005;31311,36389;30672,36389;24282,30005;31311,23621" o:connectangles="0,0,0,0,0,0,0,0,0,0,0,0,0,0,0,0,0,0,0,0,0,0,0,0,0,0"/>
                  </v:shape>
                  <v:shape id="Graphic 4" o:spid="_x0000_s1030" style="position:absolute;left:93293;top:190881;width:71567;height:61924;visibility:visible;mso-wrap-style:square;v-text-anchor:middle" coordsize="71567,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" path="m38340,56179c23004,45326,12141,28728,7668,10214,7029,7022,8946,3192,12780,2554v3195,-639,7029,1276,7668,5107c23643,22982,32589,36389,44730,45326l71567,,12780,v,,,,,c12780,,12780,,12780,l,c1917,25536,15336,47880,35145,61925r3195,-5746xm49842,12130v3833,,6389,2553,6389,6384c56231,22344,53675,24898,49842,24898r-640,c45368,24898,42813,22344,42813,18514v,-3831,3195,-6384,7029,-6384xm32589,4469v3834,,6390,2553,6390,6384c38979,14683,36423,17237,32589,17237r-639,c28116,17237,25560,14683,25560,10853v,-3831,3195,-6384,7029,-6384xe" fillcolor="#046a38" stroked="f" strokeweight=".1775mm">
                    <v:stroke joinstyle="miter"/>
                    <v:path arrowok="t" o:connecttype="custom" o:connectlocs="38340,56179;7668,10214;12780,2554;20448,7661;44730,45326;71567,0;12780,0;12780,0;12780,0;0,0;35145,61925;38340,56179;49842,12130;56231,18514;49842,24898;49202,24898;42813,18514;49842,12130;32589,4469;38979,10853;32589,17237;31950,17237;25560,10853;32589,4469" o:connectangles="0,0,0,0,0,0,0,0,0,0,0,0,0,0,0,0,0,0,0,0,0,0,0,0"/>
                  </v:shape>
                  <v:shape id="Graphic 4" o:spid="_x0000_s1031" style="position:absolute;left:93293;top:116827;width:71567;height:61286;visibility:visible;mso-wrap-style:square;v-text-anchor:middle" coordsize="71567,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" path="m6390,61286c7668,42773,15975,25536,29394,12768v2556,-2554,6390,-2554,8946,c40896,15322,40896,19152,38340,21706,27477,32558,20448,45965,19170,61286r52397,l33867,c14697,14045,1278,36389,,61286r6390,xm53036,45965v3834,,6390,2553,6390,6384c59426,56179,56870,58733,53036,58733r-639,c48563,58733,46008,56179,46008,52349v,-3831,3194,-6384,7028,-6384xm45368,35750v,3831,-2555,6384,-6389,6384l38340,42134v-3834,,-6390,-2553,-6390,-6384c31950,31920,34506,29366,38340,29366v3834,,7028,2554,7028,6384xe" fillcolor="#046a38" stroked="f" strokeweight=".1775mm">
                    <v:stroke joinstyle="miter"/>
                    <v:path arrowok="t" o:connecttype="custom" o:connectlocs="6390,61286;29394,12768;38340,12768;38340,21706;19170,61286;71567,61286;33867,0;0,61286;6390,61286;53036,45965;59426,52349;53036,58733;52397,58733;46008,52349;53036,45965;45368,35750;38979,42134;38340,42134;31950,35750;38340,29366;45368,35750" o:connectangles="0,0,0,0,0,0,0,0,0,0,0,0,0,0,0,0,0,0,0,0,0"/>
                  </v:shape>
                  <v:shape id="Graphic 4" o:spid="_x0000_s1032" style="position:absolute;left:138022;top:100228;width:75401;height:71500;visibility:visible;mso-wrap-style:square;v-text-anchor:middle" coordsize="75401,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" path="m3834,15960c21726,7022,43452,5107,62621,11491v3195,1277,5112,4469,3834,8299c65177,23621,61982,24897,58148,23621,42813,18514,24921,19790,10224,26813l38340,71500,75401,8938c63899,3192,51119,,38340,,24282,,11502,3192,,9576r3834,6384xm33867,53625r,c30033,53625,26838,51072,26838,47241v,-3830,2556,-6384,6390,-6384c37062,40857,39618,43411,39618,47241v,3831,-1917,6384,-5751,6384xm42174,35750r,c38340,35750,35145,33197,35145,29366v,-3830,2556,-6384,6390,-6384c45368,22982,47925,25536,47925,29366v,3831,-1917,6384,-5751,6384xe" fillcolor="#046a38" stroked="f" strokeweight=".1775mm">
                    <v:stroke joinstyle="miter"/>
                    <v:path arrowok="t" o:connecttype="custom" o:connectlocs="3834,15960;62621,11491;66455,19790;58148,23621;10224,26813;38340,71500;75401,8938;38340,0;0,9576;3834,15960;33867,53625;33867,53625;26838,47241;33228,40857;39618,47241;33867,53625;42174,35750;42174,35750;35145,29366;41535,22982;47925,29366;42174,35750" o:connectangles="0,0,0,0,0,0,0,0,0,0,0,0,0,0,0,0,0,0,0,0,0,0"/>
                  </v:shape>
                  <v:shape id="Graphic 4" o:spid="_x0000_s1033" style="position:absolute;left:187864;top:190243;width:71567;height:61924;visibility:visible;mso-wrap-style:square;v-text-anchor:middle" coordsize="71567,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" path="m65177,c63899,18514,55592,35750,42174,49157v-1278,1276,-2556,1915,-4473,1915c35784,51072,34506,50433,33228,49157v-2556,-2554,-2556,-6384,,-8938c44091,29366,50480,15322,52397,638l,638,37701,61925c56870,47880,70289,25536,71567,638l65177,xm41535,3830v3833,,6390,2554,6390,6384c47925,14045,45368,16598,41535,16598r-639,c37062,16598,34506,14045,34506,10214v,-3830,3195,-6384,7029,-6384xm20448,17875r,c16614,17875,13419,15322,13419,11491v,-3830,2556,-6384,6390,-6384c23643,5107,26199,7661,26199,11491v,3831,-1917,6384,-5751,6384xe" fillcolor="#046a38" stroked="f" strokeweight=".1775mm">
                    <v:stroke joinstyle="miter"/>
                    <v:path arrowok="t" o:connecttype="custom" o:connectlocs="65177,0;42174,49157;37701,51072;33228,49157;33228,40219;52397,638;0,638;37701,61925;71567,638;65177,0;41535,3830;47925,10214;41535,16598;40896,16598;34506,10214;41535,3830;20448,17875;20448,17875;13419,11491;19809,5107;26199,11491;20448,17875" o:connectangles="0,0,0,0,0,0,0,0,0,0,0,0,0,0,0,0,0,0,0,0,0,0"/>
                  </v:shape>
                  <v:shape id="Graphic 4" o:spid="_x0000_s1034" style="position:absolute;width:361670;height:361333;visibility:visible;mso-wrap-style:square;v-text-anchor:middle" coordsize="361670,3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" path="m180835,c80513,,,81077,,180667v,99590,81152,180666,180835,180666c281157,361333,361670,280257,361670,180667,361670,81077,281157,,180835,xm272850,183859v,52987,-43451,96398,-96488,96398c159110,280257,143135,275788,129077,268127v-639,,-1278,-638,-1917,-638c126521,266851,125882,266212,125243,265574,98405,248337,79874,218332,79874,184497v,,,,,c79874,184497,79874,184497,79874,184497v,,,,,c79874,131510,123326,88099,176362,88099v16614,,33228,4469,47286,12768c224287,100867,224926,100867,225565,101505v3195,1916,3834,5746,2556,8938l228121,110443v,,,,,c228121,110443,228121,110443,228121,110443r-40257,67670l267099,178113v,,,,,c270294,177475,272850,180028,272850,183859v,,,,,c272850,183859,272850,183859,272850,183859xm301605,171729r-90098,c208951,171729,207034,170452,205756,168537v-1278,-1915,-1278,-4469,,-6384l239623,105336v,-639,,-1915,639,-2554c240901,101505,241540,100867,242179,100229r9585,-15960c252403,82992,254320,81715,255597,81077v1917,-639,3195,,5112,638c290103,98952,307995,130872,307995,164707v,3830,-3195,7022,-6390,7022xe" fillcolor="#046a38" stroked="f" strokeweight=".1775mm">
                    <v:stroke joinstyle="miter"/>
                    <v:path arrowok="t" o:connecttype="custom" o:connectlocs="180835,0;0,180667;180835,361333;361670,180667;180835,0;272850,183859;176362,280257;129077,268127;127160,267489;125243,265574;79874,184497;79874,184497;79874,184497;79874,184497;176362,88099;223648,100867;225565,101505;228121,110443;228121,110443;228121,110443;228121,110443;187864,178113;267099,178113;267099,178113;272850,183859;272850,183859;272850,183859;301605,171729;211507,171729;205756,168537;205756,162153;239623,105336;240262,102782;242179,100229;251764,84269;255597,81077;260709,81715;307995,164707;301605,171729" o:connectangles="0,0,0,0,0,0,0,0,0,0,0,0,0,0,0,0,0,0,0,0,0,0,0,0,0,0,0,0,0,0,0,0,0,0,0,0,0,0,0"/>
                  </v:shape>
                  <v:shape id="Graphic 4" o:spid="_x0000_s1035" style="position:absolute;left:221730;top:96398;width:72206;height:61924;visibility:visible;mso-wrap-style:square;v-text-anchor:middle" coordsize="72206,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" path="m37701,l33228,7022c48564,17237,60065,33197,64538,51072v639,3192,-1278,7022,-4473,7661c59426,58733,58788,58733,58148,58733v-2555,,-5750,-1916,-6389,-4469c47925,39581,38979,26174,26199,17875l,61925r72206,c70928,37665,58148,14683,37701,xm24282,52349r,c20448,52349,17253,49795,17253,45965v,-3831,2556,-6384,6390,-6384c27477,39581,30033,42134,30033,45965v,3830,-2556,6384,-5751,6384xm42813,57456r,c38979,57456,35784,54902,35784,51072v,-3831,2556,-6384,6390,-6384c46008,44688,48564,47241,48564,51072v,3830,-2556,6384,-5751,6384xe" fillcolor="#046a38" stroked="f" strokeweight=".1775mm">
                    <v:stroke joinstyle="miter"/>
                    <v:path arrowok="t" o:connecttype="custom" o:connectlocs="37701,0;33228,7022;64538,51072;60065,58733;58148,58733;51759,54264;26199,17875;0,61925;72206,61925;37701,0;24282,52349;24282,52349;17253,45965;23643,39581;30033,45965;24282,52349;42813,57456;42813,57456;35784,51072;42174,44688;48564,51072;42813,57456" o:connectangles="0,0,0,0,0,0,0,0,0,0,0,0,0,0,0,0,0,0,0,0,0,0"/>
                  </v:shape>
                </v:group>
              </v:group>
            </w:pict>
          </mc:Fallback>
        </mc:AlternateContent>
      </w:r>
      <w:r w:rsidR="00471296">
        <w:rPr>
          <w:noProof/>
        </w:rPr>
        <mc:AlternateContent>
          <mc:Choice Requires="wps">
            <w:drawing>
              <wp:inline distT="0" distB="0" distL="0" distR="0" wp14:anchorId="7463A180" wp14:editId="6FC1BBC2">
                <wp:extent cx="5715000" cy="1404620"/>
                <wp:effectExtent l="0" t="0" r="19050" b="10160"/>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noFill/>
                        <a:ln w="19050">
                          <a:solidFill>
                            <a:schemeClr val="accent2"/>
                          </a:solidFill>
                          <a:miter lim="800000"/>
                          <a:headEnd/>
                          <a:tailEnd/>
                        </a:ln>
                        <a:effectLst/>
                      </wps:spPr>
                      <wps:txbx>
                        <w:txbxContent>
                          <w:p w14:paraId="53957A66" w14:textId="77777777" w:rsidR="00471296" w:rsidRPr="00A13C24" w:rsidRDefault="00471296" w:rsidP="00471296">
                            <w:pPr>
                              <w:rPr>
                                <w:rFonts w:cs="Arial"/>
                                <w:b/>
                                <w:bCs/>
                                <w:color w:val="046A38" w:themeColor="accent2"/>
                                <w:sz w:val="32"/>
                                <w:szCs w:val="32"/>
                              </w:rPr>
                            </w:pPr>
                          </w:p>
                          <w:p w14:paraId="50FAF7D2" w14:textId="77777777" w:rsidR="00432C46" w:rsidRPr="00A13C24" w:rsidRDefault="00432C46" w:rsidP="00471296">
                            <w:pPr>
                              <w:rPr>
                                <w:rFonts w:cs="Arial"/>
                                <w:b/>
                                <w:bCs/>
                                <w:color w:val="046A38" w:themeColor="accent2"/>
                                <w:sz w:val="32"/>
                                <w:szCs w:val="32"/>
                              </w:rPr>
                            </w:pPr>
                          </w:p>
                          <w:p w14:paraId="28858036" w14:textId="77777777" w:rsidR="00471296" w:rsidRPr="00A13C24" w:rsidRDefault="00471296" w:rsidP="00471296">
                            <w:pPr>
                              <w:rPr>
                                <w:rFonts w:cs="Arial"/>
                                <w:sz w:val="32"/>
                                <w:szCs w:val="32"/>
                              </w:rPr>
                            </w:pPr>
                            <w:r w:rsidRPr="00893EB3">
                              <w:rPr>
                                <w:rFonts w:cs="Arial"/>
                                <w:b/>
                                <w:color w:val="034F29" w:themeColor="accent2" w:themeShade="BF"/>
                                <w:sz w:val="32"/>
                                <w:szCs w:val="32"/>
                              </w:rPr>
                              <w:t xml:space="preserve">LHVF Case Study: </w:t>
                            </w:r>
                            <w:r w:rsidRPr="00A13C24">
                              <w:rPr>
                                <w:rFonts w:cs="Arial"/>
                                <w:sz w:val="32"/>
                                <w:szCs w:val="32"/>
                              </w:rPr>
                              <w:br/>
                            </w:r>
                            <w:r>
                              <w:rPr>
                                <w:rFonts w:cs="Arial"/>
                                <w:sz w:val="32"/>
                                <w:szCs w:val="32"/>
                              </w:rPr>
                              <w:t>Fast, casual eatery</w:t>
                            </w:r>
                          </w:p>
                          <w:p w14:paraId="24945356" w14:textId="77777777" w:rsidR="00471296" w:rsidRPr="00A13C24" w:rsidRDefault="00471296" w:rsidP="00471296">
                            <w:pPr>
                              <w:rPr>
                                <w:rFonts w:cs="Arial"/>
                                <w:sz w:val="32"/>
                                <w:szCs w:val="32"/>
                              </w:rPr>
                            </w:pPr>
                          </w:p>
                          <w:p w14:paraId="4638485F" w14:textId="34164BD2" w:rsidR="00432C46" w:rsidRPr="00F77F1E" w:rsidRDefault="00471296" w:rsidP="00F77F1E">
                            <w:pPr>
                              <w:jc w:val="both"/>
                              <w:rPr>
                                <w:b/>
                                <w:color w:val="2C5234"/>
                              </w:rPr>
                            </w:pPr>
                            <w:r w:rsidRPr="00F77F1E">
                              <w:rPr>
                                <w:b/>
                                <w:color w:val="2C5234"/>
                              </w:rPr>
                              <w:t>Business description</w:t>
                            </w:r>
                          </w:p>
                          <w:p w14:paraId="05A101A7" w14:textId="52868F18" w:rsidR="00713E0F" w:rsidRDefault="00713E0F" w:rsidP="00713E0F">
                            <w:pPr>
                              <w:jc w:val="both"/>
                            </w:pPr>
                            <w:r>
                              <w:t xml:space="preserve">Located in the heart of Melbourne’s CBD, an eatery specialises in fast and </w:t>
                            </w:r>
                            <w:r w:rsidR="004E05FD">
                              <w:t>casual dining. While the eatery is part of a larger group, they operate as an independent business.</w:t>
                            </w:r>
                          </w:p>
                          <w:p w14:paraId="694DDB2A" w14:textId="4264A5F7" w:rsidR="00471296" w:rsidRPr="00D72597" w:rsidRDefault="004E05FD" w:rsidP="00893EB3">
                            <w:pPr>
                              <w:jc w:val="both"/>
                            </w:pPr>
                            <w:r>
                              <w:t>This case study considers the impact of COVID-19 lockdo</w:t>
                            </w:r>
                            <w:r w:rsidR="005B18AE">
                              <w:t xml:space="preserve">wns on the eatery and the </w:t>
                            </w:r>
                            <w:r w:rsidR="00FF2718">
                              <w:t>impact of the LHVF program.</w:t>
                            </w:r>
                          </w:p>
                          <w:p w14:paraId="743810E2" w14:textId="77777777" w:rsidR="00432C46" w:rsidRPr="00F77F1E" w:rsidRDefault="00471296" w:rsidP="00F77F1E">
                            <w:pPr>
                              <w:jc w:val="both"/>
                              <w:rPr>
                                <w:b/>
                                <w:color w:val="2C5234"/>
                              </w:rPr>
                            </w:pPr>
                            <w:r w:rsidRPr="00F77F1E">
                              <w:rPr>
                                <w:b/>
                                <w:color w:val="2C5234"/>
                              </w:rPr>
                              <w:t>Impact of COVID-19</w:t>
                            </w:r>
                          </w:p>
                          <w:p w14:paraId="7E26A7F5" w14:textId="7EB0ECF6" w:rsidR="006B30EF" w:rsidRDefault="006B30EF" w:rsidP="00713E0F">
                            <w:pPr>
                              <w:jc w:val="both"/>
                            </w:pPr>
                            <w:r>
                              <w:t xml:space="preserve">Following the introduction of </w:t>
                            </w:r>
                            <w:r w:rsidR="00BD31E0">
                              <w:t xml:space="preserve">COVID-19 public health restrictions, the eatery </w:t>
                            </w:r>
                            <w:r w:rsidR="00331A78">
                              <w:t xml:space="preserve">was forced to </w:t>
                            </w:r>
                            <w:r w:rsidR="00512053">
                              <w:t>restrict operations to</w:t>
                            </w:r>
                            <w:r w:rsidR="003F25DE">
                              <w:t xml:space="preserve">r </w:t>
                            </w:r>
                            <w:r w:rsidR="009012E5">
                              <w:t xml:space="preserve">takeaway </w:t>
                            </w:r>
                            <w:r w:rsidR="002B37A3">
                              <w:t xml:space="preserve">through delivery apps </w:t>
                            </w:r>
                            <w:r w:rsidR="009012E5">
                              <w:t>onl</w:t>
                            </w:r>
                            <w:r w:rsidR="00CF4147">
                              <w:t xml:space="preserve">y. </w:t>
                            </w:r>
                            <w:r w:rsidR="00E16849">
                              <w:t xml:space="preserve">Despite this revenue stream, </w:t>
                            </w:r>
                            <w:r w:rsidR="004055C9">
                              <w:t xml:space="preserve">sales dropped 85 per cent when compared to periods of unrestricted trading. </w:t>
                            </w:r>
                            <w:r w:rsidR="00055F02">
                              <w:t>Though the eatery worked to reduce costs</w:t>
                            </w:r>
                            <w:r w:rsidR="00D55944">
                              <w:t xml:space="preserve"> </w:t>
                            </w:r>
                            <w:r w:rsidR="00E5253E">
                              <w:t xml:space="preserve">where possible </w:t>
                            </w:r>
                            <w:r w:rsidR="00D55944">
                              <w:t xml:space="preserve">and </w:t>
                            </w:r>
                            <w:proofErr w:type="spellStart"/>
                            <w:r w:rsidR="00D55944">
                              <w:t>JobKeeper</w:t>
                            </w:r>
                            <w:proofErr w:type="spellEnd"/>
                            <w:r w:rsidR="00D55944">
                              <w:t xml:space="preserve"> supported </w:t>
                            </w:r>
                            <w:r w:rsidR="00E5253E">
                              <w:t>some</w:t>
                            </w:r>
                            <w:r w:rsidR="00D55944">
                              <w:t xml:space="preserve"> wage costs, </w:t>
                            </w:r>
                            <w:r w:rsidR="00E5253E">
                              <w:t xml:space="preserve">the business ultimately had to </w:t>
                            </w:r>
                            <w:r w:rsidR="005B5477">
                              <w:t>let multiple staff go.</w:t>
                            </w:r>
                          </w:p>
                          <w:p w14:paraId="5E77CEA6" w14:textId="77777777" w:rsidR="00432C46" w:rsidRPr="00F77F1E" w:rsidRDefault="00471296" w:rsidP="00F77F1E">
                            <w:pPr>
                              <w:jc w:val="both"/>
                              <w:rPr>
                                <w:b/>
                                <w:color w:val="2C5234"/>
                              </w:rPr>
                            </w:pPr>
                            <w:r w:rsidRPr="00F77F1E">
                              <w:rPr>
                                <w:b/>
                                <w:color w:val="2C5234"/>
                              </w:rPr>
                              <w:t>Engagement with LHVF</w:t>
                            </w:r>
                          </w:p>
                          <w:p w14:paraId="03DEABED" w14:textId="4D14281B" w:rsidR="005B5477" w:rsidRDefault="005B5477" w:rsidP="00713E0F">
                            <w:pPr>
                              <w:jc w:val="both"/>
                            </w:pPr>
                            <w:r>
                              <w:t xml:space="preserve">Since the eatery held a liquor licence, it was eligible to access the LHVF </w:t>
                            </w:r>
                            <w:proofErr w:type="gramStart"/>
                            <w:r>
                              <w:t>program</w:t>
                            </w:r>
                            <w:r w:rsidR="00803D80">
                              <w:t>, and</w:t>
                            </w:r>
                            <w:proofErr w:type="gramEnd"/>
                            <w:r w:rsidR="00803D80">
                              <w:t xml:space="preserve"> used the grants to cover rent and utility costs, as well as wages upon the conclusion of </w:t>
                            </w:r>
                            <w:proofErr w:type="spellStart"/>
                            <w:r w:rsidR="00803D80">
                              <w:t>JobKeeper</w:t>
                            </w:r>
                            <w:proofErr w:type="spellEnd"/>
                            <w:r w:rsidR="00803D80">
                              <w:t xml:space="preserve">. Between LHVF and income from delivery apps, the business was able to </w:t>
                            </w:r>
                            <w:proofErr w:type="gramStart"/>
                            <w:r w:rsidR="00803D80">
                              <w:t>break-even</w:t>
                            </w:r>
                            <w:proofErr w:type="gramEnd"/>
                            <w:r w:rsidR="00803D80">
                              <w:t xml:space="preserve"> with respect to its revenue and costs</w:t>
                            </w:r>
                            <w:r w:rsidR="00C74349">
                              <w:t xml:space="preserve">, pay staff and </w:t>
                            </w:r>
                            <w:r w:rsidR="00535722">
                              <w:t>relieve some financial stress.</w:t>
                            </w:r>
                          </w:p>
                          <w:p w14:paraId="3787A803" w14:textId="02BC80B2" w:rsidR="00535722" w:rsidRDefault="00535722" w:rsidP="00713E0F">
                            <w:pPr>
                              <w:jc w:val="both"/>
                            </w:pPr>
                            <w:r>
                              <w:t xml:space="preserve">The eatery appreciated the </w:t>
                            </w:r>
                            <w:r w:rsidR="0052200A">
                              <w:t>automatic nature of subsequent LHVF rounds and was able to complete the required administration for the application “pain free”.</w:t>
                            </w:r>
                            <w:r w:rsidR="0081544D">
                              <w:t xml:space="preserve"> Overall, the business reported a positive experience with the program.</w:t>
                            </w:r>
                          </w:p>
                          <w:p w14:paraId="6E5B2EBB" w14:textId="3239DD8F" w:rsidR="00432C46" w:rsidRPr="00F77F1E" w:rsidRDefault="00471296" w:rsidP="00E50687">
                            <w:pPr>
                              <w:jc w:val="both"/>
                              <w:rPr>
                                <w:b/>
                                <w:color w:val="2C5234"/>
                              </w:rPr>
                            </w:pPr>
                            <w:r w:rsidRPr="00F77F1E">
                              <w:rPr>
                                <w:b/>
                                <w:color w:val="2C5234"/>
                              </w:rPr>
                              <w:t>Improvement opportunities</w:t>
                            </w:r>
                          </w:p>
                          <w:p w14:paraId="489BAC52" w14:textId="283FCA24" w:rsidR="00471296" w:rsidRPr="00A13C24" w:rsidRDefault="00E735E8" w:rsidP="00893EB3">
                            <w:pPr>
                              <w:jc w:val="both"/>
                            </w:pPr>
                            <w:r>
                              <w:t>Generally,</w:t>
                            </w:r>
                            <w:r w:rsidR="0081544D">
                              <w:t xml:space="preserve"> the eatery was impressed by the program and the speed of its establishment.</w:t>
                            </w:r>
                            <w:r w:rsidR="00902DDD">
                              <w:t xml:space="preserve"> However, it suggested that </w:t>
                            </w:r>
                            <w:r w:rsidR="00450B47">
                              <w:t>grant distribution be based on actual or potential revenue of the business rather than seating capacity</w:t>
                            </w:r>
                            <w:r w:rsidR="009C3769">
                              <w:t xml:space="preserve"> which does not always reflect business size. For example, a business may report a large revenue potential but have a small seating capacity due to location or business model.</w:t>
                            </w:r>
                          </w:p>
                        </w:txbxContent>
                      </wps:txbx>
                      <wps:bodyPr rot="0" vert="horz" wrap="square" lIns="91440" tIns="45720" rIns="91440" bIns="45720" anchor="t" anchorCtr="0">
                        <a:spAutoFit/>
                      </wps:bodyPr>
                    </wps:wsp>
                  </a:graphicData>
                </a:graphic>
              </wp:inline>
            </w:drawing>
          </mc:Choice>
          <mc:Fallback>
            <w:pict>
              <v:shape w14:anchorId="7463A180" id="Text Box 82" o:spid="_x0000_s103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" filled="f" strokecolor="#046a38 [3205]" strokeweight="1.5pt">
                <v:textbox style="mso-fit-shape-to-text:t">
                  <w:txbxContent>
                    <w:p w14:paraId="53957A66" w14:textId="77777777" w:rsidR="00471296" w:rsidRPr="00A13C24" w:rsidRDefault="00471296" w:rsidP="00471296">
                      <w:pPr>
                        <w:rPr>
                          <w:rFonts w:cs="Arial"/>
                          <w:b/>
                          <w:bCs/>
                          <w:color w:val="046A38" w:themeColor="accent2"/>
                          <w:sz w:val="32"/>
                          <w:szCs w:val="32"/>
                        </w:rPr>
                      </w:pPr>
                    </w:p>
                    <w:p w14:paraId="50FAF7D2" w14:textId="77777777" w:rsidR="00432C46" w:rsidRPr="00A13C24" w:rsidRDefault="00432C46" w:rsidP="00471296">
                      <w:pPr>
                        <w:rPr>
                          <w:rFonts w:cs="Arial"/>
                          <w:b/>
                          <w:bCs/>
                          <w:color w:val="046A38" w:themeColor="accent2"/>
                          <w:sz w:val="32"/>
                          <w:szCs w:val="32"/>
                        </w:rPr>
                      </w:pPr>
                    </w:p>
                    <w:p w14:paraId="28858036" w14:textId="77777777" w:rsidR="00471296" w:rsidRPr="00A13C24" w:rsidRDefault="00471296" w:rsidP="00471296">
                      <w:pPr>
                        <w:rPr>
                          <w:rFonts w:cs="Arial"/>
                          <w:sz w:val="32"/>
                          <w:szCs w:val="32"/>
                        </w:rPr>
                      </w:pPr>
                      <w:r w:rsidRPr="00893EB3">
                        <w:rPr>
                          <w:rFonts w:cs="Arial"/>
                          <w:b/>
                          <w:color w:val="034F29" w:themeColor="accent2" w:themeShade="BF"/>
                          <w:sz w:val="32"/>
                          <w:szCs w:val="32"/>
                        </w:rPr>
                        <w:t xml:space="preserve">LHVF Case Study: </w:t>
                      </w:r>
                      <w:r w:rsidRPr="00A13C24">
                        <w:rPr>
                          <w:rFonts w:cs="Arial"/>
                          <w:sz w:val="32"/>
                          <w:szCs w:val="32"/>
                        </w:rPr>
                        <w:br/>
                      </w:r>
                      <w:r>
                        <w:rPr>
                          <w:rFonts w:cs="Arial"/>
                          <w:sz w:val="32"/>
                          <w:szCs w:val="32"/>
                        </w:rPr>
                        <w:t>Fast, casual eatery</w:t>
                      </w:r>
                    </w:p>
                    <w:p w14:paraId="24945356" w14:textId="77777777" w:rsidR="00471296" w:rsidRPr="00A13C24" w:rsidRDefault="00471296" w:rsidP="00471296">
                      <w:pPr>
                        <w:rPr>
                          <w:rFonts w:cs="Arial"/>
                          <w:sz w:val="32"/>
                          <w:szCs w:val="32"/>
                        </w:rPr>
                      </w:pPr>
                    </w:p>
                    <w:p w14:paraId="4638485F" w14:textId="34164BD2" w:rsidR="00432C46" w:rsidRPr="00F77F1E" w:rsidRDefault="00471296" w:rsidP="00F77F1E">
                      <w:pPr>
                        <w:jc w:val="both"/>
                        <w:rPr>
                          <w:b/>
                          <w:color w:val="2C5234"/>
                        </w:rPr>
                      </w:pPr>
                      <w:r w:rsidRPr="00F77F1E">
                        <w:rPr>
                          <w:b/>
                          <w:color w:val="2C5234"/>
                        </w:rPr>
                        <w:t>Business description</w:t>
                      </w:r>
                    </w:p>
                    <w:p w14:paraId="05A101A7" w14:textId="52868F18" w:rsidR="00713E0F" w:rsidRDefault="00713E0F" w:rsidP="00713E0F">
                      <w:pPr>
                        <w:jc w:val="both"/>
                      </w:pPr>
                      <w:r>
                        <w:t xml:space="preserve">Located in the heart of Melbourne’s CBD, an eatery specialises in fast and </w:t>
                      </w:r>
                      <w:r w:rsidR="004E05FD">
                        <w:t>casual dining. While the eatery is part of a larger group, they operate as an independent business.</w:t>
                      </w:r>
                    </w:p>
                    <w:p w14:paraId="694DDB2A" w14:textId="4264A5F7" w:rsidR="00471296" w:rsidRPr="00D72597" w:rsidRDefault="004E05FD" w:rsidP="00893EB3">
                      <w:pPr>
                        <w:jc w:val="both"/>
                      </w:pPr>
                      <w:r>
                        <w:t>This case study considers the impact of COVID-19 lockdo</w:t>
                      </w:r>
                      <w:r w:rsidR="005B18AE">
                        <w:t xml:space="preserve">wns on the eatery and the </w:t>
                      </w:r>
                      <w:r w:rsidR="00FF2718">
                        <w:t>impact of the LHVF program.</w:t>
                      </w:r>
                    </w:p>
                    <w:p w14:paraId="743810E2" w14:textId="77777777" w:rsidR="00432C46" w:rsidRPr="00F77F1E" w:rsidRDefault="00471296" w:rsidP="00F77F1E">
                      <w:pPr>
                        <w:jc w:val="both"/>
                        <w:rPr>
                          <w:b/>
                          <w:color w:val="2C5234"/>
                        </w:rPr>
                      </w:pPr>
                      <w:r w:rsidRPr="00F77F1E">
                        <w:rPr>
                          <w:b/>
                          <w:color w:val="2C5234"/>
                        </w:rPr>
                        <w:t>Impact of COVID-19</w:t>
                      </w:r>
                    </w:p>
                    <w:p w14:paraId="7E26A7F5" w14:textId="7EB0ECF6" w:rsidR="006B30EF" w:rsidRDefault="006B30EF" w:rsidP="00713E0F">
                      <w:pPr>
                        <w:jc w:val="both"/>
                      </w:pPr>
                      <w:r>
                        <w:t xml:space="preserve">Following the introduction of </w:t>
                      </w:r>
                      <w:r w:rsidR="00BD31E0">
                        <w:t xml:space="preserve">COVID-19 public health restrictions, the eatery </w:t>
                      </w:r>
                      <w:r w:rsidR="00331A78">
                        <w:t xml:space="preserve">was forced to </w:t>
                      </w:r>
                      <w:r w:rsidR="00512053">
                        <w:t>restrict operations to</w:t>
                      </w:r>
                      <w:r w:rsidR="003F25DE">
                        <w:t xml:space="preserve">r </w:t>
                      </w:r>
                      <w:r w:rsidR="009012E5">
                        <w:t xml:space="preserve">takeaway </w:t>
                      </w:r>
                      <w:r w:rsidR="002B37A3">
                        <w:t xml:space="preserve">through delivery apps </w:t>
                      </w:r>
                      <w:r w:rsidR="009012E5">
                        <w:t>onl</w:t>
                      </w:r>
                      <w:r w:rsidR="00CF4147">
                        <w:t xml:space="preserve">y. </w:t>
                      </w:r>
                      <w:r w:rsidR="00E16849">
                        <w:t xml:space="preserve">Despite this revenue stream, </w:t>
                      </w:r>
                      <w:r w:rsidR="004055C9">
                        <w:t xml:space="preserve">sales dropped 85 per cent when compared to periods of unrestricted trading. </w:t>
                      </w:r>
                      <w:r w:rsidR="00055F02">
                        <w:t>Though the eatery worked to reduce costs</w:t>
                      </w:r>
                      <w:r w:rsidR="00D55944">
                        <w:t xml:space="preserve"> </w:t>
                      </w:r>
                      <w:r w:rsidR="00E5253E">
                        <w:t xml:space="preserve">where possible </w:t>
                      </w:r>
                      <w:r w:rsidR="00D55944">
                        <w:t xml:space="preserve">and </w:t>
                      </w:r>
                      <w:proofErr w:type="spellStart"/>
                      <w:r w:rsidR="00D55944">
                        <w:t>JobKeeper</w:t>
                      </w:r>
                      <w:proofErr w:type="spellEnd"/>
                      <w:r w:rsidR="00D55944">
                        <w:t xml:space="preserve"> supported </w:t>
                      </w:r>
                      <w:r w:rsidR="00E5253E">
                        <w:t>some</w:t>
                      </w:r>
                      <w:r w:rsidR="00D55944">
                        <w:t xml:space="preserve"> wage costs, </w:t>
                      </w:r>
                      <w:r w:rsidR="00E5253E">
                        <w:t xml:space="preserve">the business ultimately had to </w:t>
                      </w:r>
                      <w:r w:rsidR="005B5477">
                        <w:t>let multiple staff go.</w:t>
                      </w:r>
                    </w:p>
                    <w:p w14:paraId="5E77CEA6" w14:textId="77777777" w:rsidR="00432C46" w:rsidRPr="00F77F1E" w:rsidRDefault="00471296" w:rsidP="00F77F1E">
                      <w:pPr>
                        <w:jc w:val="both"/>
                        <w:rPr>
                          <w:b/>
                          <w:color w:val="2C5234"/>
                        </w:rPr>
                      </w:pPr>
                      <w:r w:rsidRPr="00F77F1E">
                        <w:rPr>
                          <w:b/>
                          <w:color w:val="2C5234"/>
                        </w:rPr>
                        <w:t>Engagement with LHVF</w:t>
                      </w:r>
                    </w:p>
                    <w:p w14:paraId="03DEABED" w14:textId="4D14281B" w:rsidR="005B5477" w:rsidRDefault="005B5477" w:rsidP="00713E0F">
                      <w:pPr>
                        <w:jc w:val="both"/>
                      </w:pPr>
                      <w:r>
                        <w:t xml:space="preserve">Since the eatery held a liquor licence, it was eligible to access the LHVF </w:t>
                      </w:r>
                      <w:proofErr w:type="gramStart"/>
                      <w:r>
                        <w:t>program</w:t>
                      </w:r>
                      <w:r w:rsidR="00803D80">
                        <w:t>, and</w:t>
                      </w:r>
                      <w:proofErr w:type="gramEnd"/>
                      <w:r w:rsidR="00803D80">
                        <w:t xml:space="preserve"> used the grants to cover rent and utility costs, as well as wages upon the conclusion of </w:t>
                      </w:r>
                      <w:proofErr w:type="spellStart"/>
                      <w:r w:rsidR="00803D80">
                        <w:t>JobKeeper</w:t>
                      </w:r>
                      <w:proofErr w:type="spellEnd"/>
                      <w:r w:rsidR="00803D80">
                        <w:t xml:space="preserve">. Between LHVF and income from delivery apps, the business was able to </w:t>
                      </w:r>
                      <w:proofErr w:type="gramStart"/>
                      <w:r w:rsidR="00803D80">
                        <w:t>break-even</w:t>
                      </w:r>
                      <w:proofErr w:type="gramEnd"/>
                      <w:r w:rsidR="00803D80">
                        <w:t xml:space="preserve"> with respect to its revenue and costs</w:t>
                      </w:r>
                      <w:r w:rsidR="00C74349">
                        <w:t xml:space="preserve">, pay staff and </w:t>
                      </w:r>
                      <w:r w:rsidR="00535722">
                        <w:t>relieve some financial stress.</w:t>
                      </w:r>
                    </w:p>
                    <w:p w14:paraId="3787A803" w14:textId="02BC80B2" w:rsidR="00535722" w:rsidRDefault="00535722" w:rsidP="00713E0F">
                      <w:pPr>
                        <w:jc w:val="both"/>
                      </w:pPr>
                      <w:r>
                        <w:t xml:space="preserve">The eatery appreciated the </w:t>
                      </w:r>
                      <w:r w:rsidR="0052200A">
                        <w:t>automatic nature of subsequent LHVF rounds and was able to complete the required administration for the application “pain free”.</w:t>
                      </w:r>
                      <w:r w:rsidR="0081544D">
                        <w:t xml:space="preserve"> Overall, the business reported a positive experience with the program.</w:t>
                      </w:r>
                    </w:p>
                    <w:p w14:paraId="6E5B2EBB" w14:textId="3239DD8F" w:rsidR="00432C46" w:rsidRPr="00F77F1E" w:rsidRDefault="00471296" w:rsidP="00E50687">
                      <w:pPr>
                        <w:jc w:val="both"/>
                        <w:rPr>
                          <w:b/>
                          <w:color w:val="2C5234"/>
                        </w:rPr>
                      </w:pPr>
                      <w:r w:rsidRPr="00F77F1E">
                        <w:rPr>
                          <w:b/>
                          <w:color w:val="2C5234"/>
                        </w:rPr>
                        <w:t>Improvement opportunities</w:t>
                      </w:r>
                    </w:p>
                    <w:p w14:paraId="489BAC52" w14:textId="283FCA24" w:rsidR="00471296" w:rsidRPr="00A13C24" w:rsidRDefault="00E735E8" w:rsidP="00893EB3">
                      <w:pPr>
                        <w:jc w:val="both"/>
                      </w:pPr>
                      <w:r>
                        <w:t>Generally,</w:t>
                      </w:r>
                      <w:r w:rsidR="0081544D">
                        <w:t xml:space="preserve"> the eatery was impressed by the program and the speed of its establishment.</w:t>
                      </w:r>
                      <w:r w:rsidR="00902DDD">
                        <w:t xml:space="preserve"> However, it suggested that </w:t>
                      </w:r>
                      <w:r w:rsidR="00450B47">
                        <w:t>grant distribution be based on actual or potential revenue of the business rather than seating capacity</w:t>
                      </w:r>
                      <w:r w:rsidR="009C3769">
                        <w:t xml:space="preserve"> which does not always reflect business size. For example, a business may report a large revenue potential but have a small seating capacity due to location or business model.</w:t>
                      </w:r>
                    </w:p>
                  </w:txbxContent>
                </v:textbox>
                <w10:anchorlock/>
              </v:shape>
            </w:pict>
          </mc:Fallback>
        </mc:AlternateContent>
      </w:r>
    </w:p>
    <w:p w14:paraId="2D306AB1" w14:textId="00C010C2" w:rsidR="001C339C" w:rsidRDefault="001C339C" w:rsidP="00021EF3">
      <w:pPr>
        <w:sectPr w:rsidR="001C339C" w:rsidSect="005235DE">
          <w:footnotePr>
            <w:numFmt w:val="chicago"/>
          </w:footnotePr>
          <w:endnotePr>
            <w:numFmt w:val="decimal"/>
          </w:endnotePr>
          <w:pgSz w:w="11906" w:h="16838" w:code="9"/>
          <w:pgMar w:top="1440" w:right="1440" w:bottom="1440" w:left="1440" w:header="680" w:footer="425" w:gutter="0"/>
          <w:cols w:space="284"/>
          <w:noEndnote/>
          <w:docGrid w:linePitch="360"/>
        </w:sectPr>
      </w:pPr>
    </w:p>
    <w:p w14:paraId="01DBC684" w14:textId="168D5537" w:rsidR="00181A9A" w:rsidRDefault="00E13BC3" w:rsidP="00021EF3">
      <w:pPr>
        <w:pStyle w:val="Appendixhead1"/>
      </w:pPr>
      <w:bookmarkStart w:id="617" w:name="_Ref173255391"/>
      <w:bookmarkStart w:id="618" w:name="_Toc176516322"/>
      <w:r>
        <w:lastRenderedPageBreak/>
        <w:t>Business survey</w:t>
      </w:r>
      <w:bookmarkEnd w:id="615"/>
      <w:r w:rsidR="006A23BA">
        <w:t xml:space="preserve"> results</w:t>
      </w:r>
      <w:bookmarkEnd w:id="617"/>
      <w:bookmarkEnd w:id="618"/>
    </w:p>
    <w:p w14:paraId="0D7C32DE" w14:textId="13ABC9AA" w:rsidR="00262082" w:rsidRDefault="00EF0F29" w:rsidP="00021EF3">
      <w:r w:rsidRPr="00721D6D">
        <w:rPr>
          <w:rFonts w:hint="eastAsia"/>
        </w:rPr>
        <w:t xml:space="preserve">To inform </w:t>
      </w:r>
      <w:r w:rsidR="00463F30">
        <w:t xml:space="preserve">this evaluation, </w:t>
      </w:r>
      <w:r w:rsidRPr="00721D6D">
        <w:rPr>
          <w:rFonts w:hint="eastAsia"/>
        </w:rPr>
        <w:t xml:space="preserve">Deloitte fielded an online survey of </w:t>
      </w:r>
      <w:r w:rsidR="00BF0B49" w:rsidRPr="00721D6D">
        <w:t xml:space="preserve">BCAP and LHVF </w:t>
      </w:r>
      <w:r w:rsidR="00721D6D" w:rsidRPr="00721D6D">
        <w:t>grant recipients.</w:t>
      </w:r>
      <w:r w:rsidR="00721D6D">
        <w:t xml:space="preserve"> </w:t>
      </w:r>
      <w:r w:rsidR="00197596">
        <w:t xml:space="preserve">The survey was distributed via email by the Department. </w:t>
      </w:r>
      <w:r w:rsidR="005C10C2">
        <w:t xml:space="preserve">The survey was sent to </w:t>
      </w:r>
      <w:r w:rsidR="000D4965">
        <w:t>5,000 grant recipients from each program</w:t>
      </w:r>
      <w:r w:rsidR="00415938">
        <w:t>, this was a sample from the total 9,763 LHVF grant recipients and 141,789 BCAP recipients</w:t>
      </w:r>
      <w:r w:rsidR="00CD214A">
        <w:t xml:space="preserve"> </w:t>
      </w:r>
      <w:r w:rsidR="00B74EC1">
        <w:t xml:space="preserve">A total of </w:t>
      </w:r>
      <w:r w:rsidR="006D7413" w:rsidRPr="00EE5DAE">
        <w:t>478</w:t>
      </w:r>
      <w:r w:rsidRPr="00EE5DAE">
        <w:rPr>
          <w:rFonts w:hint="eastAsia"/>
        </w:rPr>
        <w:t xml:space="preserve"> responses were received, including 1</w:t>
      </w:r>
      <w:r w:rsidR="00EE5DAE" w:rsidRPr="00EE5DAE">
        <w:t>25</w:t>
      </w:r>
      <w:r w:rsidRPr="00EE5DAE">
        <w:rPr>
          <w:rFonts w:hint="eastAsia"/>
        </w:rPr>
        <w:t xml:space="preserve"> partial </w:t>
      </w:r>
      <w:r w:rsidRPr="001164D2">
        <w:rPr>
          <w:rFonts w:hint="eastAsia"/>
        </w:rPr>
        <w:t xml:space="preserve">responses, reflecting a response rate of </w:t>
      </w:r>
      <w:r w:rsidR="00D8691E" w:rsidRPr="001164D2">
        <w:t>4.</w:t>
      </w:r>
      <w:r w:rsidR="001164D2" w:rsidRPr="001164D2">
        <w:t>8</w:t>
      </w:r>
      <w:r w:rsidRPr="001164D2">
        <w:rPr>
          <w:rFonts w:hint="eastAsia"/>
        </w:rPr>
        <w:t xml:space="preserve"> per cent.</w:t>
      </w:r>
      <w:r w:rsidR="00C76AD3">
        <w:t xml:space="preserve"> Of the </w:t>
      </w:r>
      <w:r w:rsidR="00F904D0">
        <w:t>478</w:t>
      </w:r>
      <w:r w:rsidR="00B64418" w:rsidRPr="00887432">
        <w:t xml:space="preserve"> </w:t>
      </w:r>
      <w:r w:rsidR="00F904D0">
        <w:t>responses</w:t>
      </w:r>
      <w:r w:rsidR="00B64418" w:rsidRPr="00887432">
        <w:t>,</w:t>
      </w:r>
      <w:r w:rsidR="00F904D0" w:rsidRPr="00887432">
        <w:t xml:space="preserve"> 435 </w:t>
      </w:r>
      <w:r w:rsidR="00F904D0">
        <w:t>were deemed viable.</w:t>
      </w:r>
      <w:r w:rsidRPr="001164D2">
        <w:rPr>
          <w:rFonts w:hint="eastAsia"/>
        </w:rPr>
        <w:t xml:space="preserve"> </w:t>
      </w:r>
      <w:r w:rsidR="00C912CC">
        <w:t xml:space="preserve">The </w:t>
      </w:r>
      <w:r w:rsidR="00CD65B5">
        <w:t>survey received marginally more responses for LHVF than BCAP (</w:t>
      </w:r>
      <w:r w:rsidR="00953856">
        <w:t>240 and 238</w:t>
      </w:r>
      <w:r w:rsidR="00BC7750">
        <w:t>,</w:t>
      </w:r>
      <w:r w:rsidR="00953856">
        <w:t xml:space="preserve"> respectively).</w:t>
      </w:r>
      <w:r w:rsidR="00E1115C">
        <w:t xml:space="preserve"> </w:t>
      </w:r>
    </w:p>
    <w:p w14:paraId="1AE0D94C" w14:textId="7546E822" w:rsidR="0021534E" w:rsidRDefault="0021534E" w:rsidP="00021EF3">
      <w:r>
        <w:t>While this sample size is small relative to the entire population, it allows confidence in the results at the 90</w:t>
      </w:r>
      <w:r w:rsidR="00BC7750">
        <w:t xml:space="preserve"> per cent</w:t>
      </w:r>
      <w:r>
        <w:t xml:space="preserve"> confidence level and 10</w:t>
      </w:r>
      <w:r w:rsidR="001E184E">
        <w:t xml:space="preserve"> per cent</w:t>
      </w:r>
      <w:r>
        <w:t xml:space="preserve"> confidence interval when considering basic descriptive statistic for both BCAP and LHVF.</w:t>
      </w:r>
    </w:p>
    <w:p w14:paraId="3E49FB47" w14:textId="3E7D6706" w:rsidR="00F3574C" w:rsidRDefault="00EF0F29" w:rsidP="00021EF3">
      <w:r w:rsidRPr="00B45FB5">
        <w:rPr>
          <w:rFonts w:hint="eastAsia"/>
        </w:rPr>
        <w:t xml:space="preserve">The survey included questions covering </w:t>
      </w:r>
      <w:r w:rsidR="0089415E" w:rsidRPr="00B45FB5">
        <w:t xml:space="preserve">the </w:t>
      </w:r>
      <w:r w:rsidR="00EC55E2" w:rsidRPr="00B45FB5">
        <w:t>size and industry of the respondent businesses, along with the impact of the grants</w:t>
      </w:r>
      <w:r w:rsidR="008E46DE" w:rsidRPr="00B45FB5">
        <w:t xml:space="preserve"> on business survival, FTE</w:t>
      </w:r>
      <w:r w:rsidR="003501E1" w:rsidRPr="00B45FB5">
        <w:t xml:space="preserve">, </w:t>
      </w:r>
      <w:r w:rsidR="00F1686B" w:rsidRPr="00B45FB5">
        <w:t>wellbeing,</w:t>
      </w:r>
      <w:r w:rsidR="003501E1" w:rsidRPr="00B45FB5">
        <w:t xml:space="preserve"> </w:t>
      </w:r>
      <w:r w:rsidR="00B45FB5" w:rsidRPr="00B45FB5">
        <w:t>and the possible usage of the grants.</w:t>
      </w:r>
      <w:r w:rsidR="00B45FB5">
        <w:t xml:space="preserve"> To ensure </w:t>
      </w:r>
      <w:r w:rsidR="00F1686B">
        <w:t>a distinction between the two grant programs, the survey had two streams, one for BCAP and one for LHVF.</w:t>
      </w:r>
      <w:r w:rsidR="00F3574C">
        <w:t xml:space="preserve"> </w:t>
      </w:r>
    </w:p>
    <w:p w14:paraId="3085D95A" w14:textId="3A6B2385" w:rsidR="00F3574C" w:rsidRDefault="00F3574C" w:rsidP="00021EF3">
      <w:r>
        <w:t>Survey limitations include the following:</w:t>
      </w:r>
    </w:p>
    <w:p w14:paraId="134E95C9" w14:textId="2D838B9F" w:rsidR="00776285" w:rsidRDefault="00776285" w:rsidP="00021EF3">
      <w:pPr>
        <w:pStyle w:val="ListBullet"/>
      </w:pPr>
      <w:r w:rsidRPr="002126FC">
        <w:rPr>
          <w:b/>
          <w:bCs/>
        </w:rPr>
        <w:t>The survey sample bay be biased</w:t>
      </w:r>
      <w:r w:rsidR="002126FC" w:rsidRPr="002126FC">
        <w:rPr>
          <w:b/>
          <w:bCs/>
        </w:rPr>
        <w:t xml:space="preserve"> –</w:t>
      </w:r>
      <w:r w:rsidR="002126FC">
        <w:t xml:space="preserve"> </w:t>
      </w:r>
      <w:r w:rsidR="003D3C49">
        <w:t>I</w:t>
      </w:r>
      <w:r w:rsidR="00B97548">
        <w:t>n particular</w:t>
      </w:r>
      <w:r w:rsidR="00186319" w:rsidDel="00776285">
        <w:t>,</w:t>
      </w:r>
      <w:r w:rsidR="00186319">
        <w:t xml:space="preserve"> </w:t>
      </w:r>
      <w:r w:rsidR="00E276A1">
        <w:t xml:space="preserve">people with </w:t>
      </w:r>
      <w:r w:rsidR="00B97548">
        <w:t xml:space="preserve">stronger opinions </w:t>
      </w:r>
      <w:r>
        <w:t>may be</w:t>
      </w:r>
      <w:r w:rsidR="00E276A1">
        <w:t xml:space="preserve"> more likely to engage with the survey </w:t>
      </w:r>
      <w:r w:rsidR="0049711D">
        <w:t xml:space="preserve">than those with </w:t>
      </w:r>
      <w:r>
        <w:t xml:space="preserve">a more </w:t>
      </w:r>
      <w:r w:rsidR="00A87DEC">
        <w:t xml:space="preserve">neutral </w:t>
      </w:r>
      <w:r>
        <w:t>perspective</w:t>
      </w:r>
      <w:r w:rsidR="00BC7750">
        <w:t>.</w:t>
      </w:r>
    </w:p>
    <w:p w14:paraId="7E661F86" w14:textId="69ACD42A" w:rsidR="0085398C" w:rsidRDefault="00F962F8" w:rsidP="00021EF3">
      <w:pPr>
        <w:pStyle w:val="ListBullet"/>
      </w:pPr>
      <w:r w:rsidRPr="002126FC">
        <w:rPr>
          <w:b/>
          <w:bCs/>
        </w:rPr>
        <w:t>Significant time has elapsed since the fielding the of the survey</w:t>
      </w:r>
      <w:r w:rsidR="00F5363C" w:rsidRPr="002126FC">
        <w:rPr>
          <w:b/>
          <w:bCs/>
        </w:rPr>
        <w:t xml:space="preserve"> and </w:t>
      </w:r>
      <w:r w:rsidR="00D76212" w:rsidRPr="002126FC">
        <w:rPr>
          <w:b/>
          <w:bCs/>
        </w:rPr>
        <w:t>the administration of BCAP and LHVF</w:t>
      </w:r>
      <w:r w:rsidR="002126FC" w:rsidRPr="002126FC">
        <w:rPr>
          <w:b/>
          <w:bCs/>
        </w:rPr>
        <w:t xml:space="preserve"> – </w:t>
      </w:r>
      <w:r w:rsidR="003D3C49">
        <w:t>T</w:t>
      </w:r>
      <w:r w:rsidR="004C1913">
        <w:t xml:space="preserve">his extended gap between the grant programs and the survey </w:t>
      </w:r>
      <w:r w:rsidR="004737FA">
        <w:t xml:space="preserve">mean that data collected may not be as accurate as if the survey had been performed sooner. </w:t>
      </w:r>
      <w:r w:rsidR="00512D7B">
        <w:t>The accuracy of responses is therefore reliant on resident memory to some extent</w:t>
      </w:r>
      <w:r w:rsidR="00BC7750">
        <w:t>.</w:t>
      </w:r>
    </w:p>
    <w:p w14:paraId="26D8F9E3" w14:textId="5FB6694C" w:rsidR="004C52CE" w:rsidRDefault="002126FC" w:rsidP="00021EF3">
      <w:pPr>
        <w:pStyle w:val="ListBullet"/>
      </w:pPr>
      <w:r w:rsidRPr="003D3C49">
        <w:rPr>
          <w:b/>
          <w:bCs/>
        </w:rPr>
        <w:t>T</w:t>
      </w:r>
      <w:r w:rsidR="007E57A5" w:rsidRPr="003D3C49">
        <w:rPr>
          <w:b/>
          <w:bCs/>
        </w:rPr>
        <w:t>he survey relies on the respondents to accurately distinguish the effects of the grants on their businesses</w:t>
      </w:r>
      <w:r w:rsidRPr="003D3C49">
        <w:rPr>
          <w:b/>
          <w:bCs/>
        </w:rPr>
        <w:t xml:space="preserve"> –</w:t>
      </w:r>
      <w:r w:rsidR="003D3C49">
        <w:rPr>
          <w:b/>
          <w:bCs/>
        </w:rPr>
        <w:t xml:space="preserve"> </w:t>
      </w:r>
      <w:r w:rsidR="003D3C49">
        <w:t>T</w:t>
      </w:r>
      <w:r w:rsidR="007A16A9">
        <w:t xml:space="preserve">his is likely difficult given there were a range of different interventions and events occurring throughout the COVID-19 pandemic </w:t>
      </w:r>
      <w:r w:rsidR="00BF7B31">
        <w:t>that likely impacted on the same outcomes as the grants.</w:t>
      </w:r>
      <w:r w:rsidR="004C52CE">
        <w:t xml:space="preserve"> </w:t>
      </w:r>
    </w:p>
    <w:p w14:paraId="5B6EF73A" w14:textId="51AB6712" w:rsidR="00924B12" w:rsidRDefault="00FC5A67" w:rsidP="00021EF3">
      <w:pPr>
        <w:pStyle w:val="AppendixTableCaption"/>
      </w:pPr>
      <w:r w:rsidRPr="00A64BA2">
        <w:t>:</w:t>
      </w:r>
      <w:r w:rsidR="006D77A1">
        <w:t xml:space="preserve"> Business</w:t>
      </w:r>
      <w:r w:rsidR="006D77A1" w:rsidDel="00232B76">
        <w:t xml:space="preserve"> </w:t>
      </w:r>
      <w:r w:rsidR="006D77A1">
        <w:t xml:space="preserve">survey response </w:t>
      </w:r>
      <w:r w:rsidR="00A42E09">
        <w:t>breakdown</w:t>
      </w:r>
      <w:r w:rsidR="009136CE">
        <w:t>.</w:t>
      </w:r>
    </w:p>
    <w:tbl>
      <w:tblPr>
        <w:tblStyle w:val="Deloittetable"/>
        <w:tblW w:w="0" w:type="auto"/>
        <w:tblLook w:val="04A0" w:firstRow="1" w:lastRow="0" w:firstColumn="1" w:lastColumn="0" w:noHBand="0" w:noVBand="1"/>
      </w:tblPr>
      <w:tblGrid>
        <w:gridCol w:w="4936"/>
        <w:gridCol w:w="3290"/>
        <w:gridCol w:w="782"/>
      </w:tblGrid>
      <w:tr w:rsidR="00487A2B" w:rsidRPr="00A64BA2" w14:paraId="1E2CA02F" w14:textId="77777777" w:rsidTr="00893EB3">
        <w:trPr>
          <w:cnfStyle w:val="100000000000" w:firstRow="1" w:lastRow="0" w:firstColumn="0" w:lastColumn="0" w:oddVBand="0" w:evenVBand="0" w:oddHBand="0" w:evenHBand="0" w:firstRowFirstColumn="0" w:firstRowLastColumn="0" w:lastRowFirstColumn="0" w:lastRowLastColumn="0"/>
          <w:trHeight w:val="19"/>
        </w:trPr>
        <w:tc>
          <w:tcPr>
            <w:tcW w:w="4936" w:type="dxa"/>
          </w:tcPr>
          <w:p w14:paraId="03B10A59" w14:textId="61848662" w:rsidR="00487A2B" w:rsidRPr="00861123" w:rsidRDefault="00487A2B" w:rsidP="00021EF3">
            <w:pPr>
              <w:rPr>
                <w:b/>
                <w:sz w:val="18"/>
                <w:lang w:eastAsia="en-AU"/>
              </w:rPr>
            </w:pPr>
            <w:r w:rsidRPr="00861123">
              <w:rPr>
                <w:b/>
                <w:sz w:val="18"/>
                <w:lang w:eastAsia="en-AU"/>
              </w:rPr>
              <w:t>Respondent</w:t>
            </w:r>
          </w:p>
        </w:tc>
        <w:tc>
          <w:tcPr>
            <w:tcW w:w="3290" w:type="dxa"/>
          </w:tcPr>
          <w:p w14:paraId="39E6A72A" w14:textId="65BCB781" w:rsidR="00487A2B" w:rsidRPr="00861123" w:rsidRDefault="00487A2B" w:rsidP="00021EF3">
            <w:pPr>
              <w:rPr>
                <w:b/>
                <w:sz w:val="18"/>
                <w:lang w:eastAsia="en-AU"/>
              </w:rPr>
            </w:pPr>
            <w:r w:rsidRPr="00861123">
              <w:rPr>
                <w:b/>
                <w:sz w:val="18"/>
                <w:lang w:eastAsia="en-AU"/>
              </w:rPr>
              <w:t>BCAP</w:t>
            </w:r>
          </w:p>
        </w:tc>
        <w:tc>
          <w:tcPr>
            <w:tcW w:w="782" w:type="dxa"/>
          </w:tcPr>
          <w:p w14:paraId="60A7BDE3" w14:textId="2451C3D7" w:rsidR="00487A2B" w:rsidRPr="00861123" w:rsidRDefault="00487A2B" w:rsidP="00021EF3">
            <w:pPr>
              <w:rPr>
                <w:b/>
                <w:sz w:val="18"/>
                <w:lang w:eastAsia="en-AU"/>
              </w:rPr>
            </w:pPr>
            <w:r w:rsidRPr="00861123">
              <w:rPr>
                <w:b/>
                <w:sz w:val="18"/>
                <w:lang w:eastAsia="en-AU"/>
              </w:rPr>
              <w:t>LHVF</w:t>
            </w:r>
          </w:p>
        </w:tc>
      </w:tr>
      <w:tr w:rsidR="00487A2B" w:rsidRPr="00A64BA2" w14:paraId="267675E3" w14:textId="77777777" w:rsidTr="00893EB3">
        <w:trPr>
          <w:trHeight w:val="19"/>
        </w:trPr>
        <w:tc>
          <w:tcPr>
            <w:tcW w:w="4936" w:type="dxa"/>
            <w:vAlign w:val="center"/>
          </w:tcPr>
          <w:p w14:paraId="3109E213" w14:textId="24614CFF" w:rsidR="00487A2B" w:rsidRPr="00861123" w:rsidRDefault="00487A2B" w:rsidP="00021EF3">
            <w:pPr>
              <w:rPr>
                <w:sz w:val="18"/>
                <w:lang w:eastAsia="en-AU"/>
              </w:rPr>
            </w:pPr>
            <w:r w:rsidRPr="00861123">
              <w:rPr>
                <w:sz w:val="18"/>
              </w:rPr>
              <w:t>Owner-Operator</w:t>
            </w:r>
          </w:p>
        </w:tc>
        <w:tc>
          <w:tcPr>
            <w:tcW w:w="3290" w:type="dxa"/>
          </w:tcPr>
          <w:p w14:paraId="6332B2D0" w14:textId="5A6D903A" w:rsidR="00487A2B" w:rsidRPr="00861123" w:rsidRDefault="00487A2B" w:rsidP="00021EF3">
            <w:pPr>
              <w:rPr>
                <w:sz w:val="18"/>
                <w:lang w:eastAsia="en-AU"/>
              </w:rPr>
            </w:pPr>
            <w:r w:rsidRPr="00861123">
              <w:rPr>
                <w:sz w:val="18"/>
              </w:rPr>
              <w:t>196</w:t>
            </w:r>
          </w:p>
        </w:tc>
        <w:tc>
          <w:tcPr>
            <w:tcW w:w="782" w:type="dxa"/>
          </w:tcPr>
          <w:p w14:paraId="2B02D372" w14:textId="3842E361" w:rsidR="00487A2B" w:rsidRPr="00861123" w:rsidRDefault="00487A2B" w:rsidP="00021EF3">
            <w:pPr>
              <w:rPr>
                <w:sz w:val="18"/>
                <w:lang w:eastAsia="en-AU"/>
              </w:rPr>
            </w:pPr>
            <w:r w:rsidRPr="00861123">
              <w:rPr>
                <w:sz w:val="18"/>
              </w:rPr>
              <w:t>217</w:t>
            </w:r>
          </w:p>
        </w:tc>
      </w:tr>
      <w:tr w:rsidR="00487A2B" w:rsidRPr="00A64BA2" w14:paraId="0ECDB15D" w14:textId="77777777" w:rsidTr="00893EB3">
        <w:trPr>
          <w:trHeight w:val="19"/>
        </w:trPr>
        <w:tc>
          <w:tcPr>
            <w:tcW w:w="4936" w:type="dxa"/>
          </w:tcPr>
          <w:p w14:paraId="29954528" w14:textId="0079F819" w:rsidR="00487A2B" w:rsidRPr="00861123" w:rsidRDefault="00487A2B" w:rsidP="00021EF3">
            <w:pPr>
              <w:rPr>
                <w:sz w:val="18"/>
                <w:lang w:eastAsia="en-AU"/>
              </w:rPr>
            </w:pPr>
            <w:r w:rsidRPr="00861123">
              <w:rPr>
                <w:sz w:val="18"/>
              </w:rPr>
              <w:t>Advisor (e.g., accountant, tax agent, other financial service provider)</w:t>
            </w:r>
          </w:p>
        </w:tc>
        <w:tc>
          <w:tcPr>
            <w:tcW w:w="3290" w:type="dxa"/>
          </w:tcPr>
          <w:p w14:paraId="5E8AD224" w14:textId="7919BFB3" w:rsidR="00487A2B" w:rsidRPr="00861123" w:rsidRDefault="00487A2B" w:rsidP="00021EF3">
            <w:pPr>
              <w:rPr>
                <w:sz w:val="18"/>
                <w:lang w:eastAsia="en-AU"/>
              </w:rPr>
            </w:pPr>
            <w:r w:rsidRPr="00861123">
              <w:rPr>
                <w:sz w:val="18"/>
              </w:rPr>
              <w:t>10</w:t>
            </w:r>
          </w:p>
        </w:tc>
        <w:tc>
          <w:tcPr>
            <w:tcW w:w="782" w:type="dxa"/>
          </w:tcPr>
          <w:p w14:paraId="0EAC9B47" w14:textId="1569F0A5" w:rsidR="00487A2B" w:rsidRPr="00861123" w:rsidRDefault="00487A2B" w:rsidP="00021EF3">
            <w:pPr>
              <w:rPr>
                <w:sz w:val="18"/>
                <w:lang w:eastAsia="en-AU"/>
              </w:rPr>
            </w:pPr>
            <w:r w:rsidRPr="00861123">
              <w:rPr>
                <w:sz w:val="18"/>
              </w:rPr>
              <w:t>12</w:t>
            </w:r>
          </w:p>
        </w:tc>
      </w:tr>
      <w:tr w:rsidR="00487A2B" w:rsidRPr="00A64BA2" w14:paraId="2C3B52A5" w14:textId="77777777" w:rsidTr="00893EB3">
        <w:trPr>
          <w:trHeight w:val="19"/>
        </w:trPr>
        <w:tc>
          <w:tcPr>
            <w:tcW w:w="4936" w:type="dxa"/>
          </w:tcPr>
          <w:p w14:paraId="0419E39A" w14:textId="622F823D" w:rsidR="00487A2B" w:rsidRPr="00861123" w:rsidRDefault="00487A2B" w:rsidP="00021EF3">
            <w:pPr>
              <w:rPr>
                <w:sz w:val="18"/>
                <w:lang w:eastAsia="en-AU"/>
              </w:rPr>
            </w:pPr>
            <w:r w:rsidRPr="00861123">
              <w:rPr>
                <w:b/>
                <w:sz w:val="18"/>
              </w:rPr>
              <w:t>Total viable responses</w:t>
            </w:r>
          </w:p>
        </w:tc>
        <w:tc>
          <w:tcPr>
            <w:tcW w:w="3290" w:type="dxa"/>
          </w:tcPr>
          <w:p w14:paraId="703D41DD" w14:textId="793BF136" w:rsidR="00487A2B" w:rsidRPr="00861123" w:rsidRDefault="00487A2B" w:rsidP="00021EF3">
            <w:pPr>
              <w:rPr>
                <w:sz w:val="18"/>
                <w:lang w:eastAsia="en-AU"/>
              </w:rPr>
            </w:pPr>
            <w:r w:rsidRPr="00861123">
              <w:rPr>
                <w:b/>
                <w:sz w:val="18"/>
              </w:rPr>
              <w:t>206</w:t>
            </w:r>
          </w:p>
        </w:tc>
        <w:tc>
          <w:tcPr>
            <w:tcW w:w="782" w:type="dxa"/>
          </w:tcPr>
          <w:p w14:paraId="7914C0F4" w14:textId="0BA19670" w:rsidR="00487A2B" w:rsidRPr="00861123" w:rsidRDefault="00487A2B" w:rsidP="00021EF3">
            <w:pPr>
              <w:rPr>
                <w:sz w:val="18"/>
                <w:lang w:eastAsia="en-AU"/>
              </w:rPr>
            </w:pPr>
            <w:r w:rsidRPr="00861123">
              <w:rPr>
                <w:b/>
                <w:sz w:val="18"/>
              </w:rPr>
              <w:t>229</w:t>
            </w:r>
          </w:p>
        </w:tc>
      </w:tr>
      <w:tr w:rsidR="00487A2B" w:rsidRPr="00A64BA2" w14:paraId="03AE77D8" w14:textId="77777777" w:rsidTr="00893EB3">
        <w:trPr>
          <w:trHeight w:val="19"/>
        </w:trPr>
        <w:tc>
          <w:tcPr>
            <w:tcW w:w="4936" w:type="dxa"/>
          </w:tcPr>
          <w:p w14:paraId="7ADE3D1C" w14:textId="53A44FFA" w:rsidR="00487A2B" w:rsidRPr="00861123" w:rsidRDefault="00487A2B" w:rsidP="00021EF3">
            <w:pPr>
              <w:rPr>
                <w:sz w:val="18"/>
                <w:lang w:eastAsia="en-AU"/>
              </w:rPr>
            </w:pPr>
            <w:r w:rsidRPr="00861123">
              <w:rPr>
                <w:sz w:val="18"/>
              </w:rPr>
              <w:t>Total partial responses</w:t>
            </w:r>
          </w:p>
        </w:tc>
        <w:tc>
          <w:tcPr>
            <w:tcW w:w="3290" w:type="dxa"/>
          </w:tcPr>
          <w:p w14:paraId="3ADB4BB7" w14:textId="5114F6DE" w:rsidR="00487A2B" w:rsidRPr="00861123" w:rsidRDefault="00487A2B" w:rsidP="00021EF3">
            <w:pPr>
              <w:rPr>
                <w:sz w:val="18"/>
                <w:lang w:eastAsia="en-AU"/>
              </w:rPr>
            </w:pPr>
            <w:r w:rsidRPr="00861123">
              <w:rPr>
                <w:sz w:val="18"/>
              </w:rPr>
              <w:t>66</w:t>
            </w:r>
          </w:p>
        </w:tc>
        <w:tc>
          <w:tcPr>
            <w:tcW w:w="782" w:type="dxa"/>
          </w:tcPr>
          <w:p w14:paraId="09F47EBB" w14:textId="2C4F749F" w:rsidR="00487A2B" w:rsidRPr="00861123" w:rsidRDefault="00487A2B" w:rsidP="00021EF3">
            <w:pPr>
              <w:rPr>
                <w:sz w:val="18"/>
                <w:lang w:eastAsia="en-AU"/>
              </w:rPr>
            </w:pPr>
            <w:r w:rsidRPr="00861123">
              <w:rPr>
                <w:sz w:val="18"/>
              </w:rPr>
              <w:t>59</w:t>
            </w:r>
          </w:p>
        </w:tc>
      </w:tr>
      <w:tr w:rsidR="00487A2B" w:rsidRPr="00A64BA2" w14:paraId="33389A27" w14:textId="77777777" w:rsidTr="00893EB3">
        <w:trPr>
          <w:trHeight w:val="19"/>
        </w:trPr>
        <w:tc>
          <w:tcPr>
            <w:tcW w:w="4936" w:type="dxa"/>
          </w:tcPr>
          <w:p w14:paraId="57385DE1" w14:textId="619D0BC0" w:rsidR="00487A2B" w:rsidRPr="00861123" w:rsidRDefault="00487A2B" w:rsidP="00021EF3">
            <w:pPr>
              <w:rPr>
                <w:sz w:val="18"/>
                <w:lang w:eastAsia="en-AU"/>
              </w:rPr>
            </w:pPr>
            <w:r w:rsidRPr="00861123">
              <w:rPr>
                <w:sz w:val="18"/>
              </w:rPr>
              <w:t>Did not receive or recall receiving a grant</w:t>
            </w:r>
          </w:p>
        </w:tc>
        <w:tc>
          <w:tcPr>
            <w:tcW w:w="3290" w:type="dxa"/>
          </w:tcPr>
          <w:p w14:paraId="2876545C" w14:textId="7F39C6A8" w:rsidR="00487A2B" w:rsidRPr="00861123" w:rsidRDefault="00487A2B" w:rsidP="00021EF3">
            <w:pPr>
              <w:rPr>
                <w:sz w:val="18"/>
                <w:lang w:eastAsia="en-AU"/>
              </w:rPr>
            </w:pPr>
            <w:r w:rsidRPr="00861123">
              <w:rPr>
                <w:sz w:val="18"/>
              </w:rPr>
              <w:t>32</w:t>
            </w:r>
          </w:p>
        </w:tc>
        <w:tc>
          <w:tcPr>
            <w:tcW w:w="782" w:type="dxa"/>
          </w:tcPr>
          <w:p w14:paraId="5E8F1C2C" w14:textId="6687257F" w:rsidR="00487A2B" w:rsidRPr="00861123" w:rsidRDefault="00487A2B" w:rsidP="00021EF3">
            <w:pPr>
              <w:rPr>
                <w:sz w:val="18"/>
                <w:lang w:eastAsia="en-AU"/>
              </w:rPr>
            </w:pPr>
            <w:r w:rsidRPr="00861123">
              <w:rPr>
                <w:sz w:val="18"/>
              </w:rPr>
              <w:t>11</w:t>
            </w:r>
          </w:p>
        </w:tc>
      </w:tr>
      <w:tr w:rsidR="00487A2B" w:rsidRPr="00A64BA2" w14:paraId="6023D3E1" w14:textId="77777777" w:rsidTr="00893EB3">
        <w:trPr>
          <w:trHeight w:val="19"/>
        </w:trPr>
        <w:tc>
          <w:tcPr>
            <w:tcW w:w="4936" w:type="dxa"/>
          </w:tcPr>
          <w:p w14:paraId="1D7E9FAA" w14:textId="29436097" w:rsidR="00487A2B" w:rsidRPr="00861123" w:rsidRDefault="00487A2B" w:rsidP="00021EF3">
            <w:pPr>
              <w:rPr>
                <w:sz w:val="18"/>
                <w:lang w:eastAsia="en-AU"/>
              </w:rPr>
            </w:pPr>
            <w:r w:rsidRPr="00861123">
              <w:rPr>
                <w:b/>
                <w:sz w:val="18"/>
              </w:rPr>
              <w:t>Total responses</w:t>
            </w:r>
          </w:p>
        </w:tc>
        <w:tc>
          <w:tcPr>
            <w:tcW w:w="3290" w:type="dxa"/>
          </w:tcPr>
          <w:p w14:paraId="1DBFF9E7" w14:textId="69B66CC0" w:rsidR="00487A2B" w:rsidRPr="00861123" w:rsidRDefault="00487A2B" w:rsidP="00021EF3">
            <w:pPr>
              <w:rPr>
                <w:sz w:val="18"/>
                <w:lang w:eastAsia="en-AU"/>
              </w:rPr>
            </w:pPr>
            <w:r w:rsidRPr="00861123">
              <w:rPr>
                <w:b/>
                <w:sz w:val="18"/>
              </w:rPr>
              <w:t>238</w:t>
            </w:r>
          </w:p>
        </w:tc>
        <w:tc>
          <w:tcPr>
            <w:tcW w:w="782" w:type="dxa"/>
          </w:tcPr>
          <w:p w14:paraId="68E2CEC9" w14:textId="1676E602" w:rsidR="00487A2B" w:rsidRPr="00861123" w:rsidRDefault="00487A2B" w:rsidP="00021EF3">
            <w:pPr>
              <w:rPr>
                <w:sz w:val="18"/>
                <w:lang w:eastAsia="en-AU"/>
              </w:rPr>
            </w:pPr>
            <w:r w:rsidRPr="00861123">
              <w:rPr>
                <w:b/>
                <w:sz w:val="18"/>
              </w:rPr>
              <w:t>240</w:t>
            </w:r>
          </w:p>
        </w:tc>
      </w:tr>
    </w:tbl>
    <w:p w14:paraId="643B5D48" w14:textId="2936F50F" w:rsidR="004052F0" w:rsidRDefault="001769A1" w:rsidP="00021EF3">
      <w:pPr>
        <w:pStyle w:val="Source"/>
        <w:sectPr w:rsidR="004052F0" w:rsidSect="005235DE">
          <w:footerReference w:type="even" r:id="rId52"/>
          <w:footerReference w:type="default" r:id="rId53"/>
          <w:footerReference w:type="first" r:id="rId54"/>
          <w:footnotePr>
            <w:numFmt w:val="chicago"/>
          </w:footnotePr>
          <w:endnotePr>
            <w:numFmt w:val="decimal"/>
          </w:endnotePr>
          <w:pgSz w:w="11906" w:h="16838" w:code="9"/>
          <w:pgMar w:top="1440" w:right="1440" w:bottom="1440" w:left="1440" w:header="680" w:footer="425" w:gutter="0"/>
          <w:cols w:space="284"/>
          <w:noEndnote/>
          <w:docGrid w:linePitch="360"/>
        </w:sectPr>
      </w:pPr>
      <w:r>
        <w:t>Source: Business survey</w:t>
      </w:r>
      <w:r w:rsidR="00C7202A">
        <w:t>.</w:t>
      </w:r>
    </w:p>
    <w:p w14:paraId="69BFC47E" w14:textId="2CA67B5D" w:rsidR="00AC6500" w:rsidRDefault="00627A8E" w:rsidP="00021EF3">
      <w:pPr>
        <w:pStyle w:val="Heading2"/>
      </w:pPr>
      <w:bookmarkStart w:id="619" w:name="_Toc174118201"/>
      <w:bookmarkStart w:id="620" w:name="_Toc176516323"/>
      <w:r>
        <w:lastRenderedPageBreak/>
        <w:t>Business characteristics and background</w:t>
      </w:r>
      <w:bookmarkEnd w:id="619"/>
      <w:bookmarkEnd w:id="620"/>
    </w:p>
    <w:p w14:paraId="5504BB21" w14:textId="308D62F4" w:rsidR="00AC6500" w:rsidRDefault="00F378E3" w:rsidP="00021EF3">
      <w:pPr>
        <w:pStyle w:val="AppendixChartCaption"/>
      </w:pPr>
      <w:r>
        <w:t>:</w:t>
      </w:r>
      <w:r w:rsidR="00AC6500">
        <w:t xml:space="preserve"> </w:t>
      </w:r>
      <w:r w:rsidR="005D0B96">
        <w:t>Primary industry of respondents (BCAP)</w:t>
      </w:r>
      <w:r w:rsidR="009136CE">
        <w:t>.</w:t>
      </w:r>
      <w:r w:rsidR="00AC6500">
        <w:t xml:space="preserve"> </w:t>
      </w:r>
    </w:p>
    <w:p w14:paraId="7E15569E" w14:textId="77777777" w:rsidR="00705821" w:rsidRDefault="00C9182D" w:rsidP="00021EF3">
      <w:pPr>
        <w:pStyle w:val="Source"/>
      </w:pPr>
      <w:r w:rsidRPr="00C9182D">
        <w:rPr>
          <w:noProof/>
        </w:rPr>
        <w:drawing>
          <wp:inline distT="0" distB="0" distL="0" distR="0" wp14:anchorId="2AA5EADC" wp14:editId="76270680">
            <wp:extent cx="5396400" cy="2365200"/>
            <wp:effectExtent l="0" t="0" r="0" b="0"/>
            <wp:docPr id="1489793631" name="Picture 1489793631" descr="This bar chart shows the primary industry of those who received BCAP and were also respondents of the survey. Key industries include Health Care and Social Assistance, Transport, Postal and Warehousing and Retail Trade all with 22 respondents, and Accommodation and Food Services where there were 16 respondents. Manufacturing has the least respondents a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93631" name="Picture 1489793631" descr="This bar chart shows the primary industry of those who received BCAP and were also respondents of the survey. Key industries include Health Care and Social Assistance, Transport, Postal and Warehousing and Retail Trade all with 22 respondents, and Accommodation and Food Services where there were 16 respondents. Manufacturing has the least respondents at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6400" cy="2365200"/>
                    </a:xfrm>
                    <a:prstGeom prst="rect">
                      <a:avLst/>
                    </a:prstGeom>
                    <a:noFill/>
                    <a:ln>
                      <a:noFill/>
                    </a:ln>
                  </pic:spPr>
                </pic:pic>
              </a:graphicData>
            </a:graphic>
          </wp:inline>
        </w:drawing>
      </w:r>
    </w:p>
    <w:p w14:paraId="4D7EE4E4" w14:textId="50F91131" w:rsidR="005D0B96" w:rsidRDefault="005D0B96" w:rsidP="00021EF3">
      <w:pPr>
        <w:pStyle w:val="Source"/>
      </w:pPr>
      <w:r>
        <w:t>Source: Business survey.</w:t>
      </w:r>
    </w:p>
    <w:p w14:paraId="37215139" w14:textId="6070EBFC" w:rsidR="005D0B96" w:rsidRDefault="00F378E3" w:rsidP="00021EF3">
      <w:pPr>
        <w:pStyle w:val="AppendixChartCaption"/>
      </w:pPr>
      <w:r>
        <w:t>:</w:t>
      </w:r>
      <w:r w:rsidR="005E1591">
        <w:t xml:space="preserve"> Primary industry of respondents (LHVF)</w:t>
      </w:r>
      <w:r w:rsidR="009136CE">
        <w:t>.</w:t>
      </w:r>
    </w:p>
    <w:p w14:paraId="4F5A7CA1" w14:textId="2A91E32B" w:rsidR="005E1591" w:rsidRPr="005E1591" w:rsidRDefault="00181375" w:rsidP="00021EF3">
      <w:pPr>
        <w:rPr>
          <w:lang w:eastAsia="en-AU"/>
        </w:rPr>
      </w:pPr>
      <w:r w:rsidRPr="00181375">
        <w:rPr>
          <w:noProof/>
        </w:rPr>
        <w:drawing>
          <wp:inline distT="0" distB="0" distL="0" distR="0" wp14:anchorId="3CD73CD6" wp14:editId="19410F63">
            <wp:extent cx="5431155" cy="2438400"/>
            <wp:effectExtent l="0" t="0" r="0" b="0"/>
            <wp:docPr id="1489793640" name="Picture 1489793640" descr="This bar chart shows the primary industry respondents of the LHVF according to the survey. Key industries include unspecified accommodation food services which had 66 respondents, and cafes, restaurants and takeaway food services which had 48 respondents. All other industries had less than 15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40" name="Picture 1489793640" descr="This bar chart shows the primary industry respondents of the LHVF according to the survey. Key industries include unspecified accommodation food services which had 66 respondents, and cafes, restaurants and takeaway food services which had 48 respondents. All other industries had less than 15 responden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1155" cy="2438400"/>
                    </a:xfrm>
                    <a:prstGeom prst="rect">
                      <a:avLst/>
                    </a:prstGeom>
                    <a:noFill/>
                    <a:ln>
                      <a:noFill/>
                    </a:ln>
                  </pic:spPr>
                </pic:pic>
              </a:graphicData>
            </a:graphic>
          </wp:inline>
        </w:drawing>
      </w:r>
    </w:p>
    <w:p w14:paraId="1AE20914" w14:textId="77777777" w:rsidR="00212B69" w:rsidRDefault="00212B69" w:rsidP="00021EF3">
      <w:pPr>
        <w:pStyle w:val="Source"/>
      </w:pPr>
      <w:r>
        <w:t>Source: Business survey.</w:t>
      </w:r>
    </w:p>
    <w:p w14:paraId="0EF2FD09" w14:textId="1472C382" w:rsidR="00212B69" w:rsidRDefault="00F378E3" w:rsidP="00021EF3">
      <w:pPr>
        <w:pStyle w:val="AppendixChartCaption"/>
      </w:pPr>
      <w:r>
        <w:t>:</w:t>
      </w:r>
      <w:r w:rsidR="00E376AF">
        <w:t xml:space="preserve"> Survey respondent business size based on number of FTE </w:t>
      </w:r>
      <w:r w:rsidR="009A2E2C">
        <w:t>employees</w:t>
      </w:r>
      <w:r w:rsidR="009136CE">
        <w:t>.</w:t>
      </w:r>
    </w:p>
    <w:p w14:paraId="2770BFC1" w14:textId="610CC56D" w:rsidR="00E376AF" w:rsidRPr="00E376AF" w:rsidRDefault="004F758F" w:rsidP="00021EF3">
      <w:pPr>
        <w:rPr>
          <w:lang w:eastAsia="en-AU"/>
        </w:rPr>
      </w:pPr>
      <w:r w:rsidRPr="004F758F">
        <w:rPr>
          <w:noProof/>
        </w:rPr>
        <w:drawing>
          <wp:inline distT="0" distB="0" distL="0" distR="0" wp14:anchorId="5D1E1EBC" wp14:editId="3AB7C222">
            <wp:extent cx="5425200" cy="2365200"/>
            <wp:effectExtent l="0" t="0" r="4445" b="0"/>
            <wp:docPr id="1489793642" name="Picture 1489793642" descr="This column chart shows the shows the number of survey respondents for the BCAP and LHVF surveys based on the number of FTE employees (i.e., business size). For BCAP, there were 45 sole traders, 45 small businesses and 19 small to medium businesses with 5-19 employees who responded. For LHVF, 5 sole traders, 43 small businesses, 42 small/medium businesses with 5-19 employees and 9 medium businesses with 20-199 employees respon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93642" name="Picture 1489793642" descr="This column chart shows the shows the number of survey respondents for the BCAP and LHVF surveys based on the number of FTE employees (i.e., business size). For BCAP, there were 45 sole traders, 45 small businesses and 19 small to medium businesses with 5-19 employees who responded. For LHVF, 5 sole traders, 43 small businesses, 42 small/medium businesses with 5-19 employees and 9 medium businesses with 20-199 employees respond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5200" cy="2365200"/>
                    </a:xfrm>
                    <a:prstGeom prst="rect">
                      <a:avLst/>
                    </a:prstGeom>
                    <a:noFill/>
                    <a:ln>
                      <a:noFill/>
                    </a:ln>
                  </pic:spPr>
                </pic:pic>
              </a:graphicData>
            </a:graphic>
          </wp:inline>
        </w:drawing>
      </w:r>
    </w:p>
    <w:p w14:paraId="508A2E11" w14:textId="4D60B776" w:rsidR="00A906DD" w:rsidRPr="00E376AF" w:rsidRDefault="009A2E2C" w:rsidP="00021EF3">
      <w:pPr>
        <w:pStyle w:val="Source"/>
        <w:rPr>
          <w:lang w:eastAsia="en-AU"/>
        </w:rPr>
      </w:pPr>
      <w:r>
        <w:rPr>
          <w:lang w:eastAsia="en-AU"/>
        </w:rPr>
        <w:t>Source: Business survey.</w:t>
      </w:r>
    </w:p>
    <w:p w14:paraId="6E6EF108" w14:textId="1E3C6A1F" w:rsidR="00CC6A98" w:rsidRDefault="0040777F" w:rsidP="00021EF3">
      <w:pPr>
        <w:pStyle w:val="AppendixChartCaption"/>
      </w:pPr>
      <w:r>
        <w:lastRenderedPageBreak/>
        <w:t>:</w:t>
      </w:r>
      <w:r w:rsidR="00CC6A98">
        <w:t xml:space="preserve"> Distribution of grant amounts received by individual respondents (BCAP)</w:t>
      </w:r>
      <w:r w:rsidR="009136CE">
        <w:t>.</w:t>
      </w:r>
    </w:p>
    <w:p w14:paraId="6C71CDE5" w14:textId="5C03F95B" w:rsidR="00CC6A98" w:rsidRDefault="00C01B6A" w:rsidP="00021EF3">
      <w:pPr>
        <w:pStyle w:val="Source"/>
        <w:rPr>
          <w:lang w:eastAsia="en-AU"/>
        </w:rPr>
      </w:pPr>
      <w:r w:rsidRPr="00C01B6A">
        <w:rPr>
          <w:noProof/>
        </w:rPr>
        <w:drawing>
          <wp:inline distT="0" distB="0" distL="0" distR="0" wp14:anchorId="30F92DCF" wp14:editId="1003202F">
            <wp:extent cx="5432400" cy="2329200"/>
            <wp:effectExtent l="0" t="0" r="0" b="0"/>
            <wp:docPr id="1489793643" name="Picture 1489793643" descr="This stacked bar chart shows the distribution of grant amounts each respondent received for BCAP. Majority of respondents (62 per cent) received less than $29,999, while 16 per cent received $40,000 or mo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93643" name="Picture 1489793643" descr="This stacked bar chart shows the distribution of grant amounts each respondent received for BCAP. Majority of respondents (62 per cent) received less than $29,999, while 16 per cent received $40,000 or mo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32400" cy="2329200"/>
                    </a:xfrm>
                    <a:prstGeom prst="rect">
                      <a:avLst/>
                    </a:prstGeom>
                    <a:noFill/>
                    <a:ln>
                      <a:noFill/>
                    </a:ln>
                  </pic:spPr>
                </pic:pic>
              </a:graphicData>
            </a:graphic>
          </wp:inline>
        </w:drawing>
      </w:r>
    </w:p>
    <w:p w14:paraId="6F60AACF" w14:textId="6D18E834" w:rsidR="00CC6A98" w:rsidRPr="00CC6A98" w:rsidRDefault="00CC6A98" w:rsidP="00021EF3">
      <w:pPr>
        <w:pStyle w:val="Source"/>
        <w:rPr>
          <w:lang w:eastAsia="en-AU"/>
        </w:rPr>
      </w:pPr>
      <w:r>
        <w:rPr>
          <w:lang w:eastAsia="en-AU"/>
        </w:rPr>
        <w:t>Source: Business survey.</w:t>
      </w:r>
    </w:p>
    <w:p w14:paraId="0BDED6CF" w14:textId="5FCF688D" w:rsidR="00DD18D1" w:rsidRDefault="0040777F" w:rsidP="00021EF3">
      <w:pPr>
        <w:pStyle w:val="AppendixChartCaption"/>
      </w:pPr>
      <w:r>
        <w:t>:</w:t>
      </w:r>
      <w:r w:rsidR="00DD18D1">
        <w:t xml:space="preserve"> Distribution of grant amounts received by individual respondents (LHVF)</w:t>
      </w:r>
      <w:r w:rsidR="009136CE">
        <w:t>.</w:t>
      </w:r>
    </w:p>
    <w:p w14:paraId="75C3728F" w14:textId="6595D2A6" w:rsidR="00DD18D1" w:rsidRDefault="007E0300" w:rsidP="00021EF3">
      <w:pPr>
        <w:rPr>
          <w:lang w:eastAsia="en-AU"/>
        </w:rPr>
      </w:pPr>
      <w:r w:rsidRPr="007E0300">
        <w:rPr>
          <w:noProof/>
        </w:rPr>
        <w:drawing>
          <wp:inline distT="0" distB="0" distL="0" distR="0" wp14:anchorId="4E7F1733" wp14:editId="09B6AB9A">
            <wp:extent cx="5428800" cy="2340000"/>
            <wp:effectExtent l="0" t="0" r="635" b="3175"/>
            <wp:docPr id="1489793644" name="Picture 1489793644" descr="This stacked bar chart shows the distribution of grant amounts each respondent received for LHVF. Majority of respondents (67 per cent) received less than $74,999, while 21 per cent received $100,000 or more. 12 per cent of respondents were unsure how much they recei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93644" name="Picture 1489793644" descr="This stacked bar chart shows the distribution of grant amounts each respondent received for LHVF. Majority of respondents (67 per cent) received less than $74,999, while 21 per cent received $100,000 or more. 12 per cent of respondents were unsure how much they receiv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8800" cy="2340000"/>
                    </a:xfrm>
                    <a:prstGeom prst="rect">
                      <a:avLst/>
                    </a:prstGeom>
                    <a:noFill/>
                    <a:ln>
                      <a:noFill/>
                    </a:ln>
                  </pic:spPr>
                </pic:pic>
              </a:graphicData>
            </a:graphic>
          </wp:inline>
        </w:drawing>
      </w:r>
    </w:p>
    <w:p w14:paraId="7BBF0521" w14:textId="32AFA66D" w:rsidR="00DD18D1" w:rsidRPr="00DD18D1" w:rsidRDefault="00DD18D1" w:rsidP="00021EF3">
      <w:pPr>
        <w:pStyle w:val="Source"/>
        <w:rPr>
          <w:lang w:eastAsia="en-AU"/>
        </w:rPr>
      </w:pPr>
      <w:r>
        <w:rPr>
          <w:lang w:eastAsia="en-AU"/>
        </w:rPr>
        <w:t>Source: Business survey</w:t>
      </w:r>
    </w:p>
    <w:p w14:paraId="3B376213" w14:textId="3C51AA1C" w:rsidR="00F378E3" w:rsidRDefault="0040777F" w:rsidP="00021EF3">
      <w:pPr>
        <w:pStyle w:val="AppendixChartCaption"/>
      </w:pPr>
      <w:r>
        <w:t>:</w:t>
      </w:r>
      <w:r w:rsidR="00F378E3">
        <w:t xml:space="preserve"> Share of respondents who received support from alternate government interventions</w:t>
      </w:r>
      <w:r w:rsidR="009136CE">
        <w:t>.</w:t>
      </w:r>
    </w:p>
    <w:p w14:paraId="6268C6FB" w14:textId="52C270AF" w:rsidR="007D2307" w:rsidRDefault="00CD16D3" w:rsidP="00021EF3">
      <w:pPr>
        <w:rPr>
          <w:lang w:eastAsia="en-AU"/>
        </w:rPr>
      </w:pPr>
      <w:r w:rsidRPr="00CD16D3">
        <w:rPr>
          <w:noProof/>
        </w:rPr>
        <w:drawing>
          <wp:inline distT="0" distB="0" distL="0" distR="0" wp14:anchorId="0F65CD7E" wp14:editId="5925BADE">
            <wp:extent cx="5432400" cy="2354400"/>
            <wp:effectExtent l="0" t="0" r="0" b="8255"/>
            <wp:docPr id="1489793645" name="Picture 1489793645" descr="This stacked bar chart shows the share of respondents who received support from alternate government interventions. For LHVF, 55 per cent of respondents received support from additional government interventions. For BCAP, the share was 29 per c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93645" name="Picture 1489793645" descr="This stacked bar chart shows the share of respondents who received support from alternate government interventions. For LHVF, 55 per cent of respondents received support from additional government interventions. For BCAP, the share was 29 per c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32400" cy="2354400"/>
                    </a:xfrm>
                    <a:prstGeom prst="rect">
                      <a:avLst/>
                    </a:prstGeom>
                    <a:noFill/>
                    <a:ln>
                      <a:noFill/>
                    </a:ln>
                  </pic:spPr>
                </pic:pic>
              </a:graphicData>
            </a:graphic>
          </wp:inline>
        </w:drawing>
      </w:r>
    </w:p>
    <w:p w14:paraId="434C4704" w14:textId="77777777" w:rsidR="007D2307" w:rsidRDefault="007D2307" w:rsidP="00021EF3">
      <w:pPr>
        <w:pStyle w:val="Source"/>
        <w:rPr>
          <w:lang w:eastAsia="en-AU"/>
        </w:rPr>
      </w:pPr>
      <w:r>
        <w:rPr>
          <w:lang w:eastAsia="en-AU"/>
        </w:rPr>
        <w:t>Source: Business survey.</w:t>
      </w:r>
    </w:p>
    <w:p w14:paraId="73F204BF" w14:textId="77777777" w:rsidR="007D2307" w:rsidRPr="007D2307" w:rsidRDefault="007D2307" w:rsidP="00021EF3">
      <w:pPr>
        <w:rPr>
          <w:lang w:eastAsia="en-AU"/>
        </w:rPr>
      </w:pPr>
    </w:p>
    <w:p w14:paraId="27AE17CF" w14:textId="439ED4BF" w:rsidR="005D3736" w:rsidRPr="005D3736" w:rsidRDefault="00F378E3" w:rsidP="00021EF3">
      <w:pPr>
        <w:pStyle w:val="AppendixChartCaption"/>
      </w:pPr>
      <w:r>
        <w:lastRenderedPageBreak/>
        <w:t xml:space="preserve">: </w:t>
      </w:r>
      <w:r w:rsidR="00064A6D">
        <w:t xml:space="preserve">Share of business survey respondents whose businesses were operating </w:t>
      </w:r>
      <w:r w:rsidR="00857B87">
        <w:t>as of July 2024</w:t>
      </w:r>
      <w:r w:rsidR="009136CE">
        <w:t>.</w:t>
      </w:r>
    </w:p>
    <w:p w14:paraId="74DD3C6B" w14:textId="33617B5D" w:rsidR="00924B12" w:rsidRDefault="004B52EA" w:rsidP="00021EF3">
      <w:r w:rsidRPr="004B52EA">
        <w:rPr>
          <w:noProof/>
        </w:rPr>
        <w:drawing>
          <wp:inline distT="0" distB="0" distL="0" distR="0" wp14:anchorId="0BDB5474" wp14:editId="10D3A8A0">
            <wp:extent cx="5432400" cy="2350800"/>
            <wp:effectExtent l="0" t="0" r="0" b="0"/>
            <wp:docPr id="1489793646" name="Picture 1489793646" descr="This column chart shows the share of business survey respondents whose business was operating as of July 2024. 84 per cent of BCAP respondents and 83% of LHVF respondents were still operating in July 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93646" name="Picture 1489793646" descr="This column chart shows the share of business survey respondents whose business was operating as of July 2024. 84 per cent of BCAP respondents and 83% of LHVF respondents were still operating in July 20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32400" cy="2350800"/>
                    </a:xfrm>
                    <a:prstGeom prst="rect">
                      <a:avLst/>
                    </a:prstGeom>
                    <a:noFill/>
                    <a:ln>
                      <a:noFill/>
                    </a:ln>
                  </pic:spPr>
                </pic:pic>
              </a:graphicData>
            </a:graphic>
          </wp:inline>
        </w:drawing>
      </w:r>
    </w:p>
    <w:p w14:paraId="111464CD" w14:textId="4369E627" w:rsidR="005D3736" w:rsidRDefault="005D3736" w:rsidP="00021EF3">
      <w:pPr>
        <w:pStyle w:val="Source"/>
      </w:pPr>
      <w:r>
        <w:t xml:space="preserve">Source: Business </w:t>
      </w:r>
      <w:r w:rsidR="00405F39">
        <w:t>survey</w:t>
      </w:r>
      <w:r w:rsidR="00487A2B">
        <w:t>.</w:t>
      </w:r>
    </w:p>
    <w:p w14:paraId="1FE94088" w14:textId="492B48A4" w:rsidR="00924B12" w:rsidRDefault="00487A2B" w:rsidP="00021EF3">
      <w:pPr>
        <w:pStyle w:val="AppendixChartCaption"/>
      </w:pPr>
      <w:r>
        <w:t>:</w:t>
      </w:r>
      <w:r w:rsidR="00665F18">
        <w:t xml:space="preserve"> </w:t>
      </w:r>
      <w:r w:rsidR="00303A90">
        <w:t xml:space="preserve">Number of </w:t>
      </w:r>
      <w:r w:rsidR="001137D0">
        <w:t xml:space="preserve">reported </w:t>
      </w:r>
      <w:r w:rsidR="00303A90">
        <w:t>business closures over time</w:t>
      </w:r>
      <w:r w:rsidR="009136CE">
        <w:t>.</w:t>
      </w:r>
    </w:p>
    <w:p w14:paraId="7B0E3F13" w14:textId="1F13F628" w:rsidR="00517355" w:rsidRDefault="004B52EA" w:rsidP="00021EF3">
      <w:pPr>
        <w:rPr>
          <w:lang w:eastAsia="en-AU"/>
        </w:rPr>
      </w:pPr>
      <w:r w:rsidRPr="004B52EA">
        <w:rPr>
          <w:noProof/>
        </w:rPr>
        <w:drawing>
          <wp:inline distT="0" distB="0" distL="0" distR="0" wp14:anchorId="4FFB7EBC" wp14:editId="0130BA4E">
            <wp:extent cx="5421600" cy="2340000"/>
            <wp:effectExtent l="0" t="0" r="8255" b="3175"/>
            <wp:docPr id="1489793647" name="Picture 1489793647" descr="This column chart shows the number of business closures overtime between January 2020 and December 2024 at six-monthly intervals for BCAP and LHVF survey respondents. These figures are self-reported. For BCAP, approximately 3 businesses closed each six month period between July 2021 and December 2021, before peaking at 6 businesses between January and June 2024. For LHVF, a slow increase in the number of businesses that closed was observed between July 2020 and June 2024 (on a six-monthly basis), peaking in July to December 2022 at 8 businesses closing, before dropping to 5 in Jun 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93647" name="Picture 1489793647" descr="This column chart shows the number of business closures overtime between January 2020 and December 2024 at six-monthly intervals for BCAP and LHVF survey respondents. These figures are self-reported. For BCAP, approximately 3 businesses closed each six month period between July 2021 and December 2021, before peaking at 6 businesses between January and June 2024. For LHVF, a slow increase in the number of businesses that closed was observed between July 2020 and June 2024 (on a six-monthly basis), peaking in July to December 2022 at 8 businesses closing, before dropping to 5 in Jun 20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1600" cy="2340000"/>
                    </a:xfrm>
                    <a:prstGeom prst="rect">
                      <a:avLst/>
                    </a:prstGeom>
                    <a:noFill/>
                    <a:ln>
                      <a:noFill/>
                    </a:ln>
                  </pic:spPr>
                </pic:pic>
              </a:graphicData>
            </a:graphic>
          </wp:inline>
        </w:drawing>
      </w:r>
    </w:p>
    <w:p w14:paraId="58A68EA8" w14:textId="5FCAA019" w:rsidR="006054D8" w:rsidRDefault="00922B00" w:rsidP="00021EF3">
      <w:pPr>
        <w:pStyle w:val="Source"/>
        <w:rPr>
          <w:lang w:eastAsia="en-AU"/>
        </w:rPr>
      </w:pPr>
      <w:r>
        <w:rPr>
          <w:lang w:eastAsia="en-AU"/>
        </w:rPr>
        <w:t>Source: Business survey</w:t>
      </w:r>
      <w:r w:rsidR="00487A2B">
        <w:rPr>
          <w:lang w:eastAsia="en-AU"/>
        </w:rPr>
        <w:t>.</w:t>
      </w:r>
    </w:p>
    <w:p w14:paraId="6946382A" w14:textId="1AE74E1A" w:rsidR="0086425E" w:rsidRDefault="00627A8E" w:rsidP="00021EF3">
      <w:pPr>
        <w:pStyle w:val="Heading2"/>
        <w:rPr>
          <w:lang w:eastAsia="en-AU"/>
        </w:rPr>
      </w:pPr>
      <w:bookmarkStart w:id="621" w:name="_Toc174118202"/>
      <w:bookmarkStart w:id="622" w:name="_Toc176516324"/>
      <w:r>
        <w:rPr>
          <w:lang w:eastAsia="en-AU"/>
        </w:rPr>
        <w:t>Outcomes</w:t>
      </w:r>
      <w:bookmarkEnd w:id="621"/>
      <w:bookmarkEnd w:id="622"/>
    </w:p>
    <w:p w14:paraId="4093DE10" w14:textId="1E3BA2B2" w:rsidR="006C29B8" w:rsidRDefault="00487A2B" w:rsidP="00021EF3">
      <w:pPr>
        <w:pStyle w:val="AppendixChartCaption"/>
      </w:pPr>
      <w:r>
        <w:t>:</w:t>
      </w:r>
      <w:r w:rsidR="001D7B32">
        <w:t xml:space="preserve"> Impact of COVID-19 on operating revenue of respondents</w:t>
      </w:r>
      <w:r w:rsidR="009136CE">
        <w:t>.</w:t>
      </w:r>
    </w:p>
    <w:p w14:paraId="1759D89F" w14:textId="2E536B2B" w:rsidR="00D26103" w:rsidRDefault="004B52EA" w:rsidP="00021EF3">
      <w:pPr>
        <w:rPr>
          <w:lang w:eastAsia="en-AU"/>
        </w:rPr>
      </w:pPr>
      <w:r w:rsidRPr="004B52EA">
        <w:rPr>
          <w:noProof/>
        </w:rPr>
        <w:drawing>
          <wp:inline distT="0" distB="0" distL="0" distR="0" wp14:anchorId="42CEC366" wp14:editId="58F4D46C">
            <wp:extent cx="5396400" cy="2350800"/>
            <wp:effectExtent l="0" t="0" r="0" b="0"/>
            <wp:docPr id="1489793648" name="Picture 1489793648" descr="This column chart shows the impact of COVID-19 on operating revenue of respondents. For both BCAP and LHVF, approximately 57 per cent of business survey respondents experienced a significant reduction in operating revenue during restrictions. A further 41 per cent of LHVF and BCAP business survey respondents were unable to operate and therefore generated no revenue during restri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93648" name="Picture 1489793648" descr="This column chart shows the impact of COVID-19 on operating revenue of respondents. For both BCAP and LHVF, approximately 57 per cent of business survey respondents experienced a significant reduction in operating revenue during restrictions. A further 41 per cent of LHVF and BCAP business survey respondents were unable to operate and therefore generated no revenue during restriction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6400" cy="2350800"/>
                    </a:xfrm>
                    <a:prstGeom prst="rect">
                      <a:avLst/>
                    </a:prstGeom>
                    <a:noFill/>
                    <a:ln>
                      <a:noFill/>
                    </a:ln>
                  </pic:spPr>
                </pic:pic>
              </a:graphicData>
            </a:graphic>
          </wp:inline>
        </w:drawing>
      </w:r>
    </w:p>
    <w:p w14:paraId="3841C085" w14:textId="35EDDAAF" w:rsidR="00D26103" w:rsidRDefault="00D26103" w:rsidP="00021EF3">
      <w:pPr>
        <w:pStyle w:val="Source"/>
        <w:rPr>
          <w:lang w:eastAsia="en-AU"/>
        </w:rPr>
      </w:pPr>
      <w:r>
        <w:rPr>
          <w:lang w:eastAsia="en-AU"/>
        </w:rPr>
        <w:t>Source: Business survey</w:t>
      </w:r>
      <w:r w:rsidR="00487A2B">
        <w:rPr>
          <w:lang w:eastAsia="en-AU"/>
        </w:rPr>
        <w:t>.</w:t>
      </w:r>
    </w:p>
    <w:p w14:paraId="198D4179" w14:textId="671EF38A" w:rsidR="0048051B" w:rsidRPr="0048051B" w:rsidRDefault="0040777F" w:rsidP="00021EF3">
      <w:pPr>
        <w:pStyle w:val="AppendixChartCaption"/>
      </w:pPr>
      <w:r>
        <w:lastRenderedPageBreak/>
        <w:t>:</w:t>
      </w:r>
      <w:r w:rsidR="0048051B">
        <w:t xml:space="preserve"> Impact of grants on business survival</w:t>
      </w:r>
      <w:r w:rsidR="009136CE">
        <w:t>.</w:t>
      </w:r>
    </w:p>
    <w:p w14:paraId="64B4350B" w14:textId="52EB9FAF" w:rsidR="0048051B" w:rsidRPr="0048051B" w:rsidRDefault="00F3638C" w:rsidP="00021EF3">
      <w:pPr>
        <w:rPr>
          <w:lang w:eastAsia="en-AU"/>
        </w:rPr>
      </w:pPr>
      <w:r w:rsidRPr="00F3638C">
        <w:rPr>
          <w:noProof/>
        </w:rPr>
        <w:drawing>
          <wp:inline distT="0" distB="0" distL="0" distR="0" wp14:anchorId="09AEA9DF" wp14:editId="6A791F44">
            <wp:extent cx="5396400" cy="2350800"/>
            <wp:effectExtent l="0" t="0" r="0" b="0"/>
            <wp:docPr id="1489793649" name="Picture 1489793649" descr="This column chart shows the impact of the BCAP and LHVF grants on business survival. Without the grants, 85 per cent of BCAP recipients and 88 per cent of LHVF recipients' Victorian operations would have had to fully or partially cease without the grants. 7 per cent of BCAP and 6 per cent of LHVF recipients' operations would have continued regardl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93649" name="Picture 1489793649" descr="This column chart shows the impact of the BCAP and LHVF grants on business survival. Without the grants, 85 per cent of BCAP recipients and 88 per cent of LHVF recipients' Victorian operations would have had to fully or partially cease without the grants. 7 per cent of BCAP and 6 per cent of LHVF recipients' operations would have continued regardles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6400" cy="2350800"/>
                    </a:xfrm>
                    <a:prstGeom prst="rect">
                      <a:avLst/>
                    </a:prstGeom>
                    <a:noFill/>
                    <a:ln>
                      <a:noFill/>
                    </a:ln>
                  </pic:spPr>
                </pic:pic>
              </a:graphicData>
            </a:graphic>
          </wp:inline>
        </w:drawing>
      </w:r>
    </w:p>
    <w:p w14:paraId="55BDBD70" w14:textId="36B436FA" w:rsidR="001D7B32" w:rsidRDefault="00487A2B" w:rsidP="00021EF3">
      <w:pPr>
        <w:pStyle w:val="AppendixChartCaption"/>
      </w:pPr>
      <w:bookmarkStart w:id="623" w:name="_Ref173309597"/>
      <w:r>
        <w:t>:</w:t>
      </w:r>
      <w:r w:rsidR="00630378">
        <w:t xml:space="preserve"> </w:t>
      </w:r>
      <w:r w:rsidR="004F31D9" w:rsidRPr="004F31D9">
        <w:t xml:space="preserve">Number of businesses indicating the grants provided specific types of </w:t>
      </w:r>
      <w:bookmarkEnd w:id="623"/>
      <w:r w:rsidR="004F31D9" w:rsidRPr="004F31D9">
        <w:t>support</w:t>
      </w:r>
      <w:r w:rsidR="009136CE">
        <w:t>.</w:t>
      </w:r>
    </w:p>
    <w:p w14:paraId="00A78EFD" w14:textId="77777777" w:rsidR="007E474A" w:rsidRDefault="00F041D9" w:rsidP="00021EF3">
      <w:pPr>
        <w:pStyle w:val="Source"/>
      </w:pPr>
      <w:r w:rsidRPr="00F041D9">
        <w:rPr>
          <w:noProof/>
        </w:rPr>
        <w:drawing>
          <wp:inline distT="0" distB="0" distL="0" distR="0" wp14:anchorId="2D4721F8" wp14:editId="4225269A">
            <wp:extent cx="5400000" cy="2340000"/>
            <wp:effectExtent l="0" t="0" r="0" b="0"/>
            <wp:docPr id="29" name="Picture 29" descr="This bar chart shows the number of businesses who indicated in the business survey the types of support provided by the grants. For 141 BCAP recipient respondents and 165 LHVF recipient respondents, the grants enabled businesses to cover costs. For 90 BCAP recipient respondents and 139 LHVF recipient respondents, the grants enabled businesses to retain staff and pay wages. Other support afforded by the grants included that it enabled the business to more quickly stabilise after restrictions lifted, to increase investment, to access financial, legal or other advice needed at the time, and to increase the number of staff employ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This bar chart shows the number of businesses who indicated in the business survey the types of support provided by the grants. For 141 BCAP recipient respondents and 165 LHVF recipient respondents, the grants enabled businesses to cover costs. For 90 BCAP recipient respondents and 139 LHVF recipient respondents, the grants enabled businesses to retain staff and pay wages. Other support afforded by the grants included that it enabled the business to more quickly stabilise after restrictions lifted, to increase investment, to access financial, legal or other advice needed at the time, and to increase the number of staff employ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00" cy="2340000"/>
                    </a:xfrm>
                    <a:prstGeom prst="rect">
                      <a:avLst/>
                    </a:prstGeom>
                    <a:noFill/>
                    <a:ln>
                      <a:noFill/>
                    </a:ln>
                  </pic:spPr>
                </pic:pic>
              </a:graphicData>
            </a:graphic>
          </wp:inline>
        </w:drawing>
      </w:r>
      <w:bookmarkStart w:id="624" w:name="_Hlk174004718"/>
    </w:p>
    <w:p w14:paraId="7F9ADA12" w14:textId="54349792" w:rsidR="00BF719F" w:rsidRDefault="00BF719F" w:rsidP="00021EF3">
      <w:pPr>
        <w:pStyle w:val="Source"/>
      </w:pPr>
      <w:r>
        <w:t xml:space="preserve">Source: </w:t>
      </w:r>
      <w:r w:rsidRPr="00DC7E7B">
        <w:t>Business</w:t>
      </w:r>
      <w:r>
        <w:t xml:space="preserve"> </w:t>
      </w:r>
      <w:r w:rsidRPr="00DC7E7B">
        <w:t>survey</w:t>
      </w:r>
      <w:r w:rsidR="00487A2B">
        <w:t>.</w:t>
      </w:r>
      <w:bookmarkEnd w:id="624"/>
    </w:p>
    <w:p w14:paraId="73EDE0BF" w14:textId="19F3E2FF" w:rsidR="00E55942" w:rsidRPr="00E55942" w:rsidRDefault="00B1067F" w:rsidP="00021EF3">
      <w:pPr>
        <w:pStyle w:val="AppendixChartCaption"/>
      </w:pPr>
      <w:r>
        <w:t>:</w:t>
      </w:r>
      <w:r w:rsidR="00DD51E1">
        <w:t xml:space="preserve"> </w:t>
      </w:r>
      <w:r w:rsidR="00527D50">
        <w:t>Total wage uplift attributable to grants</w:t>
      </w:r>
      <w:r w:rsidR="009136CE">
        <w:t>.</w:t>
      </w:r>
    </w:p>
    <w:p w14:paraId="2315C9E4" w14:textId="2E5F0666" w:rsidR="00527D50" w:rsidRDefault="00F3638C" w:rsidP="00021EF3">
      <w:pPr>
        <w:rPr>
          <w:lang w:eastAsia="en-AU"/>
        </w:rPr>
      </w:pPr>
      <w:r w:rsidRPr="00F3638C">
        <w:rPr>
          <w:noProof/>
        </w:rPr>
        <w:drawing>
          <wp:inline distT="0" distB="0" distL="0" distR="0" wp14:anchorId="02657A12" wp14:editId="00D2F56F">
            <wp:extent cx="5432400" cy="2365200"/>
            <wp:effectExtent l="0" t="0" r="0" b="0"/>
            <wp:docPr id="1489793650" name="Picture 1489793650" descr="This bar chart shows the total wage uplift for BCAP and LHVF businesses attributable to the grants. Majority of BCAP grant recipients (76 per cent) experienced a wage uplift of up to 60 per cent, with 32 per cent experiencing a wage uplift between 1-19 per cent. Majority of LHVF grant recipients (70 per cent) experienced a wage uplift of up to 60 per cent, with a larger share experiencing a higher uplift in wages than BCAP recipi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93650" name="Picture 1489793650" descr="This bar chart shows the total wage uplift for BCAP and LHVF businesses attributable to the grants. Majority of BCAP grant recipients (76 per cent) experienced a wage uplift of up to 60 per cent, with 32 per cent experiencing a wage uplift between 1-19 per cent. Majority of LHVF grant recipients (70 per cent) experienced a wage uplift of up to 60 per cent, with a larger share experiencing a higher uplift in wages than BCAP recipient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2400" cy="2365200"/>
                    </a:xfrm>
                    <a:prstGeom prst="rect">
                      <a:avLst/>
                    </a:prstGeom>
                    <a:noFill/>
                    <a:ln>
                      <a:noFill/>
                    </a:ln>
                  </pic:spPr>
                </pic:pic>
              </a:graphicData>
            </a:graphic>
          </wp:inline>
        </w:drawing>
      </w:r>
    </w:p>
    <w:p w14:paraId="1F1E97EB" w14:textId="73B6E28B" w:rsidR="00527D50" w:rsidRDefault="00527D50" w:rsidP="00021EF3">
      <w:pPr>
        <w:pStyle w:val="Source"/>
        <w:rPr>
          <w:lang w:eastAsia="en-AU"/>
        </w:rPr>
      </w:pPr>
      <w:r>
        <w:rPr>
          <w:lang w:eastAsia="en-AU"/>
        </w:rPr>
        <w:t>Source: Business survey.</w:t>
      </w:r>
    </w:p>
    <w:p w14:paraId="64F7419F" w14:textId="09B4B704" w:rsidR="00A266CF" w:rsidRPr="00A266CF" w:rsidRDefault="003C4065" w:rsidP="00021EF3">
      <w:pPr>
        <w:pStyle w:val="AppendixChartCaption"/>
      </w:pPr>
      <w:r>
        <w:lastRenderedPageBreak/>
        <w:t>: Impact of grants on business FTE</w:t>
      </w:r>
      <w:r w:rsidR="009136CE">
        <w:t>.</w:t>
      </w:r>
    </w:p>
    <w:p w14:paraId="63150007" w14:textId="355201A0" w:rsidR="003C4065" w:rsidRDefault="0001617E" w:rsidP="00021EF3">
      <w:pPr>
        <w:rPr>
          <w:lang w:eastAsia="en-AU"/>
        </w:rPr>
      </w:pPr>
      <w:r w:rsidRPr="0001617E">
        <w:rPr>
          <w:noProof/>
        </w:rPr>
        <w:drawing>
          <wp:inline distT="0" distB="0" distL="0" distR="0" wp14:anchorId="609FDCDE" wp14:editId="0B148D45">
            <wp:extent cx="5431155" cy="2341245"/>
            <wp:effectExtent l="0" t="0" r="0" b="1905"/>
            <wp:docPr id="1489793651" name="Picture 1489793651" descr="This stacked bar share shows the impact of grants on business FTE for LHVF and BCAP. The grants had a very significant or significant impact on FTE for 56 per cent of LHVF recipients, but only 33 per cent of BCAP recipients. However the share of BCAP recipients for which this type of was not applicable was larger than for LHVF (32 per cent for BCAP, compared to 7 per cent for LHVF). This was because they were sole tr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51" name="Picture 1489793651" descr="This stacked bar share shows the impact of grants on business FTE for LHVF and BCAP. The grants had a very significant or significant impact on FTE for 56 per cent of LHVF recipients, but only 33 per cent of BCAP recipients. However the share of BCAP recipients for which this type of was not applicable was larger than for LHVF (32 per cent for BCAP, compared to 7 per cent for LHVF). This was because they were sole trader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31155" cy="2341245"/>
                    </a:xfrm>
                    <a:prstGeom prst="rect">
                      <a:avLst/>
                    </a:prstGeom>
                    <a:noFill/>
                    <a:ln>
                      <a:noFill/>
                    </a:ln>
                  </pic:spPr>
                </pic:pic>
              </a:graphicData>
            </a:graphic>
          </wp:inline>
        </w:drawing>
      </w:r>
    </w:p>
    <w:p w14:paraId="245620B2" w14:textId="65D84668" w:rsidR="003C4065" w:rsidRPr="003C4065" w:rsidRDefault="003C4065" w:rsidP="00021EF3">
      <w:pPr>
        <w:pStyle w:val="Source"/>
        <w:rPr>
          <w:lang w:eastAsia="en-AU"/>
        </w:rPr>
      </w:pPr>
      <w:r>
        <w:rPr>
          <w:lang w:eastAsia="en-AU"/>
        </w:rPr>
        <w:t>Source: Business survey</w:t>
      </w:r>
    </w:p>
    <w:p w14:paraId="76D2D031" w14:textId="1B3B62B7" w:rsidR="00527D50" w:rsidRPr="00527D50" w:rsidRDefault="00DC7EC2" w:rsidP="00021EF3">
      <w:pPr>
        <w:pStyle w:val="AppendixChartCaption"/>
      </w:pPr>
      <w:r>
        <w:t>: Impact of grants on respondent’s operating revenue</w:t>
      </w:r>
      <w:r w:rsidR="009136CE">
        <w:t>.</w:t>
      </w:r>
    </w:p>
    <w:p w14:paraId="7872DAB1" w14:textId="4FFC71FC" w:rsidR="00DC7EC2" w:rsidRDefault="0001617E" w:rsidP="00021EF3">
      <w:pPr>
        <w:rPr>
          <w:lang w:eastAsia="en-AU"/>
        </w:rPr>
      </w:pPr>
      <w:r w:rsidRPr="0001617E">
        <w:rPr>
          <w:noProof/>
        </w:rPr>
        <w:drawing>
          <wp:inline distT="0" distB="0" distL="0" distR="0" wp14:anchorId="32FEA27C" wp14:editId="614287EA">
            <wp:extent cx="5417185" cy="2341245"/>
            <wp:effectExtent l="0" t="0" r="0" b="1905"/>
            <wp:docPr id="1489793652" name="Picture 1489793652" descr="This column chart shows the impact of the grants on operating revenue. 67 per cent of respondents receiving BCAP grants believed the impact on operating revenue was significant or very significant, and that the business would have closed down or been significantly lower without the support of the grants. This share was higher for LHVF respondents at 73 per cent of respondents. 17 per cent of BCAP respondents and 10 per cent of LHVF respondents said the impact was moderate, while approximately 5 per cent of each said there was no impact on operating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52" name="Picture 1489793652" descr="This column chart shows the impact of the grants on operating revenue. 67 per cent of respondents receiving BCAP grants believed the impact on operating revenue was significant or very significant, and that the business would have closed down or been significantly lower without the support of the grants. This share was higher for LHVF respondents at 73 per cent of respondents. 17 per cent of BCAP respondents and 10 per cent of LHVF respondents said the impact was moderate, while approximately 5 per cent of each said there was no impact on operating revenu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7185" cy="2341245"/>
                    </a:xfrm>
                    <a:prstGeom prst="rect">
                      <a:avLst/>
                    </a:prstGeom>
                    <a:noFill/>
                    <a:ln>
                      <a:noFill/>
                    </a:ln>
                  </pic:spPr>
                </pic:pic>
              </a:graphicData>
            </a:graphic>
          </wp:inline>
        </w:drawing>
      </w:r>
    </w:p>
    <w:p w14:paraId="6662EA5C" w14:textId="1262F001" w:rsidR="00DC7EC2" w:rsidRPr="00DC7EC2" w:rsidRDefault="00DC7EC2" w:rsidP="00021EF3">
      <w:pPr>
        <w:pStyle w:val="Source"/>
        <w:rPr>
          <w:lang w:eastAsia="en-AU"/>
        </w:rPr>
      </w:pPr>
      <w:r>
        <w:rPr>
          <w:lang w:eastAsia="en-AU"/>
        </w:rPr>
        <w:t>Source: Business survey</w:t>
      </w:r>
      <w:r w:rsidR="00DC7E7B">
        <w:rPr>
          <w:lang w:eastAsia="en-AU"/>
        </w:rPr>
        <w:t>.</w:t>
      </w:r>
    </w:p>
    <w:p w14:paraId="7C566A94" w14:textId="7F07B027" w:rsidR="001F234F" w:rsidRPr="001F234F" w:rsidRDefault="003B3540" w:rsidP="00021EF3">
      <w:pPr>
        <w:pStyle w:val="AppendixChartCaption"/>
      </w:pPr>
      <w:r>
        <w:t>: Uplift in business operating revenue attributable to grants</w:t>
      </w:r>
      <w:r w:rsidR="009136CE">
        <w:t>.</w:t>
      </w:r>
    </w:p>
    <w:p w14:paraId="120C13CA" w14:textId="25341FB9" w:rsidR="00E9228A" w:rsidRDefault="000B4447" w:rsidP="00021EF3">
      <w:pPr>
        <w:rPr>
          <w:lang w:eastAsia="en-AU"/>
        </w:rPr>
      </w:pPr>
      <w:r w:rsidRPr="000B4447">
        <w:rPr>
          <w:noProof/>
        </w:rPr>
        <w:drawing>
          <wp:inline distT="0" distB="0" distL="0" distR="0" wp14:anchorId="6B990BC9" wp14:editId="55950CD5">
            <wp:extent cx="5417185" cy="2341245"/>
            <wp:effectExtent l="0" t="0" r="0" b="1905"/>
            <wp:docPr id="1489793653" name="Picture 1489793653" descr="This column chart shows the impact of the grants on operating revenue. 67 per cent of respondents receiving BCAP grants believed the impact on operating revenue was significant or very significant, and that the business would have closed down or been significantly lower without the support of the grants. This share was higher for LHVF respondents at 73 per cent of respondents. 17 per cent of BCAP respondents and 10 per cent of LHVF respondents said the impact was moderate, while approximately 5 per cent of each said there was no impact on operating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53" name="Picture 1489793653" descr="This column chart shows the impact of the grants on operating revenue. 67 per cent of respondents receiving BCAP grants believed the impact on operating revenue was significant or very significant, and that the business would have closed down or been significantly lower without the support of the grants. This share was higher for LHVF respondents at 73 per cent of respondents. 17 per cent of BCAP respondents and 10 per cent of LHVF respondents said the impact was moderate, while approximately 5 per cent of each said there was no impact on operating revenu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7185" cy="2341245"/>
                    </a:xfrm>
                    <a:prstGeom prst="rect">
                      <a:avLst/>
                    </a:prstGeom>
                    <a:noFill/>
                    <a:ln>
                      <a:noFill/>
                    </a:ln>
                  </pic:spPr>
                </pic:pic>
              </a:graphicData>
            </a:graphic>
          </wp:inline>
        </w:drawing>
      </w:r>
    </w:p>
    <w:p w14:paraId="1954BF1B" w14:textId="0C8B50D6" w:rsidR="00E9228A" w:rsidRPr="00E9228A" w:rsidRDefault="00E9228A" w:rsidP="00021EF3">
      <w:pPr>
        <w:pStyle w:val="Source"/>
        <w:rPr>
          <w:lang w:eastAsia="en-AU"/>
        </w:rPr>
      </w:pPr>
      <w:r>
        <w:rPr>
          <w:lang w:eastAsia="en-AU"/>
        </w:rPr>
        <w:t>Source: Business survey.</w:t>
      </w:r>
    </w:p>
    <w:p w14:paraId="23B3F50C" w14:textId="22C5E1B7" w:rsidR="003B3540" w:rsidRPr="003B3540" w:rsidRDefault="00B1067F" w:rsidP="00021EF3">
      <w:pPr>
        <w:pStyle w:val="AppendixChartCaption"/>
      </w:pPr>
      <w:r>
        <w:lastRenderedPageBreak/>
        <w:t>:</w:t>
      </w:r>
      <w:r w:rsidR="003B3540">
        <w:t xml:space="preserve"> </w:t>
      </w:r>
      <w:r w:rsidR="006A1243">
        <w:t>Impact of grants on return to pre-COVID levels of operation</w:t>
      </w:r>
      <w:r w:rsidR="009136CE">
        <w:t>.</w:t>
      </w:r>
    </w:p>
    <w:p w14:paraId="033EE169" w14:textId="01077E24" w:rsidR="006A1243" w:rsidRDefault="006C311D" w:rsidP="00021EF3">
      <w:pPr>
        <w:rPr>
          <w:lang w:eastAsia="en-AU"/>
        </w:rPr>
      </w:pPr>
      <w:r w:rsidRPr="006C311D">
        <w:rPr>
          <w:noProof/>
        </w:rPr>
        <w:drawing>
          <wp:inline distT="0" distB="0" distL="0" distR="0" wp14:anchorId="3C752D74" wp14:editId="02793929">
            <wp:extent cx="5431155" cy="2341245"/>
            <wp:effectExtent l="0" t="0" r="0" b="1905"/>
            <wp:docPr id="1489793660" name="Picture 1489793660" descr="This stacked bar chart shows responses to a question relating to the impact of grants on return to pre-COVID levels of operation.&#10;&#10;For LHVF, 18% of respondents indicated the grants enabled to business to reach or exceed pre-COVID-19 level of operating revenue. 57% indicated the grants helped the business to continue, but did not enable it to reach pre-COVID-19 levels. 19% indicated the grants had no observable impact on the business operating revenue after restrictions ended. 6% indicated they did now know.&#10;&#10;For BCAP, 16% of respondents indicated the grants enabled to business to reach or exceed pre-COVID-19 level of operating revenue. 57% indicated the grants helped the business to continue, but did not enable it to reach pre-COVID-19 levels. 19% indicated the grants had no observable impact on the business operating revenue after restrictions ended. 9% indicated they did now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60" name="Picture 1489793660" descr="This stacked bar chart shows responses to a question relating to the impact of grants on return to pre-COVID levels of operation.&#10;&#10;For LHVF, 18% of respondents indicated the grants enabled to business to reach or exceed pre-COVID-19 level of operating revenue. 57% indicated the grants helped the business to continue, but did not enable it to reach pre-COVID-19 levels. 19% indicated the grants had no observable impact on the business operating revenue after restrictions ended. 6% indicated they did now know.&#10;&#10;For BCAP, 16% of respondents indicated the grants enabled to business to reach or exceed pre-COVID-19 level of operating revenue. 57% indicated the grants helped the business to continue, but did not enable it to reach pre-COVID-19 levels. 19% indicated the grants had no observable impact on the business operating revenue after restrictions ended. 9% indicated they did now kno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31155" cy="2341245"/>
                    </a:xfrm>
                    <a:prstGeom prst="rect">
                      <a:avLst/>
                    </a:prstGeom>
                    <a:noFill/>
                    <a:ln>
                      <a:noFill/>
                    </a:ln>
                  </pic:spPr>
                </pic:pic>
              </a:graphicData>
            </a:graphic>
          </wp:inline>
        </w:drawing>
      </w:r>
    </w:p>
    <w:p w14:paraId="145AA24A" w14:textId="22B7ED61" w:rsidR="00DC7E7B" w:rsidRPr="00DC7E7B" w:rsidRDefault="006A1243" w:rsidP="00021EF3">
      <w:pPr>
        <w:pStyle w:val="Source"/>
        <w:rPr>
          <w:lang w:eastAsia="en-AU"/>
        </w:rPr>
      </w:pPr>
      <w:r>
        <w:rPr>
          <w:lang w:eastAsia="en-AU"/>
        </w:rPr>
        <w:t>Source: Business survey.</w:t>
      </w:r>
    </w:p>
    <w:p w14:paraId="35FFD01D" w14:textId="15200A47" w:rsidR="00592571" w:rsidRPr="00592571" w:rsidRDefault="00B57AAB" w:rsidP="00021EF3">
      <w:pPr>
        <w:pStyle w:val="Heading4"/>
        <w:rPr>
          <w:lang w:eastAsia="en-AU"/>
        </w:rPr>
      </w:pPr>
      <w:r>
        <w:rPr>
          <w:lang w:eastAsia="en-AU"/>
        </w:rPr>
        <w:t>Wellbeing impact of grants</w:t>
      </w:r>
    </w:p>
    <w:p w14:paraId="0B5EE374" w14:textId="5497149F" w:rsidR="005D65F5" w:rsidRPr="004B73F0" w:rsidRDefault="00487A2B" w:rsidP="00021EF3">
      <w:pPr>
        <w:pStyle w:val="AppendixChartCaption"/>
        <w:rPr>
          <w:rFonts w:eastAsiaTheme="minorHAnsi"/>
        </w:rPr>
      </w:pPr>
      <w:r>
        <w:t>:</w:t>
      </w:r>
      <w:r w:rsidR="00F06DCD">
        <w:t xml:space="preserve"> Impact of </w:t>
      </w:r>
      <w:r w:rsidR="00150C6A">
        <w:t>BCAP</w:t>
      </w:r>
      <w:r w:rsidR="00F06DCD">
        <w:t xml:space="preserve"> on respondent wellbeing</w:t>
      </w:r>
      <w:r w:rsidR="009136CE">
        <w:t>.</w:t>
      </w:r>
      <w:r w:rsidR="00207B61" w:rsidRPr="00207B61">
        <w:rPr>
          <w:rFonts w:eastAsiaTheme="minorHAnsi"/>
          <w:noProof/>
        </w:rPr>
        <w:drawing>
          <wp:inline distT="0" distB="0" distL="0" distR="0" wp14:anchorId="7CBF925E" wp14:editId="2EEA8493">
            <wp:extent cx="5389880" cy="2365375"/>
            <wp:effectExtent l="0" t="0" r="1270" b="0"/>
            <wp:docPr id="34" name="Picture 34" descr="This stacked bar chart shows the responses of BCAP recipients to a likert question with multiple statements regrading wellbeing. The key results are as follows:&#10;&#10;74% of respondents agreed the grant supported their ability to comply with restrictions.&#10;&#10;72% of respondents agreed the grant supported the wellbeing of others in the business.&#10;&#10;80% of respondents agreed the grant helped to reduce their stress.&#10;&#10;83% of respondents agreed the grant provided them with a sense of relief.&#10;&#10;80% of respondents agreed the grant made them feel more secure.&#10;&#10;83% of respondents agreed the grant made them feel more 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stacked bar chart shows the responses of BCAP recipients to a likert question with multiple statements regrading wellbeing. The key results are as follows:&#10;&#10;74% of respondents agreed the grant supported their ability to comply with restrictions.&#10;&#10;72% of respondents agreed the grant supported the wellbeing of others in the business.&#10;&#10;80% of respondents agreed the grant helped to reduce their stress.&#10;&#10;83% of respondents agreed the grant provided them with a sense of relief.&#10;&#10;80% of respondents agreed the grant made them feel more secure.&#10;&#10;83% of respondents agreed the grant made them feel more suppor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89880" cy="2365375"/>
                    </a:xfrm>
                    <a:prstGeom prst="rect">
                      <a:avLst/>
                    </a:prstGeom>
                    <a:noFill/>
                    <a:ln>
                      <a:noFill/>
                    </a:ln>
                  </pic:spPr>
                </pic:pic>
              </a:graphicData>
            </a:graphic>
          </wp:inline>
        </w:drawing>
      </w:r>
    </w:p>
    <w:p w14:paraId="3C15E4A7" w14:textId="227436A8" w:rsidR="002D0C59" w:rsidRDefault="001528F7" w:rsidP="00021EF3">
      <w:pPr>
        <w:pStyle w:val="Source"/>
      </w:pPr>
      <w:r>
        <w:t xml:space="preserve"> </w:t>
      </w:r>
      <w:r w:rsidR="002D0C59">
        <w:t xml:space="preserve">Source: Business </w:t>
      </w:r>
      <w:r w:rsidR="00405F39">
        <w:t>survey</w:t>
      </w:r>
      <w:r w:rsidR="00487A2B">
        <w:t>.</w:t>
      </w:r>
    </w:p>
    <w:p w14:paraId="3387BBC8" w14:textId="6EAF2173" w:rsidR="00150C6A" w:rsidRDefault="00487A2B" w:rsidP="00021EF3">
      <w:pPr>
        <w:pStyle w:val="AppendixChartCaption"/>
      </w:pPr>
      <w:r>
        <w:t>:</w:t>
      </w:r>
      <w:r w:rsidR="00150C6A">
        <w:t xml:space="preserve"> Impact of LHVF on respondent wellbeing</w:t>
      </w:r>
      <w:r w:rsidR="009136CE">
        <w:t>.</w:t>
      </w:r>
    </w:p>
    <w:p w14:paraId="017CDFCC" w14:textId="0D53DDC2" w:rsidR="000F2C4B" w:rsidRPr="005235DE" w:rsidRDefault="00037A1A" w:rsidP="00021EF3">
      <w:pPr>
        <w:rPr>
          <w:lang w:eastAsia="en-AU"/>
        </w:rPr>
      </w:pPr>
      <w:r w:rsidRPr="00037A1A">
        <w:rPr>
          <w:noProof/>
        </w:rPr>
        <w:drawing>
          <wp:inline distT="0" distB="0" distL="0" distR="0" wp14:anchorId="73DDBE12" wp14:editId="0963858A">
            <wp:extent cx="5407025" cy="2347595"/>
            <wp:effectExtent l="0" t="0" r="3175" b="0"/>
            <wp:docPr id="44" name="Picture 44" descr="This stacked bar chart shows the responses of LHVF recipients to a likert question with multiple statements regrading wellbeing. The key results are as follows:&#10;&#10;70% of respondents agreed the grant supported their ability to comply with restrictions.&#10;&#10;69% of respondents agreed the grant supported the wellbeing of others in the business.&#10;&#10;71% of respondents agreed the grant helped to reduce their stress.&#10;&#10;78% of respondents agreed the grant provided them with a sense of relief.&#10;&#10;70% of respondents agreed the grant made them feel more secure.&#10;&#10;80% of respondents agreed the grant made them feel more 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stacked bar chart shows the responses of LHVF recipients to a likert question with multiple statements regrading wellbeing. The key results are as follows:&#10;&#10;70% of respondents agreed the grant supported their ability to comply with restrictions.&#10;&#10;69% of respondents agreed the grant supported the wellbeing of others in the business.&#10;&#10;71% of respondents agreed the grant helped to reduce their stress.&#10;&#10;78% of respondents agreed the grant provided them with a sense of relief.&#10;&#10;70% of respondents agreed the grant made them feel more secure.&#10;&#10;80% of respondents agreed the grant made them feel more suppor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7025" cy="2347595"/>
                    </a:xfrm>
                    <a:prstGeom prst="rect">
                      <a:avLst/>
                    </a:prstGeom>
                    <a:noFill/>
                    <a:ln>
                      <a:noFill/>
                    </a:ln>
                  </pic:spPr>
                </pic:pic>
              </a:graphicData>
            </a:graphic>
          </wp:inline>
        </w:drawing>
      </w:r>
    </w:p>
    <w:p w14:paraId="5625C8D6" w14:textId="6FC13824" w:rsidR="00421DFF" w:rsidRDefault="00421DFF" w:rsidP="00021EF3">
      <w:pPr>
        <w:pStyle w:val="Source"/>
        <w:rPr>
          <w:lang w:eastAsia="en-AU"/>
        </w:rPr>
      </w:pPr>
      <w:r>
        <w:rPr>
          <w:lang w:eastAsia="en-AU"/>
        </w:rPr>
        <w:t>Source: Business survey</w:t>
      </w:r>
      <w:r w:rsidR="00487A2B">
        <w:rPr>
          <w:lang w:eastAsia="en-AU"/>
        </w:rPr>
        <w:t>.</w:t>
      </w:r>
    </w:p>
    <w:p w14:paraId="24845C13" w14:textId="00FFF51A" w:rsidR="00F06DCD" w:rsidRDefault="00487A2B" w:rsidP="00021EF3">
      <w:pPr>
        <w:pStyle w:val="AppendixChartCaption"/>
      </w:pPr>
      <w:r>
        <w:lastRenderedPageBreak/>
        <w:t>:</w:t>
      </w:r>
      <w:r w:rsidR="00F06DCD">
        <w:t xml:space="preserve"> Impact of </w:t>
      </w:r>
      <w:r w:rsidR="00FC3734">
        <w:t>BCAP</w:t>
      </w:r>
      <w:r w:rsidR="00F06DCD">
        <w:t xml:space="preserve"> on broader community</w:t>
      </w:r>
      <w:r w:rsidR="009136CE">
        <w:t>.</w:t>
      </w:r>
    </w:p>
    <w:p w14:paraId="1BA05D2F" w14:textId="67965967" w:rsidR="0019268F" w:rsidRDefault="00BF414C" w:rsidP="00021EF3">
      <w:pPr>
        <w:rPr>
          <w:lang w:eastAsia="en-AU"/>
        </w:rPr>
      </w:pPr>
      <w:r w:rsidRPr="00BF414C">
        <w:rPr>
          <w:noProof/>
        </w:rPr>
        <w:drawing>
          <wp:inline distT="0" distB="0" distL="0" distR="0" wp14:anchorId="43531E07" wp14:editId="1D5E386E">
            <wp:extent cx="5431155" cy="2327275"/>
            <wp:effectExtent l="0" t="0" r="0" b="0"/>
            <wp:docPr id="1489793663" name="Picture 1489793663" descr="This stacked bar chart shows responses from BCAP recipients to a Likert scale question regarding increased business confidence within the businesses sector or region. 66% of respondents agreed there was increased confidence, 19% neither agreed nor disagreed and 16% disagreed.&#10;&#10;Additionally, the chart shows 73% of respondents agreed LHVF supported the wellbeing of the community more broadly while 15% neither agreed nor disagreed and 12%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63" name="Picture 1489793663" descr="This stacked bar chart shows responses from BCAP recipients to a Likert scale question regarding increased business confidence within the businesses sector or region. 66% of respondents agreed there was increased confidence, 19% neither agreed nor disagreed and 16% disagreed.&#10;&#10;Additionally, the chart shows 73% of respondents agreed LHVF supported the wellbeing of the community more broadly while 15% neither agreed nor disagreed and 12% disagre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31155" cy="2327275"/>
                    </a:xfrm>
                    <a:prstGeom prst="rect">
                      <a:avLst/>
                    </a:prstGeom>
                    <a:noFill/>
                    <a:ln>
                      <a:noFill/>
                    </a:ln>
                  </pic:spPr>
                </pic:pic>
              </a:graphicData>
            </a:graphic>
          </wp:inline>
        </w:drawing>
      </w:r>
    </w:p>
    <w:p w14:paraId="2ABA7DA1" w14:textId="6CC84E6A" w:rsidR="0019268F" w:rsidRDefault="0019268F" w:rsidP="00021EF3">
      <w:pPr>
        <w:pStyle w:val="Source"/>
        <w:rPr>
          <w:lang w:eastAsia="en-AU"/>
        </w:rPr>
      </w:pPr>
      <w:r>
        <w:rPr>
          <w:lang w:eastAsia="en-AU"/>
        </w:rPr>
        <w:t>Source: Business</w:t>
      </w:r>
      <w:r w:rsidDel="00232B76">
        <w:rPr>
          <w:lang w:eastAsia="en-AU"/>
        </w:rPr>
        <w:t xml:space="preserve"> </w:t>
      </w:r>
      <w:r>
        <w:rPr>
          <w:lang w:eastAsia="en-AU"/>
        </w:rPr>
        <w:t>survey</w:t>
      </w:r>
      <w:r w:rsidR="00487A2B">
        <w:rPr>
          <w:lang w:eastAsia="en-AU"/>
        </w:rPr>
        <w:t>.</w:t>
      </w:r>
    </w:p>
    <w:p w14:paraId="494D04B5" w14:textId="61BA5736" w:rsidR="0019268F" w:rsidRDefault="00487A2B" w:rsidP="00021EF3">
      <w:pPr>
        <w:pStyle w:val="AppendixChartCaption"/>
      </w:pPr>
      <w:r>
        <w:t>:</w:t>
      </w:r>
      <w:r w:rsidR="0019268F">
        <w:t xml:space="preserve"> Impact of LHVF on broader community</w:t>
      </w:r>
      <w:r w:rsidR="009136CE">
        <w:t>.</w:t>
      </w:r>
    </w:p>
    <w:p w14:paraId="3B83E880" w14:textId="0EC2B9D9" w:rsidR="0019268F" w:rsidRDefault="00B57986" w:rsidP="00021EF3">
      <w:pPr>
        <w:rPr>
          <w:lang w:eastAsia="en-AU"/>
        </w:rPr>
      </w:pPr>
      <w:r w:rsidRPr="00B57986">
        <w:rPr>
          <w:noProof/>
        </w:rPr>
        <w:drawing>
          <wp:inline distT="0" distB="0" distL="0" distR="0" wp14:anchorId="66E33DEC" wp14:editId="654EE82F">
            <wp:extent cx="5445125" cy="2369185"/>
            <wp:effectExtent l="0" t="0" r="3175" b="0"/>
            <wp:docPr id="93" name="Picture 93" descr="This stacked bar chart shows responses from LHVF recipients to a Likert scale question regarding increased business confidence within the businesses sector or region. 54% of respondents agreed there was increased confidence, 21% neither agreed nor disagreed and 25% disagreed.&#10;&#10;Additionally, the chart shows 60% of respondents agreed LHVF supported the wellbeing of the community more broadly while 23% neither agreed nor disagreed and 17%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is stacked bar chart shows responses from LHVF recipients to a Likert scale question regarding increased business confidence within the businesses sector or region. 54% of respondents agreed there was increased confidence, 21% neither agreed nor disagreed and 25% disagreed.&#10;&#10;Additionally, the chart shows 60% of respondents agreed LHVF supported the wellbeing of the community more broadly while 23% neither agreed nor disagreed and 17% disagre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45125" cy="2369185"/>
                    </a:xfrm>
                    <a:prstGeom prst="rect">
                      <a:avLst/>
                    </a:prstGeom>
                    <a:noFill/>
                    <a:ln>
                      <a:noFill/>
                    </a:ln>
                  </pic:spPr>
                </pic:pic>
              </a:graphicData>
            </a:graphic>
          </wp:inline>
        </w:drawing>
      </w:r>
    </w:p>
    <w:p w14:paraId="15B2575D" w14:textId="6293BFAD" w:rsidR="008065F3" w:rsidRDefault="008065F3" w:rsidP="00021EF3">
      <w:pPr>
        <w:pStyle w:val="Source"/>
        <w:rPr>
          <w:lang w:eastAsia="en-AU"/>
        </w:rPr>
      </w:pPr>
      <w:r>
        <w:rPr>
          <w:lang w:eastAsia="en-AU"/>
        </w:rPr>
        <w:t xml:space="preserve">Source: Business </w:t>
      </w:r>
      <w:r w:rsidR="00405F39">
        <w:rPr>
          <w:lang w:eastAsia="en-AU"/>
        </w:rPr>
        <w:t>survey</w:t>
      </w:r>
      <w:r w:rsidR="00487A2B">
        <w:rPr>
          <w:lang w:eastAsia="en-AU"/>
        </w:rPr>
        <w:t>.</w:t>
      </w:r>
    </w:p>
    <w:p w14:paraId="5E057A3A" w14:textId="79C78EE1" w:rsidR="0018543E" w:rsidRDefault="0018543E" w:rsidP="00021EF3">
      <w:pPr>
        <w:pStyle w:val="Source"/>
        <w:rPr>
          <w:lang w:eastAsia="en-AU"/>
        </w:rPr>
      </w:pPr>
    </w:p>
    <w:p w14:paraId="20709F76" w14:textId="5CC7079F" w:rsidR="0048051B" w:rsidRDefault="0048051B" w:rsidP="00021EF3">
      <w:pPr>
        <w:pStyle w:val="Heading4"/>
      </w:pPr>
      <w:r>
        <w:t xml:space="preserve">Persistence of grants </w:t>
      </w:r>
    </w:p>
    <w:p w14:paraId="5F3C9CEE" w14:textId="7D8C9AD9" w:rsidR="006F40EC" w:rsidRDefault="00F81441" w:rsidP="00021EF3">
      <w:pPr>
        <w:pStyle w:val="AppendixChartCaption"/>
      </w:pPr>
      <w:r>
        <w:t>:</w:t>
      </w:r>
      <w:r w:rsidR="006F40EC">
        <w:t xml:space="preserve"> </w:t>
      </w:r>
      <w:r w:rsidR="00F32A4A">
        <w:t>Persistence of grant impact on respondents</w:t>
      </w:r>
      <w:r w:rsidR="009136CE">
        <w:t>.</w:t>
      </w:r>
    </w:p>
    <w:p w14:paraId="3D706555" w14:textId="6DACCB20" w:rsidR="00AC7779" w:rsidRDefault="00104427" w:rsidP="00021EF3">
      <w:pPr>
        <w:rPr>
          <w:lang w:eastAsia="en-AU"/>
        </w:rPr>
      </w:pPr>
      <w:r w:rsidRPr="00104427">
        <w:rPr>
          <w:noProof/>
        </w:rPr>
        <w:drawing>
          <wp:inline distT="0" distB="0" distL="0" distR="0" wp14:anchorId="4A3EF930" wp14:editId="0A3B5B58">
            <wp:extent cx="5445125" cy="2369185"/>
            <wp:effectExtent l="0" t="0" r="3175" b="0"/>
            <wp:docPr id="94" name="Picture 94" descr="This bar chart shows the proportion of respondents which indicated the impact of the grants persisted beyond the COVID-19 pandemic period.&#10;&#10;For BCAP, 60% of respondents indicated the impacts persisted.&#10;&#10;For LHVF, 70% of respondents indicated the impacts pers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his bar chart shows the proportion of respondents which indicated the impact of the grants persisted beyond the COVID-19 pandemic period.&#10;&#10;For BCAP, 60% of respondents indicated the impacts persisted.&#10;&#10;For LHVF, 70% of respondents indicated the impacts persisted.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5125" cy="2369185"/>
                    </a:xfrm>
                    <a:prstGeom prst="rect">
                      <a:avLst/>
                    </a:prstGeom>
                    <a:noFill/>
                    <a:ln>
                      <a:noFill/>
                    </a:ln>
                  </pic:spPr>
                </pic:pic>
              </a:graphicData>
            </a:graphic>
          </wp:inline>
        </w:drawing>
      </w:r>
    </w:p>
    <w:p w14:paraId="7A08EFAE" w14:textId="07143B6E" w:rsidR="00AC7779" w:rsidRPr="009874AB" w:rsidRDefault="00AC7779" w:rsidP="00021EF3">
      <w:pPr>
        <w:pStyle w:val="Source"/>
        <w:rPr>
          <w:lang w:eastAsia="en-AU"/>
        </w:rPr>
      </w:pPr>
      <w:r>
        <w:rPr>
          <w:lang w:eastAsia="en-AU"/>
        </w:rPr>
        <w:t>Source: Business survey</w:t>
      </w:r>
      <w:r w:rsidR="00487A2B">
        <w:rPr>
          <w:lang w:eastAsia="en-AU"/>
        </w:rPr>
        <w:t>.</w:t>
      </w:r>
    </w:p>
    <w:p w14:paraId="33FC4E58" w14:textId="60CA780A" w:rsidR="005C274C" w:rsidRDefault="00487A2B" w:rsidP="00021EF3">
      <w:pPr>
        <w:pStyle w:val="AppendixChartCaption"/>
      </w:pPr>
      <w:r>
        <w:lastRenderedPageBreak/>
        <w:t>:</w:t>
      </w:r>
      <w:r w:rsidR="00616D1E">
        <w:t xml:space="preserve"> </w:t>
      </w:r>
      <w:r w:rsidR="005070AF">
        <w:t>Length of grant persistence</w:t>
      </w:r>
      <w:r w:rsidR="009136CE">
        <w:t>.</w:t>
      </w:r>
    </w:p>
    <w:p w14:paraId="4820145E" w14:textId="74962F23" w:rsidR="0018543E" w:rsidRDefault="00580099" w:rsidP="00021EF3">
      <w:pPr>
        <w:pStyle w:val="Source"/>
        <w:rPr>
          <w:lang w:eastAsia="en-AU"/>
        </w:rPr>
      </w:pPr>
      <w:r w:rsidRPr="00580099">
        <w:rPr>
          <w:noProof/>
        </w:rPr>
        <w:drawing>
          <wp:inline distT="0" distB="0" distL="0" distR="0" wp14:anchorId="71539D35" wp14:editId="5CFDACB5">
            <wp:extent cx="5431155" cy="2341245"/>
            <wp:effectExtent l="0" t="0" r="0" b="1905"/>
            <wp:docPr id="96" name="Picture 96" descr="This bar chart shows length of grant persistence in terms of impact for BCAP and for LHVF.&#10;&#10;For BCAP, around 10% of respondents indicated less than 3 months, 20% indicated between 3 and 6 months, 25% indicated between 6 months and once year and 45% indicated more than 1 year.&#10;&#10;For LHVF, around 10% of respondents indicated less than 3 months, 23% indicated between 3 and 6 months, 31% indicated between 6 months and once year and 36% indicated more than 1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is bar chart shows length of grant persistence in terms of impact for BCAP and for LHVF.&#10;&#10;For BCAP, around 10% of respondents indicated less than 3 months, 20% indicated between 3 and 6 months, 25% indicated between 6 months and once year and 45% indicated more than 1 year.&#10;&#10;For LHVF, around 10% of respondents indicated less than 3 months, 23% indicated between 3 and 6 months, 31% indicated between 6 months and once year and 36% indicated more than 1 yea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31155" cy="2341245"/>
                    </a:xfrm>
                    <a:prstGeom prst="rect">
                      <a:avLst/>
                    </a:prstGeom>
                    <a:noFill/>
                    <a:ln>
                      <a:noFill/>
                    </a:ln>
                  </pic:spPr>
                </pic:pic>
              </a:graphicData>
            </a:graphic>
          </wp:inline>
        </w:drawing>
      </w:r>
    </w:p>
    <w:p w14:paraId="0ED4E254" w14:textId="11BA3424" w:rsidR="005070AF" w:rsidRDefault="00487A2B" w:rsidP="00021EF3">
      <w:pPr>
        <w:pStyle w:val="Source"/>
        <w:rPr>
          <w:lang w:eastAsia="en-AU"/>
        </w:rPr>
      </w:pPr>
      <w:r>
        <w:rPr>
          <w:lang w:eastAsia="en-AU"/>
        </w:rPr>
        <w:t>Source: Business survey.</w:t>
      </w:r>
    </w:p>
    <w:p w14:paraId="1DB0B924" w14:textId="0D9CA3E5" w:rsidR="00185E98" w:rsidRDefault="00487A2B" w:rsidP="00021EF3">
      <w:pPr>
        <w:pStyle w:val="AppendixChartCaption"/>
      </w:pPr>
      <w:r>
        <w:t>:</w:t>
      </w:r>
      <w:r w:rsidR="00185E98">
        <w:t xml:space="preserve"> Respondent satisfaction with applying for and receiving grants</w:t>
      </w:r>
      <w:r w:rsidR="009136CE">
        <w:t>.</w:t>
      </w:r>
    </w:p>
    <w:p w14:paraId="1FBB60E3" w14:textId="77777777" w:rsidR="00185E98" w:rsidRDefault="00185E98" w:rsidP="00021EF3">
      <w:pPr>
        <w:rPr>
          <w:lang w:eastAsia="en-AU"/>
        </w:rPr>
      </w:pPr>
      <w:r>
        <w:rPr>
          <w:noProof/>
        </w:rPr>
        <w:drawing>
          <wp:inline distT="0" distB="0" distL="0" distR="0" wp14:anchorId="4E0EFF28" wp14:editId="595A91AE">
            <wp:extent cx="5400000" cy="2340000"/>
            <wp:effectExtent l="0" t="0" r="0" b="3175"/>
            <wp:docPr id="194" name="Chart 194" descr="This bar chart shows respondent satisfaction with applying for and receiving grants for BCAP and for LHVF. &#10;For BCAP, 46% of respondents were  very satisfied, 35% were satisfied, 13% were neither satisfied or dissatisfied, 1% were dissatisfied, 3% were very dissatisfied and 1% were not sure or did not know. &#10;For LHVF, 42% of respondents were very satisfied, 38% were satisfied, 10% were neither satisfied or dissatisfied, 4% were dissatisfied, 5% were very dissatisfied and 1% were not sure or did not know.  &#10;For BCAP, 81% of respondents were satisfied.&#10;For LHVF,  80% of respondents were satisfied.">
              <a:extLst xmlns:a="http://schemas.openxmlformats.org/drawingml/2006/main">
                <a:ext uri="{FF2B5EF4-FFF2-40B4-BE49-F238E27FC236}">
                  <a16:creationId xmlns:a16="http://schemas.microsoft.com/office/drawing/2014/main" id="{EA45B127-BD5D-EE26-5F02-AAAC20A2C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280B0E4" w14:textId="3948FFC3" w:rsidR="00185E98" w:rsidRDefault="00185E98" w:rsidP="00021EF3">
      <w:pPr>
        <w:pStyle w:val="Source"/>
      </w:pPr>
      <w:r>
        <w:t>Source: Business survey</w:t>
      </w:r>
      <w:r w:rsidR="00487A2B">
        <w:t>.</w:t>
      </w:r>
    </w:p>
    <w:p w14:paraId="63CA8AA0" w14:textId="237180B5" w:rsidR="00811C5D" w:rsidRDefault="00811C5D" w:rsidP="00021EF3">
      <w:pPr>
        <w:rPr>
          <w:lang w:eastAsia="en-AU"/>
        </w:rPr>
      </w:pPr>
    </w:p>
    <w:p w14:paraId="1F58A16F" w14:textId="77777777" w:rsidR="008513D9" w:rsidRDefault="008513D9" w:rsidP="00021EF3"/>
    <w:p w14:paraId="1FC6E2FB" w14:textId="77777777" w:rsidR="00364460" w:rsidRPr="00B35510" w:rsidDel="00185E98" w:rsidRDefault="00364460" w:rsidP="00021EF3"/>
    <w:p w14:paraId="4FD42746" w14:textId="77777777" w:rsidR="00C52F2F" w:rsidRDefault="00C52F2F" w:rsidP="00021EF3">
      <w:pPr>
        <w:sectPr w:rsidR="00C52F2F" w:rsidSect="005235DE">
          <w:footnotePr>
            <w:numFmt w:val="chicago"/>
          </w:footnotePr>
          <w:endnotePr>
            <w:numFmt w:val="decimal"/>
          </w:endnotePr>
          <w:pgSz w:w="11906" w:h="16838" w:code="9"/>
          <w:pgMar w:top="1440" w:right="1440" w:bottom="1440" w:left="1440" w:header="680" w:footer="425" w:gutter="0"/>
          <w:cols w:space="284"/>
          <w:noEndnote/>
          <w:docGrid w:linePitch="360"/>
        </w:sectPr>
      </w:pPr>
    </w:p>
    <w:p w14:paraId="6AA8F2BC" w14:textId="2DCCA090" w:rsidR="001F49B1" w:rsidRDefault="001F49B1" w:rsidP="00021EF3">
      <w:pPr>
        <w:pStyle w:val="Appendixhead1"/>
      </w:pPr>
      <w:bookmarkStart w:id="625" w:name="_Ref173339551"/>
      <w:bookmarkStart w:id="626" w:name="_Toc176516325"/>
      <w:r w:rsidRPr="00F65BE8">
        <w:lastRenderedPageBreak/>
        <w:t>Eligibility</w:t>
      </w:r>
      <w:r>
        <w:t xml:space="preserve"> criteria and round design</w:t>
      </w:r>
      <w:bookmarkEnd w:id="625"/>
      <w:bookmarkEnd w:id="626"/>
    </w:p>
    <w:p w14:paraId="72C507B5" w14:textId="2193643C" w:rsidR="00A1007E" w:rsidRDefault="001F49B1" w:rsidP="00021EF3">
      <w:pPr>
        <w:pStyle w:val="Appendixhead2"/>
      </w:pPr>
      <w:bookmarkStart w:id="627" w:name="_Toc173308328"/>
      <w:bookmarkStart w:id="628" w:name="_Ref173308558"/>
      <w:bookmarkStart w:id="629" w:name="_Toc173344750"/>
      <w:bookmarkStart w:id="630" w:name="_Toc173344977"/>
      <w:bookmarkStart w:id="631" w:name="_Toc173915943"/>
      <w:bookmarkStart w:id="632" w:name="_Toc174118204"/>
      <w:bookmarkStart w:id="633" w:name="_Toc176516326"/>
      <w:r>
        <w:t>BCAP round design and eligibility criteria</w:t>
      </w:r>
      <w:bookmarkEnd w:id="627"/>
      <w:bookmarkEnd w:id="628"/>
      <w:bookmarkEnd w:id="629"/>
      <w:bookmarkEnd w:id="630"/>
      <w:bookmarkEnd w:id="631"/>
      <w:bookmarkEnd w:id="632"/>
      <w:bookmarkEnd w:id="633"/>
    </w:p>
    <w:p w14:paraId="3E7ACAFC" w14:textId="4EF86303" w:rsidR="00F52945" w:rsidRDefault="00C849B8" w:rsidP="00021EF3">
      <w:pPr>
        <w:rPr>
          <w:lang w:eastAsia="en-AU"/>
        </w:rPr>
      </w:pPr>
      <w:r>
        <w:rPr>
          <w:lang w:eastAsia="en-AU"/>
        </w:rPr>
        <w:t xml:space="preserve">BCAP consisted of five </w:t>
      </w:r>
      <w:r w:rsidR="00DB7B95">
        <w:rPr>
          <w:lang w:eastAsia="en-AU"/>
        </w:rPr>
        <w:t>grant</w:t>
      </w:r>
      <w:r>
        <w:rPr>
          <w:lang w:eastAsia="en-AU"/>
        </w:rPr>
        <w:t xml:space="preserve"> rounds across 2021</w:t>
      </w:r>
      <w:r w:rsidR="00CB1465">
        <w:rPr>
          <w:lang w:eastAsia="en-AU"/>
        </w:rPr>
        <w:t xml:space="preserve"> to support businesses. Within</w:t>
      </w:r>
      <w:r w:rsidR="00486CE0">
        <w:rPr>
          <w:lang w:eastAsia="en-AU"/>
        </w:rPr>
        <w:t xml:space="preserve"> some rounds</w:t>
      </w:r>
      <w:r w:rsidR="00CB1465">
        <w:rPr>
          <w:lang w:eastAsia="en-AU"/>
        </w:rPr>
        <w:t>, there were additional and automatic top</w:t>
      </w:r>
      <w:r w:rsidR="003F3A24">
        <w:rPr>
          <w:lang w:eastAsia="en-AU"/>
        </w:rPr>
        <w:t>-</w:t>
      </w:r>
      <w:r w:rsidR="00CB1465">
        <w:rPr>
          <w:lang w:eastAsia="en-AU"/>
        </w:rPr>
        <w:t xml:space="preserve">up payments as COVID-19 public health restrictions were extended beyond anticipated </w:t>
      </w:r>
      <w:r w:rsidR="00885019">
        <w:rPr>
          <w:lang w:eastAsia="en-AU"/>
        </w:rPr>
        <w:t xml:space="preserve">easing dates. </w:t>
      </w:r>
      <w:r w:rsidR="0055257A">
        <w:rPr>
          <w:lang w:eastAsia="en-AU"/>
        </w:rPr>
        <w:t xml:space="preserve">Subsequent rounds of BCAP following </w:t>
      </w:r>
      <w:r w:rsidR="00D26AEB">
        <w:rPr>
          <w:lang w:eastAsia="en-AU"/>
        </w:rPr>
        <w:t xml:space="preserve">BCAP 2/2e relied on eligibility </w:t>
      </w:r>
      <w:r w:rsidR="00D918C0">
        <w:rPr>
          <w:lang w:eastAsia="en-AU"/>
        </w:rPr>
        <w:t xml:space="preserve">established during </w:t>
      </w:r>
      <w:r w:rsidR="000D755F">
        <w:rPr>
          <w:lang w:eastAsia="en-AU"/>
        </w:rPr>
        <w:t xml:space="preserve">the 2/2e round. If businesses had not received </w:t>
      </w:r>
      <w:r w:rsidR="00E552B7">
        <w:rPr>
          <w:lang w:eastAsia="en-AU"/>
        </w:rPr>
        <w:t>this</w:t>
      </w:r>
      <w:r w:rsidR="000D755F">
        <w:rPr>
          <w:lang w:eastAsia="en-AU"/>
        </w:rPr>
        <w:t xml:space="preserve"> BCAP 2/2e </w:t>
      </w:r>
      <w:r w:rsidR="00E552B7">
        <w:rPr>
          <w:lang w:eastAsia="en-AU"/>
        </w:rPr>
        <w:t>grant</w:t>
      </w:r>
      <w:r w:rsidR="000D755F">
        <w:rPr>
          <w:lang w:eastAsia="en-AU"/>
        </w:rPr>
        <w:t>, they were not eligible for any subsequent round of BCAP 3, 4 or 5, or any associated top</w:t>
      </w:r>
      <w:r w:rsidR="003F3A24">
        <w:rPr>
          <w:lang w:eastAsia="en-AU"/>
        </w:rPr>
        <w:t>-</w:t>
      </w:r>
      <w:r w:rsidR="000D755F">
        <w:rPr>
          <w:lang w:eastAsia="en-AU"/>
        </w:rPr>
        <w:t>up payments.</w:t>
      </w:r>
      <w:r w:rsidR="00000C7C">
        <w:rPr>
          <w:lang w:eastAsia="en-AU"/>
        </w:rPr>
        <w:t xml:space="preserve"> </w:t>
      </w:r>
    </w:p>
    <w:p w14:paraId="63EAD9B2" w14:textId="5C76211B" w:rsidR="00F87047" w:rsidRDefault="00BC1B56" w:rsidP="00021EF3">
      <w:pPr>
        <w:rPr>
          <w:lang w:eastAsia="en-AU"/>
        </w:rPr>
      </w:pPr>
      <w:r>
        <w:rPr>
          <w:lang w:eastAsia="en-AU"/>
        </w:rPr>
        <w:t xml:space="preserve">Grants were generally a flat one-off payment to all </w:t>
      </w:r>
      <w:r w:rsidR="00DB4752">
        <w:rPr>
          <w:lang w:eastAsia="en-AU"/>
        </w:rPr>
        <w:t>eligible businesses</w:t>
      </w:r>
      <w:r>
        <w:rPr>
          <w:lang w:eastAsia="en-AU"/>
        </w:rPr>
        <w:t>, with the exception of</w:t>
      </w:r>
      <w:r w:rsidR="00DB4752">
        <w:rPr>
          <w:lang w:eastAsia="en-AU"/>
        </w:rPr>
        <w:t xml:space="preserve"> BCAP 4 where a tiered grant payment was introduced based on payroll</w:t>
      </w:r>
      <w:r w:rsidR="009020F3">
        <w:rPr>
          <w:lang w:eastAsia="en-AU"/>
        </w:rPr>
        <w:t xml:space="preserve">, and then subsequently </w:t>
      </w:r>
      <w:r w:rsidR="00DF140B">
        <w:rPr>
          <w:lang w:eastAsia="en-AU"/>
        </w:rPr>
        <w:t>payroll and employing status in BCAP 5.</w:t>
      </w:r>
      <w:r>
        <w:rPr>
          <w:lang w:eastAsia="en-AU"/>
        </w:rPr>
        <w:t xml:space="preserve"> </w:t>
      </w:r>
      <w:r w:rsidR="00002A49">
        <w:rPr>
          <w:lang w:eastAsia="en-AU"/>
        </w:rPr>
        <w:t>Businesses that received LHVF could not rece</w:t>
      </w:r>
      <w:r w:rsidR="00EB35F5">
        <w:rPr>
          <w:lang w:eastAsia="en-AU"/>
        </w:rPr>
        <w:t>ive a grant through BCAP</w:t>
      </w:r>
      <w:r w:rsidR="00A559D9">
        <w:rPr>
          <w:lang w:eastAsia="en-AU"/>
        </w:rPr>
        <w:t xml:space="preserve"> for any round</w:t>
      </w:r>
      <w:r w:rsidR="00D95E43">
        <w:rPr>
          <w:lang w:eastAsia="en-AU"/>
        </w:rPr>
        <w:t>, and private gender</w:t>
      </w:r>
      <w:r w:rsidR="00C33075">
        <w:rPr>
          <w:lang w:eastAsia="en-AU"/>
        </w:rPr>
        <w:t>-</w:t>
      </w:r>
      <w:r w:rsidR="00D95E43">
        <w:rPr>
          <w:lang w:eastAsia="en-AU"/>
        </w:rPr>
        <w:t>exclusive clubs were excluded from the program from BCAP 2/2e onwards</w:t>
      </w:r>
      <w:r w:rsidR="00A559D9">
        <w:rPr>
          <w:lang w:eastAsia="en-AU"/>
        </w:rPr>
        <w:t>.</w:t>
      </w:r>
      <w:r w:rsidR="00EB35F5">
        <w:rPr>
          <w:lang w:eastAsia="en-AU"/>
        </w:rPr>
        <w:t xml:space="preserve"> </w:t>
      </w:r>
      <w:r w:rsidR="00000C7C">
        <w:rPr>
          <w:lang w:eastAsia="en-AU"/>
        </w:rPr>
        <w:t xml:space="preserve">A number of additional eligibility criteria were </w:t>
      </w:r>
      <w:r w:rsidR="00D95E43">
        <w:rPr>
          <w:lang w:eastAsia="en-AU"/>
        </w:rPr>
        <w:t xml:space="preserve">also </w:t>
      </w:r>
      <w:r w:rsidR="00000C7C">
        <w:rPr>
          <w:lang w:eastAsia="en-AU"/>
        </w:rPr>
        <w:t>introduced</w:t>
      </w:r>
      <w:r w:rsidR="00D95E43">
        <w:rPr>
          <w:lang w:eastAsia="en-AU"/>
        </w:rPr>
        <w:t xml:space="preserve"> and</w:t>
      </w:r>
      <w:r w:rsidR="00000C7C">
        <w:rPr>
          <w:lang w:eastAsia="en-AU"/>
        </w:rPr>
        <w:t xml:space="preserve"> adjusted over the course of the program. These are described below.</w:t>
      </w:r>
    </w:p>
    <w:p w14:paraId="33F36902" w14:textId="1C228EE2" w:rsidR="00C06489" w:rsidRDefault="00C06489" w:rsidP="00021EF3">
      <w:pPr>
        <w:pStyle w:val="Heading3un-numbered"/>
        <w:rPr>
          <w:lang w:eastAsia="en-AU"/>
        </w:rPr>
      </w:pPr>
      <w:bookmarkStart w:id="634" w:name="_Toc173915944"/>
      <w:bookmarkStart w:id="635" w:name="_Toc174118205"/>
      <w:bookmarkStart w:id="636" w:name="_Toc176516327"/>
      <w:r>
        <w:rPr>
          <w:lang w:eastAsia="en-AU"/>
        </w:rPr>
        <w:t>Industry</w:t>
      </w:r>
      <w:bookmarkEnd w:id="634"/>
      <w:bookmarkEnd w:id="635"/>
      <w:bookmarkEnd w:id="636"/>
    </w:p>
    <w:p w14:paraId="6F6A44EC" w14:textId="3E24AAE2" w:rsidR="0086397A" w:rsidRDefault="00885019" w:rsidP="00021EF3">
      <w:pPr>
        <w:rPr>
          <w:rFonts w:cs="Arial"/>
        </w:rPr>
      </w:pPr>
      <w:r>
        <w:rPr>
          <w:lang w:eastAsia="en-AU"/>
        </w:rPr>
        <w:t xml:space="preserve">Grant payments varied by </w:t>
      </w:r>
      <w:r w:rsidR="00A04E7F">
        <w:rPr>
          <w:lang w:eastAsia="en-AU"/>
        </w:rPr>
        <w:t>industry.</w:t>
      </w:r>
      <w:r w:rsidR="00BF0F7E">
        <w:rPr>
          <w:lang w:eastAsia="en-AU"/>
        </w:rPr>
        <w:t xml:space="preserve"> This was defined by their ANZSIC code linked to the business’ ABN.</w:t>
      </w:r>
      <w:r w:rsidR="00A04E7F">
        <w:rPr>
          <w:lang w:eastAsia="en-AU"/>
        </w:rPr>
        <w:t xml:space="preserve"> For example, </w:t>
      </w:r>
      <w:r w:rsidR="00C12546">
        <w:rPr>
          <w:lang w:eastAsia="en-AU"/>
        </w:rPr>
        <w:t>following</w:t>
      </w:r>
      <w:r w:rsidR="00A04E7F">
        <w:rPr>
          <w:lang w:eastAsia="en-AU"/>
        </w:rPr>
        <w:t xml:space="preserve"> the initial BCAP 1 round in February 2021, and second BCAP 2 round in June 2021, </w:t>
      </w:r>
      <w:r w:rsidR="00C12546">
        <w:rPr>
          <w:lang w:eastAsia="en-AU"/>
        </w:rPr>
        <w:t xml:space="preserve">expanded </w:t>
      </w:r>
      <w:r w:rsidR="00A04E7F">
        <w:rPr>
          <w:lang w:eastAsia="en-AU"/>
        </w:rPr>
        <w:t xml:space="preserve">the </w:t>
      </w:r>
      <w:r w:rsidR="00B13477">
        <w:rPr>
          <w:lang w:eastAsia="en-AU"/>
        </w:rPr>
        <w:t>number of eligible ANZSIC codes</w:t>
      </w:r>
      <w:r w:rsidR="000D755F">
        <w:rPr>
          <w:lang w:eastAsia="en-AU"/>
        </w:rPr>
        <w:t xml:space="preserve"> to a larger cross section of </w:t>
      </w:r>
      <w:r w:rsidR="00DB7B95">
        <w:rPr>
          <w:lang w:eastAsia="en-AU"/>
        </w:rPr>
        <w:t>h</w:t>
      </w:r>
      <w:r w:rsidR="000D755F" w:rsidRPr="000D5048">
        <w:rPr>
          <w:rFonts w:cs="Arial"/>
        </w:rPr>
        <w:t>ospitality, food wholesaling, tourism, events and related services</w:t>
      </w:r>
      <w:r w:rsidR="00C12546">
        <w:rPr>
          <w:rFonts w:cs="Arial"/>
        </w:rPr>
        <w:t>,</w:t>
      </w:r>
      <w:r w:rsidR="000D755F" w:rsidRPr="000D5048">
        <w:rPr>
          <w:rFonts w:cs="Arial"/>
        </w:rPr>
        <w:t xml:space="preserve"> and selected retail ANZSIC codes.</w:t>
      </w:r>
      <w:r w:rsidR="006910F2">
        <w:rPr>
          <w:rFonts w:cs="Arial"/>
        </w:rPr>
        <w:t xml:space="preserve"> </w:t>
      </w:r>
      <w:r w:rsidR="00BE60FF">
        <w:rPr>
          <w:rFonts w:cs="Arial"/>
        </w:rPr>
        <w:t>This expansion included laundry and dry-cleaning services.</w:t>
      </w:r>
      <w:r w:rsidR="006910F2">
        <w:rPr>
          <w:rFonts w:cs="Arial"/>
        </w:rPr>
        <w:t xml:space="preserve"> The eligible ANZSIC codes across all rounds of BCAP are </w:t>
      </w:r>
      <w:r w:rsidR="009523B4">
        <w:rPr>
          <w:rFonts w:cs="Arial"/>
        </w:rPr>
        <w:t xml:space="preserve">displayed in </w:t>
      </w:r>
      <w:r w:rsidR="00206AF8">
        <w:rPr>
          <w:rFonts w:cs="Arial"/>
        </w:rPr>
        <w:t>S</w:t>
      </w:r>
      <w:r w:rsidR="009523B4">
        <w:rPr>
          <w:rFonts w:cs="Arial"/>
        </w:rPr>
        <w:t xml:space="preserve">ection </w:t>
      </w:r>
      <w:r w:rsidR="009523B4">
        <w:rPr>
          <w:rFonts w:cs="Arial"/>
        </w:rPr>
        <w:fldChar w:fldCharType="begin"/>
      </w:r>
      <w:r w:rsidR="009523B4">
        <w:rPr>
          <w:rFonts w:cs="Arial"/>
        </w:rPr>
        <w:instrText xml:space="preserve"> REF _Ref173501376 \r \h </w:instrText>
      </w:r>
      <w:r w:rsidR="00A53BAB">
        <w:rPr>
          <w:rFonts w:cs="Arial"/>
        </w:rPr>
        <w:instrText xml:space="preserve"> \* MERGEFORMAT </w:instrText>
      </w:r>
      <w:r w:rsidR="009523B4">
        <w:rPr>
          <w:rFonts w:cs="Arial"/>
        </w:rPr>
      </w:r>
      <w:r w:rsidR="009523B4">
        <w:rPr>
          <w:rFonts w:cs="Arial"/>
        </w:rPr>
        <w:fldChar w:fldCharType="separate"/>
      </w:r>
      <w:r w:rsidR="0016271C">
        <w:rPr>
          <w:rFonts w:cs="Arial"/>
        </w:rPr>
        <w:t>F.2</w:t>
      </w:r>
      <w:r w:rsidR="009523B4">
        <w:rPr>
          <w:rFonts w:cs="Arial"/>
        </w:rPr>
        <w:fldChar w:fldCharType="end"/>
      </w:r>
      <w:r w:rsidR="009523B4">
        <w:rPr>
          <w:rFonts w:cs="Arial"/>
        </w:rPr>
        <w:t>.</w:t>
      </w:r>
      <w:r w:rsidR="00C12546">
        <w:rPr>
          <w:rFonts w:cs="Arial"/>
        </w:rPr>
        <w:t xml:space="preserve"> </w:t>
      </w:r>
      <w:r w:rsidR="008C6522">
        <w:rPr>
          <w:rFonts w:cs="Arial"/>
        </w:rPr>
        <w:t xml:space="preserve">For some </w:t>
      </w:r>
      <w:r w:rsidR="000164E5">
        <w:rPr>
          <w:rFonts w:cs="Arial"/>
        </w:rPr>
        <w:t>rounds or top</w:t>
      </w:r>
      <w:r w:rsidR="00945F41">
        <w:rPr>
          <w:rFonts w:cs="Arial"/>
        </w:rPr>
        <w:t>-</w:t>
      </w:r>
      <w:r w:rsidR="000164E5">
        <w:rPr>
          <w:rFonts w:cs="Arial"/>
        </w:rPr>
        <w:t>ups,</w:t>
      </w:r>
      <w:r w:rsidR="008C6522">
        <w:rPr>
          <w:rFonts w:cs="Arial"/>
        </w:rPr>
        <w:t xml:space="preserve"> </w:t>
      </w:r>
      <w:r w:rsidR="00BE60FF">
        <w:rPr>
          <w:rFonts w:cs="Arial"/>
        </w:rPr>
        <w:t>the number of eligible industries narrowed over time. In BCAP 2, two grant amounts were available depending on whether businesses were eligible</w:t>
      </w:r>
      <w:r w:rsidR="00DE7B3B">
        <w:rPr>
          <w:rFonts w:cs="Arial"/>
        </w:rPr>
        <w:t xml:space="preserve"> for </w:t>
      </w:r>
      <w:r w:rsidR="00793221">
        <w:rPr>
          <w:rFonts w:cs="Arial"/>
        </w:rPr>
        <w:t>week one only or all three weeks</w:t>
      </w:r>
      <w:r w:rsidR="00914113">
        <w:rPr>
          <w:rFonts w:cs="Arial"/>
        </w:rPr>
        <w:t>. As such, gardening service</w:t>
      </w:r>
      <w:r w:rsidR="009C1103">
        <w:rPr>
          <w:rFonts w:cs="Arial"/>
        </w:rPr>
        <w:t xml:space="preserve">s (ANZSIC code 7313) only received one week of payment ($2,500) as opposed to other ANZSIC codes </w:t>
      </w:r>
      <w:r w:rsidR="00150442">
        <w:rPr>
          <w:rFonts w:cs="Arial"/>
        </w:rPr>
        <w:t>who</w:t>
      </w:r>
      <w:r w:rsidR="009C1103">
        <w:rPr>
          <w:rFonts w:cs="Arial"/>
        </w:rPr>
        <w:t xml:space="preserve"> received the equivalent for three weeks of payment (</w:t>
      </w:r>
      <w:r w:rsidR="00150442">
        <w:rPr>
          <w:rFonts w:cs="Arial"/>
        </w:rPr>
        <w:t xml:space="preserve">an additional </w:t>
      </w:r>
      <w:r w:rsidR="009C1103">
        <w:rPr>
          <w:rFonts w:cs="Arial"/>
        </w:rPr>
        <w:t>$5,000</w:t>
      </w:r>
      <w:r w:rsidR="00150442">
        <w:rPr>
          <w:rFonts w:cs="Arial"/>
        </w:rPr>
        <w:t>, topping up BCAP 2 to $7,500</w:t>
      </w:r>
      <w:r w:rsidR="009C1103">
        <w:rPr>
          <w:rFonts w:cs="Arial"/>
        </w:rPr>
        <w:t>).</w:t>
      </w:r>
      <w:r w:rsidR="00BE60FF">
        <w:rPr>
          <w:rFonts w:cs="Arial"/>
        </w:rPr>
        <w:t xml:space="preserve"> </w:t>
      </w:r>
      <w:r w:rsidR="009C1103">
        <w:rPr>
          <w:rFonts w:cs="Arial"/>
        </w:rPr>
        <w:t xml:space="preserve">A similar </w:t>
      </w:r>
      <w:r w:rsidR="004B4F27">
        <w:rPr>
          <w:rFonts w:cs="Arial"/>
        </w:rPr>
        <w:t>pattern</w:t>
      </w:r>
      <w:r w:rsidR="00BE60FF">
        <w:rPr>
          <w:rFonts w:cs="Arial"/>
        </w:rPr>
        <w:t xml:space="preserve"> </w:t>
      </w:r>
      <w:r w:rsidR="00735942">
        <w:rPr>
          <w:rFonts w:cs="Arial"/>
        </w:rPr>
        <w:t xml:space="preserve">was used in BCAP 5, where there was a gradual narrowing of industry eligibility between Phase A (first two weeks) and Phase B (second two weeks) of the round. </w:t>
      </w:r>
      <w:r w:rsidR="00BE60FF">
        <w:rPr>
          <w:rFonts w:cs="Arial"/>
        </w:rPr>
        <w:t>O</w:t>
      </w:r>
      <w:r w:rsidR="00CF73D5">
        <w:rPr>
          <w:rFonts w:cs="Arial"/>
        </w:rPr>
        <w:t>ne top</w:t>
      </w:r>
      <w:r w:rsidR="003F3A24">
        <w:rPr>
          <w:rFonts w:cs="Arial"/>
        </w:rPr>
        <w:t>-</w:t>
      </w:r>
      <w:r w:rsidR="00CF73D5">
        <w:rPr>
          <w:rFonts w:cs="Arial"/>
        </w:rPr>
        <w:t xml:space="preserve">up BCAP 2 payment was </w:t>
      </w:r>
      <w:r w:rsidR="009C1103">
        <w:rPr>
          <w:rFonts w:cs="Arial"/>
        </w:rPr>
        <w:t xml:space="preserve">also </w:t>
      </w:r>
      <w:r w:rsidR="00CF73D5">
        <w:rPr>
          <w:rFonts w:cs="Arial"/>
        </w:rPr>
        <w:t>only for tourism</w:t>
      </w:r>
      <w:r w:rsidR="00C33075">
        <w:rPr>
          <w:rFonts w:cs="Arial"/>
        </w:rPr>
        <w:t>-</w:t>
      </w:r>
      <w:r w:rsidR="00CF73D5">
        <w:rPr>
          <w:rFonts w:cs="Arial"/>
        </w:rPr>
        <w:t>specific ANZSIC codes as a tourism supplement.</w:t>
      </w:r>
    </w:p>
    <w:p w14:paraId="0A9F2794" w14:textId="048615B1" w:rsidR="00C06489" w:rsidRDefault="000031D1" w:rsidP="00021EF3">
      <w:pPr>
        <w:pStyle w:val="Heading3un-numbered"/>
      </w:pPr>
      <w:bookmarkStart w:id="637" w:name="_Toc173915945"/>
      <w:bookmarkStart w:id="638" w:name="_Toc174118206"/>
      <w:bookmarkStart w:id="639" w:name="_Toc176516328"/>
      <w:r>
        <w:t>Business location</w:t>
      </w:r>
      <w:bookmarkEnd w:id="637"/>
      <w:bookmarkEnd w:id="638"/>
      <w:bookmarkEnd w:id="639"/>
    </w:p>
    <w:p w14:paraId="7378D0F7" w14:textId="4DABB6DA" w:rsidR="00C849B8" w:rsidRDefault="0015656F" w:rsidP="00021EF3">
      <w:pPr>
        <w:rPr>
          <w:rFonts w:cs="Arial"/>
        </w:rPr>
      </w:pPr>
      <w:r>
        <w:rPr>
          <w:rFonts w:cs="Arial"/>
        </w:rPr>
        <w:t>S</w:t>
      </w:r>
      <w:r w:rsidR="00DB5F0F">
        <w:rPr>
          <w:rFonts w:cs="Arial"/>
        </w:rPr>
        <w:t>ome top</w:t>
      </w:r>
      <w:r w:rsidR="003F3A24">
        <w:rPr>
          <w:rFonts w:cs="Arial"/>
        </w:rPr>
        <w:t>-</w:t>
      </w:r>
      <w:r w:rsidR="00DB5F0F">
        <w:rPr>
          <w:rFonts w:cs="Arial"/>
        </w:rPr>
        <w:t xml:space="preserve">up payments within a round were only </w:t>
      </w:r>
      <w:r w:rsidR="00CF73D5">
        <w:rPr>
          <w:rFonts w:cs="Arial"/>
        </w:rPr>
        <w:t xml:space="preserve">relevant for particular </w:t>
      </w:r>
      <w:r w:rsidR="00F26AC1">
        <w:rPr>
          <w:rFonts w:cs="Arial"/>
        </w:rPr>
        <w:t>business locations</w:t>
      </w:r>
      <w:r w:rsidR="00064B4C">
        <w:rPr>
          <w:rFonts w:cs="Arial"/>
        </w:rPr>
        <w:t>, such as for metropolitan Melbourne, the Melbourne CBD, or regional Victoria.</w:t>
      </w:r>
      <w:r w:rsidR="00586CA4">
        <w:rPr>
          <w:rFonts w:cs="Arial"/>
        </w:rPr>
        <w:t xml:space="preserve"> </w:t>
      </w:r>
      <w:r w:rsidR="00BB7E90">
        <w:rPr>
          <w:rFonts w:cs="Arial"/>
        </w:rPr>
        <w:t xml:space="preserve">The business location was determined using the ABN registered ‘primary operating address’. </w:t>
      </w:r>
      <w:r w:rsidR="00586CA4">
        <w:rPr>
          <w:rFonts w:cs="Arial"/>
        </w:rPr>
        <w:t xml:space="preserve">For example, within BCAP </w:t>
      </w:r>
      <w:r w:rsidR="007E7424">
        <w:rPr>
          <w:rFonts w:cs="Arial"/>
        </w:rPr>
        <w:t>2</w:t>
      </w:r>
      <w:r w:rsidR="004475E8">
        <w:rPr>
          <w:rFonts w:cs="Arial"/>
        </w:rPr>
        <w:t>, a top</w:t>
      </w:r>
      <w:r w:rsidR="003F3A24">
        <w:rPr>
          <w:rFonts w:cs="Arial"/>
        </w:rPr>
        <w:t>-</w:t>
      </w:r>
      <w:r w:rsidR="004475E8">
        <w:rPr>
          <w:rFonts w:cs="Arial"/>
        </w:rPr>
        <w:t>up payment of $2,000 was provided for businesses only located in the Melbourne CBD. In BCAP 4</w:t>
      </w:r>
      <w:r w:rsidR="00E20495">
        <w:rPr>
          <w:rFonts w:cs="Arial"/>
        </w:rPr>
        <w:t>, the second fortnight of payments reduced the geographic eligibility to metropolitan</w:t>
      </w:r>
      <w:r w:rsidR="000F7C83">
        <w:rPr>
          <w:rFonts w:cs="Arial"/>
        </w:rPr>
        <w:t xml:space="preserve"> Melbourne</w:t>
      </w:r>
      <w:r w:rsidR="00C4436A">
        <w:rPr>
          <w:rFonts w:cs="Arial"/>
        </w:rPr>
        <w:t xml:space="preserve"> and select regional LGAs, </w:t>
      </w:r>
      <w:r w:rsidR="00E20495">
        <w:rPr>
          <w:rFonts w:cs="Arial"/>
        </w:rPr>
        <w:t>compared to the first fortnight</w:t>
      </w:r>
      <w:r w:rsidR="00C4436A">
        <w:rPr>
          <w:rFonts w:cs="Arial"/>
        </w:rPr>
        <w:t xml:space="preserve"> where businesses across the whole of Victoria were eligible.</w:t>
      </w:r>
      <w:r w:rsidR="00AD5F00">
        <w:rPr>
          <w:rFonts w:cs="Arial"/>
        </w:rPr>
        <w:t xml:space="preserve"> In BCAP 5</w:t>
      </w:r>
      <w:r w:rsidR="009309D8">
        <w:rPr>
          <w:rFonts w:cs="Arial"/>
        </w:rPr>
        <w:t xml:space="preserve">, while </w:t>
      </w:r>
      <w:r w:rsidR="009236ED">
        <w:rPr>
          <w:rFonts w:cs="Arial"/>
        </w:rPr>
        <w:t xml:space="preserve">businesses across the whole state received </w:t>
      </w:r>
      <w:r w:rsidR="00C0013F">
        <w:rPr>
          <w:rFonts w:cs="Arial"/>
        </w:rPr>
        <w:t>grants, the industry</w:t>
      </w:r>
      <w:r w:rsidR="00B5371B">
        <w:rPr>
          <w:rFonts w:cs="Arial"/>
        </w:rPr>
        <w:t xml:space="preserve"> specifications varied by geography</w:t>
      </w:r>
      <w:r w:rsidR="00406871">
        <w:rPr>
          <w:rFonts w:cs="Arial"/>
        </w:rPr>
        <w:t xml:space="preserve"> and the selection of eligible ANZSIC codes was </w:t>
      </w:r>
      <w:r w:rsidR="00AC7678">
        <w:rPr>
          <w:rFonts w:cs="Arial"/>
        </w:rPr>
        <w:t xml:space="preserve">broader for metropolitan Melbourne than it was for </w:t>
      </w:r>
      <w:r w:rsidR="00C06489">
        <w:rPr>
          <w:rFonts w:cs="Arial"/>
        </w:rPr>
        <w:t>regional Victoria.</w:t>
      </w:r>
    </w:p>
    <w:p w14:paraId="420705FF" w14:textId="13F88B94" w:rsidR="00C06489" w:rsidRDefault="009C23A6" w:rsidP="00021EF3">
      <w:pPr>
        <w:pStyle w:val="Heading3un-numbered"/>
      </w:pPr>
      <w:bookmarkStart w:id="640" w:name="_Toc173915946"/>
      <w:bookmarkStart w:id="641" w:name="_Toc174118207"/>
      <w:bookmarkStart w:id="642" w:name="_Toc176516329"/>
      <w:r>
        <w:t>Additional</w:t>
      </w:r>
      <w:r w:rsidR="00C06489">
        <w:t xml:space="preserve"> eligibility criteria</w:t>
      </w:r>
      <w:bookmarkEnd w:id="640"/>
      <w:bookmarkEnd w:id="641"/>
      <w:bookmarkEnd w:id="642"/>
    </w:p>
    <w:p w14:paraId="7DCD8AD1" w14:textId="4476D172" w:rsidR="00C06489" w:rsidRPr="00C06489" w:rsidRDefault="00A2678B" w:rsidP="00021EF3">
      <w:r>
        <w:rPr>
          <w:b/>
          <w:bCs/>
        </w:rPr>
        <w:t xml:space="preserve">Payroll – </w:t>
      </w:r>
      <w:r w:rsidR="005A5843">
        <w:t xml:space="preserve">For BCAP 1, only businesses with less than $3 million in </w:t>
      </w:r>
      <w:r w:rsidR="00B66198">
        <w:t xml:space="preserve">annual </w:t>
      </w:r>
      <w:r w:rsidR="00BF0F7E">
        <w:t xml:space="preserve">Victorian </w:t>
      </w:r>
      <w:r w:rsidR="003E60F6">
        <w:t xml:space="preserve">taxable </w:t>
      </w:r>
      <w:r w:rsidR="005A5843">
        <w:t xml:space="preserve">payroll </w:t>
      </w:r>
      <w:r w:rsidR="00346A7E">
        <w:t xml:space="preserve">during 2019-20 </w:t>
      </w:r>
      <w:r w:rsidR="005A5843">
        <w:t xml:space="preserve">were eligible. </w:t>
      </w:r>
      <w:r w:rsidR="00020A8E">
        <w:t xml:space="preserve">For BCAP 2 </w:t>
      </w:r>
      <w:r w:rsidR="00CB273D">
        <w:t>and all other subsequent rounds (including BCAP 2e)</w:t>
      </w:r>
      <w:r w:rsidR="00020A8E">
        <w:t xml:space="preserve">, </w:t>
      </w:r>
      <w:r w:rsidR="007204D0">
        <w:t xml:space="preserve">this maximum </w:t>
      </w:r>
      <w:r w:rsidR="00B66198">
        <w:t xml:space="preserve">annual </w:t>
      </w:r>
      <w:r w:rsidR="00BF0F7E">
        <w:t xml:space="preserve">Victorian </w:t>
      </w:r>
      <w:r w:rsidR="007204D0">
        <w:t>payroll</w:t>
      </w:r>
      <w:r w:rsidR="00346A7E">
        <w:t xml:space="preserve"> expanded to $10 million.</w:t>
      </w:r>
    </w:p>
    <w:p w14:paraId="2D370FEA" w14:textId="3AB0501D" w:rsidR="00A2678B" w:rsidRPr="00763BC2" w:rsidRDefault="00C2558D" w:rsidP="00021EF3">
      <w:r>
        <w:rPr>
          <w:b/>
          <w:bCs/>
        </w:rPr>
        <w:t>GST</w:t>
      </w:r>
      <w:r w:rsidR="00A32497">
        <w:rPr>
          <w:b/>
          <w:bCs/>
        </w:rPr>
        <w:t>, ABN and WorkSafe</w:t>
      </w:r>
      <w:r>
        <w:rPr>
          <w:b/>
          <w:bCs/>
        </w:rPr>
        <w:t xml:space="preserve"> –</w:t>
      </w:r>
      <w:r w:rsidR="00763BC2">
        <w:t xml:space="preserve"> For all rounds of BCAP, businesses needed to be registered for </w:t>
      </w:r>
      <w:r w:rsidR="000021F3">
        <w:t>GST</w:t>
      </w:r>
      <w:r w:rsidR="00946000">
        <w:t>, hold an ABN and be registered with WorkSafe</w:t>
      </w:r>
      <w:r w:rsidR="00A32497">
        <w:t xml:space="preserve"> for insurance</w:t>
      </w:r>
      <w:r w:rsidR="000021F3">
        <w:t xml:space="preserve">. For BCAP </w:t>
      </w:r>
      <w:r w:rsidR="00CB24AC">
        <w:t>1</w:t>
      </w:r>
      <w:r w:rsidR="008C17B1">
        <w:t>, 2 and 2e</w:t>
      </w:r>
      <w:r w:rsidR="00CB24AC">
        <w:t>, this was measured</w:t>
      </w:r>
      <w:r w:rsidR="008C17B1">
        <w:t xml:space="preserve"> as </w:t>
      </w:r>
      <w:proofErr w:type="gramStart"/>
      <w:r w:rsidR="008C17B1">
        <w:t>at</w:t>
      </w:r>
      <w:proofErr w:type="gramEnd"/>
      <w:r w:rsidR="008C17B1">
        <w:t xml:space="preserve"> 12 February 2021, 27 May 2021 and 15 July 2021</w:t>
      </w:r>
      <w:r w:rsidR="00C33075">
        <w:t>,</w:t>
      </w:r>
      <w:r w:rsidR="008C17B1">
        <w:t xml:space="preserve"> respectively. </w:t>
      </w:r>
      <w:r w:rsidR="00215639">
        <w:t>Other BCAP rounds did not require this measurement as they were based on</w:t>
      </w:r>
      <w:r w:rsidR="00C82535">
        <w:t xml:space="preserve"> the eligibility and receipt of BCAP 2/2e.</w:t>
      </w:r>
    </w:p>
    <w:p w14:paraId="253B9083" w14:textId="0E39A5A8" w:rsidR="00F33035" w:rsidRPr="00A379BC" w:rsidRDefault="00DC3824" w:rsidP="00021EF3">
      <w:r>
        <w:rPr>
          <w:b/>
          <w:bCs/>
        </w:rPr>
        <w:t>Registered with the regulator</w:t>
      </w:r>
      <w:r w:rsidR="00F961CF">
        <w:rPr>
          <w:b/>
          <w:bCs/>
        </w:rPr>
        <w:t xml:space="preserve"> </w:t>
      </w:r>
      <w:r w:rsidR="00A379BC">
        <w:rPr>
          <w:b/>
          <w:bCs/>
        </w:rPr>
        <w:t>–</w:t>
      </w:r>
      <w:r w:rsidR="00F961CF">
        <w:rPr>
          <w:b/>
          <w:bCs/>
        </w:rPr>
        <w:t xml:space="preserve"> </w:t>
      </w:r>
      <w:r w:rsidR="00A379BC">
        <w:t>From round BCAP 2/2</w:t>
      </w:r>
      <w:r w:rsidR="00DE4A4E">
        <w:t>e onwards, all businesses needed to be registered</w:t>
      </w:r>
      <w:r w:rsidR="00F425A9">
        <w:t xml:space="preserve"> with </w:t>
      </w:r>
      <w:r w:rsidR="00BF62B9">
        <w:t>the responsible</w:t>
      </w:r>
      <w:r w:rsidR="00F425A9">
        <w:t xml:space="preserve"> </w:t>
      </w:r>
      <w:r w:rsidR="00C33075">
        <w:t>s</w:t>
      </w:r>
      <w:r w:rsidR="00F425A9">
        <w:t xml:space="preserve">tate and </w:t>
      </w:r>
      <w:r w:rsidR="00C33075">
        <w:t>f</w:t>
      </w:r>
      <w:r w:rsidR="00F425A9">
        <w:t xml:space="preserve">ederal </w:t>
      </w:r>
      <w:r w:rsidR="006213DC">
        <w:t>regulator</w:t>
      </w:r>
      <w:r w:rsidR="00BF0F7E">
        <w:t xml:space="preserve"> where relevant and </w:t>
      </w:r>
      <w:r w:rsidR="00781101">
        <w:t xml:space="preserve">applicable. This included ASIC, the </w:t>
      </w:r>
      <w:r w:rsidR="00CA7E42" w:rsidRPr="00CA7E42">
        <w:t>Australian Charities and Not-</w:t>
      </w:r>
      <w:r w:rsidR="00E75181">
        <w:t>F</w:t>
      </w:r>
      <w:r w:rsidR="00CA7E42" w:rsidRPr="00CA7E42">
        <w:t>or-</w:t>
      </w:r>
      <w:r w:rsidR="00E75181">
        <w:t>P</w:t>
      </w:r>
      <w:r w:rsidR="00CA7E42" w:rsidRPr="00CA7E42">
        <w:t>rofits Commission</w:t>
      </w:r>
      <w:r w:rsidR="00CA7E42">
        <w:t xml:space="preserve"> for charities and </w:t>
      </w:r>
      <w:r w:rsidR="00A0263E">
        <w:t>NFPs</w:t>
      </w:r>
      <w:r w:rsidR="00CA7E42">
        <w:t>, and Consumer Affairs Victoria for incorporated associations.</w:t>
      </w:r>
    </w:p>
    <w:p w14:paraId="391DDCFE" w14:textId="1EA72CD1" w:rsidR="008C4543" w:rsidRDefault="00656E59" w:rsidP="00021EF3">
      <w:pPr>
        <w:rPr>
          <w:lang w:eastAsia="en-AU"/>
        </w:rPr>
        <w:sectPr w:rsidR="008C4543" w:rsidSect="00144137">
          <w:footnotePr>
            <w:numFmt w:val="chicago"/>
          </w:footnotePr>
          <w:endnotePr>
            <w:numFmt w:val="decimal"/>
          </w:endnotePr>
          <w:pgSz w:w="11906" w:h="16838" w:code="9"/>
          <w:pgMar w:top="1440" w:right="1440" w:bottom="1440" w:left="1440" w:header="680" w:footer="425" w:gutter="0"/>
          <w:cols w:space="284"/>
          <w:noEndnote/>
          <w:docGrid w:linePitch="360"/>
        </w:sectPr>
      </w:pPr>
      <w:r>
        <w:rPr>
          <w:rFonts w:cs="Arial"/>
        </w:rPr>
        <w:t xml:space="preserve">Once BCAP 4 was reached, </w:t>
      </w:r>
      <w:r w:rsidR="00EC3FC0">
        <w:rPr>
          <w:rFonts w:cs="Arial"/>
        </w:rPr>
        <w:t xml:space="preserve">these </w:t>
      </w:r>
      <w:r w:rsidR="009C23A6">
        <w:rPr>
          <w:rFonts w:cs="Arial"/>
        </w:rPr>
        <w:t xml:space="preserve">additional </w:t>
      </w:r>
      <w:r>
        <w:rPr>
          <w:rFonts w:cs="Arial"/>
        </w:rPr>
        <w:t xml:space="preserve">eligibility criteria </w:t>
      </w:r>
      <w:r w:rsidR="00EC3FC0">
        <w:rPr>
          <w:rFonts w:cs="Arial"/>
        </w:rPr>
        <w:t>were</w:t>
      </w:r>
      <w:r>
        <w:rPr>
          <w:rFonts w:cs="Arial"/>
        </w:rPr>
        <w:t xml:space="preserve"> </w:t>
      </w:r>
      <w:r w:rsidR="009C23A6">
        <w:rPr>
          <w:rFonts w:cs="Arial"/>
        </w:rPr>
        <w:t xml:space="preserve">all </w:t>
      </w:r>
      <w:r>
        <w:rPr>
          <w:rFonts w:cs="Arial"/>
        </w:rPr>
        <w:t>revalidated</w:t>
      </w:r>
      <w:r w:rsidR="009C23A6">
        <w:rPr>
          <w:rFonts w:cs="Arial"/>
        </w:rPr>
        <w:t xml:space="preserve"> to ensure businesses receiving grants remained eligible</w:t>
      </w:r>
      <w:r w:rsidR="004768A8">
        <w:rPr>
          <w:rFonts w:cs="Arial"/>
        </w:rPr>
        <w:t>.</w:t>
      </w:r>
      <w:r w:rsidR="00C97244">
        <w:rPr>
          <w:rFonts w:cs="Arial"/>
        </w:rPr>
        <w:t xml:space="preserve"> </w:t>
      </w:r>
      <w:r w:rsidR="00D020E0">
        <w:rPr>
          <w:rFonts w:cs="Arial"/>
        </w:rPr>
        <w:t xml:space="preserve">Businesses also needed to attest that </w:t>
      </w:r>
      <w:r w:rsidR="00AD22B1">
        <w:rPr>
          <w:rFonts w:cs="Arial"/>
        </w:rPr>
        <w:t xml:space="preserve">they intended to remain trading at the end of COVID-19 public health restrictions, that they were supporting workers to access paid leave </w:t>
      </w:r>
      <w:r w:rsidR="00E95E82">
        <w:rPr>
          <w:rFonts w:cs="Arial"/>
        </w:rPr>
        <w:t>entitlements</w:t>
      </w:r>
      <w:r w:rsidR="00AD22B1">
        <w:rPr>
          <w:rFonts w:cs="Arial"/>
        </w:rPr>
        <w:t xml:space="preserve"> or work from home, and that the business had incurred </w:t>
      </w:r>
      <w:r w:rsidR="00BB7E90">
        <w:rPr>
          <w:rFonts w:cs="Arial"/>
        </w:rPr>
        <w:t xml:space="preserve">direct costs as a result of COVID-19 restrictions such as booking cancellations, </w:t>
      </w:r>
      <w:r w:rsidR="008064CE">
        <w:rPr>
          <w:rFonts w:cs="Arial"/>
        </w:rPr>
        <w:t xml:space="preserve">utilities, wages, paid leave for staff unable to attend work, rent or the loss of perishable goods. The business also </w:t>
      </w:r>
      <w:r w:rsidR="0057220C">
        <w:rPr>
          <w:rFonts w:cs="Arial"/>
        </w:rPr>
        <w:t>needed to be unable to operate predominantl</w:t>
      </w:r>
      <w:r w:rsidR="00A45D5B">
        <w:rPr>
          <w:rFonts w:cs="Arial"/>
        </w:rPr>
        <w:t>y remotely.</w:t>
      </w:r>
      <w:r w:rsidR="00AD22B1">
        <w:rPr>
          <w:rFonts w:cs="Arial"/>
        </w:rPr>
        <w:t xml:space="preserve"> </w:t>
      </w:r>
      <w:r w:rsidR="00087E1B">
        <w:rPr>
          <w:lang w:eastAsia="en-AU"/>
        </w:rPr>
        <w:t xml:space="preserve">The design and eligibility of each round, as well as any changes from the previous round, are shown in </w:t>
      </w:r>
      <w:r w:rsidR="00087E1B" w:rsidRPr="00494F99">
        <w:rPr>
          <w:lang w:eastAsia="en-AU"/>
        </w:rPr>
        <w:fldChar w:fldCharType="begin"/>
      </w:r>
      <w:r w:rsidR="00087E1B" w:rsidRPr="00494F99">
        <w:rPr>
          <w:lang w:eastAsia="en-AU"/>
        </w:rPr>
        <w:instrText xml:space="preserve"> REF _Ref173259632 \r \h  \* MERGEFORMAT </w:instrText>
      </w:r>
      <w:r w:rsidR="00087E1B" w:rsidRPr="00494F99">
        <w:rPr>
          <w:lang w:eastAsia="en-AU"/>
        </w:rPr>
      </w:r>
      <w:r w:rsidR="00087E1B" w:rsidRPr="00494F99">
        <w:rPr>
          <w:lang w:eastAsia="en-AU"/>
        </w:rPr>
        <w:fldChar w:fldCharType="separate"/>
      </w:r>
      <w:r w:rsidR="0016271C">
        <w:rPr>
          <w:lang w:eastAsia="en-AU"/>
        </w:rPr>
        <w:t>0</w:t>
      </w:r>
      <w:r w:rsidR="00087E1B" w:rsidRPr="00494F99">
        <w:rPr>
          <w:lang w:eastAsia="en-AU"/>
        </w:rPr>
        <w:fldChar w:fldCharType="end"/>
      </w:r>
      <w:bookmarkStart w:id="643" w:name="_Ref173259632"/>
      <w:r w:rsidR="00087E1B">
        <w:rPr>
          <w:lang w:eastAsia="en-AU"/>
        </w:rPr>
        <w:t>.</w:t>
      </w:r>
    </w:p>
    <w:p w14:paraId="6AB34855" w14:textId="1EDEBFC2" w:rsidR="004C1AD4" w:rsidRDefault="001F49B1" w:rsidP="00021EF3">
      <w:pPr>
        <w:pStyle w:val="AppendixTableCaption"/>
      </w:pPr>
      <w:r>
        <w:lastRenderedPageBreak/>
        <w:t>:</w:t>
      </w:r>
      <w:r w:rsidR="00BB7706">
        <w:t xml:space="preserve"> BCAP round design</w:t>
      </w:r>
      <w:r w:rsidR="00CF3237">
        <w:t xml:space="preserve"> and eligibility</w:t>
      </w:r>
      <w:bookmarkEnd w:id="643"/>
      <w:r w:rsidR="00792D18">
        <w:t>.</w:t>
      </w:r>
    </w:p>
    <w:tbl>
      <w:tblPr>
        <w:tblStyle w:val="Deloittetable"/>
        <w:tblW w:w="13860" w:type="dxa"/>
        <w:tblLayout w:type="fixed"/>
        <w:tblLook w:val="04A0" w:firstRow="1" w:lastRow="0" w:firstColumn="1" w:lastColumn="0" w:noHBand="0" w:noVBand="1"/>
      </w:tblPr>
      <w:tblGrid>
        <w:gridCol w:w="1276"/>
        <w:gridCol w:w="2977"/>
        <w:gridCol w:w="3402"/>
        <w:gridCol w:w="6205"/>
      </w:tblGrid>
      <w:tr w:rsidR="008C4543" w:rsidRPr="00FC4873" w14:paraId="03CD506F" w14:textId="77777777" w:rsidTr="004A39C9">
        <w:trPr>
          <w:cnfStyle w:val="100000000000" w:firstRow="1" w:lastRow="0" w:firstColumn="0" w:lastColumn="0" w:oddVBand="0" w:evenVBand="0" w:oddHBand="0" w:evenHBand="0" w:firstRowFirstColumn="0" w:firstRowLastColumn="0" w:lastRowFirstColumn="0" w:lastRowLastColumn="0"/>
          <w:cantSplit/>
          <w:trHeight w:val="159"/>
          <w:tblHeader/>
        </w:trPr>
        <w:tc>
          <w:tcPr>
            <w:tcW w:w="1276" w:type="dxa"/>
          </w:tcPr>
          <w:p w14:paraId="3283BDD8" w14:textId="77777777" w:rsidR="008C4543" w:rsidRPr="00D70D1D" w:rsidRDefault="008C4543" w:rsidP="00021EF3">
            <w:pPr>
              <w:spacing w:after="0"/>
              <w:rPr>
                <w:rFonts w:cs="Arial"/>
                <w:b/>
              </w:rPr>
            </w:pPr>
            <w:r w:rsidRPr="00D70D1D">
              <w:rPr>
                <w:rFonts w:cs="Arial"/>
                <w:b/>
              </w:rPr>
              <w:t>Stream</w:t>
            </w:r>
            <w:r w:rsidRPr="00D70D1D">
              <w:rPr>
                <w:rStyle w:val="FootnoteReference"/>
                <w:rFonts w:cs="Arial"/>
                <w:b/>
              </w:rPr>
              <w:footnoteReference w:id="13"/>
            </w:r>
          </w:p>
        </w:tc>
        <w:tc>
          <w:tcPr>
            <w:tcW w:w="2977" w:type="dxa"/>
          </w:tcPr>
          <w:p w14:paraId="0316D626" w14:textId="0BEA22F2" w:rsidR="008C4543" w:rsidRPr="00FC3567" w:rsidRDefault="00150442" w:rsidP="00021EF3">
            <w:pPr>
              <w:spacing w:after="0"/>
              <w:rPr>
                <w:rFonts w:cs="Arial"/>
                <w:b/>
              </w:rPr>
            </w:pPr>
            <w:r w:rsidRPr="00FC3567">
              <w:rPr>
                <w:rFonts w:cs="Arial"/>
                <w:b/>
              </w:rPr>
              <w:t>Round</w:t>
            </w:r>
            <w:r>
              <w:rPr>
                <w:rFonts w:cs="Arial"/>
                <w:b/>
              </w:rPr>
              <w:t xml:space="preserve">, date and </w:t>
            </w:r>
            <w:r w:rsidR="004A39C9">
              <w:rPr>
                <w:rFonts w:cs="Arial"/>
                <w:b/>
              </w:rPr>
              <w:t xml:space="preserve">business </w:t>
            </w:r>
            <w:r>
              <w:rPr>
                <w:rFonts w:cs="Arial"/>
                <w:b/>
              </w:rPr>
              <w:t>location</w:t>
            </w:r>
          </w:p>
        </w:tc>
        <w:tc>
          <w:tcPr>
            <w:tcW w:w="3402" w:type="dxa"/>
          </w:tcPr>
          <w:p w14:paraId="41AAACD5" w14:textId="443DC3DC" w:rsidR="008C4543" w:rsidRPr="00FC3567" w:rsidRDefault="008C4543" w:rsidP="00021EF3">
            <w:pPr>
              <w:spacing w:after="0"/>
              <w:rPr>
                <w:rFonts w:cs="Arial"/>
                <w:b/>
              </w:rPr>
            </w:pPr>
            <w:r w:rsidRPr="00FC3567">
              <w:rPr>
                <w:rFonts w:cs="Arial"/>
                <w:b/>
              </w:rPr>
              <w:t xml:space="preserve">Grant </w:t>
            </w:r>
            <w:r w:rsidR="00150442">
              <w:rPr>
                <w:rFonts w:cs="Arial"/>
                <w:b/>
              </w:rPr>
              <w:t>a</w:t>
            </w:r>
            <w:r w:rsidR="00150442" w:rsidRPr="00150442">
              <w:rPr>
                <w:rFonts w:cs="Arial"/>
                <w:b/>
              </w:rPr>
              <w:t>mount</w:t>
            </w:r>
          </w:p>
        </w:tc>
        <w:tc>
          <w:tcPr>
            <w:tcW w:w="6205" w:type="dxa"/>
          </w:tcPr>
          <w:p w14:paraId="4BB542B7" w14:textId="77777777" w:rsidR="008C4543" w:rsidRPr="00855BFA" w:rsidRDefault="008C4543" w:rsidP="00021EF3">
            <w:pPr>
              <w:spacing w:after="0"/>
              <w:ind w:left="0"/>
              <w:rPr>
                <w:b/>
                <w:bCs/>
              </w:rPr>
            </w:pPr>
            <w:r w:rsidRPr="00855BFA">
              <w:rPr>
                <w:b/>
                <w:bCs/>
              </w:rPr>
              <w:t>Change from previous round</w:t>
            </w:r>
          </w:p>
        </w:tc>
      </w:tr>
      <w:tr w:rsidR="004A39C9" w:rsidRPr="00F60097" w14:paraId="4C489AC2" w14:textId="77777777" w:rsidTr="00310795">
        <w:trPr>
          <w:cantSplit/>
          <w:trHeight w:val="115"/>
        </w:trPr>
        <w:tc>
          <w:tcPr>
            <w:tcW w:w="1276" w:type="dxa"/>
            <w:shd w:val="clear" w:color="auto" w:fill="DFF0F9" w:themeFill="accent3" w:themeFillTint="33"/>
          </w:tcPr>
          <w:p w14:paraId="701FB4B3" w14:textId="40E55454" w:rsidR="004A39C9" w:rsidRPr="00D70D1D" w:rsidRDefault="00DD332B" w:rsidP="00021EF3">
            <w:pPr>
              <w:spacing w:after="0"/>
              <w:rPr>
                <w:rFonts w:cs="Arial"/>
                <w:b/>
              </w:rPr>
            </w:pPr>
            <w:r>
              <w:rPr>
                <w:rFonts w:cs="Arial"/>
                <w:b/>
              </w:rPr>
              <w:t>BCAP</w:t>
            </w:r>
          </w:p>
        </w:tc>
        <w:tc>
          <w:tcPr>
            <w:tcW w:w="2977" w:type="dxa"/>
            <w:shd w:val="clear" w:color="auto" w:fill="DFF0F9" w:themeFill="accent3" w:themeFillTint="33"/>
          </w:tcPr>
          <w:p w14:paraId="0B642C85" w14:textId="77777777" w:rsidR="004A39C9" w:rsidRPr="002D522C" w:rsidRDefault="004A39C9" w:rsidP="00021EF3">
            <w:pPr>
              <w:spacing w:after="0"/>
              <w:rPr>
                <w:rFonts w:cs="Arial"/>
                <w:b/>
                <w:bCs/>
              </w:rPr>
            </w:pPr>
          </w:p>
        </w:tc>
        <w:tc>
          <w:tcPr>
            <w:tcW w:w="3402" w:type="dxa"/>
            <w:shd w:val="clear" w:color="auto" w:fill="DFF0F9" w:themeFill="accent3" w:themeFillTint="33"/>
          </w:tcPr>
          <w:p w14:paraId="1D0C969A" w14:textId="77777777" w:rsidR="004A39C9" w:rsidRPr="00150442" w:rsidRDefault="004A39C9" w:rsidP="00021EF3">
            <w:pPr>
              <w:spacing w:after="0"/>
              <w:rPr>
                <w:rFonts w:cs="Arial"/>
                <w:bCs/>
              </w:rPr>
            </w:pPr>
          </w:p>
        </w:tc>
        <w:tc>
          <w:tcPr>
            <w:tcW w:w="6205" w:type="dxa"/>
            <w:shd w:val="clear" w:color="auto" w:fill="DFF0F9" w:themeFill="accent3" w:themeFillTint="33"/>
          </w:tcPr>
          <w:p w14:paraId="06FA52D6" w14:textId="77777777" w:rsidR="004A39C9" w:rsidRPr="004A39C9" w:rsidRDefault="004A39C9" w:rsidP="00021EF3">
            <w:pPr>
              <w:spacing w:after="0"/>
              <w:ind w:left="360" w:hanging="360"/>
            </w:pPr>
          </w:p>
        </w:tc>
      </w:tr>
      <w:tr w:rsidR="008C4543" w:rsidRPr="00F60097" w14:paraId="0B13680B" w14:textId="77777777" w:rsidTr="004A39C9">
        <w:trPr>
          <w:cantSplit/>
          <w:trHeight w:val="618"/>
        </w:trPr>
        <w:tc>
          <w:tcPr>
            <w:tcW w:w="1276" w:type="dxa"/>
          </w:tcPr>
          <w:p w14:paraId="76935FA7" w14:textId="77777777" w:rsidR="008C4543" w:rsidRPr="00BB215F" w:rsidRDefault="008C4543" w:rsidP="00021EF3">
            <w:pPr>
              <w:spacing w:after="0"/>
              <w:rPr>
                <w:rFonts w:cs="Arial"/>
              </w:rPr>
            </w:pPr>
            <w:r w:rsidRPr="00BB215F">
              <w:rPr>
                <w:rFonts w:cs="Arial"/>
              </w:rPr>
              <w:t>BCAP</w:t>
            </w:r>
          </w:p>
        </w:tc>
        <w:tc>
          <w:tcPr>
            <w:tcW w:w="2977" w:type="dxa"/>
          </w:tcPr>
          <w:p w14:paraId="29145ADB" w14:textId="77777777" w:rsidR="00C97244" w:rsidRPr="002D522C" w:rsidRDefault="008C4543" w:rsidP="00021EF3">
            <w:pPr>
              <w:spacing w:after="0"/>
              <w:rPr>
                <w:rFonts w:cs="Arial"/>
                <w:b/>
              </w:rPr>
            </w:pPr>
            <w:r w:rsidRPr="002D522C">
              <w:rPr>
                <w:rFonts w:cs="Arial"/>
                <w:b/>
              </w:rPr>
              <w:t>BCAP</w:t>
            </w:r>
          </w:p>
          <w:p w14:paraId="5D71C1A5" w14:textId="558966CB" w:rsidR="00C97244" w:rsidRPr="004A39C9" w:rsidRDefault="002D522C" w:rsidP="00021EF3">
            <w:pPr>
              <w:spacing w:after="0"/>
              <w:rPr>
                <w:rFonts w:cs="Arial"/>
              </w:rPr>
            </w:pPr>
            <w:r w:rsidRPr="004A39C9">
              <w:rPr>
                <w:rFonts w:cs="Arial"/>
              </w:rPr>
              <w:t>February</w:t>
            </w:r>
            <w:r w:rsidR="00C97244" w:rsidRPr="004A39C9">
              <w:rPr>
                <w:rFonts w:cs="Arial"/>
              </w:rPr>
              <w:t xml:space="preserve"> 2021</w:t>
            </w:r>
          </w:p>
          <w:p w14:paraId="0EC985C1" w14:textId="2BC3B6E5" w:rsidR="008C4543" w:rsidRPr="000D5048" w:rsidRDefault="00C97244" w:rsidP="00021EF3">
            <w:pPr>
              <w:spacing w:after="0"/>
              <w:rPr>
                <w:rFonts w:cs="Arial"/>
              </w:rPr>
            </w:pPr>
            <w:r w:rsidRPr="002D522C">
              <w:rPr>
                <w:rFonts w:cs="Arial"/>
                <w:i/>
              </w:rPr>
              <w:t>Victoria</w:t>
            </w:r>
          </w:p>
        </w:tc>
        <w:tc>
          <w:tcPr>
            <w:tcW w:w="3402" w:type="dxa"/>
          </w:tcPr>
          <w:p w14:paraId="5A4B709E" w14:textId="0132C0C9" w:rsidR="008C4543" w:rsidRPr="00150442" w:rsidRDefault="00150442" w:rsidP="00021EF3">
            <w:pPr>
              <w:spacing w:after="0"/>
              <w:rPr>
                <w:rFonts w:cs="Arial"/>
              </w:rPr>
            </w:pPr>
            <w:r w:rsidRPr="00150442">
              <w:rPr>
                <w:rFonts w:cs="Arial"/>
                <w:bCs/>
              </w:rPr>
              <w:t>$2</w:t>
            </w:r>
            <w:r w:rsidR="00BE30C5">
              <w:rPr>
                <w:rFonts w:cs="Arial"/>
                <w:bCs/>
              </w:rPr>
              <w:t>,</w:t>
            </w:r>
            <w:r w:rsidRPr="00150442">
              <w:rPr>
                <w:rFonts w:cs="Arial"/>
                <w:bCs/>
              </w:rPr>
              <w:t>000</w:t>
            </w:r>
          </w:p>
        </w:tc>
        <w:tc>
          <w:tcPr>
            <w:tcW w:w="6205" w:type="dxa"/>
          </w:tcPr>
          <w:p w14:paraId="1B2C3C56" w14:textId="2722798D" w:rsidR="008C4543" w:rsidRPr="00D70D1D" w:rsidRDefault="008C4543" w:rsidP="00021EF3">
            <w:pPr>
              <w:pStyle w:val="ListParagraph"/>
              <w:numPr>
                <w:ilvl w:val="0"/>
                <w:numId w:val="20"/>
              </w:numPr>
              <w:spacing w:after="0"/>
              <w:ind w:left="312" w:hanging="284"/>
            </w:pPr>
            <w:r w:rsidRPr="00D70D1D">
              <w:t xml:space="preserve">Excludes LHVF recipients. </w:t>
            </w:r>
          </w:p>
        </w:tc>
      </w:tr>
      <w:tr w:rsidR="00DD332B" w:rsidRPr="00F60097" w14:paraId="0A69143D" w14:textId="77777777" w:rsidTr="00310795">
        <w:trPr>
          <w:cantSplit/>
          <w:trHeight w:val="58"/>
        </w:trPr>
        <w:tc>
          <w:tcPr>
            <w:tcW w:w="1276" w:type="dxa"/>
            <w:shd w:val="clear" w:color="auto" w:fill="DFF0F9" w:themeFill="accent3" w:themeFillTint="33"/>
          </w:tcPr>
          <w:p w14:paraId="209FCB0E" w14:textId="3DDD85ED" w:rsidR="00DD332B" w:rsidRPr="00D70D1D" w:rsidRDefault="00DD332B" w:rsidP="00021EF3">
            <w:pPr>
              <w:spacing w:after="0"/>
              <w:rPr>
                <w:rFonts w:cs="Arial"/>
                <w:b/>
              </w:rPr>
            </w:pPr>
            <w:r>
              <w:rPr>
                <w:rFonts w:cs="Arial"/>
                <w:b/>
              </w:rPr>
              <w:t>BCAP 2/2e</w:t>
            </w:r>
          </w:p>
        </w:tc>
        <w:tc>
          <w:tcPr>
            <w:tcW w:w="2977" w:type="dxa"/>
            <w:shd w:val="clear" w:color="auto" w:fill="DFF0F9" w:themeFill="accent3" w:themeFillTint="33"/>
          </w:tcPr>
          <w:p w14:paraId="2D3D96F4" w14:textId="77777777" w:rsidR="00DD332B" w:rsidRPr="002D522C" w:rsidRDefault="00DD332B" w:rsidP="00021EF3">
            <w:pPr>
              <w:spacing w:after="0"/>
              <w:rPr>
                <w:rFonts w:cs="Arial"/>
                <w:b/>
                <w:bCs/>
              </w:rPr>
            </w:pPr>
          </w:p>
        </w:tc>
        <w:tc>
          <w:tcPr>
            <w:tcW w:w="3402" w:type="dxa"/>
            <w:shd w:val="clear" w:color="auto" w:fill="DFF0F9" w:themeFill="accent3" w:themeFillTint="33"/>
          </w:tcPr>
          <w:p w14:paraId="2ED4D154" w14:textId="77777777" w:rsidR="00DD332B" w:rsidRPr="00150442" w:rsidRDefault="00DD332B" w:rsidP="00021EF3">
            <w:pPr>
              <w:spacing w:after="0" w:line="276" w:lineRule="auto"/>
              <w:rPr>
                <w:rFonts w:cs="Arial"/>
                <w:bCs/>
              </w:rPr>
            </w:pPr>
          </w:p>
        </w:tc>
        <w:tc>
          <w:tcPr>
            <w:tcW w:w="6205" w:type="dxa"/>
            <w:shd w:val="clear" w:color="auto" w:fill="DFF0F9" w:themeFill="accent3" w:themeFillTint="33"/>
          </w:tcPr>
          <w:p w14:paraId="356F5051" w14:textId="77777777" w:rsidR="00DD332B" w:rsidRPr="00DD332B" w:rsidRDefault="00DD332B" w:rsidP="00021EF3">
            <w:pPr>
              <w:spacing w:after="0"/>
              <w:ind w:left="360" w:hanging="360"/>
            </w:pPr>
          </w:p>
        </w:tc>
      </w:tr>
      <w:tr w:rsidR="008C4543" w:rsidRPr="00F60097" w14:paraId="1A048F83" w14:textId="77777777" w:rsidTr="004A39C9">
        <w:trPr>
          <w:cantSplit/>
          <w:trHeight w:val="1134"/>
        </w:trPr>
        <w:tc>
          <w:tcPr>
            <w:tcW w:w="1276" w:type="dxa"/>
          </w:tcPr>
          <w:p w14:paraId="028B1556" w14:textId="77777777" w:rsidR="008C4543" w:rsidRPr="00BB215F" w:rsidRDefault="008C4543" w:rsidP="00021EF3">
            <w:pPr>
              <w:spacing w:after="0"/>
              <w:rPr>
                <w:rFonts w:cs="Arial"/>
              </w:rPr>
            </w:pPr>
            <w:r w:rsidRPr="00BB215F">
              <w:rPr>
                <w:rFonts w:cs="Arial"/>
              </w:rPr>
              <w:t>BCAP 2/2e</w:t>
            </w:r>
          </w:p>
        </w:tc>
        <w:tc>
          <w:tcPr>
            <w:tcW w:w="2977" w:type="dxa"/>
          </w:tcPr>
          <w:p w14:paraId="1FB4686B" w14:textId="77777777" w:rsidR="00C97244" w:rsidRPr="002D522C" w:rsidRDefault="008C4543" w:rsidP="00021EF3">
            <w:pPr>
              <w:spacing w:after="0"/>
              <w:rPr>
                <w:rFonts w:cs="Arial"/>
                <w:b/>
              </w:rPr>
            </w:pPr>
            <w:r w:rsidRPr="002D522C">
              <w:rPr>
                <w:rFonts w:cs="Arial"/>
                <w:b/>
              </w:rPr>
              <w:t>BCAP 2</w:t>
            </w:r>
          </w:p>
          <w:p w14:paraId="3ECB7443" w14:textId="77777777" w:rsidR="00C97244" w:rsidRPr="004A39C9" w:rsidRDefault="00C97244" w:rsidP="00021EF3">
            <w:pPr>
              <w:spacing w:after="0"/>
              <w:rPr>
                <w:rFonts w:cs="Arial"/>
              </w:rPr>
            </w:pPr>
            <w:r w:rsidRPr="004A39C9">
              <w:rPr>
                <w:rFonts w:cs="Arial"/>
              </w:rPr>
              <w:t>May-June 2021</w:t>
            </w:r>
          </w:p>
          <w:p w14:paraId="2CBE4595" w14:textId="06ACA3CB" w:rsidR="008C4543" w:rsidRPr="000D5048" w:rsidRDefault="00C97244" w:rsidP="00021EF3">
            <w:pPr>
              <w:spacing w:after="0"/>
              <w:rPr>
                <w:rFonts w:cs="Arial"/>
              </w:rPr>
            </w:pPr>
            <w:r w:rsidRPr="002D522C">
              <w:rPr>
                <w:rFonts w:cs="Arial"/>
                <w:i/>
              </w:rPr>
              <w:t>Victoria</w:t>
            </w:r>
          </w:p>
        </w:tc>
        <w:tc>
          <w:tcPr>
            <w:tcW w:w="3402" w:type="dxa"/>
          </w:tcPr>
          <w:p w14:paraId="6E4EB386" w14:textId="7F692EBB" w:rsidR="008C4543" w:rsidRPr="000D5048" w:rsidRDefault="00150442" w:rsidP="00021EF3">
            <w:pPr>
              <w:spacing w:after="0" w:line="276" w:lineRule="auto"/>
              <w:rPr>
                <w:rFonts w:cs="Arial"/>
              </w:rPr>
            </w:pPr>
            <w:r w:rsidRPr="00150442">
              <w:rPr>
                <w:rFonts w:cs="Arial"/>
                <w:bCs/>
              </w:rPr>
              <w:t>$</w:t>
            </w:r>
            <w:r w:rsidR="00DD332B" w:rsidRPr="00150442">
              <w:rPr>
                <w:rFonts w:cs="Arial"/>
                <w:bCs/>
              </w:rPr>
              <w:t>2</w:t>
            </w:r>
            <w:r w:rsidR="00BE30C5">
              <w:rPr>
                <w:rFonts w:cs="Arial"/>
                <w:bCs/>
              </w:rPr>
              <w:t>,</w:t>
            </w:r>
            <w:r w:rsidR="00DD332B" w:rsidRPr="00150442">
              <w:rPr>
                <w:rFonts w:cs="Arial"/>
                <w:bCs/>
              </w:rPr>
              <w:t>500</w:t>
            </w:r>
            <w:r w:rsidRPr="00150442">
              <w:rPr>
                <w:rFonts w:cs="Arial"/>
                <w:bCs/>
              </w:rPr>
              <w:t xml:space="preserve"> for one week</w:t>
            </w:r>
          </w:p>
          <w:p w14:paraId="5C4A0254" w14:textId="6EC1223F" w:rsidR="008C4543" w:rsidRPr="000D5048" w:rsidRDefault="00150442" w:rsidP="00021EF3">
            <w:pPr>
              <w:spacing w:after="0" w:line="276" w:lineRule="auto"/>
              <w:rPr>
                <w:rFonts w:cs="Arial"/>
              </w:rPr>
            </w:pPr>
            <w:r w:rsidRPr="00150442">
              <w:rPr>
                <w:rFonts w:cs="Arial"/>
                <w:bCs/>
              </w:rPr>
              <w:t>$</w:t>
            </w:r>
            <w:r w:rsidR="00DD332B" w:rsidRPr="00150442">
              <w:rPr>
                <w:rFonts w:cs="Arial"/>
                <w:bCs/>
              </w:rPr>
              <w:t>5</w:t>
            </w:r>
            <w:r w:rsidR="00BE30C5">
              <w:rPr>
                <w:rFonts w:cs="Arial"/>
                <w:bCs/>
              </w:rPr>
              <w:t>,</w:t>
            </w:r>
            <w:r w:rsidR="00DD332B" w:rsidRPr="00150442">
              <w:rPr>
                <w:rFonts w:cs="Arial"/>
                <w:bCs/>
              </w:rPr>
              <w:t>000</w:t>
            </w:r>
            <w:r w:rsidRPr="00150442">
              <w:rPr>
                <w:rFonts w:cs="Arial"/>
                <w:bCs/>
              </w:rPr>
              <w:t xml:space="preserve"> for eligible ANZSICs affected by two more weeks of COVID-19 restrictions</w:t>
            </w:r>
            <w:r w:rsidR="00BE30C5" w:rsidRPr="00150442">
              <w:rPr>
                <w:rFonts w:cs="Arial"/>
                <w:bCs/>
              </w:rPr>
              <w:t>.</w:t>
            </w:r>
          </w:p>
          <w:p w14:paraId="2CE9AF13" w14:textId="77777777" w:rsidR="00BE30C5" w:rsidRDefault="00BE30C5" w:rsidP="00021EF3">
            <w:pPr>
              <w:spacing w:after="0" w:line="276" w:lineRule="auto"/>
              <w:rPr>
                <w:rFonts w:cs="Arial"/>
                <w:bCs/>
                <w:u w:val="single"/>
              </w:rPr>
            </w:pPr>
          </w:p>
          <w:p w14:paraId="1E484B07" w14:textId="6EC25D61" w:rsidR="008C4543" w:rsidRPr="000D5048" w:rsidRDefault="008C4543" w:rsidP="00021EF3">
            <w:pPr>
              <w:spacing w:after="0" w:line="276" w:lineRule="auto"/>
              <w:rPr>
                <w:rFonts w:cs="Arial"/>
              </w:rPr>
            </w:pPr>
            <w:r w:rsidRPr="00150442">
              <w:rPr>
                <w:rFonts w:cs="Arial"/>
                <w:u w:val="single"/>
              </w:rPr>
              <w:t>Automatic top</w:t>
            </w:r>
            <w:r w:rsidR="003F3A24">
              <w:rPr>
                <w:rFonts w:cs="Arial"/>
                <w:u w:val="single"/>
              </w:rPr>
              <w:t>-</w:t>
            </w:r>
            <w:r w:rsidRPr="00150442">
              <w:rPr>
                <w:rFonts w:cs="Arial"/>
                <w:u w:val="single"/>
              </w:rPr>
              <w:t>up payments:</w:t>
            </w:r>
          </w:p>
          <w:p w14:paraId="5672FE58" w14:textId="5955D752" w:rsidR="008C4543" w:rsidRPr="000D5048" w:rsidRDefault="008C4543" w:rsidP="00021EF3">
            <w:pPr>
              <w:spacing w:after="0" w:line="276" w:lineRule="auto"/>
              <w:rPr>
                <w:rFonts w:cs="Arial"/>
              </w:rPr>
            </w:pPr>
            <w:r w:rsidRPr="00150442">
              <w:rPr>
                <w:rFonts w:cs="Arial"/>
              </w:rPr>
              <w:t>$</w:t>
            </w:r>
            <w:r w:rsidR="00DD332B" w:rsidRPr="00150442">
              <w:rPr>
                <w:rFonts w:cs="Arial"/>
                <w:bCs/>
              </w:rPr>
              <w:t>2</w:t>
            </w:r>
            <w:r w:rsidR="00BE30C5">
              <w:rPr>
                <w:rFonts w:cs="Arial"/>
                <w:bCs/>
              </w:rPr>
              <w:t>,</w:t>
            </w:r>
            <w:r w:rsidR="00DD332B" w:rsidRPr="00150442">
              <w:rPr>
                <w:rFonts w:cs="Arial"/>
                <w:bCs/>
              </w:rPr>
              <w:t>000</w:t>
            </w:r>
            <w:r w:rsidRPr="00150442">
              <w:rPr>
                <w:rFonts w:cs="Arial"/>
              </w:rPr>
              <w:t xml:space="preserve"> </w:t>
            </w:r>
            <w:r w:rsidRPr="000D5048">
              <w:rPr>
                <w:rFonts w:cs="Arial"/>
              </w:rPr>
              <w:t>on 16 July 2021</w:t>
            </w:r>
          </w:p>
          <w:p w14:paraId="149455A8" w14:textId="4D323A35" w:rsidR="008C4543" w:rsidRPr="000D5048" w:rsidRDefault="008C4543" w:rsidP="00021EF3">
            <w:pPr>
              <w:spacing w:after="0"/>
              <w:rPr>
                <w:rFonts w:cs="Arial"/>
              </w:rPr>
            </w:pPr>
            <w:r w:rsidRPr="00150442">
              <w:rPr>
                <w:rFonts w:cs="Arial"/>
              </w:rPr>
              <w:t>$</w:t>
            </w:r>
            <w:r w:rsidR="00DD332B" w:rsidRPr="00150442">
              <w:rPr>
                <w:rFonts w:cs="Arial"/>
                <w:bCs/>
              </w:rPr>
              <w:t>2</w:t>
            </w:r>
            <w:r w:rsidR="00BE30C5">
              <w:rPr>
                <w:rFonts w:cs="Arial"/>
                <w:bCs/>
              </w:rPr>
              <w:t>,</w:t>
            </w:r>
            <w:r w:rsidR="00DD332B" w:rsidRPr="00150442">
              <w:rPr>
                <w:rFonts w:cs="Arial"/>
                <w:bCs/>
              </w:rPr>
              <w:t>800</w:t>
            </w:r>
            <w:r w:rsidRPr="00150442">
              <w:rPr>
                <w:rFonts w:cs="Arial"/>
              </w:rPr>
              <w:t xml:space="preserve"> </w:t>
            </w:r>
            <w:r w:rsidRPr="000D5048">
              <w:rPr>
                <w:rFonts w:cs="Arial"/>
              </w:rPr>
              <w:t>on 21 July 2021</w:t>
            </w:r>
          </w:p>
        </w:tc>
        <w:tc>
          <w:tcPr>
            <w:tcW w:w="6205" w:type="dxa"/>
          </w:tcPr>
          <w:p w14:paraId="19A6BFC9" w14:textId="3D7C02AB" w:rsidR="008C4543" w:rsidRPr="00D70D1D" w:rsidRDefault="00C97244" w:rsidP="00021EF3">
            <w:pPr>
              <w:pStyle w:val="ListParagraph"/>
              <w:numPr>
                <w:ilvl w:val="0"/>
                <w:numId w:val="20"/>
              </w:numPr>
              <w:spacing w:after="0"/>
              <w:ind w:left="312" w:hanging="284"/>
            </w:pPr>
            <w:r w:rsidRPr="00D70D1D">
              <w:t>Grant amount increas</w:t>
            </w:r>
            <w:r w:rsidR="00D95E43">
              <w:t>es</w:t>
            </w:r>
            <w:r w:rsidR="005A54B4">
              <w:t>.</w:t>
            </w:r>
          </w:p>
          <w:p w14:paraId="0A149AF5" w14:textId="16BBCBFC" w:rsidR="00D95E43" w:rsidRPr="00D70D1D" w:rsidRDefault="00F02441" w:rsidP="00021EF3">
            <w:pPr>
              <w:pStyle w:val="ListParagraph"/>
              <w:numPr>
                <w:ilvl w:val="0"/>
                <w:numId w:val="20"/>
              </w:numPr>
              <w:spacing w:after="0"/>
              <w:ind w:left="312" w:hanging="284"/>
            </w:pPr>
            <w:r>
              <w:t>Eligible p</w:t>
            </w:r>
            <w:r w:rsidR="00D95E43">
              <w:t>ayroll threshold increases</w:t>
            </w:r>
            <w:r>
              <w:t xml:space="preserve"> from $3 million to $10 million</w:t>
            </w:r>
            <w:r w:rsidR="005A54B4">
              <w:t>.</w:t>
            </w:r>
          </w:p>
          <w:p w14:paraId="7018ADC1" w14:textId="26E85ED8" w:rsidR="002B3926" w:rsidRPr="00D70D1D" w:rsidRDefault="002B3926" w:rsidP="00021EF3">
            <w:pPr>
              <w:pStyle w:val="ListParagraph"/>
              <w:numPr>
                <w:ilvl w:val="0"/>
                <w:numId w:val="20"/>
              </w:numPr>
              <w:spacing w:after="0"/>
              <w:ind w:left="312" w:hanging="284"/>
            </w:pPr>
            <w:r>
              <w:t>Date of assessment for GST and ABN is later on 27 May 2021</w:t>
            </w:r>
            <w:r w:rsidR="00A53BAB">
              <w:t>.</w:t>
            </w:r>
          </w:p>
          <w:p w14:paraId="2D184CE0" w14:textId="63484454" w:rsidR="008C4543" w:rsidRPr="00D70D1D" w:rsidRDefault="00D95E43" w:rsidP="00021EF3">
            <w:pPr>
              <w:pStyle w:val="ListParagraph"/>
              <w:numPr>
                <w:ilvl w:val="0"/>
                <w:numId w:val="20"/>
              </w:numPr>
              <w:spacing w:after="0"/>
              <w:ind w:left="312" w:hanging="284"/>
            </w:pPr>
            <w:r>
              <w:t xml:space="preserve">Newly introduced additional eligibility criteria for businesses to attest </w:t>
            </w:r>
            <w:r w:rsidR="00F02441">
              <w:t>that</w:t>
            </w:r>
            <w:r w:rsidRPr="00D70D1D">
              <w:t xml:space="preserve"> </w:t>
            </w:r>
            <w:r>
              <w:t>they are adequately</w:t>
            </w:r>
            <w:r w:rsidRPr="00D70D1D">
              <w:t xml:space="preserve"> with </w:t>
            </w:r>
            <w:r>
              <w:t xml:space="preserve">any relevant </w:t>
            </w:r>
            <w:r w:rsidR="005A54B4">
              <w:t>s</w:t>
            </w:r>
            <w:r w:rsidR="009E41DD">
              <w:t xml:space="preserve">tate or </w:t>
            </w:r>
            <w:r w:rsidR="005A54B4">
              <w:t>f</w:t>
            </w:r>
            <w:r w:rsidR="009E41DD">
              <w:t>ederal regulator</w:t>
            </w:r>
            <w:r w:rsidR="00F02441">
              <w:t>, that they</w:t>
            </w:r>
            <w:r w:rsidRPr="00D70D1D">
              <w:t xml:space="preserve"> intend to remain trading </w:t>
            </w:r>
            <w:r w:rsidR="00F02441">
              <w:t xml:space="preserve">after COVID-19 restrictions ease </w:t>
            </w:r>
            <w:r w:rsidRPr="00D70D1D">
              <w:t xml:space="preserve">and </w:t>
            </w:r>
            <w:r w:rsidR="00F02441">
              <w:t>that they are</w:t>
            </w:r>
            <w:r w:rsidRPr="00D70D1D">
              <w:t xml:space="preserve"> supporting workers</w:t>
            </w:r>
            <w:r w:rsidR="00F02441">
              <w:t xml:space="preserve"> to access paid leave or work from home</w:t>
            </w:r>
            <w:r w:rsidR="005A54B4">
              <w:t>.</w:t>
            </w:r>
          </w:p>
          <w:p w14:paraId="4EF6736C" w14:textId="79D583BD" w:rsidR="00F02441" w:rsidRDefault="00F02441" w:rsidP="00021EF3">
            <w:pPr>
              <w:pStyle w:val="ListParagraph"/>
              <w:numPr>
                <w:ilvl w:val="0"/>
                <w:numId w:val="20"/>
              </w:numPr>
              <w:spacing w:after="0"/>
              <w:ind w:left="312" w:hanging="284"/>
            </w:pPr>
            <w:r>
              <w:t>Eligible i</w:t>
            </w:r>
            <w:r w:rsidR="00C97244" w:rsidRPr="00D70D1D">
              <w:t>ndustry</w:t>
            </w:r>
            <w:r w:rsidR="008C4543" w:rsidRPr="00D70D1D">
              <w:t xml:space="preserve"> ANZSIC codes expand (e.g.</w:t>
            </w:r>
            <w:r w:rsidR="00945F41">
              <w:t>,</w:t>
            </w:r>
            <w:r w:rsidR="008C4543" w:rsidRPr="00D70D1D">
              <w:t xml:space="preserve"> laundry and dry-cleaning services added).</w:t>
            </w:r>
          </w:p>
          <w:p w14:paraId="1849F276" w14:textId="776D0D13" w:rsidR="008C4543" w:rsidRPr="00D70D1D" w:rsidRDefault="008C4543" w:rsidP="00021EF3">
            <w:pPr>
              <w:pStyle w:val="ListParagraph"/>
              <w:numPr>
                <w:ilvl w:val="0"/>
                <w:numId w:val="20"/>
              </w:numPr>
              <w:spacing w:after="0"/>
              <w:ind w:left="312" w:hanging="284"/>
            </w:pPr>
            <w:r w:rsidRPr="00D70D1D">
              <w:t xml:space="preserve">Not all </w:t>
            </w:r>
            <w:r w:rsidR="00F02441">
              <w:t xml:space="preserve">ANZSIC codes </w:t>
            </w:r>
            <w:r w:rsidRPr="00D70D1D">
              <w:t xml:space="preserve">receive two weeks of </w:t>
            </w:r>
            <w:r w:rsidR="00F02441">
              <w:t>BCAP 2</w:t>
            </w:r>
            <w:r w:rsidRPr="00D70D1D">
              <w:t xml:space="preserve"> (e.g.</w:t>
            </w:r>
            <w:r w:rsidR="00945F41">
              <w:t>,</w:t>
            </w:r>
            <w:r w:rsidRPr="00D70D1D">
              <w:t xml:space="preserve"> 7313 gardening services only receive </w:t>
            </w:r>
            <w:r w:rsidR="00F02441">
              <w:t>$2,500)</w:t>
            </w:r>
            <w:r w:rsidR="005A54B4">
              <w:t>.</w:t>
            </w:r>
          </w:p>
          <w:p w14:paraId="32203E58" w14:textId="0CBC0855" w:rsidR="008C4543" w:rsidRPr="00D70D1D" w:rsidRDefault="00F02441" w:rsidP="00021EF3">
            <w:pPr>
              <w:pStyle w:val="ListParagraph"/>
              <w:numPr>
                <w:ilvl w:val="0"/>
                <w:numId w:val="20"/>
              </w:numPr>
              <w:spacing w:after="0"/>
              <w:ind w:left="312" w:hanging="284"/>
            </w:pPr>
            <w:r w:rsidRPr="00F02441">
              <w:rPr>
                <w:iCs/>
              </w:rPr>
              <w:t>P</w:t>
            </w:r>
            <w:r w:rsidR="00C97244" w:rsidRPr="00F02441">
              <w:rPr>
                <w:iCs/>
              </w:rPr>
              <w:t>rivate gender-exclusive clubs</w:t>
            </w:r>
            <w:r w:rsidRPr="00F02441">
              <w:rPr>
                <w:iCs/>
              </w:rPr>
              <w:t xml:space="preserve"> are excluded in addition to LHVF recipients.</w:t>
            </w:r>
          </w:p>
        </w:tc>
      </w:tr>
      <w:tr w:rsidR="006D5674" w:rsidRPr="003B1CB5" w14:paraId="1F6AAFEB" w14:textId="77777777" w:rsidTr="004A39C9">
        <w:trPr>
          <w:cantSplit/>
          <w:trHeight w:val="374"/>
        </w:trPr>
        <w:tc>
          <w:tcPr>
            <w:tcW w:w="1276" w:type="dxa"/>
          </w:tcPr>
          <w:p w14:paraId="3C024A64" w14:textId="54E469FF" w:rsidR="006D5674" w:rsidRPr="00D70D1D" w:rsidRDefault="006D5674" w:rsidP="006D5674">
            <w:pPr>
              <w:spacing w:after="0"/>
              <w:rPr>
                <w:rFonts w:cs="Arial"/>
                <w:b/>
              </w:rPr>
            </w:pPr>
            <w:r w:rsidRPr="00BB215F">
              <w:rPr>
                <w:rFonts w:cs="Arial"/>
              </w:rPr>
              <w:t>BCAP 2/2e</w:t>
            </w:r>
          </w:p>
        </w:tc>
        <w:tc>
          <w:tcPr>
            <w:tcW w:w="2977" w:type="dxa"/>
          </w:tcPr>
          <w:p w14:paraId="313C435C" w14:textId="66650109" w:rsidR="006D5674" w:rsidRDefault="006D5674" w:rsidP="006D5674">
            <w:pPr>
              <w:spacing w:after="0"/>
              <w:rPr>
                <w:rFonts w:cs="Arial"/>
                <w:b/>
              </w:rPr>
            </w:pPr>
            <w:r w:rsidRPr="00FC4873">
              <w:rPr>
                <w:rFonts w:cs="Arial"/>
                <w:b/>
              </w:rPr>
              <w:t>BCAP 2 metro top</w:t>
            </w:r>
            <w:r>
              <w:rPr>
                <w:rFonts w:cs="Arial"/>
                <w:b/>
              </w:rPr>
              <w:t>-</w:t>
            </w:r>
            <w:r w:rsidRPr="00FC4873">
              <w:rPr>
                <w:rFonts w:cs="Arial"/>
                <w:b/>
              </w:rPr>
              <w:t>up payment</w:t>
            </w:r>
          </w:p>
          <w:p w14:paraId="05DEE7BB" w14:textId="77777777" w:rsidR="006D5674" w:rsidRPr="004A39C9" w:rsidRDefault="006D5674" w:rsidP="006D5674">
            <w:pPr>
              <w:spacing w:after="0"/>
              <w:rPr>
                <w:rFonts w:cs="Arial"/>
              </w:rPr>
            </w:pPr>
            <w:r w:rsidRPr="004A39C9">
              <w:rPr>
                <w:rFonts w:cs="Arial"/>
              </w:rPr>
              <w:t>June 2021</w:t>
            </w:r>
          </w:p>
          <w:p w14:paraId="3EECA1D7" w14:textId="5FB6DE4B" w:rsidR="006D5674" w:rsidRPr="00FC4873" w:rsidRDefault="006D5674" w:rsidP="006D5674">
            <w:pPr>
              <w:spacing w:after="0"/>
              <w:rPr>
                <w:rFonts w:cs="Arial"/>
              </w:rPr>
            </w:pPr>
            <w:r w:rsidRPr="002D522C">
              <w:rPr>
                <w:rFonts w:cs="Arial"/>
                <w:i/>
              </w:rPr>
              <w:t>Metropolitan Melbourne</w:t>
            </w:r>
          </w:p>
        </w:tc>
        <w:tc>
          <w:tcPr>
            <w:tcW w:w="3402" w:type="dxa"/>
          </w:tcPr>
          <w:p w14:paraId="46F226C5" w14:textId="26F9D464" w:rsidR="006D5674" w:rsidRPr="00FC4873" w:rsidRDefault="006D5674" w:rsidP="006D5674">
            <w:pPr>
              <w:spacing w:after="0"/>
              <w:rPr>
                <w:rFonts w:cs="Arial"/>
              </w:rPr>
            </w:pPr>
            <w:r w:rsidRPr="00150442">
              <w:rPr>
                <w:rFonts w:cs="Arial"/>
                <w:bCs/>
              </w:rPr>
              <w:t>$2</w:t>
            </w:r>
            <w:r>
              <w:rPr>
                <w:rFonts w:cs="Arial"/>
                <w:bCs/>
              </w:rPr>
              <w:t>,</w:t>
            </w:r>
            <w:r w:rsidRPr="00150442">
              <w:rPr>
                <w:rFonts w:cs="Arial"/>
                <w:bCs/>
              </w:rPr>
              <w:t>000</w:t>
            </w:r>
          </w:p>
        </w:tc>
        <w:tc>
          <w:tcPr>
            <w:tcW w:w="6205" w:type="dxa"/>
          </w:tcPr>
          <w:p w14:paraId="52C62649" w14:textId="46B27986" w:rsidR="006D5674" w:rsidRPr="00D70D1D" w:rsidRDefault="006D5674" w:rsidP="006D5674">
            <w:pPr>
              <w:pStyle w:val="ListParagraph"/>
              <w:numPr>
                <w:ilvl w:val="0"/>
                <w:numId w:val="20"/>
              </w:numPr>
              <w:spacing w:after="0"/>
              <w:ind w:left="312" w:hanging="284"/>
            </w:pPr>
            <w:r>
              <w:t>A s</w:t>
            </w:r>
            <w:r w:rsidRPr="00D70D1D">
              <w:t xml:space="preserve">maller group of ANZSIC codes affected by </w:t>
            </w:r>
            <w:r>
              <w:t>the</w:t>
            </w:r>
            <w:r w:rsidRPr="00D70D1D">
              <w:t xml:space="preserve"> third week of </w:t>
            </w:r>
            <w:r>
              <w:t>COVID-19</w:t>
            </w:r>
            <w:r w:rsidRPr="00D70D1D">
              <w:t xml:space="preserve"> restrictions</w:t>
            </w:r>
            <w:r>
              <w:t>.</w:t>
            </w:r>
          </w:p>
          <w:p w14:paraId="16B7ACBE" w14:textId="0D7A919B" w:rsidR="006D5674" w:rsidRPr="00D70D1D" w:rsidRDefault="006D5674" w:rsidP="006D5674">
            <w:pPr>
              <w:pStyle w:val="ListParagraph"/>
              <w:numPr>
                <w:ilvl w:val="0"/>
                <w:numId w:val="20"/>
              </w:numPr>
              <w:spacing w:after="0"/>
              <w:ind w:left="312" w:hanging="284"/>
            </w:pPr>
            <w:r w:rsidRPr="00D70D1D">
              <w:t>Reduced grant amount for the top</w:t>
            </w:r>
            <w:r>
              <w:t>-</w:t>
            </w:r>
            <w:r w:rsidRPr="00D70D1D">
              <w:t>up.</w:t>
            </w:r>
          </w:p>
        </w:tc>
      </w:tr>
      <w:tr w:rsidR="006D5674" w:rsidRPr="003B1CB5" w14:paraId="62005CFA" w14:textId="77777777" w:rsidTr="004A39C9">
        <w:trPr>
          <w:cantSplit/>
          <w:trHeight w:val="341"/>
        </w:trPr>
        <w:tc>
          <w:tcPr>
            <w:tcW w:w="1276" w:type="dxa"/>
          </w:tcPr>
          <w:p w14:paraId="5AEB9B5E" w14:textId="3E332DEA" w:rsidR="006D5674" w:rsidRPr="00D70D1D" w:rsidRDefault="006D5674" w:rsidP="006D5674">
            <w:pPr>
              <w:spacing w:after="0"/>
              <w:rPr>
                <w:rFonts w:cs="Arial"/>
                <w:b/>
              </w:rPr>
            </w:pPr>
            <w:r w:rsidRPr="00BB215F">
              <w:rPr>
                <w:rFonts w:cs="Arial"/>
              </w:rPr>
              <w:t>BCAP 2/2e</w:t>
            </w:r>
          </w:p>
        </w:tc>
        <w:tc>
          <w:tcPr>
            <w:tcW w:w="2977" w:type="dxa"/>
          </w:tcPr>
          <w:p w14:paraId="50336C7C" w14:textId="77777777" w:rsidR="006D5674" w:rsidRPr="002D522C" w:rsidRDefault="006D5674" w:rsidP="006D5674">
            <w:pPr>
              <w:spacing w:after="0"/>
              <w:rPr>
                <w:rFonts w:cs="Arial"/>
                <w:b/>
              </w:rPr>
            </w:pPr>
            <w:r w:rsidRPr="002D522C">
              <w:rPr>
                <w:rFonts w:cs="Arial"/>
                <w:b/>
              </w:rPr>
              <w:t>BCAP 2 Tourism Supplement</w:t>
            </w:r>
          </w:p>
          <w:p w14:paraId="49033762" w14:textId="77777777" w:rsidR="006D5674" w:rsidRPr="004A39C9" w:rsidRDefault="006D5674" w:rsidP="006D5674">
            <w:pPr>
              <w:spacing w:after="0"/>
              <w:rPr>
                <w:rFonts w:cs="Arial"/>
              </w:rPr>
            </w:pPr>
            <w:r w:rsidRPr="004A39C9">
              <w:rPr>
                <w:rFonts w:cs="Arial"/>
              </w:rPr>
              <w:t>June 2021</w:t>
            </w:r>
          </w:p>
          <w:p w14:paraId="1BB44C8D" w14:textId="48DD94C1" w:rsidR="006D5674" w:rsidRPr="000D5048" w:rsidRDefault="006D5674" w:rsidP="006D5674">
            <w:pPr>
              <w:spacing w:after="0"/>
              <w:rPr>
                <w:rFonts w:cs="Arial"/>
              </w:rPr>
            </w:pPr>
            <w:r w:rsidRPr="002D522C">
              <w:rPr>
                <w:rFonts w:cs="Arial"/>
                <w:i/>
              </w:rPr>
              <w:t>Victoria</w:t>
            </w:r>
          </w:p>
        </w:tc>
        <w:tc>
          <w:tcPr>
            <w:tcW w:w="3402" w:type="dxa"/>
          </w:tcPr>
          <w:p w14:paraId="7B4C3312" w14:textId="2BA65439" w:rsidR="006D5674" w:rsidRPr="000D5048" w:rsidRDefault="006D5674" w:rsidP="006D5674">
            <w:pPr>
              <w:spacing w:after="0"/>
              <w:rPr>
                <w:rFonts w:cs="Arial"/>
              </w:rPr>
            </w:pPr>
            <w:r w:rsidRPr="00150442">
              <w:rPr>
                <w:rFonts w:cs="Arial"/>
              </w:rPr>
              <w:t>$</w:t>
            </w:r>
            <w:r w:rsidRPr="00150442">
              <w:rPr>
                <w:rFonts w:cs="Arial"/>
                <w:bCs/>
              </w:rPr>
              <w:t>4</w:t>
            </w:r>
            <w:r>
              <w:rPr>
                <w:rFonts w:cs="Arial"/>
                <w:bCs/>
              </w:rPr>
              <w:t>,</w:t>
            </w:r>
            <w:r w:rsidRPr="00150442">
              <w:rPr>
                <w:rFonts w:cs="Arial"/>
                <w:bCs/>
              </w:rPr>
              <w:t>500</w:t>
            </w:r>
            <w:r w:rsidRPr="000D5048">
              <w:rPr>
                <w:rFonts w:cs="Arial"/>
              </w:rPr>
              <w:t xml:space="preserve"> (or to bring value of BCAP 2 payment up to $7000)</w:t>
            </w:r>
          </w:p>
        </w:tc>
        <w:tc>
          <w:tcPr>
            <w:tcW w:w="6205" w:type="dxa"/>
          </w:tcPr>
          <w:p w14:paraId="35503B51" w14:textId="55A165BF" w:rsidR="006D5674" w:rsidRPr="00D70D1D" w:rsidRDefault="006D5674" w:rsidP="006D5674">
            <w:pPr>
              <w:pStyle w:val="ListParagraph"/>
              <w:numPr>
                <w:ilvl w:val="0"/>
                <w:numId w:val="20"/>
              </w:numPr>
              <w:spacing w:after="0"/>
              <w:ind w:left="312" w:hanging="284"/>
            </w:pPr>
            <w:r w:rsidRPr="00D70D1D">
              <w:t>Specific top</w:t>
            </w:r>
            <w:r>
              <w:t>-</w:t>
            </w:r>
            <w:r w:rsidRPr="00D70D1D">
              <w:t>up payment for tourism and accommodation operators.</w:t>
            </w:r>
          </w:p>
        </w:tc>
      </w:tr>
      <w:tr w:rsidR="006D5674" w:rsidRPr="00F60097" w14:paraId="6BDAC570" w14:textId="77777777" w:rsidTr="004A39C9">
        <w:trPr>
          <w:cantSplit/>
          <w:trHeight w:val="480"/>
        </w:trPr>
        <w:tc>
          <w:tcPr>
            <w:tcW w:w="1276" w:type="dxa"/>
          </w:tcPr>
          <w:p w14:paraId="42FBD8C2" w14:textId="3B1C832E" w:rsidR="006D5674" w:rsidRPr="00D70D1D" w:rsidRDefault="006D5674" w:rsidP="006D5674">
            <w:pPr>
              <w:spacing w:after="0"/>
              <w:rPr>
                <w:rFonts w:cs="Arial"/>
                <w:b/>
              </w:rPr>
            </w:pPr>
            <w:r w:rsidRPr="00BB215F">
              <w:rPr>
                <w:rFonts w:cs="Arial"/>
              </w:rPr>
              <w:t>BCAP 2/2e</w:t>
            </w:r>
          </w:p>
        </w:tc>
        <w:tc>
          <w:tcPr>
            <w:tcW w:w="2977" w:type="dxa"/>
          </w:tcPr>
          <w:p w14:paraId="63ED71EA" w14:textId="77777777" w:rsidR="006D5674" w:rsidRPr="002D522C" w:rsidRDefault="006D5674" w:rsidP="006D5674">
            <w:pPr>
              <w:spacing w:after="0"/>
              <w:rPr>
                <w:rFonts w:cs="Arial"/>
                <w:b/>
              </w:rPr>
            </w:pPr>
            <w:r w:rsidRPr="002D522C">
              <w:rPr>
                <w:rFonts w:cs="Arial"/>
                <w:b/>
              </w:rPr>
              <w:t>BCAP 2e</w:t>
            </w:r>
          </w:p>
          <w:p w14:paraId="5DD3DA26" w14:textId="77777777" w:rsidR="006D5674" w:rsidRPr="004A39C9" w:rsidRDefault="006D5674" w:rsidP="006D5674">
            <w:pPr>
              <w:spacing w:after="0"/>
              <w:rPr>
                <w:rFonts w:cs="Arial"/>
              </w:rPr>
            </w:pPr>
            <w:r w:rsidRPr="004A39C9">
              <w:rPr>
                <w:rFonts w:cs="Arial"/>
              </w:rPr>
              <w:t>July 2021</w:t>
            </w:r>
          </w:p>
          <w:p w14:paraId="52B76091" w14:textId="64710C73" w:rsidR="006D5674" w:rsidRPr="000D5048" w:rsidRDefault="006D5674" w:rsidP="006D5674">
            <w:pPr>
              <w:spacing w:after="0"/>
              <w:rPr>
                <w:rFonts w:cs="Arial"/>
              </w:rPr>
            </w:pPr>
            <w:r w:rsidRPr="002D522C">
              <w:rPr>
                <w:rFonts w:cs="Arial"/>
                <w:i/>
              </w:rPr>
              <w:t>Victoria</w:t>
            </w:r>
          </w:p>
        </w:tc>
        <w:tc>
          <w:tcPr>
            <w:tcW w:w="3402" w:type="dxa"/>
          </w:tcPr>
          <w:p w14:paraId="09877876" w14:textId="3D74246E" w:rsidR="006D5674" w:rsidRPr="00150442" w:rsidRDefault="006D5674" w:rsidP="006D5674">
            <w:pPr>
              <w:spacing w:after="0"/>
              <w:rPr>
                <w:rFonts w:cs="Arial"/>
              </w:rPr>
            </w:pPr>
            <w:r w:rsidRPr="00150442">
              <w:rPr>
                <w:rFonts w:cs="Arial"/>
                <w:bCs/>
              </w:rPr>
              <w:t>$4</w:t>
            </w:r>
            <w:r>
              <w:rPr>
                <w:rFonts w:cs="Arial"/>
                <w:bCs/>
              </w:rPr>
              <w:t>,</w:t>
            </w:r>
            <w:r w:rsidRPr="00150442">
              <w:rPr>
                <w:rFonts w:cs="Arial"/>
                <w:bCs/>
              </w:rPr>
              <w:t>800</w:t>
            </w:r>
          </w:p>
        </w:tc>
        <w:tc>
          <w:tcPr>
            <w:tcW w:w="6205" w:type="dxa"/>
          </w:tcPr>
          <w:p w14:paraId="2D24F0C1" w14:textId="3DFFB0FB" w:rsidR="006D5674" w:rsidRPr="00D70D1D" w:rsidRDefault="006D5674" w:rsidP="006D5674">
            <w:pPr>
              <w:pStyle w:val="ListParagraph"/>
              <w:numPr>
                <w:ilvl w:val="0"/>
                <w:numId w:val="20"/>
              </w:numPr>
              <w:spacing w:after="0"/>
              <w:ind w:left="312" w:hanging="284"/>
            </w:pPr>
            <w:r w:rsidRPr="00D70D1D">
              <w:t>Compared to BCAP 2, date of assessment for GST and ABN is later</w:t>
            </w:r>
            <w:r>
              <w:t xml:space="preserve"> (15 July 2021), but the remaining BCAP 2 eligibility criteria remain.</w:t>
            </w:r>
          </w:p>
          <w:p w14:paraId="712321F6" w14:textId="61B8C9F8" w:rsidR="006D5674" w:rsidRPr="00D70D1D" w:rsidRDefault="006D5674" w:rsidP="006D5674">
            <w:pPr>
              <w:pStyle w:val="ListParagraph"/>
              <w:numPr>
                <w:ilvl w:val="0"/>
                <w:numId w:val="20"/>
              </w:numPr>
              <w:spacing w:after="0"/>
              <w:ind w:left="312" w:hanging="284"/>
            </w:pPr>
            <w:r w:rsidRPr="00D70D1D">
              <w:t xml:space="preserve">For businesses </w:t>
            </w:r>
            <w:r>
              <w:t>that</w:t>
            </w:r>
            <w:r w:rsidRPr="00D70D1D">
              <w:t xml:space="preserve"> did not apply for BCAP 2 or were not eligible at the time.</w:t>
            </w:r>
          </w:p>
        </w:tc>
      </w:tr>
      <w:tr w:rsidR="006D5674" w:rsidRPr="00FC4873" w14:paraId="00D512B3" w14:textId="77777777" w:rsidTr="004A39C9">
        <w:trPr>
          <w:cantSplit/>
          <w:trHeight w:val="217"/>
        </w:trPr>
        <w:tc>
          <w:tcPr>
            <w:tcW w:w="1276" w:type="dxa"/>
          </w:tcPr>
          <w:p w14:paraId="42D54942" w14:textId="77C27073" w:rsidR="006D5674" w:rsidRPr="00D70D1D" w:rsidRDefault="006D5674" w:rsidP="006D5674">
            <w:pPr>
              <w:spacing w:after="0"/>
              <w:rPr>
                <w:rFonts w:cs="Arial"/>
                <w:b/>
              </w:rPr>
            </w:pPr>
            <w:r w:rsidRPr="00BB215F">
              <w:rPr>
                <w:rFonts w:cs="Arial"/>
              </w:rPr>
              <w:t>BCAP 2/2e</w:t>
            </w:r>
          </w:p>
        </w:tc>
        <w:tc>
          <w:tcPr>
            <w:tcW w:w="2977" w:type="dxa"/>
          </w:tcPr>
          <w:p w14:paraId="3477F8EE" w14:textId="02614CA5" w:rsidR="006D5674" w:rsidRPr="002D522C" w:rsidRDefault="006D5674" w:rsidP="006D5674">
            <w:pPr>
              <w:spacing w:after="0"/>
              <w:rPr>
                <w:rFonts w:cs="Arial"/>
                <w:b/>
              </w:rPr>
            </w:pPr>
            <w:r w:rsidRPr="002D522C">
              <w:rPr>
                <w:rFonts w:cs="Arial"/>
                <w:b/>
              </w:rPr>
              <w:t>Business Continuity Fund top</w:t>
            </w:r>
            <w:r>
              <w:rPr>
                <w:rFonts w:cs="Arial"/>
                <w:b/>
              </w:rPr>
              <w:t>-</w:t>
            </w:r>
            <w:r w:rsidRPr="002D522C">
              <w:rPr>
                <w:rFonts w:cs="Arial"/>
                <w:b/>
              </w:rPr>
              <w:t xml:space="preserve">up </w:t>
            </w:r>
            <w:r w:rsidRPr="002D522C">
              <w:rPr>
                <w:rFonts w:cs="Arial"/>
                <w:b/>
                <w:bCs/>
              </w:rPr>
              <w:t>payment</w:t>
            </w:r>
          </w:p>
          <w:p w14:paraId="1D56247B" w14:textId="77777777" w:rsidR="006D5674" w:rsidRPr="004A39C9" w:rsidRDefault="006D5674" w:rsidP="006D5674">
            <w:pPr>
              <w:spacing w:after="0"/>
              <w:rPr>
                <w:rFonts w:cs="Arial"/>
              </w:rPr>
            </w:pPr>
            <w:r w:rsidRPr="004A39C9">
              <w:rPr>
                <w:rFonts w:cs="Arial"/>
              </w:rPr>
              <w:t>28 July 2021</w:t>
            </w:r>
          </w:p>
          <w:p w14:paraId="0B682E4A" w14:textId="59A28C8A" w:rsidR="006D5674" w:rsidRPr="00FC4873" w:rsidRDefault="006D5674" w:rsidP="006D5674">
            <w:pPr>
              <w:spacing w:after="0"/>
              <w:rPr>
                <w:rFonts w:cs="Arial"/>
              </w:rPr>
            </w:pPr>
            <w:r w:rsidRPr="002D522C">
              <w:rPr>
                <w:rFonts w:cs="Arial"/>
                <w:i/>
                <w:iCs/>
              </w:rPr>
              <w:t>Victoria</w:t>
            </w:r>
          </w:p>
        </w:tc>
        <w:tc>
          <w:tcPr>
            <w:tcW w:w="3402" w:type="dxa"/>
          </w:tcPr>
          <w:p w14:paraId="7B8DB020" w14:textId="05A2466B" w:rsidR="006D5674" w:rsidRPr="00FC4873" w:rsidRDefault="006D5674" w:rsidP="006D5674">
            <w:pPr>
              <w:spacing w:after="0"/>
              <w:rPr>
                <w:rFonts w:cs="Arial"/>
              </w:rPr>
            </w:pPr>
            <w:r w:rsidRPr="00150442">
              <w:rPr>
                <w:rFonts w:cs="Arial"/>
                <w:bCs/>
              </w:rPr>
              <w:t>$5</w:t>
            </w:r>
            <w:r>
              <w:rPr>
                <w:rFonts w:cs="Arial"/>
                <w:bCs/>
              </w:rPr>
              <w:t>,</w:t>
            </w:r>
            <w:r w:rsidRPr="00150442">
              <w:rPr>
                <w:rFonts w:cs="Arial"/>
                <w:bCs/>
              </w:rPr>
              <w:t>000</w:t>
            </w:r>
          </w:p>
        </w:tc>
        <w:tc>
          <w:tcPr>
            <w:tcW w:w="6205" w:type="dxa"/>
          </w:tcPr>
          <w:p w14:paraId="05AAB457" w14:textId="69C5FF13" w:rsidR="006D5674" w:rsidRPr="00D70D1D" w:rsidRDefault="006D5674" w:rsidP="006D5674">
            <w:pPr>
              <w:pStyle w:val="ListParagraph"/>
              <w:numPr>
                <w:ilvl w:val="0"/>
                <w:numId w:val="20"/>
              </w:numPr>
              <w:spacing w:after="0"/>
              <w:ind w:left="312" w:hanging="284"/>
            </w:pPr>
            <w:r w:rsidRPr="00D70D1D">
              <w:t>Top</w:t>
            </w:r>
            <w:r>
              <w:t>-</w:t>
            </w:r>
            <w:r w:rsidRPr="00D70D1D">
              <w:t>up payment for subsection of industries who received BCAP 2/2e.</w:t>
            </w:r>
          </w:p>
        </w:tc>
      </w:tr>
      <w:tr w:rsidR="006D5674" w:rsidRPr="00FC4873" w14:paraId="4E5FAEE8" w14:textId="77777777" w:rsidTr="004A39C9">
        <w:trPr>
          <w:cantSplit/>
          <w:trHeight w:val="217"/>
        </w:trPr>
        <w:tc>
          <w:tcPr>
            <w:tcW w:w="1276" w:type="dxa"/>
          </w:tcPr>
          <w:p w14:paraId="093B0D23" w14:textId="7FA29ED2" w:rsidR="006D5674" w:rsidRPr="00D70D1D" w:rsidRDefault="006D5674" w:rsidP="006D5674">
            <w:pPr>
              <w:spacing w:after="0"/>
              <w:rPr>
                <w:rFonts w:cs="Arial"/>
                <w:b/>
              </w:rPr>
            </w:pPr>
            <w:r w:rsidRPr="00BB215F">
              <w:rPr>
                <w:rFonts w:cs="Arial"/>
              </w:rPr>
              <w:lastRenderedPageBreak/>
              <w:t>BCAP 2/2e</w:t>
            </w:r>
          </w:p>
        </w:tc>
        <w:tc>
          <w:tcPr>
            <w:tcW w:w="2977" w:type="dxa"/>
          </w:tcPr>
          <w:p w14:paraId="5C5F80C6" w14:textId="6B7C1C94" w:rsidR="006D5674" w:rsidRPr="002D522C" w:rsidRDefault="006D5674" w:rsidP="006D5674">
            <w:pPr>
              <w:spacing w:after="0"/>
              <w:rPr>
                <w:rFonts w:cs="Arial"/>
                <w:b/>
                <w:bCs/>
              </w:rPr>
            </w:pPr>
            <w:r w:rsidRPr="002D522C">
              <w:rPr>
                <w:rFonts w:cs="Arial"/>
                <w:b/>
                <w:bCs/>
              </w:rPr>
              <w:t>Business Continuity Fund CBD top</w:t>
            </w:r>
            <w:r>
              <w:rPr>
                <w:rFonts w:cs="Arial"/>
                <w:b/>
                <w:bCs/>
              </w:rPr>
              <w:t>-</w:t>
            </w:r>
            <w:r w:rsidRPr="002D522C">
              <w:rPr>
                <w:rFonts w:cs="Arial"/>
                <w:b/>
                <w:bCs/>
              </w:rPr>
              <w:t>up payment</w:t>
            </w:r>
          </w:p>
          <w:p w14:paraId="56DC2610" w14:textId="77777777" w:rsidR="006D5674" w:rsidRPr="004A39C9" w:rsidRDefault="006D5674" w:rsidP="006D5674">
            <w:pPr>
              <w:spacing w:after="0"/>
              <w:rPr>
                <w:rFonts w:cs="Arial"/>
              </w:rPr>
            </w:pPr>
            <w:r w:rsidRPr="004A39C9">
              <w:rPr>
                <w:rFonts w:cs="Arial"/>
              </w:rPr>
              <w:t>28 July 2021</w:t>
            </w:r>
          </w:p>
          <w:p w14:paraId="39739C5B" w14:textId="3DBE4D79" w:rsidR="006D5674" w:rsidRPr="00FC3567" w:rsidRDefault="006D5674" w:rsidP="006D5674">
            <w:pPr>
              <w:spacing w:after="0"/>
              <w:rPr>
                <w:rFonts w:cs="Arial"/>
              </w:rPr>
            </w:pPr>
            <w:r w:rsidRPr="002D522C">
              <w:rPr>
                <w:rFonts w:cs="Arial"/>
                <w:i/>
                <w:iCs/>
              </w:rPr>
              <w:t>Melbourne CBD</w:t>
            </w:r>
          </w:p>
        </w:tc>
        <w:tc>
          <w:tcPr>
            <w:tcW w:w="3402" w:type="dxa"/>
          </w:tcPr>
          <w:p w14:paraId="042AA8F0" w14:textId="505F06B2" w:rsidR="006D5674" w:rsidRPr="00FC3567" w:rsidRDefault="006D5674" w:rsidP="006D5674">
            <w:pPr>
              <w:spacing w:after="0"/>
              <w:rPr>
                <w:rFonts w:cs="Arial"/>
              </w:rPr>
            </w:pPr>
            <w:r w:rsidRPr="00150442">
              <w:rPr>
                <w:rFonts w:cs="Arial"/>
                <w:bCs/>
              </w:rPr>
              <w:t>$2</w:t>
            </w:r>
            <w:r>
              <w:rPr>
                <w:rFonts w:cs="Arial"/>
                <w:bCs/>
              </w:rPr>
              <w:t>,</w:t>
            </w:r>
            <w:r w:rsidRPr="00150442">
              <w:rPr>
                <w:rFonts w:cs="Arial"/>
                <w:bCs/>
              </w:rPr>
              <w:t>000</w:t>
            </w:r>
          </w:p>
        </w:tc>
        <w:tc>
          <w:tcPr>
            <w:tcW w:w="6205" w:type="dxa"/>
          </w:tcPr>
          <w:p w14:paraId="739FA3E6" w14:textId="19D750D2" w:rsidR="006D5674" w:rsidRPr="00D70D1D" w:rsidRDefault="006D5674" w:rsidP="006D5674">
            <w:pPr>
              <w:pStyle w:val="ListParagraph"/>
              <w:numPr>
                <w:ilvl w:val="0"/>
                <w:numId w:val="20"/>
              </w:numPr>
              <w:spacing w:after="0"/>
              <w:ind w:left="312" w:hanging="284"/>
            </w:pPr>
            <w:r w:rsidRPr="00D70D1D">
              <w:t>Additional top</w:t>
            </w:r>
            <w:r>
              <w:t>-</w:t>
            </w:r>
            <w:r w:rsidRPr="00D70D1D">
              <w:t>up payment for subsection of BCAP 2/2e recipients in specific industries within the Melbourne CBD.</w:t>
            </w:r>
          </w:p>
        </w:tc>
      </w:tr>
      <w:tr w:rsidR="006D5674" w:rsidRPr="00FC4873" w14:paraId="71969380" w14:textId="77777777" w:rsidTr="00DD332B">
        <w:trPr>
          <w:cantSplit/>
          <w:trHeight w:val="20"/>
        </w:trPr>
        <w:tc>
          <w:tcPr>
            <w:tcW w:w="1276" w:type="dxa"/>
            <w:shd w:val="clear" w:color="auto" w:fill="DFF0F9" w:themeFill="accent3" w:themeFillTint="33"/>
          </w:tcPr>
          <w:p w14:paraId="7ADF5CBE" w14:textId="57FF5E3A" w:rsidR="006D5674" w:rsidRPr="00D70D1D" w:rsidRDefault="006D5674" w:rsidP="006D5674">
            <w:pPr>
              <w:spacing w:after="0"/>
              <w:rPr>
                <w:rFonts w:cs="Arial"/>
                <w:b/>
              </w:rPr>
            </w:pPr>
            <w:r>
              <w:rPr>
                <w:rFonts w:cs="Arial"/>
                <w:b/>
                <w:bCs/>
              </w:rPr>
              <w:t>BCAP 3</w:t>
            </w:r>
          </w:p>
        </w:tc>
        <w:tc>
          <w:tcPr>
            <w:tcW w:w="2977" w:type="dxa"/>
            <w:shd w:val="clear" w:color="auto" w:fill="DFF0F9" w:themeFill="accent3" w:themeFillTint="33"/>
          </w:tcPr>
          <w:p w14:paraId="65F5E466" w14:textId="77777777" w:rsidR="006D5674" w:rsidRPr="00FC3567" w:rsidRDefault="006D5674" w:rsidP="006D5674">
            <w:pPr>
              <w:spacing w:after="0"/>
              <w:rPr>
                <w:rFonts w:cs="Arial"/>
                <w:b/>
              </w:rPr>
            </w:pPr>
          </w:p>
        </w:tc>
        <w:tc>
          <w:tcPr>
            <w:tcW w:w="3402" w:type="dxa"/>
            <w:shd w:val="clear" w:color="auto" w:fill="DFF0F9" w:themeFill="accent3" w:themeFillTint="33"/>
          </w:tcPr>
          <w:p w14:paraId="2548152B" w14:textId="77777777" w:rsidR="006D5674" w:rsidRPr="00150442" w:rsidRDefault="006D5674" w:rsidP="006D5674">
            <w:pPr>
              <w:spacing w:after="0"/>
              <w:rPr>
                <w:rFonts w:cs="Arial"/>
                <w:bCs/>
              </w:rPr>
            </w:pPr>
          </w:p>
        </w:tc>
        <w:tc>
          <w:tcPr>
            <w:tcW w:w="6205" w:type="dxa"/>
            <w:shd w:val="clear" w:color="auto" w:fill="DFF0F9" w:themeFill="accent3" w:themeFillTint="33"/>
          </w:tcPr>
          <w:p w14:paraId="5960CC9D" w14:textId="77777777" w:rsidR="006D5674" w:rsidRPr="00DD332B" w:rsidRDefault="006D5674" w:rsidP="006D5674">
            <w:pPr>
              <w:spacing w:after="0"/>
              <w:ind w:left="360" w:hanging="360"/>
            </w:pPr>
          </w:p>
        </w:tc>
      </w:tr>
      <w:tr w:rsidR="006D5674" w:rsidRPr="00FC4873" w14:paraId="68845826" w14:textId="77777777" w:rsidTr="004A39C9">
        <w:trPr>
          <w:cantSplit/>
          <w:trHeight w:val="20"/>
        </w:trPr>
        <w:tc>
          <w:tcPr>
            <w:tcW w:w="1276" w:type="dxa"/>
          </w:tcPr>
          <w:p w14:paraId="47C5D9F7" w14:textId="118C5D74" w:rsidR="006D5674" w:rsidRPr="00BB215F" w:rsidRDefault="006D5674" w:rsidP="006D5674">
            <w:pPr>
              <w:spacing w:after="0"/>
              <w:rPr>
                <w:rFonts w:cs="Arial"/>
              </w:rPr>
            </w:pPr>
            <w:r w:rsidRPr="00BB215F">
              <w:rPr>
                <w:rFonts w:cs="Arial"/>
              </w:rPr>
              <w:t>BCAP 2/2e</w:t>
            </w:r>
          </w:p>
        </w:tc>
        <w:tc>
          <w:tcPr>
            <w:tcW w:w="2977" w:type="dxa"/>
          </w:tcPr>
          <w:p w14:paraId="0C47B0DA" w14:textId="624EA346" w:rsidR="006D5674" w:rsidRDefault="006D5674" w:rsidP="006D5674">
            <w:pPr>
              <w:spacing w:after="0"/>
              <w:rPr>
                <w:rFonts w:cs="Arial"/>
                <w:b/>
              </w:rPr>
            </w:pPr>
            <w:r w:rsidRPr="00FC3567">
              <w:rPr>
                <w:rFonts w:cs="Arial"/>
                <w:b/>
              </w:rPr>
              <w:t>BCAP 3</w:t>
            </w:r>
          </w:p>
          <w:p w14:paraId="456E14C8" w14:textId="3B8FF470" w:rsidR="006D5674" w:rsidRPr="004A39C9" w:rsidRDefault="006D5674" w:rsidP="006D5674">
            <w:pPr>
              <w:spacing w:after="0"/>
              <w:rPr>
                <w:rFonts w:cs="Arial"/>
              </w:rPr>
            </w:pPr>
            <w:r w:rsidRPr="004A39C9">
              <w:rPr>
                <w:rFonts w:cs="Arial"/>
              </w:rPr>
              <w:t>6</w:t>
            </w:r>
            <w:r w:rsidRPr="004A39C9">
              <w:rPr>
                <w:rFonts w:cs="Arial"/>
                <w:vertAlign w:val="superscript"/>
              </w:rPr>
              <w:t xml:space="preserve"> </w:t>
            </w:r>
            <w:r w:rsidRPr="004A39C9">
              <w:rPr>
                <w:rFonts w:cs="Arial"/>
              </w:rPr>
              <w:t>August 2021</w:t>
            </w:r>
          </w:p>
          <w:p w14:paraId="35583FB0" w14:textId="1E62CAB1" w:rsidR="006D5674" w:rsidRPr="002C4511" w:rsidRDefault="006D5674" w:rsidP="006D5674">
            <w:pPr>
              <w:spacing w:after="0"/>
              <w:rPr>
                <w:rFonts w:cs="Arial"/>
                <w:i/>
              </w:rPr>
            </w:pPr>
            <w:r w:rsidRPr="002D522C">
              <w:rPr>
                <w:rFonts w:cs="Arial"/>
                <w:i/>
              </w:rPr>
              <w:t>Victoria</w:t>
            </w:r>
          </w:p>
        </w:tc>
        <w:tc>
          <w:tcPr>
            <w:tcW w:w="3402" w:type="dxa"/>
          </w:tcPr>
          <w:p w14:paraId="52EB7B52" w14:textId="4735D4C6" w:rsidR="006D5674" w:rsidRPr="00150442" w:rsidRDefault="006D5674" w:rsidP="006D5674">
            <w:pPr>
              <w:spacing w:after="0"/>
              <w:rPr>
                <w:rFonts w:cs="Arial"/>
              </w:rPr>
            </w:pPr>
            <w:r w:rsidRPr="00150442">
              <w:rPr>
                <w:rFonts w:cs="Arial"/>
                <w:bCs/>
              </w:rPr>
              <w:t>$2</w:t>
            </w:r>
            <w:r>
              <w:rPr>
                <w:rFonts w:cs="Arial"/>
                <w:bCs/>
              </w:rPr>
              <w:t>,</w:t>
            </w:r>
            <w:r w:rsidRPr="00150442">
              <w:rPr>
                <w:rFonts w:cs="Arial"/>
                <w:bCs/>
              </w:rPr>
              <w:t>800</w:t>
            </w:r>
          </w:p>
        </w:tc>
        <w:tc>
          <w:tcPr>
            <w:tcW w:w="6205" w:type="dxa"/>
          </w:tcPr>
          <w:p w14:paraId="0A81DE94" w14:textId="4F4551BF" w:rsidR="006D5674" w:rsidRDefault="006D5674" w:rsidP="006D5674">
            <w:pPr>
              <w:pStyle w:val="ListParagraph"/>
              <w:numPr>
                <w:ilvl w:val="0"/>
                <w:numId w:val="20"/>
              </w:numPr>
              <w:spacing w:after="0"/>
              <w:ind w:left="312" w:hanging="284"/>
            </w:pPr>
            <w:r w:rsidRPr="00D70D1D">
              <w:t>Businesses only need to have received BCAP 2/2e to be eligible</w:t>
            </w:r>
            <w:r>
              <w:t>.</w:t>
            </w:r>
          </w:p>
          <w:p w14:paraId="2EE6D4F4" w14:textId="08E4DA48" w:rsidR="006D5674" w:rsidRPr="00D70D1D" w:rsidRDefault="006D5674" w:rsidP="006D5674">
            <w:pPr>
              <w:pStyle w:val="ListParagraph"/>
              <w:numPr>
                <w:ilvl w:val="0"/>
                <w:numId w:val="20"/>
              </w:numPr>
              <w:spacing w:after="0"/>
              <w:ind w:left="312" w:hanging="284"/>
            </w:pPr>
            <w:r>
              <w:t>Slightly higher grant amount ($300) than initial BCAP 2 payment</w:t>
            </w:r>
            <w:r w:rsidRPr="00D70D1D">
              <w:t>.</w:t>
            </w:r>
          </w:p>
        </w:tc>
      </w:tr>
      <w:tr w:rsidR="006D5674" w:rsidRPr="00FC4873" w14:paraId="582E67E5" w14:textId="77777777" w:rsidTr="004A39C9">
        <w:trPr>
          <w:cantSplit/>
          <w:trHeight w:val="71"/>
        </w:trPr>
        <w:tc>
          <w:tcPr>
            <w:tcW w:w="1276" w:type="dxa"/>
          </w:tcPr>
          <w:p w14:paraId="38369CE5" w14:textId="134D4BEC" w:rsidR="006D5674" w:rsidRPr="00D70D1D" w:rsidRDefault="006D5674" w:rsidP="006D5674">
            <w:pPr>
              <w:spacing w:after="0"/>
              <w:rPr>
                <w:rFonts w:cs="Arial"/>
                <w:b/>
              </w:rPr>
            </w:pPr>
            <w:r w:rsidRPr="00BB215F">
              <w:rPr>
                <w:rFonts w:cs="Arial"/>
              </w:rPr>
              <w:t>BCAP 2/2e</w:t>
            </w:r>
          </w:p>
        </w:tc>
        <w:tc>
          <w:tcPr>
            <w:tcW w:w="2977" w:type="dxa"/>
          </w:tcPr>
          <w:p w14:paraId="3C481A16" w14:textId="4F77148C" w:rsidR="006D5674" w:rsidRDefault="006D5674" w:rsidP="006D5674">
            <w:pPr>
              <w:spacing w:after="0"/>
              <w:rPr>
                <w:rFonts w:cs="Arial"/>
                <w:b/>
              </w:rPr>
            </w:pPr>
            <w:r>
              <w:rPr>
                <w:rFonts w:cs="Arial"/>
                <w:b/>
              </w:rPr>
              <w:t>BCAP 3 top-up payment</w:t>
            </w:r>
          </w:p>
          <w:p w14:paraId="49EA7FCC" w14:textId="77777777" w:rsidR="006D5674" w:rsidRPr="004A39C9" w:rsidRDefault="006D5674" w:rsidP="006D5674">
            <w:pPr>
              <w:spacing w:after="0"/>
              <w:rPr>
                <w:rFonts w:cs="Arial"/>
              </w:rPr>
            </w:pPr>
            <w:r w:rsidRPr="004A39C9">
              <w:rPr>
                <w:rFonts w:cs="Arial"/>
              </w:rPr>
              <w:t>12 August 2021</w:t>
            </w:r>
          </w:p>
          <w:p w14:paraId="222DD708" w14:textId="4625BE2D" w:rsidR="006D5674" w:rsidRPr="00FC3567" w:rsidRDefault="006D5674" w:rsidP="006D5674">
            <w:pPr>
              <w:spacing w:after="0"/>
              <w:rPr>
                <w:rFonts w:cs="Arial"/>
                <w:b/>
              </w:rPr>
            </w:pPr>
            <w:r w:rsidRPr="002D522C">
              <w:rPr>
                <w:rFonts w:cs="Arial"/>
                <w:bCs/>
                <w:i/>
                <w:iCs/>
              </w:rPr>
              <w:t>Metropolitan Melbourne</w:t>
            </w:r>
          </w:p>
        </w:tc>
        <w:tc>
          <w:tcPr>
            <w:tcW w:w="3402" w:type="dxa"/>
          </w:tcPr>
          <w:p w14:paraId="1E45143B" w14:textId="6AEAA7D7" w:rsidR="006D5674" w:rsidRPr="00150442" w:rsidRDefault="006D5674" w:rsidP="006D5674">
            <w:pPr>
              <w:spacing w:after="0"/>
              <w:rPr>
                <w:rFonts w:cs="Arial"/>
              </w:rPr>
            </w:pPr>
            <w:r w:rsidRPr="00150442">
              <w:rPr>
                <w:rFonts w:cs="Arial"/>
                <w:bCs/>
              </w:rPr>
              <w:t>$2</w:t>
            </w:r>
            <w:r>
              <w:rPr>
                <w:rFonts w:cs="Arial"/>
                <w:bCs/>
              </w:rPr>
              <w:t>,</w:t>
            </w:r>
            <w:r w:rsidRPr="00150442">
              <w:rPr>
                <w:rFonts w:cs="Arial"/>
                <w:bCs/>
              </w:rPr>
              <w:t>800</w:t>
            </w:r>
          </w:p>
        </w:tc>
        <w:tc>
          <w:tcPr>
            <w:tcW w:w="6205" w:type="dxa"/>
          </w:tcPr>
          <w:p w14:paraId="5B25E77C" w14:textId="3B39D928" w:rsidR="006D5674" w:rsidRPr="00D70D1D" w:rsidRDefault="006D5674" w:rsidP="006D5674">
            <w:pPr>
              <w:pStyle w:val="ListParagraph"/>
              <w:numPr>
                <w:ilvl w:val="0"/>
                <w:numId w:val="20"/>
              </w:numPr>
              <w:spacing w:after="0"/>
              <w:ind w:left="312" w:hanging="284"/>
            </w:pPr>
            <w:r>
              <w:t>Location narrowing</w:t>
            </w:r>
            <w:r w:rsidRPr="00D70D1D">
              <w:t xml:space="preserve"> of BCAP 2/2e recipients to metropolitan Melbourne only.</w:t>
            </w:r>
          </w:p>
        </w:tc>
      </w:tr>
      <w:tr w:rsidR="006D5674" w:rsidRPr="00FC4873" w14:paraId="1436F0B2" w14:textId="77777777" w:rsidTr="004A39C9">
        <w:trPr>
          <w:cantSplit/>
          <w:trHeight w:val="492"/>
        </w:trPr>
        <w:tc>
          <w:tcPr>
            <w:tcW w:w="1276" w:type="dxa"/>
          </w:tcPr>
          <w:p w14:paraId="0754B2F5" w14:textId="17666A4A" w:rsidR="006D5674" w:rsidRPr="00D70D1D" w:rsidRDefault="006D5674" w:rsidP="006D5674">
            <w:pPr>
              <w:spacing w:after="0"/>
              <w:rPr>
                <w:rFonts w:cs="Arial"/>
                <w:b/>
              </w:rPr>
            </w:pPr>
            <w:r w:rsidRPr="00BB215F">
              <w:rPr>
                <w:rFonts w:cs="Arial"/>
              </w:rPr>
              <w:t>BCAP 2/2e</w:t>
            </w:r>
          </w:p>
        </w:tc>
        <w:tc>
          <w:tcPr>
            <w:tcW w:w="2977" w:type="dxa"/>
          </w:tcPr>
          <w:p w14:paraId="38E2B36D" w14:textId="0E1B4195" w:rsidR="006D5674" w:rsidRDefault="006D5674" w:rsidP="006D5674">
            <w:pPr>
              <w:spacing w:after="0"/>
              <w:rPr>
                <w:rFonts w:cs="Arial"/>
                <w:b/>
              </w:rPr>
            </w:pPr>
            <w:r>
              <w:rPr>
                <w:rFonts w:cs="Arial"/>
                <w:b/>
              </w:rPr>
              <w:t>BCAP 3 top-up payment</w:t>
            </w:r>
          </w:p>
          <w:p w14:paraId="6C0A32B0" w14:textId="35907DBA" w:rsidR="006D5674" w:rsidRPr="004A39C9" w:rsidRDefault="006D5674" w:rsidP="006D5674">
            <w:pPr>
              <w:spacing w:after="0"/>
              <w:rPr>
                <w:rFonts w:cs="Arial"/>
              </w:rPr>
            </w:pPr>
            <w:r w:rsidRPr="004A39C9">
              <w:rPr>
                <w:rFonts w:cs="Arial"/>
              </w:rPr>
              <w:t>19 and 22 August 2021</w:t>
            </w:r>
          </w:p>
          <w:p w14:paraId="576210A8" w14:textId="7E5C1D75" w:rsidR="006D5674" w:rsidRPr="00FC3567" w:rsidRDefault="006D5674" w:rsidP="006D5674">
            <w:pPr>
              <w:spacing w:after="0"/>
              <w:rPr>
                <w:rFonts w:cs="Arial"/>
                <w:b/>
              </w:rPr>
            </w:pPr>
            <w:r>
              <w:rPr>
                <w:rFonts w:cs="Arial"/>
                <w:bCs/>
                <w:i/>
                <w:iCs/>
              </w:rPr>
              <w:t>Victoria</w:t>
            </w:r>
          </w:p>
        </w:tc>
        <w:tc>
          <w:tcPr>
            <w:tcW w:w="3402" w:type="dxa"/>
          </w:tcPr>
          <w:p w14:paraId="70799C4B" w14:textId="1F11049C" w:rsidR="006D5674" w:rsidRPr="00150442" w:rsidRDefault="006D5674" w:rsidP="006D5674">
            <w:pPr>
              <w:spacing w:after="0"/>
              <w:rPr>
                <w:rFonts w:cs="Arial"/>
              </w:rPr>
            </w:pPr>
            <w:r w:rsidRPr="00150442">
              <w:rPr>
                <w:rFonts w:cs="Arial"/>
                <w:bCs/>
              </w:rPr>
              <w:t>$5</w:t>
            </w:r>
            <w:r>
              <w:rPr>
                <w:rFonts w:cs="Arial"/>
                <w:bCs/>
              </w:rPr>
              <w:t>,</w:t>
            </w:r>
            <w:r w:rsidRPr="00150442">
              <w:rPr>
                <w:rFonts w:cs="Arial"/>
                <w:bCs/>
              </w:rPr>
              <w:t>600</w:t>
            </w:r>
          </w:p>
        </w:tc>
        <w:tc>
          <w:tcPr>
            <w:tcW w:w="6205" w:type="dxa"/>
          </w:tcPr>
          <w:p w14:paraId="07CFB075" w14:textId="704E64C4" w:rsidR="006D5674" w:rsidRPr="00FC3567" w:rsidRDefault="006D5674" w:rsidP="006D5674">
            <w:pPr>
              <w:pStyle w:val="ListParagraph"/>
              <w:numPr>
                <w:ilvl w:val="0"/>
                <w:numId w:val="20"/>
              </w:numPr>
              <w:spacing w:after="0"/>
              <w:ind w:left="312" w:hanging="284"/>
            </w:pPr>
            <w:r w:rsidRPr="00D70D1D">
              <w:t>Increase in grant amount</w:t>
            </w:r>
            <w:r>
              <w:t>.</w:t>
            </w:r>
          </w:p>
          <w:p w14:paraId="45B13D4A" w14:textId="5DC7C1B1" w:rsidR="006D5674" w:rsidRPr="00D70D1D" w:rsidRDefault="006D5674" w:rsidP="006D5674">
            <w:pPr>
              <w:pStyle w:val="ListParagraph"/>
              <w:numPr>
                <w:ilvl w:val="0"/>
                <w:numId w:val="20"/>
              </w:numPr>
              <w:spacing w:after="0"/>
              <w:ind w:left="312" w:hanging="284"/>
            </w:pPr>
            <w:r>
              <w:t>Eligibility of metropolitan</w:t>
            </w:r>
            <w:r w:rsidRPr="00D70D1D">
              <w:t xml:space="preserve"> Melbourne </w:t>
            </w:r>
            <w:r>
              <w:t>is</w:t>
            </w:r>
            <w:r w:rsidRPr="00D70D1D">
              <w:t xml:space="preserve"> announced </w:t>
            </w:r>
            <w:r>
              <w:t xml:space="preserve">on </w:t>
            </w:r>
            <w:r w:rsidRPr="00D70D1D">
              <w:t>19 August</w:t>
            </w:r>
            <w:r>
              <w:t xml:space="preserve"> and</w:t>
            </w:r>
            <w:r w:rsidRPr="00D70D1D">
              <w:t xml:space="preserve"> </w:t>
            </w:r>
            <w:r>
              <w:t>r</w:t>
            </w:r>
            <w:r w:rsidRPr="00D70D1D">
              <w:t xml:space="preserve">egional Victoria </w:t>
            </w:r>
            <w:r>
              <w:t xml:space="preserve">is </w:t>
            </w:r>
            <w:r w:rsidRPr="00D70D1D">
              <w:t xml:space="preserve">announced </w:t>
            </w:r>
            <w:r>
              <w:t xml:space="preserve">on </w:t>
            </w:r>
            <w:r w:rsidRPr="00D70D1D">
              <w:t>22 August</w:t>
            </w:r>
            <w:r>
              <w:t>.</w:t>
            </w:r>
          </w:p>
          <w:p w14:paraId="3B890FFB" w14:textId="63D2972E" w:rsidR="006D5674" w:rsidRPr="00D70D1D" w:rsidRDefault="006D5674" w:rsidP="006D5674">
            <w:pPr>
              <w:pStyle w:val="ListParagraph"/>
              <w:numPr>
                <w:ilvl w:val="0"/>
                <w:numId w:val="20"/>
              </w:numPr>
              <w:spacing w:after="0"/>
              <w:ind w:left="312" w:hanging="284"/>
            </w:pPr>
            <w:r>
              <w:t>Location</w:t>
            </w:r>
            <w:r w:rsidRPr="00D70D1D">
              <w:t xml:space="preserve"> expansion of BCAP 2/2e recipients to regional Victoria.</w:t>
            </w:r>
          </w:p>
        </w:tc>
      </w:tr>
      <w:tr w:rsidR="006D5674" w:rsidRPr="00375F64" w14:paraId="7050E100" w14:textId="77777777" w:rsidTr="00DD332B">
        <w:trPr>
          <w:cantSplit/>
          <w:trHeight w:val="18"/>
        </w:trPr>
        <w:tc>
          <w:tcPr>
            <w:tcW w:w="1276" w:type="dxa"/>
            <w:shd w:val="clear" w:color="auto" w:fill="DFF0F9" w:themeFill="accent3" w:themeFillTint="33"/>
          </w:tcPr>
          <w:p w14:paraId="0F6375DD" w14:textId="43E5374E" w:rsidR="006D5674" w:rsidRPr="00D70D1D" w:rsidRDefault="006D5674" w:rsidP="006D5674">
            <w:pPr>
              <w:spacing w:after="0"/>
              <w:rPr>
                <w:rFonts w:cs="Arial"/>
                <w:b/>
              </w:rPr>
            </w:pPr>
            <w:r>
              <w:rPr>
                <w:rFonts w:cs="Arial"/>
                <w:b/>
              </w:rPr>
              <w:t>BCAP 4</w:t>
            </w:r>
          </w:p>
        </w:tc>
        <w:tc>
          <w:tcPr>
            <w:tcW w:w="2977" w:type="dxa"/>
            <w:shd w:val="clear" w:color="auto" w:fill="DFF0F9" w:themeFill="accent3" w:themeFillTint="33"/>
          </w:tcPr>
          <w:p w14:paraId="75AD6471" w14:textId="77777777" w:rsidR="006D5674" w:rsidRPr="00FC3567" w:rsidRDefault="006D5674" w:rsidP="006D5674">
            <w:pPr>
              <w:spacing w:after="0"/>
              <w:rPr>
                <w:rFonts w:cs="Arial"/>
                <w:b/>
              </w:rPr>
            </w:pPr>
          </w:p>
        </w:tc>
        <w:tc>
          <w:tcPr>
            <w:tcW w:w="3402" w:type="dxa"/>
            <w:shd w:val="clear" w:color="auto" w:fill="DFF0F9" w:themeFill="accent3" w:themeFillTint="33"/>
          </w:tcPr>
          <w:p w14:paraId="17F335FE" w14:textId="77777777" w:rsidR="006D5674" w:rsidRPr="00150442" w:rsidRDefault="006D5674" w:rsidP="006D5674">
            <w:pPr>
              <w:spacing w:after="0"/>
              <w:rPr>
                <w:rFonts w:cs="Arial"/>
                <w:bCs/>
              </w:rPr>
            </w:pPr>
          </w:p>
        </w:tc>
        <w:tc>
          <w:tcPr>
            <w:tcW w:w="6205" w:type="dxa"/>
            <w:shd w:val="clear" w:color="auto" w:fill="DFF0F9" w:themeFill="accent3" w:themeFillTint="33"/>
          </w:tcPr>
          <w:p w14:paraId="686B1D53" w14:textId="77777777" w:rsidR="006D5674" w:rsidRPr="00DD332B" w:rsidRDefault="006D5674" w:rsidP="006D5674">
            <w:pPr>
              <w:spacing w:after="0"/>
              <w:ind w:left="360" w:hanging="360"/>
            </w:pPr>
          </w:p>
        </w:tc>
      </w:tr>
      <w:tr w:rsidR="006D5674" w:rsidRPr="00375F64" w14:paraId="7BDBE78F" w14:textId="77777777" w:rsidTr="004A39C9">
        <w:trPr>
          <w:cantSplit/>
          <w:trHeight w:val="1134"/>
        </w:trPr>
        <w:tc>
          <w:tcPr>
            <w:tcW w:w="1276" w:type="dxa"/>
          </w:tcPr>
          <w:p w14:paraId="1ABC8E58" w14:textId="77777777" w:rsidR="006D5674" w:rsidRPr="00BB215F" w:rsidRDefault="006D5674" w:rsidP="006D5674">
            <w:pPr>
              <w:spacing w:after="0"/>
              <w:rPr>
                <w:rFonts w:cs="Arial"/>
              </w:rPr>
            </w:pPr>
            <w:r w:rsidRPr="00BB215F">
              <w:rPr>
                <w:rFonts w:cs="Arial"/>
              </w:rPr>
              <w:t>BCAP 2/2e (with revalidated eligibility)</w:t>
            </w:r>
          </w:p>
          <w:p w14:paraId="4EAD89DA" w14:textId="77777777" w:rsidR="006D5674" w:rsidRPr="00D70D1D" w:rsidRDefault="006D5674" w:rsidP="006D5674">
            <w:pPr>
              <w:spacing w:after="0"/>
              <w:rPr>
                <w:rFonts w:cs="Arial"/>
                <w:b/>
              </w:rPr>
            </w:pPr>
          </w:p>
        </w:tc>
        <w:tc>
          <w:tcPr>
            <w:tcW w:w="2977" w:type="dxa"/>
          </w:tcPr>
          <w:p w14:paraId="5511C232" w14:textId="77777777" w:rsidR="006D5674" w:rsidRDefault="006D5674" w:rsidP="006D5674">
            <w:pPr>
              <w:spacing w:after="0"/>
              <w:rPr>
                <w:rFonts w:cs="Arial"/>
                <w:b/>
              </w:rPr>
            </w:pPr>
            <w:r w:rsidRPr="00FC3567">
              <w:rPr>
                <w:rFonts w:cs="Arial"/>
                <w:b/>
              </w:rPr>
              <w:t>BCAP 4</w:t>
            </w:r>
          </w:p>
          <w:p w14:paraId="00DBA379" w14:textId="77777777" w:rsidR="006D5674" w:rsidRPr="004A39C9" w:rsidRDefault="006D5674" w:rsidP="006D5674">
            <w:pPr>
              <w:spacing w:after="0"/>
              <w:rPr>
                <w:rFonts w:cs="Arial"/>
              </w:rPr>
            </w:pPr>
            <w:r w:rsidRPr="004A39C9">
              <w:rPr>
                <w:rFonts w:cs="Arial"/>
              </w:rPr>
              <w:t>September 2021</w:t>
            </w:r>
          </w:p>
          <w:p w14:paraId="051AFA61" w14:textId="511193C6" w:rsidR="006D5674" w:rsidRPr="00065DEB" w:rsidRDefault="006D5674" w:rsidP="006D5674">
            <w:pPr>
              <w:spacing w:after="0"/>
              <w:rPr>
                <w:rFonts w:cs="Arial"/>
                <w:i/>
                <w:iCs/>
              </w:rPr>
            </w:pPr>
            <w:r w:rsidRPr="00065DEB">
              <w:rPr>
                <w:rFonts w:cs="Arial"/>
                <w:i/>
                <w:iCs/>
                <w:u w:val="single"/>
              </w:rPr>
              <w:t>Fortnight 1:</w:t>
            </w:r>
            <w:r w:rsidRPr="00065DEB">
              <w:rPr>
                <w:rFonts w:cs="Arial"/>
                <w:i/>
                <w:iCs/>
              </w:rPr>
              <w:t xml:space="preserve"> </w:t>
            </w:r>
            <w:r>
              <w:rPr>
                <w:rFonts w:cs="Arial"/>
                <w:i/>
                <w:iCs/>
              </w:rPr>
              <w:t>Victoria</w:t>
            </w:r>
          </w:p>
          <w:p w14:paraId="728E5FC3" w14:textId="43D10600" w:rsidR="006D5674" w:rsidRPr="002D522C" w:rsidRDefault="006D5674" w:rsidP="006D5674">
            <w:pPr>
              <w:spacing w:after="0"/>
              <w:rPr>
                <w:rFonts w:cs="Arial"/>
                <w:i/>
              </w:rPr>
            </w:pPr>
            <w:r w:rsidRPr="00065DEB">
              <w:rPr>
                <w:rFonts w:cs="Arial"/>
                <w:i/>
                <w:iCs/>
                <w:u w:val="single"/>
              </w:rPr>
              <w:t xml:space="preserve">Fortnight 2: </w:t>
            </w:r>
            <w:r w:rsidRPr="00065DEB">
              <w:rPr>
                <w:rFonts w:cs="Arial"/>
                <w:i/>
                <w:iCs/>
              </w:rPr>
              <w:t>Metro</w:t>
            </w:r>
            <w:r>
              <w:rPr>
                <w:rFonts w:cs="Arial"/>
                <w:i/>
                <w:iCs/>
              </w:rPr>
              <w:t>politan</w:t>
            </w:r>
            <w:r w:rsidRPr="00065DEB">
              <w:rPr>
                <w:rFonts w:cs="Arial"/>
                <w:i/>
                <w:iCs/>
              </w:rPr>
              <w:t xml:space="preserve"> Melbourne, </w:t>
            </w:r>
            <w:r>
              <w:rPr>
                <w:rFonts w:cs="Arial"/>
                <w:i/>
                <w:iCs/>
              </w:rPr>
              <w:t>select</w:t>
            </w:r>
            <w:r w:rsidRPr="00065DEB">
              <w:rPr>
                <w:rFonts w:cs="Arial"/>
                <w:i/>
                <w:iCs/>
              </w:rPr>
              <w:t xml:space="preserve"> regional Victoria LGAs</w:t>
            </w:r>
          </w:p>
        </w:tc>
        <w:tc>
          <w:tcPr>
            <w:tcW w:w="3402" w:type="dxa"/>
          </w:tcPr>
          <w:p w14:paraId="080E3FEC" w14:textId="6890C5CF" w:rsidR="006D5674" w:rsidRPr="00FC3567" w:rsidRDefault="006D5674" w:rsidP="006D5674">
            <w:pPr>
              <w:spacing w:after="0"/>
              <w:rPr>
                <w:rFonts w:cs="Arial"/>
              </w:rPr>
            </w:pPr>
            <w:r w:rsidRPr="00FC3567">
              <w:rPr>
                <w:rFonts w:cs="Arial"/>
              </w:rPr>
              <w:t xml:space="preserve">Non-employing to &lt;$650,000: </w:t>
            </w:r>
            <w:r w:rsidRPr="00150442">
              <w:rPr>
                <w:rFonts w:cs="Arial"/>
              </w:rPr>
              <w:t>$</w:t>
            </w:r>
            <w:r w:rsidRPr="00150442">
              <w:rPr>
                <w:rFonts w:cs="Arial"/>
                <w:bCs/>
              </w:rPr>
              <w:t>2</w:t>
            </w:r>
            <w:r>
              <w:rPr>
                <w:rFonts w:cs="Arial"/>
                <w:bCs/>
              </w:rPr>
              <w:t>,</w:t>
            </w:r>
            <w:r w:rsidRPr="00150442">
              <w:rPr>
                <w:rFonts w:cs="Arial"/>
                <w:bCs/>
              </w:rPr>
              <w:t>800</w:t>
            </w:r>
            <w:r w:rsidRPr="00150442">
              <w:rPr>
                <w:rFonts w:cs="Arial"/>
              </w:rPr>
              <w:t>/week</w:t>
            </w:r>
          </w:p>
          <w:p w14:paraId="25B6EAD9" w14:textId="15018CAA" w:rsidR="006D5674" w:rsidRPr="00FC3567" w:rsidRDefault="006D5674" w:rsidP="006D5674">
            <w:pPr>
              <w:spacing w:after="0"/>
              <w:rPr>
                <w:rFonts w:cs="Arial"/>
              </w:rPr>
            </w:pPr>
            <w:r w:rsidRPr="00FC3567">
              <w:rPr>
                <w:rFonts w:cs="Arial"/>
              </w:rPr>
              <w:t xml:space="preserve">$650,000 to &lt;$3 million: </w:t>
            </w:r>
            <w:r w:rsidRPr="00150442">
              <w:rPr>
                <w:rFonts w:cs="Arial"/>
              </w:rPr>
              <w:t>$</w:t>
            </w:r>
            <w:r w:rsidRPr="00150442">
              <w:rPr>
                <w:rFonts w:cs="Arial"/>
                <w:bCs/>
              </w:rPr>
              <w:t>5</w:t>
            </w:r>
            <w:r>
              <w:rPr>
                <w:rFonts w:cs="Arial"/>
                <w:bCs/>
              </w:rPr>
              <w:t>,</w:t>
            </w:r>
            <w:r w:rsidRPr="00150442">
              <w:rPr>
                <w:rFonts w:cs="Arial"/>
                <w:bCs/>
              </w:rPr>
              <w:t>600</w:t>
            </w:r>
            <w:r w:rsidRPr="00150442">
              <w:rPr>
                <w:rFonts w:cs="Arial"/>
              </w:rPr>
              <w:t>/week</w:t>
            </w:r>
          </w:p>
          <w:p w14:paraId="755C3D74" w14:textId="777E0FE6" w:rsidR="006D5674" w:rsidRPr="00FC3567" w:rsidRDefault="006D5674" w:rsidP="006D5674">
            <w:pPr>
              <w:spacing w:after="0"/>
              <w:rPr>
                <w:rFonts w:cs="Arial"/>
              </w:rPr>
            </w:pPr>
            <w:r w:rsidRPr="00FC3567">
              <w:rPr>
                <w:rFonts w:cs="Arial"/>
              </w:rPr>
              <w:t xml:space="preserve">$3 million to $10 million: </w:t>
            </w:r>
            <w:r w:rsidRPr="00150442">
              <w:rPr>
                <w:rFonts w:cs="Arial"/>
              </w:rPr>
              <w:t>$</w:t>
            </w:r>
            <w:r w:rsidRPr="00150442">
              <w:rPr>
                <w:rFonts w:cs="Arial"/>
                <w:bCs/>
              </w:rPr>
              <w:t>8</w:t>
            </w:r>
            <w:r>
              <w:rPr>
                <w:rFonts w:cs="Arial"/>
                <w:bCs/>
              </w:rPr>
              <w:t>,</w:t>
            </w:r>
            <w:r w:rsidRPr="00150442">
              <w:rPr>
                <w:rFonts w:cs="Arial"/>
                <w:bCs/>
              </w:rPr>
              <w:t>400</w:t>
            </w:r>
            <w:r w:rsidRPr="00150442">
              <w:rPr>
                <w:rFonts w:cs="Arial"/>
              </w:rPr>
              <w:t>/week</w:t>
            </w:r>
          </w:p>
        </w:tc>
        <w:tc>
          <w:tcPr>
            <w:tcW w:w="6205" w:type="dxa"/>
          </w:tcPr>
          <w:p w14:paraId="6EAE74F0" w14:textId="2793236F" w:rsidR="006D5674" w:rsidRPr="00D70D1D" w:rsidRDefault="006D5674" w:rsidP="006D5674">
            <w:pPr>
              <w:pStyle w:val="ListParagraph"/>
              <w:numPr>
                <w:ilvl w:val="0"/>
                <w:numId w:val="20"/>
              </w:numPr>
              <w:spacing w:after="0"/>
              <w:ind w:left="312" w:hanging="284"/>
            </w:pPr>
            <w:r w:rsidRPr="00D70D1D">
              <w:t xml:space="preserve">Structure </w:t>
            </w:r>
            <w:r>
              <w:t xml:space="preserve">is </w:t>
            </w:r>
            <w:r w:rsidRPr="00D70D1D">
              <w:t>changed from one-off payments to weekly payments</w:t>
            </w:r>
            <w:r>
              <w:t>.</w:t>
            </w:r>
          </w:p>
          <w:p w14:paraId="35C9074F" w14:textId="2007ABAA" w:rsidR="006D5674" w:rsidRPr="00D70D1D" w:rsidRDefault="006D5674" w:rsidP="006D5674">
            <w:pPr>
              <w:pStyle w:val="ListParagraph"/>
              <w:numPr>
                <w:ilvl w:val="0"/>
                <w:numId w:val="20"/>
              </w:numPr>
              <w:spacing w:after="0"/>
              <w:ind w:left="312" w:hanging="284"/>
            </w:pPr>
            <w:r w:rsidRPr="00D70D1D">
              <w:t>Eligibility is based on receiving BCAP 2/2e, but eligibility based on existing criteria is revalidated</w:t>
            </w:r>
            <w:r>
              <w:t>.</w:t>
            </w:r>
          </w:p>
          <w:p w14:paraId="7C2A3FBB" w14:textId="3E774584" w:rsidR="006D5674" w:rsidRPr="00D70D1D" w:rsidRDefault="006D5674" w:rsidP="006D5674">
            <w:pPr>
              <w:pStyle w:val="ListParagraph"/>
              <w:numPr>
                <w:ilvl w:val="0"/>
                <w:numId w:val="20"/>
              </w:numPr>
              <w:spacing w:after="0"/>
              <w:ind w:left="312" w:hanging="284"/>
            </w:pPr>
            <w:r>
              <w:t>Business location</w:t>
            </w:r>
            <w:r w:rsidRPr="00D70D1D">
              <w:t xml:space="preserve"> </w:t>
            </w:r>
            <w:r>
              <w:t>is adjusted</w:t>
            </w:r>
            <w:r w:rsidRPr="00D70D1D">
              <w:t xml:space="preserve"> between the first fortnight and the second fortnight.</w:t>
            </w:r>
          </w:p>
        </w:tc>
      </w:tr>
      <w:tr w:rsidR="006D5674" w:rsidRPr="00375F64" w14:paraId="78A8E5E2" w14:textId="77777777" w:rsidTr="00DD332B">
        <w:trPr>
          <w:cantSplit/>
          <w:trHeight w:val="18"/>
        </w:trPr>
        <w:tc>
          <w:tcPr>
            <w:tcW w:w="1276" w:type="dxa"/>
            <w:shd w:val="clear" w:color="auto" w:fill="DFF0F9" w:themeFill="accent3" w:themeFillTint="33"/>
          </w:tcPr>
          <w:p w14:paraId="1694163D" w14:textId="3F72096C" w:rsidR="006D5674" w:rsidRPr="00D70D1D" w:rsidRDefault="006D5674" w:rsidP="006D5674">
            <w:pPr>
              <w:spacing w:after="0"/>
              <w:rPr>
                <w:rFonts w:cs="Arial"/>
                <w:b/>
              </w:rPr>
            </w:pPr>
            <w:r>
              <w:rPr>
                <w:rFonts w:cs="Arial"/>
                <w:b/>
                <w:bCs/>
              </w:rPr>
              <w:t>BCAP 5</w:t>
            </w:r>
          </w:p>
        </w:tc>
        <w:tc>
          <w:tcPr>
            <w:tcW w:w="2977" w:type="dxa"/>
            <w:shd w:val="clear" w:color="auto" w:fill="DFF0F9" w:themeFill="accent3" w:themeFillTint="33"/>
          </w:tcPr>
          <w:p w14:paraId="4A25DDCE" w14:textId="571CC344" w:rsidR="006D5674" w:rsidRDefault="006D5674" w:rsidP="006D5674">
            <w:pPr>
              <w:spacing w:after="0"/>
              <w:rPr>
                <w:rFonts w:cs="Arial"/>
                <w:b/>
                <w:bCs/>
              </w:rPr>
            </w:pPr>
          </w:p>
        </w:tc>
        <w:tc>
          <w:tcPr>
            <w:tcW w:w="3402" w:type="dxa"/>
            <w:shd w:val="clear" w:color="auto" w:fill="DFF0F9" w:themeFill="accent3" w:themeFillTint="33"/>
          </w:tcPr>
          <w:p w14:paraId="29BAF1CB" w14:textId="77777777" w:rsidR="006D5674" w:rsidRPr="00150442" w:rsidRDefault="006D5674" w:rsidP="006D5674">
            <w:pPr>
              <w:spacing w:after="0"/>
              <w:rPr>
                <w:rFonts w:cs="Arial"/>
                <w:bCs/>
              </w:rPr>
            </w:pPr>
          </w:p>
        </w:tc>
        <w:tc>
          <w:tcPr>
            <w:tcW w:w="6205" w:type="dxa"/>
            <w:shd w:val="clear" w:color="auto" w:fill="DFF0F9" w:themeFill="accent3" w:themeFillTint="33"/>
          </w:tcPr>
          <w:p w14:paraId="03DAB6F1" w14:textId="77777777" w:rsidR="006D5674" w:rsidRPr="00DD332B" w:rsidRDefault="006D5674" w:rsidP="006D5674">
            <w:pPr>
              <w:spacing w:after="0"/>
              <w:ind w:left="0"/>
            </w:pPr>
          </w:p>
        </w:tc>
      </w:tr>
      <w:tr w:rsidR="006D5674" w:rsidRPr="00375F64" w14:paraId="1C653B6C" w14:textId="77777777" w:rsidTr="004A39C9">
        <w:trPr>
          <w:cantSplit/>
          <w:trHeight w:val="1134"/>
        </w:trPr>
        <w:tc>
          <w:tcPr>
            <w:tcW w:w="1276" w:type="dxa"/>
          </w:tcPr>
          <w:p w14:paraId="3E4F5841" w14:textId="16BBDC1E" w:rsidR="006D5674" w:rsidRPr="00BB215F" w:rsidRDefault="006D5674" w:rsidP="006D5674">
            <w:pPr>
              <w:spacing w:after="0"/>
              <w:rPr>
                <w:rFonts w:cs="Arial"/>
              </w:rPr>
            </w:pPr>
            <w:r w:rsidRPr="00BB215F">
              <w:rPr>
                <w:rFonts w:cs="Arial"/>
              </w:rPr>
              <w:t>BCAP 2/2e (with revalidated eligibility)</w:t>
            </w:r>
          </w:p>
        </w:tc>
        <w:tc>
          <w:tcPr>
            <w:tcW w:w="2977" w:type="dxa"/>
          </w:tcPr>
          <w:p w14:paraId="6196B4E8" w14:textId="77777777" w:rsidR="006D5674" w:rsidRDefault="006D5674" w:rsidP="006D5674">
            <w:pPr>
              <w:spacing w:after="0"/>
              <w:rPr>
                <w:rFonts w:cs="Arial"/>
                <w:b/>
                <w:bCs/>
              </w:rPr>
            </w:pPr>
            <w:r>
              <w:rPr>
                <w:rFonts w:cs="Arial"/>
                <w:b/>
                <w:bCs/>
              </w:rPr>
              <w:t>BCAP 5</w:t>
            </w:r>
          </w:p>
          <w:p w14:paraId="38071E9F" w14:textId="14FA059E" w:rsidR="006D5674" w:rsidRPr="004A39C9" w:rsidRDefault="006D5674" w:rsidP="006D5674">
            <w:pPr>
              <w:spacing w:after="0"/>
              <w:rPr>
                <w:rFonts w:cs="Arial"/>
              </w:rPr>
            </w:pPr>
            <w:r w:rsidRPr="004A39C9">
              <w:rPr>
                <w:rFonts w:cs="Arial"/>
              </w:rPr>
              <w:t>October-November 2021</w:t>
            </w:r>
            <w:r>
              <w:rPr>
                <w:rFonts w:cs="Arial"/>
              </w:rPr>
              <w:t xml:space="preserve"> (Fortnight 1 is Phase A and Fortnight 2 is Phase B)</w:t>
            </w:r>
          </w:p>
          <w:p w14:paraId="04F98078" w14:textId="5EFC0086" w:rsidR="006D5674" w:rsidRPr="00065DEB" w:rsidRDefault="006D5674" w:rsidP="006D5674">
            <w:pPr>
              <w:spacing w:after="0"/>
              <w:rPr>
                <w:rFonts w:cs="Arial"/>
                <w:i/>
              </w:rPr>
            </w:pPr>
            <w:r>
              <w:rPr>
                <w:rFonts w:cs="Arial"/>
                <w:i/>
                <w:iCs/>
              </w:rPr>
              <w:t>Victoria (varied eligibility by industry and location)</w:t>
            </w:r>
          </w:p>
        </w:tc>
        <w:tc>
          <w:tcPr>
            <w:tcW w:w="3402" w:type="dxa"/>
          </w:tcPr>
          <w:p w14:paraId="0D419F46" w14:textId="77777777" w:rsidR="006D5674" w:rsidRPr="00FC3567" w:rsidRDefault="006D5674" w:rsidP="006D5674">
            <w:pPr>
              <w:spacing w:after="0"/>
              <w:rPr>
                <w:rFonts w:cs="Arial"/>
              </w:rPr>
            </w:pPr>
            <w:r w:rsidRPr="00FC3567">
              <w:rPr>
                <w:rFonts w:cs="Arial"/>
              </w:rPr>
              <w:t xml:space="preserve">Non-employing: </w:t>
            </w:r>
            <w:r w:rsidRPr="00150442">
              <w:rPr>
                <w:rFonts w:cs="Arial"/>
              </w:rPr>
              <w:t>$1000</w:t>
            </w:r>
            <w:r w:rsidRPr="00FC3567">
              <w:rPr>
                <w:rFonts w:cs="Arial"/>
              </w:rPr>
              <w:t>/week</w:t>
            </w:r>
          </w:p>
          <w:p w14:paraId="2988042B" w14:textId="3A34E8F6" w:rsidR="006D5674" w:rsidRPr="00FC3567" w:rsidRDefault="006D5674" w:rsidP="006D5674">
            <w:pPr>
              <w:spacing w:after="0"/>
              <w:rPr>
                <w:rFonts w:cs="Arial"/>
              </w:rPr>
            </w:pPr>
            <w:r w:rsidRPr="00FC3567">
              <w:rPr>
                <w:rFonts w:cs="Arial"/>
              </w:rPr>
              <w:t xml:space="preserve">Employing up to &lt;$650,000: </w:t>
            </w:r>
            <w:r w:rsidRPr="00150442">
              <w:rPr>
                <w:rFonts w:cs="Arial"/>
              </w:rPr>
              <w:t>$</w:t>
            </w:r>
            <w:r w:rsidRPr="00150442">
              <w:rPr>
                <w:rFonts w:cs="Arial"/>
                <w:bCs/>
              </w:rPr>
              <w:t>2</w:t>
            </w:r>
            <w:r>
              <w:rPr>
                <w:rFonts w:cs="Arial"/>
                <w:bCs/>
              </w:rPr>
              <w:t>,</w:t>
            </w:r>
            <w:r w:rsidRPr="00150442">
              <w:rPr>
                <w:rFonts w:cs="Arial"/>
                <w:bCs/>
              </w:rPr>
              <w:t>800</w:t>
            </w:r>
            <w:r w:rsidRPr="00FC3567">
              <w:rPr>
                <w:rFonts w:cs="Arial"/>
              </w:rPr>
              <w:t>/week</w:t>
            </w:r>
          </w:p>
          <w:p w14:paraId="6214A0E3" w14:textId="1AD9E954" w:rsidR="006D5674" w:rsidRPr="00FC3567" w:rsidRDefault="006D5674" w:rsidP="006D5674">
            <w:pPr>
              <w:spacing w:after="0"/>
              <w:rPr>
                <w:rFonts w:cs="Arial"/>
              </w:rPr>
            </w:pPr>
            <w:r w:rsidRPr="00FC3567">
              <w:rPr>
                <w:rFonts w:cs="Arial"/>
              </w:rPr>
              <w:t xml:space="preserve">$650,000 to &lt;$3 million: </w:t>
            </w:r>
            <w:r w:rsidRPr="00150442">
              <w:rPr>
                <w:rFonts w:cs="Arial"/>
              </w:rPr>
              <w:t>$</w:t>
            </w:r>
            <w:r w:rsidRPr="00150442">
              <w:rPr>
                <w:rFonts w:cs="Arial"/>
                <w:bCs/>
              </w:rPr>
              <w:t>5</w:t>
            </w:r>
            <w:r>
              <w:rPr>
                <w:rFonts w:cs="Arial"/>
                <w:bCs/>
              </w:rPr>
              <w:t>,</w:t>
            </w:r>
            <w:r w:rsidRPr="00150442">
              <w:rPr>
                <w:rFonts w:cs="Arial"/>
                <w:bCs/>
              </w:rPr>
              <w:t>600</w:t>
            </w:r>
            <w:r w:rsidRPr="00FC3567">
              <w:rPr>
                <w:rFonts w:cs="Arial"/>
              </w:rPr>
              <w:t>/week</w:t>
            </w:r>
          </w:p>
          <w:p w14:paraId="4C6D184E" w14:textId="34D90BB1" w:rsidR="006D5674" w:rsidRPr="00150442" w:rsidRDefault="006D5674" w:rsidP="006D5674">
            <w:pPr>
              <w:spacing w:after="0"/>
              <w:rPr>
                <w:rFonts w:cs="Arial"/>
              </w:rPr>
            </w:pPr>
            <w:r w:rsidRPr="00FC3567">
              <w:rPr>
                <w:rFonts w:cs="Arial"/>
              </w:rPr>
              <w:t xml:space="preserve">$3 million to $10 million: </w:t>
            </w:r>
            <w:r w:rsidRPr="00150442">
              <w:rPr>
                <w:rFonts w:cs="Arial"/>
              </w:rPr>
              <w:t>$</w:t>
            </w:r>
            <w:r w:rsidRPr="00150442">
              <w:rPr>
                <w:rFonts w:cs="Arial"/>
                <w:bCs/>
              </w:rPr>
              <w:t>8</w:t>
            </w:r>
            <w:r>
              <w:rPr>
                <w:rFonts w:cs="Arial"/>
                <w:bCs/>
              </w:rPr>
              <w:t>,</w:t>
            </w:r>
            <w:r w:rsidRPr="00150442">
              <w:rPr>
                <w:rFonts w:cs="Arial"/>
                <w:bCs/>
              </w:rPr>
              <w:t>400</w:t>
            </w:r>
            <w:r w:rsidRPr="00FC3567">
              <w:rPr>
                <w:rFonts w:cs="Arial"/>
              </w:rPr>
              <w:t>/week</w:t>
            </w:r>
          </w:p>
        </w:tc>
        <w:tc>
          <w:tcPr>
            <w:tcW w:w="6205" w:type="dxa"/>
          </w:tcPr>
          <w:p w14:paraId="104A3B23" w14:textId="35E27E85" w:rsidR="006D5674" w:rsidRPr="00D70D1D" w:rsidRDefault="006D5674" w:rsidP="006D5674">
            <w:pPr>
              <w:pStyle w:val="ListParagraph"/>
              <w:numPr>
                <w:ilvl w:val="0"/>
                <w:numId w:val="20"/>
              </w:numPr>
              <w:spacing w:after="0"/>
              <w:ind w:left="312" w:hanging="284"/>
            </w:pPr>
            <w:r w:rsidRPr="00D70D1D">
              <w:t>A fourth tier for non-employing businesses is added to reflect higher costs/overheads of employing businesses</w:t>
            </w:r>
            <w:r>
              <w:t>.</w:t>
            </w:r>
          </w:p>
          <w:p w14:paraId="0ACB562E" w14:textId="5B074E5E" w:rsidR="006D5674" w:rsidRPr="00D70D1D" w:rsidRDefault="006D5674" w:rsidP="006D5674">
            <w:pPr>
              <w:pStyle w:val="ListParagraph"/>
              <w:numPr>
                <w:ilvl w:val="0"/>
                <w:numId w:val="20"/>
              </w:numPr>
              <w:spacing w:after="0"/>
              <w:ind w:left="312" w:hanging="284"/>
            </w:pPr>
            <w:r w:rsidRPr="00D70D1D">
              <w:t>Grant amount remains the same</w:t>
            </w:r>
            <w:r>
              <w:t>.</w:t>
            </w:r>
          </w:p>
          <w:p w14:paraId="35B5D97C" w14:textId="01BDED30" w:rsidR="006D5674" w:rsidRPr="00D70D1D" w:rsidRDefault="006D5674" w:rsidP="006D5674">
            <w:pPr>
              <w:pStyle w:val="ListParagraph"/>
              <w:numPr>
                <w:ilvl w:val="0"/>
                <w:numId w:val="20"/>
              </w:numPr>
              <w:spacing w:after="0"/>
              <w:ind w:left="312" w:hanging="284"/>
            </w:pPr>
            <w:r w:rsidRPr="00D70D1D">
              <w:t>Eligibility of ANZSIC codes narrows between Phase A and Phase B, across metro</w:t>
            </w:r>
            <w:r>
              <w:t>politan</w:t>
            </w:r>
            <w:r w:rsidRPr="00D70D1D">
              <w:t xml:space="preserve"> Melbourne (starts with more codes eligible) and regional Victoria (starts with fewer codes eligible).</w:t>
            </w:r>
          </w:p>
        </w:tc>
      </w:tr>
    </w:tbl>
    <w:p w14:paraId="3450A51A" w14:textId="77777777" w:rsidR="008C4543" w:rsidRDefault="00A4399B" w:rsidP="00021EF3">
      <w:pPr>
        <w:pStyle w:val="Source"/>
        <w:rPr>
          <w:lang w:eastAsia="en-AU"/>
        </w:rPr>
      </w:pPr>
      <w:r>
        <w:rPr>
          <w:lang w:eastAsia="en-AU"/>
        </w:rPr>
        <w:t xml:space="preserve">Source: </w:t>
      </w:r>
      <w:r w:rsidR="000A6F03">
        <w:rPr>
          <w:lang w:eastAsia="en-AU"/>
        </w:rPr>
        <w:t>Documentation provided by the Department</w:t>
      </w:r>
      <w:r w:rsidR="00066DE4">
        <w:rPr>
          <w:lang w:eastAsia="en-AU"/>
        </w:rPr>
        <w:t>.</w:t>
      </w:r>
    </w:p>
    <w:p w14:paraId="2308E4F2" w14:textId="77777777" w:rsidR="0055679E" w:rsidRDefault="0055679E" w:rsidP="00021EF3">
      <w:pPr>
        <w:rPr>
          <w:lang w:eastAsia="en-AU"/>
        </w:rPr>
      </w:pPr>
    </w:p>
    <w:p w14:paraId="1DF8DF4E" w14:textId="77777777" w:rsidR="0055679E" w:rsidRDefault="0055679E" w:rsidP="00021EF3">
      <w:pPr>
        <w:rPr>
          <w:lang w:eastAsia="en-AU"/>
        </w:rPr>
      </w:pPr>
    </w:p>
    <w:p w14:paraId="1E7F3E50" w14:textId="2F267360" w:rsidR="0015600A" w:rsidRPr="0055679E" w:rsidRDefault="0015600A" w:rsidP="00021EF3">
      <w:pPr>
        <w:rPr>
          <w:lang w:eastAsia="en-AU"/>
        </w:rPr>
        <w:sectPr w:rsidR="0015600A" w:rsidRPr="0055679E" w:rsidSect="0055679E">
          <w:footnotePr>
            <w:numFmt w:val="chicago"/>
          </w:footnotePr>
          <w:endnotePr>
            <w:numFmt w:val="decimal"/>
          </w:endnotePr>
          <w:pgSz w:w="16838" w:h="11906" w:orient="landscape" w:code="9"/>
          <w:pgMar w:top="1440" w:right="1440" w:bottom="1440" w:left="1440" w:header="680" w:footer="425" w:gutter="0"/>
          <w:cols w:space="284"/>
          <w:noEndnote/>
          <w:docGrid w:linePitch="360"/>
        </w:sectPr>
      </w:pPr>
    </w:p>
    <w:p w14:paraId="08D83CBE" w14:textId="35C3C510" w:rsidR="00247065" w:rsidRDefault="00935706" w:rsidP="00021EF3">
      <w:pPr>
        <w:pStyle w:val="Appendixhead2"/>
      </w:pPr>
      <w:bookmarkStart w:id="644" w:name="_Ref173501376"/>
      <w:bookmarkStart w:id="645" w:name="_Toc173915947"/>
      <w:bookmarkStart w:id="646" w:name="_Toc174118208"/>
      <w:bookmarkStart w:id="647" w:name="_Toc176516330"/>
      <w:bookmarkStart w:id="648" w:name="_Hlk175228502"/>
      <w:r>
        <w:lastRenderedPageBreak/>
        <w:t xml:space="preserve">Eligible BCAP </w:t>
      </w:r>
      <w:r w:rsidR="00310795">
        <w:t>ANZSIC</w:t>
      </w:r>
      <w:r>
        <w:t xml:space="preserve"> codes</w:t>
      </w:r>
      <w:bookmarkEnd w:id="644"/>
      <w:r w:rsidR="007D2AAA">
        <w:t xml:space="preserve"> </w:t>
      </w:r>
      <w:r w:rsidR="00344F96">
        <w:t>(level three)</w:t>
      </w:r>
      <w:bookmarkEnd w:id="645"/>
      <w:bookmarkEnd w:id="646"/>
      <w:bookmarkEnd w:id="647"/>
    </w:p>
    <w:bookmarkEnd w:id="648"/>
    <w:p w14:paraId="3893FD6E" w14:textId="746D4436" w:rsidR="0015600A" w:rsidRDefault="00310795" w:rsidP="00021EF3">
      <w:pPr>
        <w:pStyle w:val="AppendixTableCaption"/>
      </w:pPr>
      <w:r>
        <w:t>: Eligible ANZSIC codes for BCAP (any round) at level three</w:t>
      </w:r>
      <w:r w:rsidR="00792D18">
        <w:t>.</w:t>
      </w:r>
    </w:p>
    <w:tbl>
      <w:tblPr>
        <w:tblStyle w:val="Deloittetable"/>
        <w:tblW w:w="14052" w:type="dxa"/>
        <w:tblLayout w:type="fixed"/>
        <w:tblLook w:val="04A0" w:firstRow="1" w:lastRow="0" w:firstColumn="1" w:lastColumn="0" w:noHBand="0" w:noVBand="1"/>
      </w:tblPr>
      <w:tblGrid>
        <w:gridCol w:w="540"/>
        <w:gridCol w:w="1802"/>
        <w:gridCol w:w="538"/>
        <w:gridCol w:w="1804"/>
        <w:gridCol w:w="536"/>
        <w:gridCol w:w="1806"/>
        <w:gridCol w:w="534"/>
        <w:gridCol w:w="1808"/>
        <w:gridCol w:w="532"/>
        <w:gridCol w:w="1810"/>
        <w:gridCol w:w="530"/>
        <w:gridCol w:w="1812"/>
      </w:tblGrid>
      <w:tr w:rsidR="00F75168" w14:paraId="408955CC" w14:textId="55433274" w:rsidTr="00CD06F2">
        <w:trPr>
          <w:cnfStyle w:val="100000000000" w:firstRow="1" w:lastRow="0" w:firstColumn="0" w:lastColumn="0" w:oddVBand="0" w:evenVBand="0" w:oddHBand="0" w:evenHBand="0" w:firstRowFirstColumn="0" w:firstRowLastColumn="0" w:lastRowFirstColumn="0" w:lastRowLastColumn="0"/>
          <w:trHeight w:val="583"/>
        </w:trPr>
        <w:tc>
          <w:tcPr>
            <w:tcW w:w="540" w:type="dxa"/>
          </w:tcPr>
          <w:p w14:paraId="0798F85A" w14:textId="0EA92C74" w:rsidR="00724871" w:rsidRDefault="007D0014" w:rsidP="00021EF3">
            <w:pPr>
              <w:spacing w:after="0"/>
              <w:rPr>
                <w:lang w:eastAsia="en-AU"/>
              </w:rPr>
            </w:pPr>
            <w:r w:rsidRPr="004E4A72">
              <w:t>11</w:t>
            </w:r>
          </w:p>
        </w:tc>
        <w:tc>
          <w:tcPr>
            <w:tcW w:w="1802" w:type="dxa"/>
          </w:tcPr>
          <w:p w14:paraId="127C4687" w14:textId="27323B13" w:rsidR="00724871" w:rsidRDefault="00B867E9" w:rsidP="00021EF3">
            <w:pPr>
              <w:spacing w:after="0"/>
              <w:rPr>
                <w:lang w:eastAsia="en-AU"/>
              </w:rPr>
            </w:pPr>
            <w:r w:rsidRPr="00C1619A">
              <w:t>Nursery and Floriculture Production</w:t>
            </w:r>
          </w:p>
        </w:tc>
        <w:tc>
          <w:tcPr>
            <w:tcW w:w="538" w:type="dxa"/>
          </w:tcPr>
          <w:p w14:paraId="44AA5480" w14:textId="332D9860" w:rsidR="00724871" w:rsidRDefault="00D77A08" w:rsidP="00021EF3">
            <w:pPr>
              <w:spacing w:after="0"/>
              <w:rPr>
                <w:lang w:eastAsia="en-AU"/>
              </w:rPr>
            </w:pPr>
            <w:r w:rsidRPr="00DA1E4E">
              <w:t>209</w:t>
            </w:r>
          </w:p>
        </w:tc>
        <w:tc>
          <w:tcPr>
            <w:tcW w:w="1804" w:type="dxa"/>
          </w:tcPr>
          <w:p w14:paraId="557899D3" w14:textId="3E8F06F0" w:rsidR="00724871" w:rsidRDefault="00D77A08" w:rsidP="00021EF3">
            <w:pPr>
              <w:spacing w:after="0"/>
              <w:rPr>
                <w:lang w:eastAsia="en-AU"/>
              </w:rPr>
            </w:pPr>
            <w:r w:rsidRPr="00DA1E4E">
              <w:t>Other Non-Metallic Mineral Product Manufacturing</w:t>
            </w:r>
          </w:p>
        </w:tc>
        <w:tc>
          <w:tcPr>
            <w:tcW w:w="536" w:type="dxa"/>
          </w:tcPr>
          <w:p w14:paraId="0EB22001" w14:textId="7BC77BC0" w:rsidR="00724871" w:rsidRDefault="00D77A08" w:rsidP="00021EF3">
            <w:pPr>
              <w:spacing w:after="0"/>
              <w:rPr>
                <w:lang w:eastAsia="en-AU"/>
              </w:rPr>
            </w:pPr>
            <w:r w:rsidRPr="001E6D66">
              <w:t>332</w:t>
            </w:r>
          </w:p>
        </w:tc>
        <w:tc>
          <w:tcPr>
            <w:tcW w:w="1806" w:type="dxa"/>
          </w:tcPr>
          <w:p w14:paraId="62826C80" w14:textId="66C86949" w:rsidR="00724871" w:rsidRDefault="00D77A08" w:rsidP="00021EF3">
            <w:pPr>
              <w:spacing w:after="0"/>
              <w:rPr>
                <w:lang w:eastAsia="en-AU"/>
              </w:rPr>
            </w:pPr>
            <w:r w:rsidRPr="001E6D66">
              <w:t>Mineral, Metal and Chemical Wholesaling</w:t>
            </w:r>
          </w:p>
        </w:tc>
        <w:tc>
          <w:tcPr>
            <w:tcW w:w="534" w:type="dxa"/>
          </w:tcPr>
          <w:p w14:paraId="7F4550AA" w14:textId="17CE2CDC" w:rsidR="008F31AC" w:rsidRPr="00AF1E23" w:rsidRDefault="00FF04DB" w:rsidP="00021EF3">
            <w:pPr>
              <w:spacing w:after="0"/>
            </w:pPr>
            <w:r w:rsidRPr="00DD3DA8">
              <w:t>451</w:t>
            </w:r>
          </w:p>
        </w:tc>
        <w:tc>
          <w:tcPr>
            <w:tcW w:w="1808" w:type="dxa"/>
          </w:tcPr>
          <w:p w14:paraId="247175E7" w14:textId="7DD38153" w:rsidR="008F31AC" w:rsidRPr="0014082C" w:rsidRDefault="00FF04DB" w:rsidP="00021EF3">
            <w:pPr>
              <w:spacing w:after="0"/>
            </w:pPr>
            <w:r w:rsidRPr="00DD3DA8">
              <w:t>Cafes, Restaurants and Takeaway Food Services</w:t>
            </w:r>
          </w:p>
        </w:tc>
        <w:tc>
          <w:tcPr>
            <w:tcW w:w="532" w:type="dxa"/>
          </w:tcPr>
          <w:p w14:paraId="165E3D02" w14:textId="77777777" w:rsidR="005A4EE5" w:rsidRDefault="00593B06" w:rsidP="00021EF3">
            <w:pPr>
              <w:spacing w:after="0"/>
            </w:pPr>
            <w:r w:rsidRPr="00A7109C">
              <w:t>642</w:t>
            </w:r>
          </w:p>
          <w:p w14:paraId="24797B01" w14:textId="3DAB0EBD" w:rsidR="00846CC2" w:rsidRPr="005C50F8" w:rsidRDefault="00846CC2" w:rsidP="00021EF3">
            <w:pPr>
              <w:spacing w:after="0"/>
            </w:pPr>
          </w:p>
        </w:tc>
        <w:tc>
          <w:tcPr>
            <w:tcW w:w="1810" w:type="dxa"/>
          </w:tcPr>
          <w:p w14:paraId="5F8CC1B3" w14:textId="66613D8D" w:rsidR="00846CC2" w:rsidRPr="005C50F8" w:rsidRDefault="00593B06" w:rsidP="00021EF3">
            <w:pPr>
              <w:spacing w:after="0"/>
            </w:pPr>
            <w:r w:rsidRPr="00A7109C">
              <w:t>Auxiliary Insurance Services</w:t>
            </w:r>
          </w:p>
        </w:tc>
        <w:tc>
          <w:tcPr>
            <w:tcW w:w="530" w:type="dxa"/>
          </w:tcPr>
          <w:p w14:paraId="35E890C8" w14:textId="41CA112B" w:rsidR="00F938B5" w:rsidRPr="00A7109C" w:rsidRDefault="005A4EE5" w:rsidP="00021EF3">
            <w:pPr>
              <w:spacing w:after="0"/>
            </w:pPr>
            <w:r w:rsidRPr="00C86876">
              <w:t>810</w:t>
            </w:r>
          </w:p>
        </w:tc>
        <w:tc>
          <w:tcPr>
            <w:tcW w:w="1812" w:type="dxa"/>
          </w:tcPr>
          <w:p w14:paraId="3607257E" w14:textId="0001685B" w:rsidR="00F938B5" w:rsidRPr="00A7109C" w:rsidRDefault="005A4EE5" w:rsidP="00021EF3">
            <w:pPr>
              <w:spacing w:after="0"/>
            </w:pPr>
            <w:r w:rsidRPr="00C86876">
              <w:t>Tertiary Education</w:t>
            </w:r>
          </w:p>
        </w:tc>
      </w:tr>
      <w:tr w:rsidR="00F75168" w14:paraId="7A52933B" w14:textId="7103120D" w:rsidTr="00CD06F2">
        <w:trPr>
          <w:trHeight w:val="583"/>
        </w:trPr>
        <w:tc>
          <w:tcPr>
            <w:tcW w:w="540" w:type="dxa"/>
          </w:tcPr>
          <w:p w14:paraId="6FAD5124" w14:textId="221DAC2B" w:rsidR="00724871" w:rsidRDefault="007D0014" w:rsidP="00021EF3">
            <w:pPr>
              <w:spacing w:after="0"/>
              <w:rPr>
                <w:lang w:eastAsia="en-AU"/>
              </w:rPr>
            </w:pPr>
            <w:r w:rsidRPr="004E4A72">
              <w:t>12</w:t>
            </w:r>
          </w:p>
        </w:tc>
        <w:tc>
          <w:tcPr>
            <w:tcW w:w="1802" w:type="dxa"/>
          </w:tcPr>
          <w:p w14:paraId="670ED0B4" w14:textId="4F68FB21" w:rsidR="00724871" w:rsidRDefault="00A03A06" w:rsidP="00021EF3">
            <w:pPr>
              <w:spacing w:after="0"/>
              <w:rPr>
                <w:lang w:eastAsia="en-AU"/>
              </w:rPr>
            </w:pPr>
            <w:r w:rsidRPr="00C1619A">
              <w:t>Mushroom and Vegetable Growing</w:t>
            </w:r>
          </w:p>
        </w:tc>
        <w:tc>
          <w:tcPr>
            <w:tcW w:w="538" w:type="dxa"/>
          </w:tcPr>
          <w:p w14:paraId="3E6988B2" w14:textId="6A55C38A" w:rsidR="00724871" w:rsidRDefault="00D77A08" w:rsidP="00021EF3">
            <w:pPr>
              <w:spacing w:after="0"/>
              <w:rPr>
                <w:lang w:eastAsia="en-AU"/>
              </w:rPr>
            </w:pPr>
            <w:r w:rsidRPr="00DA1E4E">
              <w:t>222</w:t>
            </w:r>
          </w:p>
        </w:tc>
        <w:tc>
          <w:tcPr>
            <w:tcW w:w="1804" w:type="dxa"/>
          </w:tcPr>
          <w:p w14:paraId="71ADDF71" w14:textId="41040B16" w:rsidR="00724871" w:rsidRDefault="00D77A08" w:rsidP="00021EF3">
            <w:pPr>
              <w:spacing w:after="0"/>
              <w:rPr>
                <w:lang w:eastAsia="en-AU"/>
              </w:rPr>
            </w:pPr>
            <w:r w:rsidRPr="00DA1E4E">
              <w:t>Structural Metal</w:t>
            </w:r>
            <w:r w:rsidR="00BF018B" w:rsidRPr="00C068FE">
              <w:t xml:space="preserve"> Product</w:t>
            </w:r>
            <w:r w:rsidR="008F31AC" w:rsidRPr="0047195E">
              <w:t xml:space="preserve"> Manufacturing</w:t>
            </w:r>
          </w:p>
        </w:tc>
        <w:tc>
          <w:tcPr>
            <w:tcW w:w="536" w:type="dxa"/>
          </w:tcPr>
          <w:p w14:paraId="3661D688" w14:textId="7D3DEFB3" w:rsidR="00724871" w:rsidRDefault="00D77A08" w:rsidP="00021EF3">
            <w:pPr>
              <w:spacing w:after="0"/>
              <w:rPr>
                <w:lang w:eastAsia="en-AU"/>
              </w:rPr>
            </w:pPr>
            <w:r w:rsidRPr="001E6D66">
              <w:t>333</w:t>
            </w:r>
          </w:p>
        </w:tc>
        <w:tc>
          <w:tcPr>
            <w:tcW w:w="1806" w:type="dxa"/>
          </w:tcPr>
          <w:p w14:paraId="626FE935" w14:textId="407A680C" w:rsidR="00724871" w:rsidRDefault="00D77A08" w:rsidP="00021EF3">
            <w:pPr>
              <w:spacing w:after="0"/>
              <w:rPr>
                <w:lang w:eastAsia="en-AU"/>
              </w:rPr>
            </w:pPr>
            <w:r w:rsidRPr="001E6D66">
              <w:t>Timber and Hardware Goods Wholesaling</w:t>
            </w:r>
          </w:p>
        </w:tc>
        <w:tc>
          <w:tcPr>
            <w:tcW w:w="534" w:type="dxa"/>
          </w:tcPr>
          <w:p w14:paraId="68F4C333" w14:textId="6C33D78F" w:rsidR="008F31AC" w:rsidRPr="00AF1E23" w:rsidRDefault="00FF04DB" w:rsidP="00021EF3">
            <w:pPr>
              <w:spacing w:after="0"/>
            </w:pPr>
            <w:r w:rsidRPr="00DD3DA8">
              <w:t>452</w:t>
            </w:r>
          </w:p>
        </w:tc>
        <w:tc>
          <w:tcPr>
            <w:tcW w:w="1808" w:type="dxa"/>
          </w:tcPr>
          <w:p w14:paraId="5A6D50B2" w14:textId="3494234B" w:rsidR="008F31AC" w:rsidRPr="0014082C" w:rsidRDefault="00FF04DB" w:rsidP="00021EF3">
            <w:pPr>
              <w:spacing w:after="0"/>
            </w:pPr>
            <w:r w:rsidRPr="00DD3DA8">
              <w:t>Pubs, Taverns and Bars</w:t>
            </w:r>
          </w:p>
        </w:tc>
        <w:tc>
          <w:tcPr>
            <w:tcW w:w="532" w:type="dxa"/>
          </w:tcPr>
          <w:p w14:paraId="60FA0BB5" w14:textId="3B8342B5" w:rsidR="00846CC2" w:rsidRPr="005C50F8" w:rsidRDefault="00593B06" w:rsidP="00021EF3">
            <w:pPr>
              <w:spacing w:after="0"/>
            </w:pPr>
            <w:r w:rsidRPr="00A7109C">
              <w:t>661</w:t>
            </w:r>
          </w:p>
        </w:tc>
        <w:tc>
          <w:tcPr>
            <w:tcW w:w="1810" w:type="dxa"/>
          </w:tcPr>
          <w:p w14:paraId="042BD4D9" w14:textId="35A2F697" w:rsidR="00846CC2" w:rsidRPr="005C50F8" w:rsidRDefault="00593B06" w:rsidP="00021EF3">
            <w:pPr>
              <w:spacing w:after="0"/>
            </w:pPr>
            <w:r w:rsidRPr="00A7109C">
              <w:t>Motor Vehicle and Transport Equipment Rental and Hiring</w:t>
            </w:r>
          </w:p>
        </w:tc>
        <w:tc>
          <w:tcPr>
            <w:tcW w:w="530" w:type="dxa"/>
          </w:tcPr>
          <w:p w14:paraId="1B8A3825" w14:textId="510D1458" w:rsidR="00F938B5" w:rsidRPr="00A7109C" w:rsidRDefault="005A4EE5" w:rsidP="00021EF3">
            <w:pPr>
              <w:spacing w:after="0"/>
            </w:pPr>
            <w:r w:rsidRPr="00C86876">
              <w:t>821</w:t>
            </w:r>
          </w:p>
        </w:tc>
        <w:tc>
          <w:tcPr>
            <w:tcW w:w="1812" w:type="dxa"/>
          </w:tcPr>
          <w:p w14:paraId="20989CD7" w14:textId="7DD25107" w:rsidR="00F938B5" w:rsidRPr="00A7109C" w:rsidRDefault="005A4EE5" w:rsidP="00021EF3">
            <w:pPr>
              <w:spacing w:after="0"/>
            </w:pPr>
            <w:r w:rsidRPr="00C86876">
              <w:t>Adult, Community and Other Education</w:t>
            </w:r>
          </w:p>
        </w:tc>
      </w:tr>
      <w:tr w:rsidR="00F75168" w14:paraId="0368D738" w14:textId="6F0D089B" w:rsidTr="00CD06F2">
        <w:trPr>
          <w:trHeight w:val="779"/>
        </w:trPr>
        <w:tc>
          <w:tcPr>
            <w:tcW w:w="540" w:type="dxa"/>
          </w:tcPr>
          <w:p w14:paraId="4CE73DBC" w14:textId="377E064A" w:rsidR="00724871" w:rsidRDefault="007D0014" w:rsidP="00021EF3">
            <w:pPr>
              <w:spacing w:after="0"/>
              <w:rPr>
                <w:lang w:eastAsia="en-AU"/>
              </w:rPr>
            </w:pPr>
            <w:r w:rsidRPr="004E4A72">
              <w:t>13</w:t>
            </w:r>
          </w:p>
        </w:tc>
        <w:tc>
          <w:tcPr>
            <w:tcW w:w="1802" w:type="dxa"/>
          </w:tcPr>
          <w:p w14:paraId="5E384683" w14:textId="137D17AE" w:rsidR="00724871" w:rsidRDefault="00A03A06" w:rsidP="00021EF3">
            <w:pPr>
              <w:spacing w:after="0"/>
              <w:rPr>
                <w:lang w:eastAsia="en-AU"/>
              </w:rPr>
            </w:pPr>
            <w:r w:rsidRPr="00C1619A">
              <w:t>Fruit and Tree Nut Growing</w:t>
            </w:r>
          </w:p>
        </w:tc>
        <w:tc>
          <w:tcPr>
            <w:tcW w:w="538" w:type="dxa"/>
          </w:tcPr>
          <w:p w14:paraId="2FF5FB0A" w14:textId="147D3DEA" w:rsidR="00724871" w:rsidRDefault="00D77A08" w:rsidP="00021EF3">
            <w:pPr>
              <w:spacing w:after="0"/>
              <w:rPr>
                <w:lang w:eastAsia="en-AU"/>
              </w:rPr>
            </w:pPr>
            <w:r w:rsidRPr="00DA1E4E">
              <w:t>223</w:t>
            </w:r>
          </w:p>
        </w:tc>
        <w:tc>
          <w:tcPr>
            <w:tcW w:w="1804" w:type="dxa"/>
          </w:tcPr>
          <w:p w14:paraId="0AAC743F" w14:textId="2273B9C6" w:rsidR="00724871" w:rsidRDefault="00D77A08" w:rsidP="00021EF3">
            <w:pPr>
              <w:spacing w:after="0"/>
              <w:rPr>
                <w:lang w:eastAsia="en-AU"/>
              </w:rPr>
            </w:pPr>
            <w:r w:rsidRPr="00DA1E4E">
              <w:t>Metal Container Manufacturing</w:t>
            </w:r>
          </w:p>
        </w:tc>
        <w:tc>
          <w:tcPr>
            <w:tcW w:w="536" w:type="dxa"/>
          </w:tcPr>
          <w:p w14:paraId="14F43E8D" w14:textId="33478831" w:rsidR="00724871" w:rsidRDefault="00D77A08" w:rsidP="00021EF3">
            <w:pPr>
              <w:spacing w:after="0"/>
              <w:rPr>
                <w:lang w:eastAsia="en-AU"/>
              </w:rPr>
            </w:pPr>
            <w:r w:rsidRPr="001E6D66">
              <w:t>341</w:t>
            </w:r>
          </w:p>
        </w:tc>
        <w:tc>
          <w:tcPr>
            <w:tcW w:w="1806" w:type="dxa"/>
          </w:tcPr>
          <w:p w14:paraId="79105A65" w14:textId="795BF0E1" w:rsidR="00724871" w:rsidRDefault="00D77A08" w:rsidP="00021EF3">
            <w:pPr>
              <w:spacing w:after="0"/>
              <w:rPr>
                <w:lang w:eastAsia="en-AU"/>
              </w:rPr>
            </w:pPr>
            <w:r w:rsidRPr="001E6D66">
              <w:t>Specialised Industrial Machinery and Equipment Wholesaling</w:t>
            </w:r>
          </w:p>
        </w:tc>
        <w:tc>
          <w:tcPr>
            <w:tcW w:w="534" w:type="dxa"/>
          </w:tcPr>
          <w:p w14:paraId="7500EC6D" w14:textId="4AA0054F" w:rsidR="008F31AC" w:rsidRPr="00AF1E23" w:rsidRDefault="00FF04DB" w:rsidP="00021EF3">
            <w:pPr>
              <w:spacing w:after="0"/>
            </w:pPr>
            <w:r w:rsidRPr="00DD3DA8">
              <w:t>453</w:t>
            </w:r>
          </w:p>
        </w:tc>
        <w:tc>
          <w:tcPr>
            <w:tcW w:w="1808" w:type="dxa"/>
          </w:tcPr>
          <w:p w14:paraId="5723790F" w14:textId="13ED388A" w:rsidR="008F31AC" w:rsidRPr="0014082C" w:rsidRDefault="00FF04DB" w:rsidP="00021EF3">
            <w:pPr>
              <w:spacing w:after="0"/>
            </w:pPr>
            <w:r w:rsidRPr="00DD3DA8">
              <w:t>Clubs (Hospitality)</w:t>
            </w:r>
          </w:p>
        </w:tc>
        <w:tc>
          <w:tcPr>
            <w:tcW w:w="532" w:type="dxa"/>
          </w:tcPr>
          <w:p w14:paraId="74570A17" w14:textId="47DADAB8" w:rsidR="00846CC2" w:rsidRPr="005C50F8" w:rsidRDefault="00593B06" w:rsidP="00021EF3">
            <w:pPr>
              <w:spacing w:after="0"/>
            </w:pPr>
            <w:r w:rsidRPr="00A7109C">
              <w:t>663</w:t>
            </w:r>
          </w:p>
        </w:tc>
        <w:tc>
          <w:tcPr>
            <w:tcW w:w="1810" w:type="dxa"/>
          </w:tcPr>
          <w:p w14:paraId="3596E6E5" w14:textId="320592D8" w:rsidR="00846CC2" w:rsidRPr="005C50F8" w:rsidRDefault="00593B06" w:rsidP="00021EF3">
            <w:pPr>
              <w:spacing w:after="0"/>
            </w:pPr>
            <w:r w:rsidRPr="00A7109C">
              <w:t>Other Goods and Equipment Rental and Hiring</w:t>
            </w:r>
          </w:p>
        </w:tc>
        <w:tc>
          <w:tcPr>
            <w:tcW w:w="530" w:type="dxa"/>
          </w:tcPr>
          <w:p w14:paraId="082287B5" w14:textId="087B782D" w:rsidR="00F938B5" w:rsidRPr="00A7109C" w:rsidRDefault="005A4EE5" w:rsidP="00021EF3">
            <w:pPr>
              <w:spacing w:after="0"/>
            </w:pPr>
            <w:r w:rsidRPr="00C86876">
              <w:t>822</w:t>
            </w:r>
          </w:p>
        </w:tc>
        <w:tc>
          <w:tcPr>
            <w:tcW w:w="1812" w:type="dxa"/>
          </w:tcPr>
          <w:p w14:paraId="2FBCE62C" w14:textId="03BE08EE" w:rsidR="00F938B5" w:rsidRPr="00A7109C" w:rsidRDefault="005A4EE5" w:rsidP="00021EF3">
            <w:pPr>
              <w:spacing w:after="0"/>
            </w:pPr>
            <w:r w:rsidRPr="00C86876">
              <w:t>Educational Support Services</w:t>
            </w:r>
          </w:p>
        </w:tc>
      </w:tr>
      <w:tr w:rsidR="00F75168" w14:paraId="27CE9FFD" w14:textId="4E53F99B" w:rsidTr="00CD06F2">
        <w:trPr>
          <w:trHeight w:val="670"/>
        </w:trPr>
        <w:tc>
          <w:tcPr>
            <w:tcW w:w="540" w:type="dxa"/>
          </w:tcPr>
          <w:p w14:paraId="68154300" w14:textId="0B152021" w:rsidR="00724871" w:rsidRDefault="007D0014" w:rsidP="00021EF3">
            <w:pPr>
              <w:spacing w:after="0"/>
              <w:rPr>
                <w:lang w:eastAsia="en-AU"/>
              </w:rPr>
            </w:pPr>
            <w:r w:rsidRPr="004E4A72">
              <w:t>14</w:t>
            </w:r>
          </w:p>
        </w:tc>
        <w:tc>
          <w:tcPr>
            <w:tcW w:w="1802" w:type="dxa"/>
          </w:tcPr>
          <w:p w14:paraId="12B85808" w14:textId="3AFC7AC0" w:rsidR="00724871" w:rsidRDefault="002C3700" w:rsidP="00021EF3">
            <w:pPr>
              <w:spacing w:after="0"/>
              <w:rPr>
                <w:lang w:eastAsia="en-AU"/>
              </w:rPr>
            </w:pPr>
            <w:r w:rsidRPr="00C1619A">
              <w:t>Sheep, Beef Cattle and Grain Farming</w:t>
            </w:r>
          </w:p>
        </w:tc>
        <w:tc>
          <w:tcPr>
            <w:tcW w:w="538" w:type="dxa"/>
          </w:tcPr>
          <w:p w14:paraId="4515D624" w14:textId="47512859" w:rsidR="00724871" w:rsidRDefault="00D77A08" w:rsidP="00021EF3">
            <w:pPr>
              <w:spacing w:after="0"/>
              <w:rPr>
                <w:lang w:eastAsia="en-AU"/>
              </w:rPr>
            </w:pPr>
            <w:r w:rsidRPr="00DA1E4E">
              <w:t>229</w:t>
            </w:r>
          </w:p>
        </w:tc>
        <w:tc>
          <w:tcPr>
            <w:tcW w:w="1804" w:type="dxa"/>
          </w:tcPr>
          <w:p w14:paraId="71C4F57F" w14:textId="1A52E680" w:rsidR="00724871" w:rsidRDefault="00D77A08" w:rsidP="00021EF3">
            <w:pPr>
              <w:spacing w:after="0"/>
              <w:rPr>
                <w:lang w:eastAsia="en-AU"/>
              </w:rPr>
            </w:pPr>
            <w:r w:rsidRPr="00DA1E4E">
              <w:t>Other Fabricated Metal</w:t>
            </w:r>
            <w:r w:rsidR="008F31AC" w:rsidRPr="00F04AF8">
              <w:t xml:space="preserve"> Product Manufacturing</w:t>
            </w:r>
          </w:p>
        </w:tc>
        <w:tc>
          <w:tcPr>
            <w:tcW w:w="536" w:type="dxa"/>
          </w:tcPr>
          <w:p w14:paraId="2C0B01D9" w14:textId="22798879" w:rsidR="00724871" w:rsidRDefault="00D77A08" w:rsidP="00021EF3">
            <w:pPr>
              <w:spacing w:after="0"/>
              <w:rPr>
                <w:lang w:eastAsia="en-AU"/>
              </w:rPr>
            </w:pPr>
            <w:r w:rsidRPr="001E6D66">
              <w:t>349</w:t>
            </w:r>
          </w:p>
        </w:tc>
        <w:tc>
          <w:tcPr>
            <w:tcW w:w="1806" w:type="dxa"/>
          </w:tcPr>
          <w:p w14:paraId="3D52AD49" w14:textId="4C1BB8FD" w:rsidR="00724871" w:rsidRDefault="00D77A08" w:rsidP="00021EF3">
            <w:pPr>
              <w:spacing w:after="0"/>
              <w:rPr>
                <w:lang w:eastAsia="en-AU"/>
              </w:rPr>
            </w:pPr>
            <w:r w:rsidRPr="001E6D66">
              <w:t>Other Machinery and Equipment Wholesaling</w:t>
            </w:r>
          </w:p>
        </w:tc>
        <w:tc>
          <w:tcPr>
            <w:tcW w:w="534" w:type="dxa"/>
          </w:tcPr>
          <w:p w14:paraId="1C985AC4" w14:textId="7CD2C9DB" w:rsidR="008F31AC" w:rsidRPr="00AF1E23" w:rsidRDefault="00FF04DB" w:rsidP="00021EF3">
            <w:pPr>
              <w:spacing w:after="0"/>
            </w:pPr>
            <w:r w:rsidRPr="00DD3DA8">
              <w:t>461</w:t>
            </w:r>
          </w:p>
        </w:tc>
        <w:tc>
          <w:tcPr>
            <w:tcW w:w="1808" w:type="dxa"/>
          </w:tcPr>
          <w:p w14:paraId="4B40FED8" w14:textId="5BD429F4" w:rsidR="008F31AC" w:rsidRPr="0014082C" w:rsidRDefault="00FF04DB" w:rsidP="00021EF3">
            <w:pPr>
              <w:spacing w:after="0"/>
            </w:pPr>
            <w:r w:rsidRPr="00DD3DA8">
              <w:t>Road Freight Transport</w:t>
            </w:r>
          </w:p>
        </w:tc>
        <w:tc>
          <w:tcPr>
            <w:tcW w:w="532" w:type="dxa"/>
          </w:tcPr>
          <w:p w14:paraId="1F95DB56" w14:textId="1ADF45AF" w:rsidR="00846CC2" w:rsidRPr="005C50F8" w:rsidRDefault="00593B06" w:rsidP="00021EF3">
            <w:pPr>
              <w:spacing w:after="0"/>
            </w:pPr>
            <w:r w:rsidRPr="00A7109C">
              <w:t>664</w:t>
            </w:r>
          </w:p>
        </w:tc>
        <w:tc>
          <w:tcPr>
            <w:tcW w:w="1810" w:type="dxa"/>
          </w:tcPr>
          <w:p w14:paraId="625121F9" w14:textId="0280FC8E" w:rsidR="00846CC2" w:rsidRPr="005C50F8" w:rsidRDefault="00593B06" w:rsidP="00021EF3">
            <w:pPr>
              <w:spacing w:after="0"/>
            </w:pPr>
            <w:r w:rsidRPr="00A7109C">
              <w:t>Non-Financial Intangible Assets (Except Copyrights) Leasing</w:t>
            </w:r>
          </w:p>
        </w:tc>
        <w:tc>
          <w:tcPr>
            <w:tcW w:w="530" w:type="dxa"/>
          </w:tcPr>
          <w:p w14:paraId="426B86DA" w14:textId="2C6936E1" w:rsidR="00F938B5" w:rsidRPr="00A7109C" w:rsidRDefault="005A4EE5" w:rsidP="00021EF3">
            <w:pPr>
              <w:spacing w:after="0"/>
            </w:pPr>
            <w:r w:rsidRPr="00C86876">
              <w:t>851</w:t>
            </w:r>
          </w:p>
        </w:tc>
        <w:tc>
          <w:tcPr>
            <w:tcW w:w="1812" w:type="dxa"/>
          </w:tcPr>
          <w:p w14:paraId="3221239A" w14:textId="5B6B13DA" w:rsidR="00F938B5" w:rsidRPr="00A7109C" w:rsidRDefault="005A4EE5" w:rsidP="00021EF3">
            <w:pPr>
              <w:spacing w:after="0"/>
            </w:pPr>
            <w:r w:rsidRPr="00C86876">
              <w:t>Medical Services</w:t>
            </w:r>
          </w:p>
        </w:tc>
      </w:tr>
      <w:tr w:rsidR="00F75168" w14:paraId="0C1E4C83" w14:textId="4CFDBE3D" w:rsidTr="00CD06F2">
        <w:trPr>
          <w:trHeight w:val="583"/>
        </w:trPr>
        <w:tc>
          <w:tcPr>
            <w:tcW w:w="540" w:type="dxa"/>
          </w:tcPr>
          <w:p w14:paraId="3CDC77EA" w14:textId="5F6FAA76" w:rsidR="00724871" w:rsidRDefault="007D0014" w:rsidP="00021EF3">
            <w:pPr>
              <w:spacing w:after="0"/>
              <w:rPr>
                <w:lang w:eastAsia="en-AU"/>
              </w:rPr>
            </w:pPr>
            <w:r w:rsidRPr="004E4A72">
              <w:t>16</w:t>
            </w:r>
          </w:p>
        </w:tc>
        <w:tc>
          <w:tcPr>
            <w:tcW w:w="1802" w:type="dxa"/>
          </w:tcPr>
          <w:p w14:paraId="70F11F07" w14:textId="365DFF3C" w:rsidR="00724871" w:rsidRDefault="002C3700" w:rsidP="00021EF3">
            <w:pPr>
              <w:spacing w:after="0"/>
              <w:rPr>
                <w:lang w:eastAsia="en-AU"/>
              </w:rPr>
            </w:pPr>
            <w:r w:rsidRPr="00C1619A">
              <w:t>Dairy Cattle Farming</w:t>
            </w:r>
          </w:p>
        </w:tc>
        <w:tc>
          <w:tcPr>
            <w:tcW w:w="538" w:type="dxa"/>
          </w:tcPr>
          <w:p w14:paraId="6D403345" w14:textId="2C89FF0B" w:rsidR="00724871" w:rsidRDefault="00D77A08" w:rsidP="00021EF3">
            <w:pPr>
              <w:spacing w:after="0"/>
              <w:rPr>
                <w:lang w:eastAsia="en-AU"/>
              </w:rPr>
            </w:pPr>
            <w:r w:rsidRPr="00DA1E4E">
              <w:t>231</w:t>
            </w:r>
          </w:p>
        </w:tc>
        <w:tc>
          <w:tcPr>
            <w:tcW w:w="1804" w:type="dxa"/>
          </w:tcPr>
          <w:p w14:paraId="52FBD547" w14:textId="2D3867D6" w:rsidR="00724871" w:rsidRDefault="00D77A08" w:rsidP="00021EF3">
            <w:pPr>
              <w:spacing w:after="0"/>
              <w:rPr>
                <w:lang w:eastAsia="en-AU"/>
              </w:rPr>
            </w:pPr>
            <w:r w:rsidRPr="00DA1E4E">
              <w:t>Motor Vehicle and Motor Vehicle Part Manufacturing</w:t>
            </w:r>
          </w:p>
        </w:tc>
        <w:tc>
          <w:tcPr>
            <w:tcW w:w="536" w:type="dxa"/>
          </w:tcPr>
          <w:p w14:paraId="2231DE56" w14:textId="0430DD0F" w:rsidR="00724871" w:rsidRDefault="00D77A08" w:rsidP="00021EF3">
            <w:pPr>
              <w:spacing w:after="0"/>
              <w:rPr>
                <w:lang w:eastAsia="en-AU"/>
              </w:rPr>
            </w:pPr>
            <w:r w:rsidRPr="001E6D66">
              <w:t>350</w:t>
            </w:r>
          </w:p>
        </w:tc>
        <w:tc>
          <w:tcPr>
            <w:tcW w:w="1806" w:type="dxa"/>
          </w:tcPr>
          <w:p w14:paraId="6E2B3F0A" w14:textId="66D772DD" w:rsidR="00724871" w:rsidRDefault="00D77A08" w:rsidP="00021EF3">
            <w:pPr>
              <w:spacing w:after="0"/>
              <w:rPr>
                <w:lang w:eastAsia="en-AU"/>
              </w:rPr>
            </w:pPr>
            <w:r w:rsidRPr="001E6D66">
              <w:t>Motor Vehicle and Motor Vehicle Parts Wholesaling</w:t>
            </w:r>
          </w:p>
        </w:tc>
        <w:tc>
          <w:tcPr>
            <w:tcW w:w="534" w:type="dxa"/>
          </w:tcPr>
          <w:p w14:paraId="2207FA19" w14:textId="23FE5AFD" w:rsidR="008F31AC" w:rsidRPr="00AF1E23" w:rsidRDefault="00FF04DB" w:rsidP="00021EF3">
            <w:pPr>
              <w:spacing w:after="0"/>
            </w:pPr>
            <w:r w:rsidRPr="00DD3DA8">
              <w:t>462</w:t>
            </w:r>
          </w:p>
        </w:tc>
        <w:tc>
          <w:tcPr>
            <w:tcW w:w="1808" w:type="dxa"/>
          </w:tcPr>
          <w:p w14:paraId="5B9C16DD" w14:textId="32D644E9" w:rsidR="008F31AC" w:rsidRPr="0014082C" w:rsidRDefault="00FF04DB" w:rsidP="00021EF3">
            <w:pPr>
              <w:spacing w:after="0"/>
            </w:pPr>
            <w:r w:rsidRPr="00DD3DA8">
              <w:t>Road Passenger Transport</w:t>
            </w:r>
          </w:p>
        </w:tc>
        <w:tc>
          <w:tcPr>
            <w:tcW w:w="532" w:type="dxa"/>
          </w:tcPr>
          <w:p w14:paraId="78FB03A3" w14:textId="29658CFC" w:rsidR="00846CC2" w:rsidRPr="005C50F8" w:rsidRDefault="00593B06" w:rsidP="00021EF3">
            <w:pPr>
              <w:spacing w:after="0"/>
            </w:pPr>
            <w:r w:rsidRPr="00A7109C">
              <w:t>671</w:t>
            </w:r>
          </w:p>
        </w:tc>
        <w:tc>
          <w:tcPr>
            <w:tcW w:w="1810" w:type="dxa"/>
          </w:tcPr>
          <w:p w14:paraId="5A1A855B" w14:textId="37DE5845" w:rsidR="00846CC2" w:rsidRPr="005C50F8" w:rsidRDefault="00593B06" w:rsidP="00021EF3">
            <w:pPr>
              <w:spacing w:after="0"/>
            </w:pPr>
            <w:r w:rsidRPr="00A7109C">
              <w:t>Property Operators</w:t>
            </w:r>
          </w:p>
        </w:tc>
        <w:tc>
          <w:tcPr>
            <w:tcW w:w="530" w:type="dxa"/>
          </w:tcPr>
          <w:p w14:paraId="512A4A08" w14:textId="35E5824A" w:rsidR="00F938B5" w:rsidRPr="00A7109C" w:rsidRDefault="005A4EE5" w:rsidP="00021EF3">
            <w:pPr>
              <w:spacing w:after="0"/>
            </w:pPr>
            <w:r w:rsidRPr="00C86876">
              <w:t>852</w:t>
            </w:r>
          </w:p>
        </w:tc>
        <w:tc>
          <w:tcPr>
            <w:tcW w:w="1812" w:type="dxa"/>
          </w:tcPr>
          <w:p w14:paraId="5E66F99C" w14:textId="40C42088" w:rsidR="00F938B5" w:rsidRPr="00A7109C" w:rsidRDefault="005A4EE5" w:rsidP="00021EF3">
            <w:pPr>
              <w:spacing w:after="0"/>
            </w:pPr>
            <w:r w:rsidRPr="00C86876">
              <w:t>Pathology and Diagnostic Imaging Services</w:t>
            </w:r>
          </w:p>
        </w:tc>
      </w:tr>
      <w:tr w:rsidR="00F75168" w14:paraId="7D5FB70D" w14:textId="2D38F70A" w:rsidTr="00CD06F2">
        <w:trPr>
          <w:trHeight w:val="508"/>
        </w:trPr>
        <w:tc>
          <w:tcPr>
            <w:tcW w:w="540" w:type="dxa"/>
          </w:tcPr>
          <w:p w14:paraId="0169E408" w14:textId="0553B94C" w:rsidR="00724871" w:rsidRDefault="007D0014" w:rsidP="00021EF3">
            <w:pPr>
              <w:spacing w:after="0"/>
              <w:rPr>
                <w:lang w:eastAsia="en-AU"/>
              </w:rPr>
            </w:pPr>
            <w:r w:rsidRPr="004E4A72">
              <w:t>17</w:t>
            </w:r>
          </w:p>
        </w:tc>
        <w:tc>
          <w:tcPr>
            <w:tcW w:w="1802" w:type="dxa"/>
          </w:tcPr>
          <w:p w14:paraId="565DC159" w14:textId="0B609B9C" w:rsidR="00724871" w:rsidRDefault="00B40CFA" w:rsidP="00021EF3">
            <w:pPr>
              <w:spacing w:after="0"/>
              <w:rPr>
                <w:lang w:eastAsia="en-AU"/>
              </w:rPr>
            </w:pPr>
            <w:r w:rsidRPr="00C1619A">
              <w:t>Poultry Farming</w:t>
            </w:r>
          </w:p>
        </w:tc>
        <w:tc>
          <w:tcPr>
            <w:tcW w:w="538" w:type="dxa"/>
          </w:tcPr>
          <w:p w14:paraId="65CF673F" w14:textId="1F325746" w:rsidR="00724871" w:rsidRDefault="00D77A08" w:rsidP="00021EF3">
            <w:pPr>
              <w:spacing w:after="0"/>
              <w:rPr>
                <w:lang w:eastAsia="en-AU"/>
              </w:rPr>
            </w:pPr>
            <w:r w:rsidRPr="00DA1E4E">
              <w:t>239</w:t>
            </w:r>
          </w:p>
        </w:tc>
        <w:tc>
          <w:tcPr>
            <w:tcW w:w="1804" w:type="dxa"/>
          </w:tcPr>
          <w:p w14:paraId="60B8C11D" w14:textId="79C1A3CE" w:rsidR="00724871" w:rsidRDefault="00D77A08" w:rsidP="00021EF3">
            <w:pPr>
              <w:spacing w:after="0"/>
              <w:rPr>
                <w:lang w:eastAsia="en-AU"/>
              </w:rPr>
            </w:pPr>
            <w:r w:rsidRPr="00DA1E4E">
              <w:t>Other Transport Equipment Manufacturing</w:t>
            </w:r>
          </w:p>
        </w:tc>
        <w:tc>
          <w:tcPr>
            <w:tcW w:w="536" w:type="dxa"/>
          </w:tcPr>
          <w:p w14:paraId="2AD55E96" w14:textId="2DE96921" w:rsidR="00724871" w:rsidRDefault="00D77A08" w:rsidP="00021EF3">
            <w:pPr>
              <w:spacing w:after="0"/>
              <w:rPr>
                <w:lang w:eastAsia="en-AU"/>
              </w:rPr>
            </w:pPr>
            <w:r w:rsidRPr="001E6D66">
              <w:t>360</w:t>
            </w:r>
          </w:p>
        </w:tc>
        <w:tc>
          <w:tcPr>
            <w:tcW w:w="1806" w:type="dxa"/>
          </w:tcPr>
          <w:p w14:paraId="569A6D4B" w14:textId="487CDE7C" w:rsidR="00724871" w:rsidRDefault="00D77A08" w:rsidP="00021EF3">
            <w:pPr>
              <w:spacing w:after="0"/>
              <w:rPr>
                <w:lang w:eastAsia="en-AU"/>
              </w:rPr>
            </w:pPr>
            <w:r w:rsidRPr="001E6D66">
              <w:t>Grocery, Liquor and Tobacco Product Wholesaling</w:t>
            </w:r>
          </w:p>
        </w:tc>
        <w:tc>
          <w:tcPr>
            <w:tcW w:w="534" w:type="dxa"/>
          </w:tcPr>
          <w:p w14:paraId="5A0CA5FD" w14:textId="68B08256" w:rsidR="008F31AC" w:rsidRPr="00D20716" w:rsidRDefault="00FF04DB" w:rsidP="00021EF3">
            <w:pPr>
              <w:spacing w:after="0"/>
            </w:pPr>
            <w:r w:rsidRPr="00DD3DA8">
              <w:t>481</w:t>
            </w:r>
          </w:p>
        </w:tc>
        <w:tc>
          <w:tcPr>
            <w:tcW w:w="1808" w:type="dxa"/>
          </w:tcPr>
          <w:p w14:paraId="7D965E93" w14:textId="4BC1B058" w:rsidR="008F31AC" w:rsidRPr="0014082C" w:rsidRDefault="00FF04DB" w:rsidP="00021EF3">
            <w:pPr>
              <w:spacing w:after="0"/>
            </w:pPr>
            <w:r w:rsidRPr="00DD3DA8">
              <w:t>Water Freight Transport</w:t>
            </w:r>
          </w:p>
        </w:tc>
        <w:tc>
          <w:tcPr>
            <w:tcW w:w="532" w:type="dxa"/>
          </w:tcPr>
          <w:p w14:paraId="56BD8599" w14:textId="67ED2CCD" w:rsidR="00846CC2" w:rsidRPr="005C50F8" w:rsidRDefault="00593B06" w:rsidP="00021EF3">
            <w:pPr>
              <w:spacing w:after="0"/>
            </w:pPr>
            <w:r w:rsidRPr="00A7109C">
              <w:t>672</w:t>
            </w:r>
          </w:p>
        </w:tc>
        <w:tc>
          <w:tcPr>
            <w:tcW w:w="1810" w:type="dxa"/>
          </w:tcPr>
          <w:p w14:paraId="4A290B1F" w14:textId="10DC973B" w:rsidR="00846CC2" w:rsidRPr="005C50F8" w:rsidRDefault="00593B06" w:rsidP="00021EF3">
            <w:pPr>
              <w:spacing w:after="0"/>
            </w:pPr>
            <w:r w:rsidRPr="00A7109C">
              <w:t>Real Estate Services</w:t>
            </w:r>
          </w:p>
        </w:tc>
        <w:tc>
          <w:tcPr>
            <w:tcW w:w="530" w:type="dxa"/>
          </w:tcPr>
          <w:p w14:paraId="7CE60E22" w14:textId="3F20DE78" w:rsidR="00F938B5" w:rsidRPr="00A7109C" w:rsidRDefault="005A4EE5" w:rsidP="00021EF3">
            <w:pPr>
              <w:spacing w:after="0"/>
            </w:pPr>
            <w:r w:rsidRPr="00C86876">
              <w:t>853</w:t>
            </w:r>
          </w:p>
        </w:tc>
        <w:tc>
          <w:tcPr>
            <w:tcW w:w="1812" w:type="dxa"/>
          </w:tcPr>
          <w:p w14:paraId="20B92544" w14:textId="6B036BFF" w:rsidR="00F938B5" w:rsidRPr="00A7109C" w:rsidRDefault="005A4EE5" w:rsidP="00021EF3">
            <w:pPr>
              <w:spacing w:after="0"/>
            </w:pPr>
            <w:r w:rsidRPr="00C86876">
              <w:t>Allied Health Services</w:t>
            </w:r>
          </w:p>
        </w:tc>
      </w:tr>
      <w:tr w:rsidR="00F75168" w14:paraId="48387DF7" w14:textId="32D5C4D7" w:rsidTr="00CD06F2">
        <w:trPr>
          <w:trHeight w:val="583"/>
        </w:trPr>
        <w:tc>
          <w:tcPr>
            <w:tcW w:w="540" w:type="dxa"/>
          </w:tcPr>
          <w:p w14:paraId="5BFE61A3" w14:textId="362414DC" w:rsidR="00724871" w:rsidRDefault="007D0014" w:rsidP="00021EF3">
            <w:pPr>
              <w:spacing w:after="0"/>
              <w:rPr>
                <w:lang w:eastAsia="en-AU"/>
              </w:rPr>
            </w:pPr>
            <w:r w:rsidRPr="004E4A72">
              <w:t>19</w:t>
            </w:r>
          </w:p>
        </w:tc>
        <w:tc>
          <w:tcPr>
            <w:tcW w:w="1802" w:type="dxa"/>
          </w:tcPr>
          <w:p w14:paraId="48F4840E" w14:textId="585CF1FA" w:rsidR="00724871" w:rsidRDefault="0056398E" w:rsidP="00021EF3">
            <w:pPr>
              <w:spacing w:after="0"/>
              <w:rPr>
                <w:lang w:eastAsia="en-AU"/>
              </w:rPr>
            </w:pPr>
            <w:r w:rsidRPr="00C1619A">
              <w:t>Other Livestock Farming</w:t>
            </w:r>
          </w:p>
        </w:tc>
        <w:tc>
          <w:tcPr>
            <w:tcW w:w="538" w:type="dxa"/>
          </w:tcPr>
          <w:p w14:paraId="677ADEC1" w14:textId="296F8442" w:rsidR="00724871" w:rsidRDefault="00D77A08" w:rsidP="00021EF3">
            <w:pPr>
              <w:spacing w:after="0"/>
              <w:rPr>
                <w:lang w:eastAsia="en-AU"/>
              </w:rPr>
            </w:pPr>
            <w:r w:rsidRPr="00DA1E4E">
              <w:t>241</w:t>
            </w:r>
          </w:p>
        </w:tc>
        <w:tc>
          <w:tcPr>
            <w:tcW w:w="1804" w:type="dxa"/>
          </w:tcPr>
          <w:p w14:paraId="6FC091DD" w14:textId="2B1AD520" w:rsidR="00724871" w:rsidRDefault="00D77A08" w:rsidP="00021EF3">
            <w:pPr>
              <w:spacing w:after="0"/>
              <w:rPr>
                <w:lang w:eastAsia="en-AU"/>
              </w:rPr>
            </w:pPr>
            <w:r w:rsidRPr="00DA1E4E">
              <w:t>Professional and Scientific Equipment Manufacturing</w:t>
            </w:r>
          </w:p>
        </w:tc>
        <w:tc>
          <w:tcPr>
            <w:tcW w:w="536" w:type="dxa"/>
          </w:tcPr>
          <w:p w14:paraId="49A8BFE0" w14:textId="5A79AA2C" w:rsidR="00724871" w:rsidRDefault="00D77A08" w:rsidP="00021EF3">
            <w:pPr>
              <w:spacing w:after="0"/>
              <w:rPr>
                <w:lang w:eastAsia="en-AU"/>
              </w:rPr>
            </w:pPr>
            <w:r w:rsidRPr="001E6D66">
              <w:t>371</w:t>
            </w:r>
          </w:p>
        </w:tc>
        <w:tc>
          <w:tcPr>
            <w:tcW w:w="1806" w:type="dxa"/>
          </w:tcPr>
          <w:p w14:paraId="69D5C020" w14:textId="07D6E2A3" w:rsidR="00724871" w:rsidRDefault="00D77A08" w:rsidP="00021EF3">
            <w:pPr>
              <w:spacing w:after="0"/>
              <w:rPr>
                <w:lang w:eastAsia="en-AU"/>
              </w:rPr>
            </w:pPr>
            <w:r w:rsidRPr="001E6D66">
              <w:t>Textile, Clothing and Footwear Wholesaling</w:t>
            </w:r>
          </w:p>
        </w:tc>
        <w:tc>
          <w:tcPr>
            <w:tcW w:w="534" w:type="dxa"/>
          </w:tcPr>
          <w:p w14:paraId="6A42289A" w14:textId="1C253E6C" w:rsidR="0056398E" w:rsidRPr="00D20716" w:rsidRDefault="00FF04DB" w:rsidP="00021EF3">
            <w:pPr>
              <w:spacing w:after="0"/>
            </w:pPr>
            <w:r w:rsidRPr="00DD3DA8">
              <w:t>482</w:t>
            </w:r>
          </w:p>
        </w:tc>
        <w:tc>
          <w:tcPr>
            <w:tcW w:w="1808" w:type="dxa"/>
          </w:tcPr>
          <w:p w14:paraId="51C0A7EF" w14:textId="1CE769BC" w:rsidR="0056398E" w:rsidRPr="0014082C" w:rsidRDefault="00FF04DB" w:rsidP="00021EF3">
            <w:pPr>
              <w:spacing w:after="0"/>
            </w:pPr>
            <w:r w:rsidRPr="00DD3DA8">
              <w:t>Water Passenger Transport</w:t>
            </w:r>
          </w:p>
        </w:tc>
        <w:tc>
          <w:tcPr>
            <w:tcW w:w="532" w:type="dxa"/>
          </w:tcPr>
          <w:p w14:paraId="3F1DF157" w14:textId="79A27557" w:rsidR="00846CC2" w:rsidRPr="005C50F8" w:rsidRDefault="00593B06" w:rsidP="00021EF3">
            <w:pPr>
              <w:spacing w:after="0"/>
            </w:pPr>
            <w:r w:rsidRPr="00A7109C">
              <w:t>691</w:t>
            </w:r>
          </w:p>
        </w:tc>
        <w:tc>
          <w:tcPr>
            <w:tcW w:w="1810" w:type="dxa"/>
          </w:tcPr>
          <w:p w14:paraId="5F0458CC" w14:textId="687C92AC" w:rsidR="00846CC2" w:rsidRPr="005C50F8" w:rsidRDefault="00593B06" w:rsidP="00021EF3">
            <w:pPr>
              <w:spacing w:after="0"/>
            </w:pPr>
            <w:r w:rsidRPr="00A7109C">
              <w:t>Scientific Research Services</w:t>
            </w:r>
          </w:p>
        </w:tc>
        <w:tc>
          <w:tcPr>
            <w:tcW w:w="530" w:type="dxa"/>
          </w:tcPr>
          <w:p w14:paraId="0F6830D2" w14:textId="7D52FDA2" w:rsidR="00F938B5" w:rsidRPr="00A7109C" w:rsidRDefault="005A4EE5" w:rsidP="00021EF3">
            <w:pPr>
              <w:spacing w:after="0"/>
            </w:pPr>
            <w:r w:rsidRPr="00C86876">
              <w:t>859</w:t>
            </w:r>
          </w:p>
        </w:tc>
        <w:tc>
          <w:tcPr>
            <w:tcW w:w="1812" w:type="dxa"/>
          </w:tcPr>
          <w:p w14:paraId="2B259939" w14:textId="73D9348C" w:rsidR="00F938B5" w:rsidRPr="00A7109C" w:rsidRDefault="005A4EE5" w:rsidP="00021EF3">
            <w:pPr>
              <w:spacing w:after="0"/>
            </w:pPr>
            <w:r w:rsidRPr="00C86876">
              <w:t>Other Health Care Services</w:t>
            </w:r>
          </w:p>
        </w:tc>
      </w:tr>
      <w:tr w:rsidR="00F75168" w14:paraId="59661B05" w14:textId="39359C8F" w:rsidTr="00CD06F2">
        <w:trPr>
          <w:trHeight w:val="583"/>
        </w:trPr>
        <w:tc>
          <w:tcPr>
            <w:tcW w:w="540" w:type="dxa"/>
          </w:tcPr>
          <w:p w14:paraId="3A454D9D" w14:textId="44445645" w:rsidR="00724871" w:rsidRDefault="007D0014" w:rsidP="00021EF3">
            <w:pPr>
              <w:spacing w:after="0"/>
              <w:rPr>
                <w:lang w:eastAsia="en-AU"/>
              </w:rPr>
            </w:pPr>
            <w:r w:rsidRPr="004E4A72">
              <w:t>30</w:t>
            </w:r>
          </w:p>
        </w:tc>
        <w:tc>
          <w:tcPr>
            <w:tcW w:w="1802" w:type="dxa"/>
          </w:tcPr>
          <w:p w14:paraId="0FBF548F" w14:textId="1C2948AD" w:rsidR="00724871" w:rsidRDefault="0056398E" w:rsidP="00021EF3">
            <w:pPr>
              <w:spacing w:after="0"/>
              <w:rPr>
                <w:lang w:eastAsia="en-AU"/>
              </w:rPr>
            </w:pPr>
            <w:r w:rsidRPr="00C1619A">
              <w:t>Forestry and Logging</w:t>
            </w:r>
          </w:p>
        </w:tc>
        <w:tc>
          <w:tcPr>
            <w:tcW w:w="538" w:type="dxa"/>
          </w:tcPr>
          <w:p w14:paraId="3A1BA13B" w14:textId="1FE50596" w:rsidR="00724871" w:rsidRDefault="00D77A08" w:rsidP="00021EF3">
            <w:pPr>
              <w:spacing w:after="0"/>
              <w:rPr>
                <w:lang w:eastAsia="en-AU"/>
              </w:rPr>
            </w:pPr>
            <w:r w:rsidRPr="00DA1E4E">
              <w:t>242</w:t>
            </w:r>
          </w:p>
        </w:tc>
        <w:tc>
          <w:tcPr>
            <w:tcW w:w="1804" w:type="dxa"/>
          </w:tcPr>
          <w:p w14:paraId="51051F83" w14:textId="0F05E9C5" w:rsidR="00724871" w:rsidRDefault="00D77A08" w:rsidP="00021EF3">
            <w:pPr>
              <w:spacing w:after="0"/>
              <w:rPr>
                <w:lang w:eastAsia="en-AU"/>
              </w:rPr>
            </w:pPr>
            <w:r w:rsidRPr="00DA1E4E">
              <w:t>Computer and Electronic Equipment Manufacturing</w:t>
            </w:r>
          </w:p>
        </w:tc>
        <w:tc>
          <w:tcPr>
            <w:tcW w:w="536" w:type="dxa"/>
          </w:tcPr>
          <w:p w14:paraId="4C96BE94" w14:textId="63D03729" w:rsidR="00724871" w:rsidRDefault="00D77A08" w:rsidP="00021EF3">
            <w:pPr>
              <w:spacing w:after="0"/>
              <w:rPr>
                <w:lang w:eastAsia="en-AU"/>
              </w:rPr>
            </w:pPr>
            <w:r w:rsidRPr="001E6D66">
              <w:t>372</w:t>
            </w:r>
          </w:p>
        </w:tc>
        <w:tc>
          <w:tcPr>
            <w:tcW w:w="1806" w:type="dxa"/>
          </w:tcPr>
          <w:p w14:paraId="4E1A1360" w14:textId="6848B45F" w:rsidR="00724871" w:rsidRDefault="00D77A08" w:rsidP="00021EF3">
            <w:pPr>
              <w:spacing w:after="0"/>
              <w:rPr>
                <w:lang w:eastAsia="en-AU"/>
              </w:rPr>
            </w:pPr>
            <w:r w:rsidRPr="001E6D66">
              <w:t>Pharmaceutical and Toiletry Goods Wholesaling</w:t>
            </w:r>
          </w:p>
        </w:tc>
        <w:tc>
          <w:tcPr>
            <w:tcW w:w="534" w:type="dxa"/>
          </w:tcPr>
          <w:p w14:paraId="7F6F743A" w14:textId="6BD26BE9" w:rsidR="0056398E" w:rsidRPr="00D20716" w:rsidRDefault="00FF04DB" w:rsidP="00021EF3">
            <w:pPr>
              <w:spacing w:after="0"/>
            </w:pPr>
            <w:r w:rsidRPr="00DD3DA8">
              <w:t>490</w:t>
            </w:r>
          </w:p>
        </w:tc>
        <w:tc>
          <w:tcPr>
            <w:tcW w:w="1808" w:type="dxa"/>
          </w:tcPr>
          <w:p w14:paraId="423AAA1D" w14:textId="6A4D8C34" w:rsidR="0056398E" w:rsidRPr="0014082C" w:rsidRDefault="00FF04DB" w:rsidP="00021EF3">
            <w:pPr>
              <w:spacing w:after="0"/>
            </w:pPr>
            <w:r w:rsidRPr="00DD3DA8">
              <w:t>Air and Space Transport</w:t>
            </w:r>
          </w:p>
        </w:tc>
        <w:tc>
          <w:tcPr>
            <w:tcW w:w="532" w:type="dxa"/>
          </w:tcPr>
          <w:p w14:paraId="6F2032C1" w14:textId="0E13CB4C" w:rsidR="00846CC2" w:rsidRPr="005C50F8" w:rsidRDefault="00593B06" w:rsidP="00021EF3">
            <w:pPr>
              <w:spacing w:after="0"/>
            </w:pPr>
            <w:r w:rsidRPr="00A7109C">
              <w:t>692</w:t>
            </w:r>
          </w:p>
        </w:tc>
        <w:tc>
          <w:tcPr>
            <w:tcW w:w="1810" w:type="dxa"/>
          </w:tcPr>
          <w:p w14:paraId="74B5D600" w14:textId="286ACAEC" w:rsidR="00846CC2" w:rsidRPr="005C50F8" w:rsidRDefault="00593B06" w:rsidP="00021EF3">
            <w:pPr>
              <w:spacing w:after="0"/>
            </w:pPr>
            <w:r w:rsidRPr="00A7109C">
              <w:t>Architectural, Engineering and Technical Services</w:t>
            </w:r>
          </w:p>
        </w:tc>
        <w:tc>
          <w:tcPr>
            <w:tcW w:w="530" w:type="dxa"/>
          </w:tcPr>
          <w:p w14:paraId="495BE96B" w14:textId="6EC1D312" w:rsidR="00F938B5" w:rsidRPr="00A7109C" w:rsidRDefault="005A4EE5" w:rsidP="00021EF3">
            <w:pPr>
              <w:spacing w:after="0"/>
            </w:pPr>
            <w:r w:rsidRPr="00C86876">
              <w:t>860</w:t>
            </w:r>
          </w:p>
        </w:tc>
        <w:tc>
          <w:tcPr>
            <w:tcW w:w="1812" w:type="dxa"/>
          </w:tcPr>
          <w:p w14:paraId="66167CEB" w14:textId="1CCB4F41" w:rsidR="00F938B5" w:rsidRPr="00A7109C" w:rsidRDefault="005A4EE5" w:rsidP="00021EF3">
            <w:pPr>
              <w:spacing w:after="0"/>
            </w:pPr>
            <w:r w:rsidRPr="00C86876">
              <w:t>Residential Care Services</w:t>
            </w:r>
          </w:p>
        </w:tc>
      </w:tr>
      <w:tr w:rsidR="00F75168" w14:paraId="5BBC3956" w14:textId="07244C4D" w:rsidTr="00CD06F2">
        <w:trPr>
          <w:trHeight w:val="567"/>
        </w:trPr>
        <w:tc>
          <w:tcPr>
            <w:tcW w:w="540" w:type="dxa"/>
          </w:tcPr>
          <w:p w14:paraId="3D278428" w14:textId="0583A686" w:rsidR="00724871" w:rsidRDefault="007D0014" w:rsidP="00021EF3">
            <w:pPr>
              <w:spacing w:after="0"/>
              <w:rPr>
                <w:lang w:eastAsia="en-AU"/>
              </w:rPr>
            </w:pPr>
            <w:r w:rsidRPr="004E4A72">
              <w:t>52</w:t>
            </w:r>
          </w:p>
        </w:tc>
        <w:tc>
          <w:tcPr>
            <w:tcW w:w="1802" w:type="dxa"/>
          </w:tcPr>
          <w:p w14:paraId="3005B73E" w14:textId="31A86473" w:rsidR="00724871" w:rsidRDefault="0056398E" w:rsidP="00021EF3">
            <w:pPr>
              <w:spacing w:after="0"/>
              <w:rPr>
                <w:lang w:eastAsia="en-AU"/>
              </w:rPr>
            </w:pPr>
            <w:r w:rsidRPr="00C1619A">
              <w:t>Agriculture and Fishing Support Services</w:t>
            </w:r>
          </w:p>
        </w:tc>
        <w:tc>
          <w:tcPr>
            <w:tcW w:w="538" w:type="dxa"/>
          </w:tcPr>
          <w:p w14:paraId="66538EA7" w14:textId="403E9E3E" w:rsidR="00724871" w:rsidRDefault="00D77A08" w:rsidP="00021EF3">
            <w:pPr>
              <w:spacing w:after="0"/>
              <w:rPr>
                <w:lang w:eastAsia="en-AU"/>
              </w:rPr>
            </w:pPr>
            <w:r w:rsidRPr="00DA1E4E">
              <w:t>243</w:t>
            </w:r>
          </w:p>
        </w:tc>
        <w:tc>
          <w:tcPr>
            <w:tcW w:w="1804" w:type="dxa"/>
          </w:tcPr>
          <w:p w14:paraId="2E94814C" w14:textId="48A72AF5" w:rsidR="00724871" w:rsidRDefault="00D77A08" w:rsidP="00021EF3">
            <w:pPr>
              <w:spacing w:after="0"/>
              <w:rPr>
                <w:lang w:eastAsia="en-AU"/>
              </w:rPr>
            </w:pPr>
            <w:r w:rsidRPr="00DA1E4E">
              <w:t>Electrical Equipment</w:t>
            </w:r>
            <w:r w:rsidR="00BF018B" w:rsidRPr="00C068FE">
              <w:t xml:space="preserve"> Manufacturing</w:t>
            </w:r>
          </w:p>
        </w:tc>
        <w:tc>
          <w:tcPr>
            <w:tcW w:w="536" w:type="dxa"/>
          </w:tcPr>
          <w:p w14:paraId="12311847" w14:textId="58E89E69" w:rsidR="00724871" w:rsidRDefault="00D77A08" w:rsidP="00021EF3">
            <w:pPr>
              <w:spacing w:after="0"/>
              <w:rPr>
                <w:lang w:eastAsia="en-AU"/>
              </w:rPr>
            </w:pPr>
            <w:r w:rsidRPr="001E6D66">
              <w:t>373</w:t>
            </w:r>
          </w:p>
        </w:tc>
        <w:tc>
          <w:tcPr>
            <w:tcW w:w="1806" w:type="dxa"/>
          </w:tcPr>
          <w:p w14:paraId="007D2334" w14:textId="2127B6C5" w:rsidR="00724871" w:rsidRDefault="00D77A08" w:rsidP="00021EF3">
            <w:pPr>
              <w:spacing w:after="0"/>
              <w:rPr>
                <w:lang w:eastAsia="en-AU"/>
              </w:rPr>
            </w:pPr>
            <w:r w:rsidRPr="001E6D66">
              <w:t>Furniture, Floor Covering and Other Goods Wholesaling</w:t>
            </w:r>
          </w:p>
        </w:tc>
        <w:tc>
          <w:tcPr>
            <w:tcW w:w="534" w:type="dxa"/>
          </w:tcPr>
          <w:p w14:paraId="6E4BD0EF" w14:textId="3078697E" w:rsidR="0056398E" w:rsidRPr="00D20716" w:rsidRDefault="00FF04DB" w:rsidP="00021EF3">
            <w:pPr>
              <w:spacing w:after="0"/>
            </w:pPr>
            <w:r w:rsidRPr="00DD3DA8">
              <w:t>501</w:t>
            </w:r>
          </w:p>
        </w:tc>
        <w:tc>
          <w:tcPr>
            <w:tcW w:w="1808" w:type="dxa"/>
          </w:tcPr>
          <w:p w14:paraId="14A95EA8" w14:textId="7609BDE1" w:rsidR="0056398E" w:rsidRPr="00B706C8" w:rsidRDefault="00FF04DB" w:rsidP="00021EF3">
            <w:pPr>
              <w:spacing w:after="0"/>
            </w:pPr>
            <w:r w:rsidRPr="00DD3DA8">
              <w:t>Scenic and Sightseeing Transport</w:t>
            </w:r>
          </w:p>
        </w:tc>
        <w:tc>
          <w:tcPr>
            <w:tcW w:w="532" w:type="dxa"/>
          </w:tcPr>
          <w:p w14:paraId="21DB4BF8" w14:textId="23F78EF0" w:rsidR="00846CC2" w:rsidRPr="005C50F8" w:rsidRDefault="00593B06" w:rsidP="00021EF3">
            <w:pPr>
              <w:spacing w:after="0"/>
            </w:pPr>
            <w:r w:rsidRPr="00A7109C">
              <w:t>693</w:t>
            </w:r>
          </w:p>
        </w:tc>
        <w:tc>
          <w:tcPr>
            <w:tcW w:w="1810" w:type="dxa"/>
          </w:tcPr>
          <w:p w14:paraId="7D39F672" w14:textId="6B334070" w:rsidR="00846CC2" w:rsidRPr="005C50F8" w:rsidRDefault="00593B06" w:rsidP="00021EF3">
            <w:pPr>
              <w:spacing w:after="0"/>
            </w:pPr>
            <w:r w:rsidRPr="00A7109C">
              <w:t>Legal and Accounting Services</w:t>
            </w:r>
          </w:p>
        </w:tc>
        <w:tc>
          <w:tcPr>
            <w:tcW w:w="530" w:type="dxa"/>
          </w:tcPr>
          <w:p w14:paraId="309A2F26" w14:textId="3EAC31E0" w:rsidR="00F938B5" w:rsidRPr="00A7109C" w:rsidRDefault="005A4EE5" w:rsidP="00021EF3">
            <w:pPr>
              <w:spacing w:after="0"/>
            </w:pPr>
            <w:r w:rsidRPr="00C86876">
              <w:t>871</w:t>
            </w:r>
          </w:p>
        </w:tc>
        <w:tc>
          <w:tcPr>
            <w:tcW w:w="1812" w:type="dxa"/>
          </w:tcPr>
          <w:p w14:paraId="260F9E0C" w14:textId="6F02403B" w:rsidR="00F938B5" w:rsidRPr="00A7109C" w:rsidRDefault="005A4EE5" w:rsidP="00021EF3">
            <w:pPr>
              <w:spacing w:after="0"/>
            </w:pPr>
            <w:r w:rsidRPr="00C86876">
              <w:t>Child Care Services</w:t>
            </w:r>
          </w:p>
        </w:tc>
      </w:tr>
      <w:tr w:rsidR="00F75168" w14:paraId="013559BB" w14:textId="36C03C89" w:rsidTr="00CD06F2">
        <w:trPr>
          <w:trHeight w:val="600"/>
        </w:trPr>
        <w:tc>
          <w:tcPr>
            <w:tcW w:w="540" w:type="dxa"/>
          </w:tcPr>
          <w:p w14:paraId="5EF081F7" w14:textId="59CF666D" w:rsidR="00724871" w:rsidRDefault="007D0014" w:rsidP="00021EF3">
            <w:pPr>
              <w:spacing w:after="0"/>
              <w:rPr>
                <w:lang w:eastAsia="en-AU"/>
              </w:rPr>
            </w:pPr>
            <w:r w:rsidRPr="004E4A72">
              <w:t>91</w:t>
            </w:r>
          </w:p>
        </w:tc>
        <w:tc>
          <w:tcPr>
            <w:tcW w:w="1802" w:type="dxa"/>
          </w:tcPr>
          <w:p w14:paraId="4BB6D159" w14:textId="7AB46018" w:rsidR="00724871" w:rsidRDefault="0056398E" w:rsidP="00021EF3">
            <w:pPr>
              <w:spacing w:after="0"/>
              <w:rPr>
                <w:lang w:eastAsia="en-AU"/>
              </w:rPr>
            </w:pPr>
            <w:r w:rsidRPr="005443EE">
              <w:rPr>
                <w:lang w:eastAsia="en-AU"/>
              </w:rPr>
              <w:t>Construction Material Mining</w:t>
            </w:r>
          </w:p>
        </w:tc>
        <w:tc>
          <w:tcPr>
            <w:tcW w:w="538" w:type="dxa"/>
          </w:tcPr>
          <w:p w14:paraId="3F8A1D65" w14:textId="24126BA8" w:rsidR="00724871" w:rsidRDefault="00D77A08" w:rsidP="00021EF3">
            <w:pPr>
              <w:spacing w:after="0"/>
              <w:rPr>
                <w:lang w:eastAsia="en-AU"/>
              </w:rPr>
            </w:pPr>
            <w:r w:rsidRPr="00DA1E4E">
              <w:t>246</w:t>
            </w:r>
          </w:p>
        </w:tc>
        <w:tc>
          <w:tcPr>
            <w:tcW w:w="1804" w:type="dxa"/>
          </w:tcPr>
          <w:p w14:paraId="30969245" w14:textId="5D183087" w:rsidR="00724871" w:rsidRDefault="00D77A08" w:rsidP="00021EF3">
            <w:pPr>
              <w:spacing w:after="0"/>
              <w:rPr>
                <w:lang w:eastAsia="en-AU"/>
              </w:rPr>
            </w:pPr>
            <w:r w:rsidRPr="00DA1E4E">
              <w:t>Specialised Machinery and Equipment Manufacturing</w:t>
            </w:r>
          </w:p>
        </w:tc>
        <w:tc>
          <w:tcPr>
            <w:tcW w:w="536" w:type="dxa"/>
          </w:tcPr>
          <w:p w14:paraId="1B762E18" w14:textId="661E5C59" w:rsidR="00724871" w:rsidRDefault="00D77A08" w:rsidP="00021EF3">
            <w:pPr>
              <w:spacing w:after="0"/>
              <w:rPr>
                <w:lang w:eastAsia="en-AU"/>
              </w:rPr>
            </w:pPr>
            <w:r w:rsidRPr="001E6D66">
              <w:t>380</w:t>
            </w:r>
          </w:p>
        </w:tc>
        <w:tc>
          <w:tcPr>
            <w:tcW w:w="1806" w:type="dxa"/>
          </w:tcPr>
          <w:p w14:paraId="1FD31E12" w14:textId="177B1BFB" w:rsidR="00724871" w:rsidRDefault="00D77A08" w:rsidP="00021EF3">
            <w:pPr>
              <w:spacing w:after="0"/>
              <w:rPr>
                <w:lang w:eastAsia="en-AU"/>
              </w:rPr>
            </w:pPr>
            <w:r w:rsidRPr="001E6D66">
              <w:t>Commission-Based Wholesaling</w:t>
            </w:r>
          </w:p>
        </w:tc>
        <w:tc>
          <w:tcPr>
            <w:tcW w:w="534" w:type="dxa"/>
          </w:tcPr>
          <w:p w14:paraId="0BE0A1C4" w14:textId="4765BEA1" w:rsidR="0056398E" w:rsidRPr="00D20716" w:rsidRDefault="00FF04DB" w:rsidP="00021EF3">
            <w:pPr>
              <w:spacing w:after="0"/>
            </w:pPr>
            <w:r w:rsidRPr="00DD3DA8">
              <w:t>502</w:t>
            </w:r>
          </w:p>
        </w:tc>
        <w:tc>
          <w:tcPr>
            <w:tcW w:w="1808" w:type="dxa"/>
          </w:tcPr>
          <w:p w14:paraId="4381117D" w14:textId="254F1310" w:rsidR="0056398E" w:rsidRPr="00B706C8" w:rsidRDefault="00FF04DB" w:rsidP="00021EF3">
            <w:pPr>
              <w:spacing w:after="0"/>
            </w:pPr>
            <w:r w:rsidRPr="00DD3DA8">
              <w:t>Pipeline and Other Transport</w:t>
            </w:r>
          </w:p>
        </w:tc>
        <w:tc>
          <w:tcPr>
            <w:tcW w:w="532" w:type="dxa"/>
          </w:tcPr>
          <w:p w14:paraId="680827B9" w14:textId="283BEBD2" w:rsidR="00846CC2" w:rsidRPr="00B706C8" w:rsidRDefault="00593B06" w:rsidP="00021EF3">
            <w:pPr>
              <w:spacing w:after="0"/>
            </w:pPr>
            <w:r w:rsidRPr="00A7109C">
              <w:t>694</w:t>
            </w:r>
          </w:p>
        </w:tc>
        <w:tc>
          <w:tcPr>
            <w:tcW w:w="1810" w:type="dxa"/>
          </w:tcPr>
          <w:p w14:paraId="7EB3324D" w14:textId="1DD296C1" w:rsidR="00846CC2" w:rsidRPr="00B706C8" w:rsidRDefault="00593B06" w:rsidP="00021EF3">
            <w:pPr>
              <w:spacing w:after="0"/>
            </w:pPr>
            <w:r w:rsidRPr="00A7109C">
              <w:t>Advertising Services</w:t>
            </w:r>
          </w:p>
        </w:tc>
        <w:tc>
          <w:tcPr>
            <w:tcW w:w="530" w:type="dxa"/>
          </w:tcPr>
          <w:p w14:paraId="66027B73" w14:textId="4466F9D1" w:rsidR="00F938B5" w:rsidRPr="00A7109C" w:rsidRDefault="005A4EE5" w:rsidP="00021EF3">
            <w:pPr>
              <w:spacing w:after="0"/>
            </w:pPr>
            <w:r w:rsidRPr="00C86876">
              <w:t>879</w:t>
            </w:r>
          </w:p>
        </w:tc>
        <w:tc>
          <w:tcPr>
            <w:tcW w:w="1812" w:type="dxa"/>
          </w:tcPr>
          <w:p w14:paraId="0846E883" w14:textId="3D8A8D6F" w:rsidR="00F938B5" w:rsidRPr="00A7109C" w:rsidRDefault="005A4EE5" w:rsidP="00021EF3">
            <w:pPr>
              <w:spacing w:after="0"/>
            </w:pPr>
            <w:r w:rsidRPr="00C86876">
              <w:t>Other Social Assistance Services</w:t>
            </w:r>
          </w:p>
        </w:tc>
      </w:tr>
      <w:tr w:rsidR="00F75168" w14:paraId="30BAD17D" w14:textId="798167DB" w:rsidTr="00CD06F2">
        <w:trPr>
          <w:trHeight w:val="583"/>
        </w:trPr>
        <w:tc>
          <w:tcPr>
            <w:tcW w:w="540" w:type="dxa"/>
          </w:tcPr>
          <w:p w14:paraId="76C00F75" w14:textId="04995977" w:rsidR="00724871" w:rsidRDefault="007D0014" w:rsidP="00021EF3">
            <w:pPr>
              <w:spacing w:after="0"/>
              <w:rPr>
                <w:lang w:eastAsia="en-AU"/>
              </w:rPr>
            </w:pPr>
            <w:r w:rsidRPr="004E4A72">
              <w:lastRenderedPageBreak/>
              <w:t>113</w:t>
            </w:r>
          </w:p>
        </w:tc>
        <w:tc>
          <w:tcPr>
            <w:tcW w:w="1802" w:type="dxa"/>
          </w:tcPr>
          <w:p w14:paraId="411DE202" w14:textId="7FD38BE3" w:rsidR="00724871" w:rsidRDefault="0056398E" w:rsidP="00021EF3">
            <w:pPr>
              <w:spacing w:after="0"/>
              <w:rPr>
                <w:lang w:eastAsia="en-AU"/>
              </w:rPr>
            </w:pPr>
            <w:r w:rsidRPr="006707E8">
              <w:rPr>
                <w:lang w:eastAsia="en-AU"/>
              </w:rPr>
              <w:t>Dairy Product Manufacturing</w:t>
            </w:r>
          </w:p>
        </w:tc>
        <w:tc>
          <w:tcPr>
            <w:tcW w:w="538" w:type="dxa"/>
          </w:tcPr>
          <w:p w14:paraId="32743853" w14:textId="249E0C7F" w:rsidR="00724871" w:rsidRDefault="00D77A08" w:rsidP="00021EF3">
            <w:pPr>
              <w:spacing w:after="0"/>
              <w:rPr>
                <w:lang w:eastAsia="en-AU"/>
              </w:rPr>
            </w:pPr>
            <w:r w:rsidRPr="00DA1E4E">
              <w:t>251</w:t>
            </w:r>
          </w:p>
        </w:tc>
        <w:tc>
          <w:tcPr>
            <w:tcW w:w="1804" w:type="dxa"/>
          </w:tcPr>
          <w:p w14:paraId="2FA19A93" w14:textId="1220C884" w:rsidR="00724871" w:rsidRDefault="00D77A08" w:rsidP="00021EF3">
            <w:pPr>
              <w:spacing w:after="0"/>
              <w:rPr>
                <w:lang w:eastAsia="en-AU"/>
              </w:rPr>
            </w:pPr>
            <w:r w:rsidRPr="00DA1E4E">
              <w:t>Furniture Manufacturing</w:t>
            </w:r>
          </w:p>
        </w:tc>
        <w:tc>
          <w:tcPr>
            <w:tcW w:w="536" w:type="dxa"/>
          </w:tcPr>
          <w:p w14:paraId="65B3CBBF" w14:textId="6C5762E4" w:rsidR="00724871" w:rsidRDefault="00D77A08" w:rsidP="00021EF3">
            <w:pPr>
              <w:spacing w:after="0"/>
              <w:rPr>
                <w:lang w:eastAsia="en-AU"/>
              </w:rPr>
            </w:pPr>
            <w:r w:rsidRPr="001E6D66">
              <w:t>391</w:t>
            </w:r>
          </w:p>
        </w:tc>
        <w:tc>
          <w:tcPr>
            <w:tcW w:w="1806" w:type="dxa"/>
          </w:tcPr>
          <w:p w14:paraId="3D9C5021" w14:textId="2BC26A17" w:rsidR="00724871" w:rsidRDefault="00D77A08" w:rsidP="00021EF3">
            <w:pPr>
              <w:spacing w:after="0"/>
              <w:rPr>
                <w:lang w:eastAsia="en-AU"/>
              </w:rPr>
            </w:pPr>
            <w:r w:rsidRPr="001E6D66">
              <w:t>Motor Vehicle Retailing</w:t>
            </w:r>
          </w:p>
        </w:tc>
        <w:tc>
          <w:tcPr>
            <w:tcW w:w="534" w:type="dxa"/>
          </w:tcPr>
          <w:p w14:paraId="0AFD72B9" w14:textId="07893B7F" w:rsidR="0056398E" w:rsidRPr="003C256C" w:rsidRDefault="00FF04DB" w:rsidP="00021EF3">
            <w:pPr>
              <w:spacing w:after="0"/>
            </w:pPr>
            <w:r w:rsidRPr="00DD3DA8">
              <w:t>510</w:t>
            </w:r>
          </w:p>
        </w:tc>
        <w:tc>
          <w:tcPr>
            <w:tcW w:w="1808" w:type="dxa"/>
          </w:tcPr>
          <w:p w14:paraId="2B54FEB4" w14:textId="36BC2FEF" w:rsidR="0056398E" w:rsidRPr="00B706C8" w:rsidRDefault="00FF04DB" w:rsidP="00021EF3">
            <w:pPr>
              <w:spacing w:after="0"/>
            </w:pPr>
            <w:r w:rsidRPr="00DD3DA8">
              <w:t>Postal and Courier Pick-Up and Delivery Services</w:t>
            </w:r>
          </w:p>
        </w:tc>
        <w:tc>
          <w:tcPr>
            <w:tcW w:w="532" w:type="dxa"/>
          </w:tcPr>
          <w:p w14:paraId="5B79688B" w14:textId="32EE3E2F" w:rsidR="00846CC2" w:rsidRPr="00B706C8" w:rsidRDefault="00593B06" w:rsidP="00021EF3">
            <w:pPr>
              <w:spacing w:after="0"/>
            </w:pPr>
            <w:r w:rsidRPr="00A7109C">
              <w:t>695</w:t>
            </w:r>
          </w:p>
        </w:tc>
        <w:tc>
          <w:tcPr>
            <w:tcW w:w="1810" w:type="dxa"/>
          </w:tcPr>
          <w:p w14:paraId="60216F4D" w14:textId="78D46344" w:rsidR="00846CC2" w:rsidRPr="00B706C8" w:rsidRDefault="00593B06" w:rsidP="00021EF3">
            <w:pPr>
              <w:spacing w:after="0"/>
            </w:pPr>
            <w:r w:rsidRPr="00A7109C">
              <w:t>Market Research and Statistical Services</w:t>
            </w:r>
          </w:p>
        </w:tc>
        <w:tc>
          <w:tcPr>
            <w:tcW w:w="530" w:type="dxa"/>
          </w:tcPr>
          <w:p w14:paraId="74E95F70" w14:textId="0760B23F" w:rsidR="00F938B5" w:rsidRPr="00A7109C" w:rsidRDefault="005A4EE5" w:rsidP="00021EF3">
            <w:pPr>
              <w:spacing w:after="0"/>
            </w:pPr>
            <w:r w:rsidRPr="00C86876">
              <w:t>891</w:t>
            </w:r>
          </w:p>
        </w:tc>
        <w:tc>
          <w:tcPr>
            <w:tcW w:w="1812" w:type="dxa"/>
          </w:tcPr>
          <w:p w14:paraId="37FF339D" w14:textId="23A2C2FA" w:rsidR="00F938B5" w:rsidRPr="00A7109C" w:rsidRDefault="005A4EE5" w:rsidP="00021EF3">
            <w:pPr>
              <w:spacing w:after="0"/>
            </w:pPr>
            <w:r w:rsidRPr="00C86876">
              <w:t>Museum Operation</w:t>
            </w:r>
          </w:p>
        </w:tc>
      </w:tr>
      <w:tr w:rsidR="00F75168" w14:paraId="6AA76A68" w14:textId="774EB5C3" w:rsidTr="00CD06F2">
        <w:trPr>
          <w:trHeight w:val="583"/>
        </w:trPr>
        <w:tc>
          <w:tcPr>
            <w:tcW w:w="540" w:type="dxa"/>
          </w:tcPr>
          <w:p w14:paraId="0A03778A" w14:textId="0A09D2FF" w:rsidR="00724871" w:rsidRDefault="007D0014" w:rsidP="00021EF3">
            <w:pPr>
              <w:spacing w:after="0"/>
              <w:rPr>
                <w:lang w:eastAsia="en-AU"/>
              </w:rPr>
            </w:pPr>
            <w:r w:rsidRPr="004E4A72">
              <w:t>114</w:t>
            </w:r>
          </w:p>
        </w:tc>
        <w:tc>
          <w:tcPr>
            <w:tcW w:w="1802" w:type="dxa"/>
          </w:tcPr>
          <w:p w14:paraId="420D956A" w14:textId="0056602F" w:rsidR="00724871" w:rsidRDefault="0056398E" w:rsidP="00021EF3">
            <w:pPr>
              <w:spacing w:after="0"/>
              <w:rPr>
                <w:lang w:eastAsia="en-AU"/>
              </w:rPr>
            </w:pPr>
            <w:r w:rsidRPr="006707E8">
              <w:rPr>
                <w:lang w:eastAsia="en-AU"/>
              </w:rPr>
              <w:t>Fruit and Vegetable Processing</w:t>
            </w:r>
          </w:p>
        </w:tc>
        <w:tc>
          <w:tcPr>
            <w:tcW w:w="538" w:type="dxa"/>
          </w:tcPr>
          <w:p w14:paraId="1E29EAC3" w14:textId="7031FD63" w:rsidR="00724871" w:rsidRDefault="00D77A08" w:rsidP="00021EF3">
            <w:pPr>
              <w:spacing w:after="0"/>
              <w:rPr>
                <w:lang w:eastAsia="en-AU"/>
              </w:rPr>
            </w:pPr>
            <w:r w:rsidRPr="00DA1E4E">
              <w:t>259</w:t>
            </w:r>
          </w:p>
        </w:tc>
        <w:tc>
          <w:tcPr>
            <w:tcW w:w="1804" w:type="dxa"/>
          </w:tcPr>
          <w:p w14:paraId="491FF9DB" w14:textId="57D4682D" w:rsidR="00724871" w:rsidRDefault="00D77A08" w:rsidP="00021EF3">
            <w:pPr>
              <w:spacing w:after="0"/>
              <w:rPr>
                <w:lang w:eastAsia="en-AU"/>
              </w:rPr>
            </w:pPr>
            <w:r w:rsidRPr="00DA1E4E">
              <w:t>Other</w:t>
            </w:r>
            <w:r w:rsidR="0056398E" w:rsidRPr="00F04AF8">
              <w:t xml:space="preserve"> Manufacturing</w:t>
            </w:r>
          </w:p>
        </w:tc>
        <w:tc>
          <w:tcPr>
            <w:tcW w:w="536" w:type="dxa"/>
          </w:tcPr>
          <w:p w14:paraId="6AC1172E" w14:textId="50441E7B" w:rsidR="00724871" w:rsidRDefault="00D77A08" w:rsidP="00021EF3">
            <w:pPr>
              <w:spacing w:after="0"/>
              <w:rPr>
                <w:lang w:eastAsia="en-AU"/>
              </w:rPr>
            </w:pPr>
            <w:r w:rsidRPr="001E6D66">
              <w:t>392</w:t>
            </w:r>
          </w:p>
        </w:tc>
        <w:tc>
          <w:tcPr>
            <w:tcW w:w="1806" w:type="dxa"/>
          </w:tcPr>
          <w:p w14:paraId="0CA32AA3" w14:textId="4C0919C4" w:rsidR="00724871" w:rsidRDefault="00D77A08" w:rsidP="00021EF3">
            <w:pPr>
              <w:spacing w:after="0"/>
              <w:rPr>
                <w:lang w:eastAsia="en-AU"/>
              </w:rPr>
            </w:pPr>
            <w:r w:rsidRPr="001E6D66">
              <w:t>Motor Vehicle Parts and Tyre Retailing</w:t>
            </w:r>
          </w:p>
        </w:tc>
        <w:tc>
          <w:tcPr>
            <w:tcW w:w="534" w:type="dxa"/>
          </w:tcPr>
          <w:p w14:paraId="4DE2BDFA" w14:textId="2CB24962" w:rsidR="0056398E" w:rsidRPr="003C256C" w:rsidRDefault="00FF04DB" w:rsidP="00021EF3">
            <w:pPr>
              <w:spacing w:after="0"/>
            </w:pPr>
            <w:r w:rsidRPr="00DD3DA8">
              <w:t>521</w:t>
            </w:r>
          </w:p>
        </w:tc>
        <w:tc>
          <w:tcPr>
            <w:tcW w:w="1808" w:type="dxa"/>
          </w:tcPr>
          <w:p w14:paraId="6E987E07" w14:textId="4EB5F710" w:rsidR="0056398E" w:rsidRPr="00B706C8" w:rsidRDefault="00FF04DB" w:rsidP="00021EF3">
            <w:pPr>
              <w:spacing w:after="0"/>
            </w:pPr>
            <w:r w:rsidRPr="00DD3DA8">
              <w:t>Water Transport Support Services</w:t>
            </w:r>
          </w:p>
        </w:tc>
        <w:tc>
          <w:tcPr>
            <w:tcW w:w="532" w:type="dxa"/>
          </w:tcPr>
          <w:p w14:paraId="3F891FC7" w14:textId="06F131E0" w:rsidR="00846CC2" w:rsidRPr="00B706C8" w:rsidRDefault="00593B06" w:rsidP="00021EF3">
            <w:pPr>
              <w:spacing w:after="0"/>
            </w:pPr>
            <w:r w:rsidRPr="00A7109C">
              <w:t>696</w:t>
            </w:r>
          </w:p>
        </w:tc>
        <w:tc>
          <w:tcPr>
            <w:tcW w:w="1810" w:type="dxa"/>
          </w:tcPr>
          <w:p w14:paraId="10115A20" w14:textId="6E130FC0" w:rsidR="00846CC2" w:rsidRPr="00B706C8" w:rsidRDefault="00593B06" w:rsidP="00021EF3">
            <w:pPr>
              <w:spacing w:after="0"/>
            </w:pPr>
            <w:r w:rsidRPr="00A7109C">
              <w:t>Management and Related Consulting Services</w:t>
            </w:r>
          </w:p>
        </w:tc>
        <w:tc>
          <w:tcPr>
            <w:tcW w:w="530" w:type="dxa"/>
          </w:tcPr>
          <w:p w14:paraId="7D85BC7C" w14:textId="361EAB1E" w:rsidR="00F938B5" w:rsidRPr="00A7109C" w:rsidRDefault="005A4EE5" w:rsidP="00021EF3">
            <w:pPr>
              <w:spacing w:after="0"/>
            </w:pPr>
            <w:r w:rsidRPr="00C86876">
              <w:t>892</w:t>
            </w:r>
          </w:p>
        </w:tc>
        <w:tc>
          <w:tcPr>
            <w:tcW w:w="1812" w:type="dxa"/>
          </w:tcPr>
          <w:p w14:paraId="0E9CD0C5" w14:textId="51975D83" w:rsidR="00F938B5" w:rsidRPr="00A7109C" w:rsidRDefault="005A4EE5" w:rsidP="00021EF3">
            <w:pPr>
              <w:spacing w:after="0"/>
            </w:pPr>
            <w:r w:rsidRPr="00C86876">
              <w:t>Parks and Gardens Operations</w:t>
            </w:r>
          </w:p>
        </w:tc>
      </w:tr>
      <w:tr w:rsidR="00F75168" w14:paraId="25F157E1" w14:textId="118F21C6" w:rsidTr="00CD06F2">
        <w:trPr>
          <w:trHeight w:val="583"/>
        </w:trPr>
        <w:tc>
          <w:tcPr>
            <w:tcW w:w="540" w:type="dxa"/>
          </w:tcPr>
          <w:p w14:paraId="33AA04A7" w14:textId="35F02CEC" w:rsidR="00724871" w:rsidRDefault="007D0014" w:rsidP="00021EF3">
            <w:pPr>
              <w:spacing w:after="0"/>
              <w:rPr>
                <w:lang w:eastAsia="en-AU"/>
              </w:rPr>
            </w:pPr>
            <w:r w:rsidRPr="004E4A72">
              <w:t>116</w:t>
            </w:r>
          </w:p>
        </w:tc>
        <w:tc>
          <w:tcPr>
            <w:tcW w:w="1802" w:type="dxa"/>
          </w:tcPr>
          <w:p w14:paraId="1C815196" w14:textId="5DBC4DD0" w:rsidR="00724871" w:rsidRDefault="0056398E" w:rsidP="00021EF3">
            <w:pPr>
              <w:spacing w:after="0"/>
              <w:rPr>
                <w:lang w:eastAsia="en-AU"/>
              </w:rPr>
            </w:pPr>
            <w:r w:rsidRPr="00C81A23">
              <w:rPr>
                <w:lang w:eastAsia="en-AU"/>
              </w:rPr>
              <w:t>Grain Mill and Cereal Product Manufacturing</w:t>
            </w:r>
          </w:p>
        </w:tc>
        <w:tc>
          <w:tcPr>
            <w:tcW w:w="538" w:type="dxa"/>
          </w:tcPr>
          <w:p w14:paraId="2823B5F2" w14:textId="3C2F967E" w:rsidR="00724871" w:rsidRDefault="00D77A08" w:rsidP="00021EF3">
            <w:pPr>
              <w:spacing w:after="0"/>
              <w:rPr>
                <w:lang w:eastAsia="en-AU"/>
              </w:rPr>
            </w:pPr>
            <w:r w:rsidRPr="00DA1E4E">
              <w:t>261</w:t>
            </w:r>
          </w:p>
        </w:tc>
        <w:tc>
          <w:tcPr>
            <w:tcW w:w="1804" w:type="dxa"/>
          </w:tcPr>
          <w:p w14:paraId="7D07BF34" w14:textId="781DB27D" w:rsidR="00724871" w:rsidRDefault="00D77A08" w:rsidP="00021EF3">
            <w:pPr>
              <w:spacing w:after="0"/>
              <w:rPr>
                <w:lang w:eastAsia="en-AU"/>
              </w:rPr>
            </w:pPr>
            <w:r w:rsidRPr="00DA1E4E">
              <w:t>Electricity Generation</w:t>
            </w:r>
          </w:p>
        </w:tc>
        <w:tc>
          <w:tcPr>
            <w:tcW w:w="536" w:type="dxa"/>
          </w:tcPr>
          <w:p w14:paraId="2D3F3A3C" w14:textId="4E891846" w:rsidR="00724871" w:rsidRDefault="00D77A08" w:rsidP="00021EF3">
            <w:pPr>
              <w:spacing w:after="0"/>
              <w:rPr>
                <w:lang w:eastAsia="en-AU"/>
              </w:rPr>
            </w:pPr>
            <w:r w:rsidRPr="001E6D66">
              <w:t>400</w:t>
            </w:r>
          </w:p>
        </w:tc>
        <w:tc>
          <w:tcPr>
            <w:tcW w:w="1806" w:type="dxa"/>
          </w:tcPr>
          <w:p w14:paraId="6DA9CB83" w14:textId="30ACA930" w:rsidR="00724871" w:rsidRDefault="00D77A08" w:rsidP="00021EF3">
            <w:pPr>
              <w:spacing w:after="0"/>
              <w:rPr>
                <w:lang w:eastAsia="en-AU"/>
              </w:rPr>
            </w:pPr>
            <w:r w:rsidRPr="001E6D66">
              <w:t>Fuel Retailing</w:t>
            </w:r>
          </w:p>
        </w:tc>
        <w:tc>
          <w:tcPr>
            <w:tcW w:w="534" w:type="dxa"/>
          </w:tcPr>
          <w:p w14:paraId="0EF913C2" w14:textId="20ED42B6" w:rsidR="0056398E" w:rsidRPr="003C256C" w:rsidRDefault="00FF04DB" w:rsidP="00021EF3">
            <w:pPr>
              <w:spacing w:after="0"/>
            </w:pPr>
            <w:r w:rsidRPr="00DD3DA8">
              <w:t>522</w:t>
            </w:r>
          </w:p>
        </w:tc>
        <w:tc>
          <w:tcPr>
            <w:tcW w:w="1808" w:type="dxa"/>
          </w:tcPr>
          <w:p w14:paraId="0CDC6B48" w14:textId="49250C8B" w:rsidR="0056398E" w:rsidRPr="00B706C8" w:rsidRDefault="00FF04DB" w:rsidP="00021EF3">
            <w:pPr>
              <w:spacing w:after="0"/>
            </w:pPr>
            <w:r w:rsidRPr="00DD3DA8">
              <w:t>Airport Operations and Other Air Transport Support Services</w:t>
            </w:r>
          </w:p>
        </w:tc>
        <w:tc>
          <w:tcPr>
            <w:tcW w:w="532" w:type="dxa"/>
          </w:tcPr>
          <w:p w14:paraId="4FA0029E" w14:textId="6C502D7C" w:rsidR="00846CC2" w:rsidRPr="00B706C8" w:rsidRDefault="00593B06" w:rsidP="00021EF3">
            <w:pPr>
              <w:spacing w:after="0"/>
            </w:pPr>
            <w:r w:rsidRPr="00A7109C">
              <w:t>699</w:t>
            </w:r>
          </w:p>
        </w:tc>
        <w:tc>
          <w:tcPr>
            <w:tcW w:w="1810" w:type="dxa"/>
          </w:tcPr>
          <w:p w14:paraId="3374DD89" w14:textId="5AEDEE3F" w:rsidR="00846CC2" w:rsidRPr="00B706C8" w:rsidRDefault="00593B06" w:rsidP="00021EF3">
            <w:pPr>
              <w:spacing w:after="0"/>
            </w:pPr>
            <w:r w:rsidRPr="00A7109C">
              <w:t>Other Professional, Scientific and Technical Services</w:t>
            </w:r>
          </w:p>
        </w:tc>
        <w:tc>
          <w:tcPr>
            <w:tcW w:w="530" w:type="dxa"/>
          </w:tcPr>
          <w:p w14:paraId="461C2EF9" w14:textId="36EB4C99" w:rsidR="00F938B5" w:rsidRPr="00A7109C" w:rsidRDefault="005A4EE5" w:rsidP="00021EF3">
            <w:pPr>
              <w:spacing w:after="0"/>
            </w:pPr>
            <w:r w:rsidRPr="00C86876">
              <w:t>900</w:t>
            </w:r>
          </w:p>
        </w:tc>
        <w:tc>
          <w:tcPr>
            <w:tcW w:w="1812" w:type="dxa"/>
          </w:tcPr>
          <w:p w14:paraId="4242D535" w14:textId="7BE65388" w:rsidR="00F938B5" w:rsidRPr="00A7109C" w:rsidRDefault="005A4EE5" w:rsidP="00021EF3">
            <w:pPr>
              <w:spacing w:after="0"/>
            </w:pPr>
            <w:r w:rsidRPr="00C86876">
              <w:t>Creative and Performing Arts Activities</w:t>
            </w:r>
          </w:p>
        </w:tc>
      </w:tr>
      <w:tr w:rsidR="00F75168" w14:paraId="77D2615B" w14:textId="2F39A518" w:rsidTr="00CD06F2">
        <w:trPr>
          <w:trHeight w:val="583"/>
        </w:trPr>
        <w:tc>
          <w:tcPr>
            <w:tcW w:w="540" w:type="dxa"/>
          </w:tcPr>
          <w:p w14:paraId="36C50CCF" w14:textId="59F81A9F" w:rsidR="00724871" w:rsidRDefault="007D0014" w:rsidP="00021EF3">
            <w:pPr>
              <w:spacing w:after="0"/>
              <w:rPr>
                <w:lang w:eastAsia="en-AU"/>
              </w:rPr>
            </w:pPr>
            <w:r w:rsidRPr="004E4A72">
              <w:t>117</w:t>
            </w:r>
          </w:p>
        </w:tc>
        <w:tc>
          <w:tcPr>
            <w:tcW w:w="1802" w:type="dxa"/>
          </w:tcPr>
          <w:p w14:paraId="40893246" w14:textId="13C89504" w:rsidR="00724871" w:rsidRDefault="0042515D" w:rsidP="00021EF3">
            <w:pPr>
              <w:spacing w:after="0"/>
              <w:rPr>
                <w:lang w:eastAsia="en-AU"/>
              </w:rPr>
            </w:pPr>
            <w:r w:rsidRPr="00096A99">
              <w:rPr>
                <w:lang w:eastAsia="en-AU"/>
              </w:rPr>
              <w:t>Bakery Product Manufacturing</w:t>
            </w:r>
          </w:p>
        </w:tc>
        <w:tc>
          <w:tcPr>
            <w:tcW w:w="538" w:type="dxa"/>
          </w:tcPr>
          <w:p w14:paraId="6A5A6F6F" w14:textId="34F16C2A" w:rsidR="00724871" w:rsidRDefault="00D77A08" w:rsidP="00021EF3">
            <w:pPr>
              <w:spacing w:after="0"/>
              <w:rPr>
                <w:lang w:eastAsia="en-AU"/>
              </w:rPr>
            </w:pPr>
            <w:r w:rsidRPr="00DA1E4E">
              <w:t>264</w:t>
            </w:r>
          </w:p>
        </w:tc>
        <w:tc>
          <w:tcPr>
            <w:tcW w:w="1804" w:type="dxa"/>
          </w:tcPr>
          <w:p w14:paraId="2A71E485" w14:textId="2AF7EBD1" w:rsidR="00724871" w:rsidRDefault="00D77A08" w:rsidP="00021EF3">
            <w:pPr>
              <w:spacing w:after="0"/>
              <w:rPr>
                <w:lang w:eastAsia="en-AU"/>
              </w:rPr>
            </w:pPr>
            <w:r w:rsidRPr="00DA1E4E">
              <w:t>On Selling Electricity and Electricity Market Operation</w:t>
            </w:r>
          </w:p>
        </w:tc>
        <w:tc>
          <w:tcPr>
            <w:tcW w:w="536" w:type="dxa"/>
          </w:tcPr>
          <w:p w14:paraId="6E588B12" w14:textId="33489A9A" w:rsidR="00724871" w:rsidRDefault="00D77A08" w:rsidP="00021EF3">
            <w:pPr>
              <w:spacing w:after="0"/>
              <w:rPr>
                <w:lang w:eastAsia="en-AU"/>
              </w:rPr>
            </w:pPr>
            <w:r w:rsidRPr="001E6D66">
              <w:t>411</w:t>
            </w:r>
          </w:p>
        </w:tc>
        <w:tc>
          <w:tcPr>
            <w:tcW w:w="1806" w:type="dxa"/>
          </w:tcPr>
          <w:p w14:paraId="55DC19B0" w14:textId="0FEAF5C4" w:rsidR="00724871" w:rsidRDefault="00D77A08" w:rsidP="00021EF3">
            <w:pPr>
              <w:spacing w:after="0"/>
              <w:rPr>
                <w:lang w:eastAsia="en-AU"/>
              </w:rPr>
            </w:pPr>
            <w:r w:rsidRPr="001E6D66">
              <w:t>Supermarket and Grocery Stores</w:t>
            </w:r>
          </w:p>
        </w:tc>
        <w:tc>
          <w:tcPr>
            <w:tcW w:w="534" w:type="dxa"/>
          </w:tcPr>
          <w:p w14:paraId="33F93933" w14:textId="33AEC4CF" w:rsidR="0042515D" w:rsidRPr="003C256C" w:rsidRDefault="00FF04DB" w:rsidP="00021EF3">
            <w:pPr>
              <w:spacing w:after="0"/>
            </w:pPr>
            <w:r w:rsidRPr="00DD3DA8">
              <w:t>529</w:t>
            </w:r>
          </w:p>
        </w:tc>
        <w:tc>
          <w:tcPr>
            <w:tcW w:w="1808" w:type="dxa"/>
          </w:tcPr>
          <w:p w14:paraId="28BBFEAC" w14:textId="52C11117" w:rsidR="0042515D" w:rsidRPr="00B706C8" w:rsidRDefault="00FF04DB" w:rsidP="00021EF3">
            <w:pPr>
              <w:spacing w:after="0"/>
            </w:pPr>
            <w:r w:rsidRPr="00DD3DA8">
              <w:t>Other Transport Support Services</w:t>
            </w:r>
          </w:p>
        </w:tc>
        <w:tc>
          <w:tcPr>
            <w:tcW w:w="532" w:type="dxa"/>
          </w:tcPr>
          <w:p w14:paraId="1C611CE4" w14:textId="74D9DEFE" w:rsidR="00846CC2" w:rsidRPr="00B706C8" w:rsidRDefault="00593B06" w:rsidP="00021EF3">
            <w:pPr>
              <w:spacing w:after="0"/>
            </w:pPr>
            <w:r w:rsidRPr="00A7109C">
              <w:t>700</w:t>
            </w:r>
          </w:p>
        </w:tc>
        <w:tc>
          <w:tcPr>
            <w:tcW w:w="1810" w:type="dxa"/>
          </w:tcPr>
          <w:p w14:paraId="18B185B3" w14:textId="654CBCFE" w:rsidR="00846CC2" w:rsidRPr="00B706C8" w:rsidRDefault="00593B06" w:rsidP="00021EF3">
            <w:pPr>
              <w:spacing w:after="0"/>
            </w:pPr>
            <w:r w:rsidRPr="00A7109C">
              <w:t>Computer System Design and Related Services</w:t>
            </w:r>
          </w:p>
        </w:tc>
        <w:tc>
          <w:tcPr>
            <w:tcW w:w="530" w:type="dxa"/>
          </w:tcPr>
          <w:p w14:paraId="1BAF7E23" w14:textId="4E1F9353" w:rsidR="00F938B5" w:rsidRPr="00A7109C" w:rsidRDefault="005A4EE5" w:rsidP="00021EF3">
            <w:pPr>
              <w:spacing w:after="0"/>
            </w:pPr>
            <w:r w:rsidRPr="00C86876">
              <w:t>911</w:t>
            </w:r>
          </w:p>
        </w:tc>
        <w:tc>
          <w:tcPr>
            <w:tcW w:w="1812" w:type="dxa"/>
          </w:tcPr>
          <w:p w14:paraId="3686BD36" w14:textId="2C63A800" w:rsidR="00F938B5" w:rsidRPr="00A7109C" w:rsidRDefault="005A4EE5" w:rsidP="00021EF3">
            <w:pPr>
              <w:spacing w:after="0"/>
            </w:pPr>
            <w:r w:rsidRPr="00C86876">
              <w:t>Sports and Physical Recreation Activities</w:t>
            </w:r>
          </w:p>
        </w:tc>
      </w:tr>
      <w:tr w:rsidR="00F75168" w14:paraId="0D42815E" w14:textId="68F4A4D1" w:rsidTr="00CD06F2">
        <w:trPr>
          <w:trHeight w:val="583"/>
        </w:trPr>
        <w:tc>
          <w:tcPr>
            <w:tcW w:w="540" w:type="dxa"/>
          </w:tcPr>
          <w:p w14:paraId="5CEDD9E4" w14:textId="1E222B24" w:rsidR="00724871" w:rsidRDefault="007D0014" w:rsidP="00021EF3">
            <w:pPr>
              <w:spacing w:after="0"/>
              <w:rPr>
                <w:lang w:eastAsia="en-AU"/>
              </w:rPr>
            </w:pPr>
            <w:r w:rsidRPr="004E4A72">
              <w:t>118</w:t>
            </w:r>
          </w:p>
        </w:tc>
        <w:tc>
          <w:tcPr>
            <w:tcW w:w="1802" w:type="dxa"/>
          </w:tcPr>
          <w:p w14:paraId="2BCCE728" w14:textId="132E1617" w:rsidR="00724871" w:rsidRDefault="0042515D" w:rsidP="00021EF3">
            <w:pPr>
              <w:spacing w:after="0"/>
              <w:rPr>
                <w:lang w:eastAsia="en-AU"/>
              </w:rPr>
            </w:pPr>
            <w:r w:rsidRPr="00BD295D">
              <w:rPr>
                <w:lang w:eastAsia="en-AU"/>
              </w:rPr>
              <w:t>Sugar and Confectionery Manufacturing</w:t>
            </w:r>
          </w:p>
        </w:tc>
        <w:tc>
          <w:tcPr>
            <w:tcW w:w="538" w:type="dxa"/>
          </w:tcPr>
          <w:p w14:paraId="6ECCAF83" w14:textId="1F295C22" w:rsidR="00724871" w:rsidRDefault="00D77A08" w:rsidP="00021EF3">
            <w:pPr>
              <w:spacing w:after="0"/>
              <w:rPr>
                <w:lang w:eastAsia="en-AU"/>
              </w:rPr>
            </w:pPr>
            <w:r w:rsidRPr="00DA1E4E">
              <w:t>291</w:t>
            </w:r>
          </w:p>
        </w:tc>
        <w:tc>
          <w:tcPr>
            <w:tcW w:w="1804" w:type="dxa"/>
          </w:tcPr>
          <w:p w14:paraId="3D762775" w14:textId="3AA320BF" w:rsidR="00724871" w:rsidRDefault="00D77A08" w:rsidP="00021EF3">
            <w:pPr>
              <w:spacing w:after="0"/>
              <w:rPr>
                <w:lang w:eastAsia="en-AU"/>
              </w:rPr>
            </w:pPr>
            <w:r w:rsidRPr="00DA1E4E">
              <w:t>Waste Collection Services</w:t>
            </w:r>
          </w:p>
        </w:tc>
        <w:tc>
          <w:tcPr>
            <w:tcW w:w="536" w:type="dxa"/>
          </w:tcPr>
          <w:p w14:paraId="78D47882" w14:textId="77C79F47" w:rsidR="00724871" w:rsidRDefault="00D77A08" w:rsidP="00021EF3">
            <w:pPr>
              <w:spacing w:after="0"/>
              <w:rPr>
                <w:lang w:eastAsia="en-AU"/>
              </w:rPr>
            </w:pPr>
            <w:r w:rsidRPr="001E6D66">
              <w:t>412</w:t>
            </w:r>
          </w:p>
        </w:tc>
        <w:tc>
          <w:tcPr>
            <w:tcW w:w="1806" w:type="dxa"/>
          </w:tcPr>
          <w:p w14:paraId="0A201E99" w14:textId="02AF8FAA" w:rsidR="00724871" w:rsidRDefault="00D77A08" w:rsidP="00021EF3">
            <w:pPr>
              <w:spacing w:after="0"/>
              <w:rPr>
                <w:lang w:eastAsia="en-AU"/>
              </w:rPr>
            </w:pPr>
            <w:r w:rsidRPr="001E6D66">
              <w:t>Specialised Food Retailing</w:t>
            </w:r>
          </w:p>
        </w:tc>
        <w:tc>
          <w:tcPr>
            <w:tcW w:w="534" w:type="dxa"/>
          </w:tcPr>
          <w:p w14:paraId="09C991E5" w14:textId="0DCA2092" w:rsidR="0042515D" w:rsidRPr="003C256C" w:rsidRDefault="00FF04DB" w:rsidP="00021EF3">
            <w:pPr>
              <w:spacing w:after="0"/>
            </w:pPr>
            <w:r w:rsidRPr="00DD3DA8">
              <w:t>530</w:t>
            </w:r>
          </w:p>
        </w:tc>
        <w:tc>
          <w:tcPr>
            <w:tcW w:w="1808" w:type="dxa"/>
          </w:tcPr>
          <w:p w14:paraId="55532D36" w14:textId="1E504587" w:rsidR="0042515D" w:rsidRPr="00B706C8" w:rsidRDefault="00FF04DB" w:rsidP="00021EF3">
            <w:pPr>
              <w:spacing w:after="0"/>
            </w:pPr>
            <w:r w:rsidRPr="00DD3DA8">
              <w:t>Warehousing and Storage Services</w:t>
            </w:r>
          </w:p>
        </w:tc>
        <w:tc>
          <w:tcPr>
            <w:tcW w:w="532" w:type="dxa"/>
          </w:tcPr>
          <w:p w14:paraId="67EA9308" w14:textId="4BFB4CE4" w:rsidR="00846CC2" w:rsidRPr="00B706C8" w:rsidRDefault="00593B06" w:rsidP="00021EF3">
            <w:pPr>
              <w:spacing w:after="0"/>
            </w:pPr>
            <w:r w:rsidRPr="00A7109C">
              <w:t>721</w:t>
            </w:r>
          </w:p>
        </w:tc>
        <w:tc>
          <w:tcPr>
            <w:tcW w:w="1810" w:type="dxa"/>
          </w:tcPr>
          <w:p w14:paraId="00BF19E6" w14:textId="02C1A0E5" w:rsidR="00846CC2" w:rsidRPr="00B706C8" w:rsidRDefault="00593B06" w:rsidP="00021EF3">
            <w:pPr>
              <w:spacing w:after="0"/>
            </w:pPr>
            <w:r w:rsidRPr="00A7109C">
              <w:t>Employment Services</w:t>
            </w:r>
          </w:p>
        </w:tc>
        <w:tc>
          <w:tcPr>
            <w:tcW w:w="530" w:type="dxa"/>
          </w:tcPr>
          <w:p w14:paraId="4B24C36D" w14:textId="0630E178" w:rsidR="00F938B5" w:rsidRPr="00A7109C" w:rsidRDefault="005A4EE5" w:rsidP="00021EF3">
            <w:pPr>
              <w:spacing w:after="0"/>
            </w:pPr>
            <w:r w:rsidRPr="00C86876">
              <w:t>912</w:t>
            </w:r>
          </w:p>
        </w:tc>
        <w:tc>
          <w:tcPr>
            <w:tcW w:w="1812" w:type="dxa"/>
          </w:tcPr>
          <w:p w14:paraId="5C69F919" w14:textId="1C46676D" w:rsidR="00F938B5" w:rsidRPr="00A7109C" w:rsidRDefault="005A4EE5" w:rsidP="00021EF3">
            <w:pPr>
              <w:spacing w:after="0"/>
            </w:pPr>
            <w:r w:rsidRPr="00C86876">
              <w:t>Horse and Dog Racing Activities</w:t>
            </w:r>
          </w:p>
        </w:tc>
      </w:tr>
      <w:tr w:rsidR="00F75168" w14:paraId="1DEB8C7C" w14:textId="08CEDE55" w:rsidTr="00CD06F2">
        <w:trPr>
          <w:trHeight w:val="779"/>
        </w:trPr>
        <w:tc>
          <w:tcPr>
            <w:tcW w:w="540" w:type="dxa"/>
          </w:tcPr>
          <w:p w14:paraId="4B69A5F3" w14:textId="1FDDD4B4" w:rsidR="00724871" w:rsidRDefault="007D0014" w:rsidP="00021EF3">
            <w:pPr>
              <w:spacing w:after="0"/>
              <w:rPr>
                <w:lang w:eastAsia="en-AU"/>
              </w:rPr>
            </w:pPr>
            <w:r w:rsidRPr="004E4A72">
              <w:t>119</w:t>
            </w:r>
          </w:p>
        </w:tc>
        <w:tc>
          <w:tcPr>
            <w:tcW w:w="1802" w:type="dxa"/>
          </w:tcPr>
          <w:p w14:paraId="2F103AF6" w14:textId="02DA8F2E" w:rsidR="00724871" w:rsidRDefault="0042515D" w:rsidP="00021EF3">
            <w:pPr>
              <w:spacing w:after="0"/>
              <w:rPr>
                <w:lang w:eastAsia="en-AU"/>
              </w:rPr>
            </w:pPr>
            <w:r w:rsidRPr="00EA110C">
              <w:rPr>
                <w:lang w:eastAsia="en-AU"/>
              </w:rPr>
              <w:t>Other Food Product Manufacturing</w:t>
            </w:r>
          </w:p>
        </w:tc>
        <w:tc>
          <w:tcPr>
            <w:tcW w:w="538" w:type="dxa"/>
          </w:tcPr>
          <w:p w14:paraId="1CB2C77C" w14:textId="7954FD4D" w:rsidR="00724871" w:rsidRDefault="00D77A08" w:rsidP="00021EF3">
            <w:pPr>
              <w:spacing w:after="0"/>
              <w:rPr>
                <w:lang w:eastAsia="en-AU"/>
              </w:rPr>
            </w:pPr>
            <w:r w:rsidRPr="00DA1E4E">
              <w:t>292</w:t>
            </w:r>
          </w:p>
        </w:tc>
        <w:tc>
          <w:tcPr>
            <w:tcW w:w="1804" w:type="dxa"/>
          </w:tcPr>
          <w:p w14:paraId="119BAAE7" w14:textId="4C86641D" w:rsidR="00724871" w:rsidRDefault="00D77A08" w:rsidP="00021EF3">
            <w:pPr>
              <w:spacing w:after="0"/>
              <w:rPr>
                <w:lang w:eastAsia="en-AU"/>
              </w:rPr>
            </w:pPr>
            <w:r w:rsidRPr="00DA1E4E">
              <w:t>Waste Treatment, Disposal and Remediation Services</w:t>
            </w:r>
          </w:p>
        </w:tc>
        <w:tc>
          <w:tcPr>
            <w:tcW w:w="536" w:type="dxa"/>
          </w:tcPr>
          <w:p w14:paraId="1BF82501" w14:textId="09A82B05" w:rsidR="00724871" w:rsidRDefault="00D77A08" w:rsidP="00021EF3">
            <w:pPr>
              <w:spacing w:after="0"/>
              <w:rPr>
                <w:lang w:eastAsia="en-AU"/>
              </w:rPr>
            </w:pPr>
            <w:r w:rsidRPr="001E6D66">
              <w:t>421</w:t>
            </w:r>
          </w:p>
        </w:tc>
        <w:tc>
          <w:tcPr>
            <w:tcW w:w="1806" w:type="dxa"/>
          </w:tcPr>
          <w:p w14:paraId="19B05CF9" w14:textId="13872447" w:rsidR="00724871" w:rsidRDefault="00D77A08" w:rsidP="00021EF3">
            <w:pPr>
              <w:spacing w:after="0"/>
              <w:rPr>
                <w:lang w:eastAsia="en-AU"/>
              </w:rPr>
            </w:pPr>
            <w:r w:rsidRPr="001E6D66">
              <w:t>Furniture, Floor Coverings, Houseware and Textile Goods Retailing</w:t>
            </w:r>
          </w:p>
        </w:tc>
        <w:tc>
          <w:tcPr>
            <w:tcW w:w="534" w:type="dxa"/>
          </w:tcPr>
          <w:p w14:paraId="1EF862A7" w14:textId="647F21B1" w:rsidR="0042515D" w:rsidRDefault="00FF04DB" w:rsidP="00021EF3">
            <w:pPr>
              <w:spacing w:after="0"/>
              <w:rPr>
                <w:lang w:eastAsia="en-AU"/>
              </w:rPr>
            </w:pPr>
            <w:r w:rsidRPr="00DD3DA8">
              <w:t>542</w:t>
            </w:r>
          </w:p>
        </w:tc>
        <w:tc>
          <w:tcPr>
            <w:tcW w:w="1808" w:type="dxa"/>
          </w:tcPr>
          <w:p w14:paraId="6E3C8DC4" w14:textId="7C3C8034" w:rsidR="0042515D" w:rsidRDefault="00FF04DB" w:rsidP="00021EF3">
            <w:pPr>
              <w:spacing w:after="0"/>
              <w:rPr>
                <w:lang w:eastAsia="en-AU"/>
              </w:rPr>
            </w:pPr>
            <w:r w:rsidRPr="00DD3DA8">
              <w:t>Software Publishing</w:t>
            </w:r>
          </w:p>
        </w:tc>
        <w:tc>
          <w:tcPr>
            <w:tcW w:w="532" w:type="dxa"/>
          </w:tcPr>
          <w:p w14:paraId="44C20432" w14:textId="59463167" w:rsidR="00846CC2" w:rsidRDefault="00593B06" w:rsidP="00021EF3">
            <w:pPr>
              <w:spacing w:after="0"/>
              <w:rPr>
                <w:lang w:eastAsia="en-AU"/>
              </w:rPr>
            </w:pPr>
            <w:r w:rsidRPr="00A7109C">
              <w:t>722</w:t>
            </w:r>
          </w:p>
        </w:tc>
        <w:tc>
          <w:tcPr>
            <w:tcW w:w="1810" w:type="dxa"/>
          </w:tcPr>
          <w:p w14:paraId="04993D6E" w14:textId="74E22FCF" w:rsidR="00846CC2" w:rsidRDefault="00593B06" w:rsidP="00021EF3">
            <w:pPr>
              <w:spacing w:after="0"/>
              <w:rPr>
                <w:lang w:eastAsia="en-AU"/>
              </w:rPr>
            </w:pPr>
            <w:r w:rsidRPr="00A7109C">
              <w:t>Travel Agency and Tour Arrangement Services</w:t>
            </w:r>
          </w:p>
        </w:tc>
        <w:tc>
          <w:tcPr>
            <w:tcW w:w="530" w:type="dxa"/>
          </w:tcPr>
          <w:p w14:paraId="25A4E09B" w14:textId="53FA883A" w:rsidR="00F938B5" w:rsidRPr="00A7109C" w:rsidRDefault="005A4EE5" w:rsidP="00021EF3">
            <w:pPr>
              <w:spacing w:after="0"/>
            </w:pPr>
            <w:r w:rsidRPr="00C86876">
              <w:t>913</w:t>
            </w:r>
          </w:p>
        </w:tc>
        <w:tc>
          <w:tcPr>
            <w:tcW w:w="1812" w:type="dxa"/>
          </w:tcPr>
          <w:p w14:paraId="41496516" w14:textId="4D490BC9" w:rsidR="00F938B5" w:rsidRPr="00A7109C" w:rsidRDefault="005A4EE5" w:rsidP="00021EF3">
            <w:pPr>
              <w:spacing w:after="0"/>
            </w:pPr>
            <w:r w:rsidRPr="00C86876">
              <w:t>Amusement and Other Recreation Activities</w:t>
            </w:r>
          </w:p>
        </w:tc>
      </w:tr>
      <w:tr w:rsidR="00F75168" w14:paraId="7B2D8EA7" w14:textId="6681CE6E" w:rsidTr="00CD06F2">
        <w:trPr>
          <w:trHeight w:val="567"/>
        </w:trPr>
        <w:tc>
          <w:tcPr>
            <w:tcW w:w="540" w:type="dxa"/>
          </w:tcPr>
          <w:p w14:paraId="70792438" w14:textId="2F86D18E" w:rsidR="00724871" w:rsidRDefault="00846CC2" w:rsidP="00021EF3">
            <w:pPr>
              <w:spacing w:after="0"/>
              <w:rPr>
                <w:lang w:eastAsia="en-AU"/>
              </w:rPr>
            </w:pPr>
            <w:r w:rsidRPr="0068505E">
              <w:t>121</w:t>
            </w:r>
          </w:p>
        </w:tc>
        <w:tc>
          <w:tcPr>
            <w:tcW w:w="1802" w:type="dxa"/>
          </w:tcPr>
          <w:p w14:paraId="726F7ADE" w14:textId="4FCC9A8E" w:rsidR="00724871" w:rsidRDefault="00846CC2" w:rsidP="00021EF3">
            <w:pPr>
              <w:spacing w:after="0"/>
              <w:rPr>
                <w:lang w:eastAsia="en-AU"/>
              </w:rPr>
            </w:pPr>
            <w:r w:rsidRPr="0068505E">
              <w:t>Beverage Manufacturing</w:t>
            </w:r>
          </w:p>
        </w:tc>
        <w:tc>
          <w:tcPr>
            <w:tcW w:w="538" w:type="dxa"/>
          </w:tcPr>
          <w:p w14:paraId="39C980AC" w14:textId="68BCCFEC" w:rsidR="00724871" w:rsidRDefault="00D77A08" w:rsidP="00021EF3">
            <w:pPr>
              <w:spacing w:after="0"/>
              <w:rPr>
                <w:lang w:eastAsia="en-AU"/>
              </w:rPr>
            </w:pPr>
            <w:r w:rsidRPr="00DA1E4E">
              <w:t>301</w:t>
            </w:r>
          </w:p>
        </w:tc>
        <w:tc>
          <w:tcPr>
            <w:tcW w:w="1804" w:type="dxa"/>
          </w:tcPr>
          <w:p w14:paraId="025A213A" w14:textId="2E817E81" w:rsidR="00724871" w:rsidRDefault="00D77A08" w:rsidP="00021EF3">
            <w:pPr>
              <w:spacing w:after="0"/>
              <w:rPr>
                <w:lang w:eastAsia="en-AU"/>
              </w:rPr>
            </w:pPr>
            <w:r w:rsidRPr="00DA1E4E">
              <w:t>Residential Building Construction</w:t>
            </w:r>
          </w:p>
        </w:tc>
        <w:tc>
          <w:tcPr>
            <w:tcW w:w="536" w:type="dxa"/>
          </w:tcPr>
          <w:p w14:paraId="56B96045" w14:textId="625B8E85" w:rsidR="00724871" w:rsidRDefault="00D77A08" w:rsidP="00021EF3">
            <w:pPr>
              <w:spacing w:after="0"/>
              <w:rPr>
                <w:lang w:eastAsia="en-AU"/>
              </w:rPr>
            </w:pPr>
            <w:r w:rsidRPr="001E6D66">
              <w:t>422</w:t>
            </w:r>
          </w:p>
        </w:tc>
        <w:tc>
          <w:tcPr>
            <w:tcW w:w="1806" w:type="dxa"/>
          </w:tcPr>
          <w:p w14:paraId="20AF2BBC" w14:textId="6D775FBA" w:rsidR="00724871" w:rsidRDefault="00D77A08" w:rsidP="00021EF3">
            <w:pPr>
              <w:spacing w:after="0"/>
              <w:rPr>
                <w:lang w:eastAsia="en-AU"/>
              </w:rPr>
            </w:pPr>
            <w:r w:rsidRPr="001E6D66">
              <w:t>Electrical and Electronic Goods Retailing</w:t>
            </w:r>
          </w:p>
        </w:tc>
        <w:tc>
          <w:tcPr>
            <w:tcW w:w="534" w:type="dxa"/>
          </w:tcPr>
          <w:p w14:paraId="49B42CD2" w14:textId="3C92D71F" w:rsidR="0042515D" w:rsidRDefault="00FF04DB" w:rsidP="00021EF3">
            <w:pPr>
              <w:spacing w:after="0"/>
              <w:rPr>
                <w:lang w:eastAsia="en-AU"/>
              </w:rPr>
            </w:pPr>
            <w:r w:rsidRPr="00DD3DA8">
              <w:t>551</w:t>
            </w:r>
          </w:p>
        </w:tc>
        <w:tc>
          <w:tcPr>
            <w:tcW w:w="1808" w:type="dxa"/>
          </w:tcPr>
          <w:p w14:paraId="5600BF14" w14:textId="68538BF0" w:rsidR="0042515D" w:rsidRDefault="00FF04DB" w:rsidP="00021EF3">
            <w:pPr>
              <w:spacing w:after="0"/>
              <w:rPr>
                <w:lang w:eastAsia="en-AU"/>
              </w:rPr>
            </w:pPr>
            <w:r w:rsidRPr="00DD3DA8">
              <w:t>Motion Picture and Video Activities</w:t>
            </w:r>
          </w:p>
        </w:tc>
        <w:tc>
          <w:tcPr>
            <w:tcW w:w="532" w:type="dxa"/>
          </w:tcPr>
          <w:p w14:paraId="3A2BB36B" w14:textId="2450FE8E" w:rsidR="00846CC2" w:rsidRDefault="00593B06" w:rsidP="00021EF3">
            <w:pPr>
              <w:spacing w:after="0"/>
              <w:rPr>
                <w:lang w:eastAsia="en-AU"/>
              </w:rPr>
            </w:pPr>
            <w:r w:rsidRPr="00A7109C">
              <w:t>729</w:t>
            </w:r>
          </w:p>
        </w:tc>
        <w:tc>
          <w:tcPr>
            <w:tcW w:w="1810" w:type="dxa"/>
          </w:tcPr>
          <w:p w14:paraId="5B4BC2BF" w14:textId="524245DB" w:rsidR="00846CC2" w:rsidRDefault="00593B06" w:rsidP="00021EF3">
            <w:pPr>
              <w:spacing w:after="0"/>
              <w:rPr>
                <w:lang w:eastAsia="en-AU"/>
              </w:rPr>
            </w:pPr>
            <w:r w:rsidRPr="00A7109C">
              <w:t>Other Administrative Services</w:t>
            </w:r>
          </w:p>
        </w:tc>
        <w:tc>
          <w:tcPr>
            <w:tcW w:w="530" w:type="dxa"/>
          </w:tcPr>
          <w:p w14:paraId="6E7E528D" w14:textId="0655FB62" w:rsidR="00F938B5" w:rsidRPr="00A7109C" w:rsidRDefault="005A4EE5" w:rsidP="00021EF3">
            <w:pPr>
              <w:spacing w:after="0"/>
            </w:pPr>
            <w:r w:rsidRPr="00C86876">
              <w:t>920</w:t>
            </w:r>
          </w:p>
        </w:tc>
        <w:tc>
          <w:tcPr>
            <w:tcW w:w="1812" w:type="dxa"/>
          </w:tcPr>
          <w:p w14:paraId="7F31DC23" w14:textId="2B999E84" w:rsidR="00F938B5" w:rsidRPr="00A7109C" w:rsidRDefault="005A4EE5" w:rsidP="00021EF3">
            <w:pPr>
              <w:spacing w:after="0"/>
            </w:pPr>
            <w:r w:rsidRPr="00C86876">
              <w:t>Gambling Activities</w:t>
            </w:r>
          </w:p>
        </w:tc>
      </w:tr>
      <w:tr w:rsidR="00F75168" w14:paraId="51926728" w14:textId="3ECA9E62" w:rsidTr="00CD06F2">
        <w:trPr>
          <w:trHeight w:val="583"/>
        </w:trPr>
        <w:tc>
          <w:tcPr>
            <w:tcW w:w="540" w:type="dxa"/>
          </w:tcPr>
          <w:p w14:paraId="1DC6A830" w14:textId="21363FFD" w:rsidR="00724871" w:rsidRDefault="00846CC2" w:rsidP="00021EF3">
            <w:pPr>
              <w:spacing w:after="0"/>
              <w:rPr>
                <w:lang w:eastAsia="en-AU"/>
              </w:rPr>
            </w:pPr>
            <w:r w:rsidRPr="0068505E">
              <w:t>135</w:t>
            </w:r>
          </w:p>
        </w:tc>
        <w:tc>
          <w:tcPr>
            <w:tcW w:w="1802" w:type="dxa"/>
          </w:tcPr>
          <w:p w14:paraId="692EF54E" w14:textId="24F7B8D3" w:rsidR="00724871" w:rsidRDefault="00846CC2" w:rsidP="00021EF3">
            <w:pPr>
              <w:spacing w:after="0"/>
              <w:rPr>
                <w:lang w:eastAsia="en-AU"/>
              </w:rPr>
            </w:pPr>
            <w:r w:rsidRPr="0068505E">
              <w:t>Clothing and Footwear Manufacturing</w:t>
            </w:r>
          </w:p>
        </w:tc>
        <w:tc>
          <w:tcPr>
            <w:tcW w:w="538" w:type="dxa"/>
          </w:tcPr>
          <w:p w14:paraId="49859032" w14:textId="5CF6C835" w:rsidR="00724871" w:rsidRDefault="00D77A08" w:rsidP="00021EF3">
            <w:pPr>
              <w:spacing w:after="0"/>
              <w:rPr>
                <w:lang w:eastAsia="en-AU"/>
              </w:rPr>
            </w:pPr>
            <w:r w:rsidRPr="00DA1E4E">
              <w:t>302</w:t>
            </w:r>
          </w:p>
        </w:tc>
        <w:tc>
          <w:tcPr>
            <w:tcW w:w="1804" w:type="dxa"/>
          </w:tcPr>
          <w:p w14:paraId="23F9A65B" w14:textId="026B7E69" w:rsidR="00724871" w:rsidRDefault="00D77A08" w:rsidP="00021EF3">
            <w:pPr>
              <w:spacing w:after="0"/>
              <w:rPr>
                <w:lang w:eastAsia="en-AU"/>
              </w:rPr>
            </w:pPr>
            <w:r w:rsidRPr="00DA1E4E">
              <w:t>Non-Residential Building Construction</w:t>
            </w:r>
          </w:p>
        </w:tc>
        <w:tc>
          <w:tcPr>
            <w:tcW w:w="536" w:type="dxa"/>
          </w:tcPr>
          <w:p w14:paraId="3B6FC2E2" w14:textId="7CAFB20E" w:rsidR="00724871" w:rsidRDefault="00D77A08" w:rsidP="00021EF3">
            <w:pPr>
              <w:spacing w:after="0"/>
              <w:rPr>
                <w:lang w:eastAsia="en-AU"/>
              </w:rPr>
            </w:pPr>
            <w:r w:rsidRPr="001E6D66">
              <w:t>423</w:t>
            </w:r>
          </w:p>
        </w:tc>
        <w:tc>
          <w:tcPr>
            <w:tcW w:w="1806" w:type="dxa"/>
          </w:tcPr>
          <w:p w14:paraId="49941910" w14:textId="7B4EC682" w:rsidR="00724871" w:rsidRDefault="00D77A08" w:rsidP="00021EF3">
            <w:pPr>
              <w:spacing w:after="0"/>
              <w:rPr>
                <w:lang w:eastAsia="en-AU"/>
              </w:rPr>
            </w:pPr>
            <w:r w:rsidRPr="001E6D66">
              <w:t>Hardware, Building and Garden Supplies Retailing</w:t>
            </w:r>
          </w:p>
        </w:tc>
        <w:tc>
          <w:tcPr>
            <w:tcW w:w="534" w:type="dxa"/>
          </w:tcPr>
          <w:p w14:paraId="1DE5159A" w14:textId="09A78FF5" w:rsidR="0042515D" w:rsidRDefault="00FF04DB" w:rsidP="00021EF3">
            <w:pPr>
              <w:spacing w:after="0"/>
              <w:rPr>
                <w:lang w:eastAsia="en-AU"/>
              </w:rPr>
            </w:pPr>
            <w:r w:rsidRPr="00DD3DA8">
              <w:t>552</w:t>
            </w:r>
          </w:p>
        </w:tc>
        <w:tc>
          <w:tcPr>
            <w:tcW w:w="1808" w:type="dxa"/>
          </w:tcPr>
          <w:p w14:paraId="05335245" w14:textId="7C4A57C8" w:rsidR="0042515D" w:rsidRDefault="00FF04DB" w:rsidP="00021EF3">
            <w:pPr>
              <w:spacing w:after="0"/>
              <w:rPr>
                <w:lang w:eastAsia="en-AU"/>
              </w:rPr>
            </w:pPr>
            <w:r w:rsidRPr="00DD3DA8">
              <w:t>Sound Recording and Music Publishing</w:t>
            </w:r>
          </w:p>
        </w:tc>
        <w:tc>
          <w:tcPr>
            <w:tcW w:w="532" w:type="dxa"/>
          </w:tcPr>
          <w:p w14:paraId="6D4EF740" w14:textId="537ECC35" w:rsidR="00846CC2" w:rsidRDefault="00593B06" w:rsidP="00021EF3">
            <w:pPr>
              <w:spacing w:after="0"/>
              <w:rPr>
                <w:lang w:eastAsia="en-AU"/>
              </w:rPr>
            </w:pPr>
            <w:r w:rsidRPr="00A7109C">
              <w:t>731</w:t>
            </w:r>
          </w:p>
        </w:tc>
        <w:tc>
          <w:tcPr>
            <w:tcW w:w="1810" w:type="dxa"/>
          </w:tcPr>
          <w:p w14:paraId="3BE4DCE6" w14:textId="426CEB70" w:rsidR="00846CC2" w:rsidRDefault="00593B06" w:rsidP="00021EF3">
            <w:pPr>
              <w:spacing w:after="0"/>
              <w:rPr>
                <w:lang w:eastAsia="en-AU"/>
              </w:rPr>
            </w:pPr>
            <w:r w:rsidRPr="00A7109C">
              <w:t>Building Cleaning, Pest Control and Gardening Services</w:t>
            </w:r>
          </w:p>
        </w:tc>
        <w:tc>
          <w:tcPr>
            <w:tcW w:w="530" w:type="dxa"/>
          </w:tcPr>
          <w:p w14:paraId="135578A8" w14:textId="3F630578" w:rsidR="00F938B5" w:rsidRPr="00A7109C" w:rsidRDefault="005A4EE5" w:rsidP="00021EF3">
            <w:pPr>
              <w:spacing w:after="0"/>
            </w:pPr>
            <w:r w:rsidRPr="00C86876">
              <w:t>941</w:t>
            </w:r>
          </w:p>
        </w:tc>
        <w:tc>
          <w:tcPr>
            <w:tcW w:w="1812" w:type="dxa"/>
          </w:tcPr>
          <w:p w14:paraId="51028B50" w14:textId="54D5AC6D" w:rsidR="00F938B5" w:rsidRPr="00A7109C" w:rsidRDefault="005A4EE5" w:rsidP="00021EF3">
            <w:pPr>
              <w:spacing w:after="0"/>
            </w:pPr>
            <w:r w:rsidRPr="00C86876">
              <w:t>Automotive Repair and Maintenance</w:t>
            </w:r>
          </w:p>
        </w:tc>
      </w:tr>
      <w:tr w:rsidR="00F75168" w14:paraId="31B0801D" w14:textId="205336E4" w:rsidTr="00CD06F2">
        <w:trPr>
          <w:trHeight w:val="583"/>
        </w:trPr>
        <w:tc>
          <w:tcPr>
            <w:tcW w:w="540" w:type="dxa"/>
          </w:tcPr>
          <w:p w14:paraId="788C5C65" w14:textId="40447EEF" w:rsidR="00724871" w:rsidRDefault="00846CC2" w:rsidP="00021EF3">
            <w:pPr>
              <w:spacing w:after="0"/>
              <w:rPr>
                <w:lang w:eastAsia="en-AU"/>
              </w:rPr>
            </w:pPr>
            <w:r w:rsidRPr="0068505E">
              <w:t>149</w:t>
            </w:r>
          </w:p>
        </w:tc>
        <w:tc>
          <w:tcPr>
            <w:tcW w:w="1802" w:type="dxa"/>
          </w:tcPr>
          <w:p w14:paraId="3BC179FD" w14:textId="402D20CA" w:rsidR="00724871" w:rsidRDefault="00846CC2" w:rsidP="00021EF3">
            <w:pPr>
              <w:spacing w:after="0"/>
              <w:rPr>
                <w:lang w:eastAsia="en-AU"/>
              </w:rPr>
            </w:pPr>
            <w:r w:rsidRPr="0068505E">
              <w:t>Other Wood Product Manufacturing</w:t>
            </w:r>
          </w:p>
        </w:tc>
        <w:tc>
          <w:tcPr>
            <w:tcW w:w="538" w:type="dxa"/>
          </w:tcPr>
          <w:p w14:paraId="0871BCF3" w14:textId="729B1835" w:rsidR="00724871" w:rsidRDefault="00D77A08" w:rsidP="00021EF3">
            <w:pPr>
              <w:spacing w:after="0"/>
              <w:rPr>
                <w:lang w:eastAsia="en-AU"/>
              </w:rPr>
            </w:pPr>
            <w:r w:rsidRPr="00DA1E4E">
              <w:t>310</w:t>
            </w:r>
          </w:p>
        </w:tc>
        <w:tc>
          <w:tcPr>
            <w:tcW w:w="1804" w:type="dxa"/>
          </w:tcPr>
          <w:p w14:paraId="0E6A682F" w14:textId="42FCA0C4" w:rsidR="00724871" w:rsidRDefault="00D77A08" w:rsidP="00021EF3">
            <w:pPr>
              <w:spacing w:after="0"/>
              <w:rPr>
                <w:lang w:eastAsia="en-AU"/>
              </w:rPr>
            </w:pPr>
            <w:r w:rsidRPr="00DA1E4E">
              <w:t>Heavy and Civil Engineering Construction</w:t>
            </w:r>
          </w:p>
        </w:tc>
        <w:tc>
          <w:tcPr>
            <w:tcW w:w="536" w:type="dxa"/>
          </w:tcPr>
          <w:p w14:paraId="232B8581" w14:textId="78E90D16" w:rsidR="00724871" w:rsidRDefault="00D77A08" w:rsidP="00021EF3">
            <w:pPr>
              <w:spacing w:after="0"/>
              <w:rPr>
                <w:lang w:eastAsia="en-AU"/>
              </w:rPr>
            </w:pPr>
            <w:r w:rsidRPr="001E6D66">
              <w:t>424</w:t>
            </w:r>
          </w:p>
        </w:tc>
        <w:tc>
          <w:tcPr>
            <w:tcW w:w="1806" w:type="dxa"/>
          </w:tcPr>
          <w:p w14:paraId="57AD62B4" w14:textId="1FA8086B" w:rsidR="00724871" w:rsidRDefault="00D77A08" w:rsidP="00021EF3">
            <w:pPr>
              <w:spacing w:after="0"/>
              <w:rPr>
                <w:lang w:eastAsia="en-AU"/>
              </w:rPr>
            </w:pPr>
            <w:r w:rsidRPr="001E6D66">
              <w:t>Recreational Goods Retailing</w:t>
            </w:r>
          </w:p>
        </w:tc>
        <w:tc>
          <w:tcPr>
            <w:tcW w:w="534" w:type="dxa"/>
          </w:tcPr>
          <w:p w14:paraId="324E588D" w14:textId="3C1951E8" w:rsidR="0042515D" w:rsidRDefault="00FF04DB" w:rsidP="00021EF3">
            <w:pPr>
              <w:spacing w:after="0"/>
              <w:rPr>
                <w:lang w:eastAsia="en-AU"/>
              </w:rPr>
            </w:pPr>
            <w:r w:rsidRPr="00DD3DA8">
              <w:t>570</w:t>
            </w:r>
          </w:p>
        </w:tc>
        <w:tc>
          <w:tcPr>
            <w:tcW w:w="1808" w:type="dxa"/>
          </w:tcPr>
          <w:p w14:paraId="4B1BDB88" w14:textId="32681756" w:rsidR="0042515D" w:rsidRDefault="00FF04DB" w:rsidP="00021EF3">
            <w:pPr>
              <w:spacing w:after="0"/>
              <w:rPr>
                <w:lang w:eastAsia="en-AU"/>
              </w:rPr>
            </w:pPr>
            <w:r w:rsidRPr="00DD3DA8">
              <w:t>Internet Publishing and Broadcasting</w:t>
            </w:r>
          </w:p>
        </w:tc>
        <w:tc>
          <w:tcPr>
            <w:tcW w:w="532" w:type="dxa"/>
          </w:tcPr>
          <w:p w14:paraId="3EE9FD39" w14:textId="67910DE3" w:rsidR="00846CC2" w:rsidRDefault="00593B06" w:rsidP="00021EF3">
            <w:pPr>
              <w:spacing w:after="0"/>
              <w:rPr>
                <w:lang w:eastAsia="en-AU"/>
              </w:rPr>
            </w:pPr>
            <w:r w:rsidRPr="00A7109C">
              <w:t>732</w:t>
            </w:r>
          </w:p>
        </w:tc>
        <w:tc>
          <w:tcPr>
            <w:tcW w:w="1810" w:type="dxa"/>
          </w:tcPr>
          <w:p w14:paraId="14A51685" w14:textId="42CEB460" w:rsidR="00846CC2" w:rsidRDefault="00593B06" w:rsidP="00021EF3">
            <w:pPr>
              <w:spacing w:after="0"/>
              <w:rPr>
                <w:lang w:eastAsia="en-AU"/>
              </w:rPr>
            </w:pPr>
            <w:r w:rsidRPr="00A7109C">
              <w:t>Packaging Services</w:t>
            </w:r>
          </w:p>
        </w:tc>
        <w:tc>
          <w:tcPr>
            <w:tcW w:w="530" w:type="dxa"/>
          </w:tcPr>
          <w:p w14:paraId="42C82873" w14:textId="2444B7A7" w:rsidR="00F938B5" w:rsidRPr="00A7109C" w:rsidRDefault="005A4EE5" w:rsidP="00021EF3">
            <w:pPr>
              <w:spacing w:after="0"/>
            </w:pPr>
            <w:r w:rsidRPr="00C86876">
              <w:t>942</w:t>
            </w:r>
          </w:p>
        </w:tc>
        <w:tc>
          <w:tcPr>
            <w:tcW w:w="1812" w:type="dxa"/>
          </w:tcPr>
          <w:p w14:paraId="13C496E1" w14:textId="7B464447" w:rsidR="00F938B5" w:rsidRPr="00A7109C" w:rsidRDefault="005A4EE5" w:rsidP="00021EF3">
            <w:pPr>
              <w:spacing w:after="0"/>
            </w:pPr>
            <w:r w:rsidRPr="00C86876">
              <w:t>Machinery and Equipment Repair and Maintenance</w:t>
            </w:r>
          </w:p>
        </w:tc>
      </w:tr>
      <w:tr w:rsidR="00F75168" w14:paraId="530C9C7B" w14:textId="09BFA80A" w:rsidTr="00CD06F2">
        <w:trPr>
          <w:trHeight w:val="583"/>
        </w:trPr>
        <w:tc>
          <w:tcPr>
            <w:tcW w:w="540" w:type="dxa"/>
          </w:tcPr>
          <w:p w14:paraId="5B2FA184" w14:textId="7398C8B0" w:rsidR="00724871" w:rsidRDefault="00846CC2" w:rsidP="00021EF3">
            <w:pPr>
              <w:spacing w:after="0"/>
              <w:rPr>
                <w:lang w:eastAsia="en-AU"/>
              </w:rPr>
            </w:pPr>
            <w:r w:rsidRPr="0068505E">
              <w:t>152</w:t>
            </w:r>
          </w:p>
        </w:tc>
        <w:tc>
          <w:tcPr>
            <w:tcW w:w="1802" w:type="dxa"/>
          </w:tcPr>
          <w:p w14:paraId="4D541BA5" w14:textId="15A4F131" w:rsidR="00724871" w:rsidRDefault="00846CC2" w:rsidP="00021EF3">
            <w:pPr>
              <w:spacing w:after="0"/>
              <w:rPr>
                <w:lang w:eastAsia="en-AU"/>
              </w:rPr>
            </w:pPr>
            <w:r w:rsidRPr="0068505E">
              <w:t>Converted Paper Product Manufacturing</w:t>
            </w:r>
          </w:p>
        </w:tc>
        <w:tc>
          <w:tcPr>
            <w:tcW w:w="538" w:type="dxa"/>
          </w:tcPr>
          <w:p w14:paraId="2EB568DA" w14:textId="36B6DF4B" w:rsidR="00724871" w:rsidRDefault="00D77A08" w:rsidP="00021EF3">
            <w:pPr>
              <w:spacing w:after="0"/>
              <w:rPr>
                <w:lang w:eastAsia="en-AU"/>
              </w:rPr>
            </w:pPr>
            <w:r w:rsidRPr="00DA1E4E">
              <w:t>321</w:t>
            </w:r>
          </w:p>
        </w:tc>
        <w:tc>
          <w:tcPr>
            <w:tcW w:w="1804" w:type="dxa"/>
          </w:tcPr>
          <w:p w14:paraId="008439DB" w14:textId="20A10568" w:rsidR="00724871" w:rsidRDefault="00D77A08" w:rsidP="00021EF3">
            <w:pPr>
              <w:spacing w:after="0"/>
              <w:rPr>
                <w:lang w:eastAsia="en-AU"/>
              </w:rPr>
            </w:pPr>
            <w:r w:rsidRPr="00DA1E4E">
              <w:t>Land Development and Site Preparation Services</w:t>
            </w:r>
          </w:p>
        </w:tc>
        <w:tc>
          <w:tcPr>
            <w:tcW w:w="536" w:type="dxa"/>
          </w:tcPr>
          <w:p w14:paraId="6BAC450C" w14:textId="1CBE142D" w:rsidR="00724871" w:rsidRDefault="00D77A08" w:rsidP="00021EF3">
            <w:pPr>
              <w:spacing w:after="0"/>
              <w:rPr>
                <w:lang w:eastAsia="en-AU"/>
              </w:rPr>
            </w:pPr>
            <w:r w:rsidRPr="001E6D66">
              <w:t>425</w:t>
            </w:r>
          </w:p>
        </w:tc>
        <w:tc>
          <w:tcPr>
            <w:tcW w:w="1806" w:type="dxa"/>
          </w:tcPr>
          <w:p w14:paraId="4AE1C9EE" w14:textId="4318B214" w:rsidR="00724871" w:rsidRDefault="00D77A08" w:rsidP="00021EF3">
            <w:pPr>
              <w:spacing w:after="0"/>
              <w:rPr>
                <w:lang w:eastAsia="en-AU"/>
              </w:rPr>
            </w:pPr>
            <w:r w:rsidRPr="001E6D66">
              <w:t>Clothing, Footwear and Personal Accessory Retailing</w:t>
            </w:r>
          </w:p>
        </w:tc>
        <w:tc>
          <w:tcPr>
            <w:tcW w:w="534" w:type="dxa"/>
          </w:tcPr>
          <w:p w14:paraId="786EE7B3" w14:textId="57B19764" w:rsidR="0042515D" w:rsidRDefault="00FF04DB" w:rsidP="00021EF3">
            <w:pPr>
              <w:spacing w:after="0"/>
              <w:rPr>
                <w:lang w:eastAsia="en-AU"/>
              </w:rPr>
            </w:pPr>
            <w:r w:rsidRPr="00DD3DA8">
              <w:t>580</w:t>
            </w:r>
          </w:p>
        </w:tc>
        <w:tc>
          <w:tcPr>
            <w:tcW w:w="1808" w:type="dxa"/>
          </w:tcPr>
          <w:p w14:paraId="0E698F5A" w14:textId="5309BC41" w:rsidR="0042515D" w:rsidRDefault="00FF04DB" w:rsidP="00021EF3">
            <w:pPr>
              <w:spacing w:after="0"/>
              <w:rPr>
                <w:lang w:eastAsia="en-AU"/>
              </w:rPr>
            </w:pPr>
            <w:r w:rsidRPr="00DD3DA8">
              <w:t>Telecommunications Services</w:t>
            </w:r>
          </w:p>
        </w:tc>
        <w:tc>
          <w:tcPr>
            <w:tcW w:w="532" w:type="dxa"/>
          </w:tcPr>
          <w:p w14:paraId="77FB2D10" w14:textId="0EEAAAD5" w:rsidR="00846CC2" w:rsidRDefault="00593B06" w:rsidP="00021EF3">
            <w:pPr>
              <w:spacing w:after="0"/>
              <w:rPr>
                <w:lang w:eastAsia="en-AU"/>
              </w:rPr>
            </w:pPr>
            <w:r w:rsidRPr="00A7109C">
              <w:t>751</w:t>
            </w:r>
          </w:p>
        </w:tc>
        <w:tc>
          <w:tcPr>
            <w:tcW w:w="1810" w:type="dxa"/>
          </w:tcPr>
          <w:p w14:paraId="517B4AEA" w14:textId="5BA86CB1" w:rsidR="00846CC2" w:rsidRDefault="00593B06" w:rsidP="00021EF3">
            <w:pPr>
              <w:spacing w:after="0"/>
              <w:rPr>
                <w:lang w:eastAsia="en-AU"/>
              </w:rPr>
            </w:pPr>
            <w:r w:rsidRPr="00A7109C">
              <w:t>Central Government Administration</w:t>
            </w:r>
          </w:p>
        </w:tc>
        <w:tc>
          <w:tcPr>
            <w:tcW w:w="530" w:type="dxa"/>
          </w:tcPr>
          <w:p w14:paraId="56B6DE5B" w14:textId="51B643FD" w:rsidR="00F938B5" w:rsidRPr="00A7109C" w:rsidRDefault="005A4EE5" w:rsidP="00021EF3">
            <w:pPr>
              <w:spacing w:after="0"/>
            </w:pPr>
            <w:r w:rsidRPr="00C86876">
              <w:t>949</w:t>
            </w:r>
          </w:p>
        </w:tc>
        <w:tc>
          <w:tcPr>
            <w:tcW w:w="1812" w:type="dxa"/>
          </w:tcPr>
          <w:p w14:paraId="407D334F" w14:textId="585B25D6" w:rsidR="00F938B5" w:rsidRPr="00A7109C" w:rsidRDefault="005A4EE5" w:rsidP="00021EF3">
            <w:pPr>
              <w:spacing w:after="0"/>
            </w:pPr>
            <w:r w:rsidRPr="00C86876">
              <w:t>Other Repair and Maintenance</w:t>
            </w:r>
          </w:p>
        </w:tc>
      </w:tr>
      <w:tr w:rsidR="00F75168" w14:paraId="1383200A" w14:textId="4990E962" w:rsidTr="00CD06F2">
        <w:trPr>
          <w:trHeight w:val="779"/>
        </w:trPr>
        <w:tc>
          <w:tcPr>
            <w:tcW w:w="540" w:type="dxa"/>
          </w:tcPr>
          <w:p w14:paraId="25DBFF8A" w14:textId="00DF7168" w:rsidR="00724871" w:rsidRDefault="00846CC2" w:rsidP="00021EF3">
            <w:pPr>
              <w:spacing w:after="0"/>
              <w:rPr>
                <w:lang w:eastAsia="en-AU"/>
              </w:rPr>
            </w:pPr>
            <w:r w:rsidRPr="0068505E">
              <w:t>161</w:t>
            </w:r>
          </w:p>
        </w:tc>
        <w:tc>
          <w:tcPr>
            <w:tcW w:w="1802" w:type="dxa"/>
          </w:tcPr>
          <w:p w14:paraId="03E71758" w14:textId="1A3888DD" w:rsidR="00724871" w:rsidRDefault="00846CC2" w:rsidP="00021EF3">
            <w:pPr>
              <w:spacing w:after="0"/>
              <w:rPr>
                <w:lang w:eastAsia="en-AU"/>
              </w:rPr>
            </w:pPr>
            <w:r w:rsidRPr="0068505E">
              <w:t>Printing and Printing Support Services</w:t>
            </w:r>
          </w:p>
        </w:tc>
        <w:tc>
          <w:tcPr>
            <w:tcW w:w="538" w:type="dxa"/>
          </w:tcPr>
          <w:p w14:paraId="53774603" w14:textId="65141C53" w:rsidR="00724871" w:rsidRDefault="00D77A08" w:rsidP="00021EF3">
            <w:pPr>
              <w:spacing w:after="0"/>
              <w:rPr>
                <w:lang w:eastAsia="en-AU"/>
              </w:rPr>
            </w:pPr>
            <w:r w:rsidRPr="00DA1E4E">
              <w:t>322</w:t>
            </w:r>
          </w:p>
        </w:tc>
        <w:tc>
          <w:tcPr>
            <w:tcW w:w="1804" w:type="dxa"/>
          </w:tcPr>
          <w:p w14:paraId="21C5C007" w14:textId="4F8F7611" w:rsidR="00724871" w:rsidRDefault="00D77A08" w:rsidP="00021EF3">
            <w:pPr>
              <w:spacing w:after="0"/>
              <w:rPr>
                <w:lang w:eastAsia="en-AU"/>
              </w:rPr>
            </w:pPr>
            <w:r w:rsidRPr="00DA1E4E">
              <w:t>Building Structure Services</w:t>
            </w:r>
          </w:p>
        </w:tc>
        <w:tc>
          <w:tcPr>
            <w:tcW w:w="536" w:type="dxa"/>
          </w:tcPr>
          <w:p w14:paraId="3A648557" w14:textId="00246803" w:rsidR="00724871" w:rsidRDefault="00D77A08" w:rsidP="00021EF3">
            <w:pPr>
              <w:spacing w:after="0"/>
              <w:rPr>
                <w:lang w:eastAsia="en-AU"/>
              </w:rPr>
            </w:pPr>
            <w:r w:rsidRPr="001E6D66">
              <w:t>426</w:t>
            </w:r>
          </w:p>
        </w:tc>
        <w:tc>
          <w:tcPr>
            <w:tcW w:w="1806" w:type="dxa"/>
          </w:tcPr>
          <w:p w14:paraId="3D5C284E" w14:textId="0FB6F696" w:rsidR="00724871" w:rsidRDefault="00D77A08" w:rsidP="00021EF3">
            <w:pPr>
              <w:spacing w:after="0"/>
              <w:rPr>
                <w:lang w:eastAsia="en-AU"/>
              </w:rPr>
            </w:pPr>
            <w:r w:rsidRPr="001E6D66">
              <w:t>Department Stores</w:t>
            </w:r>
          </w:p>
        </w:tc>
        <w:tc>
          <w:tcPr>
            <w:tcW w:w="534" w:type="dxa"/>
          </w:tcPr>
          <w:p w14:paraId="20321A25" w14:textId="77079E73" w:rsidR="0042515D" w:rsidRDefault="00FF04DB" w:rsidP="00021EF3">
            <w:pPr>
              <w:spacing w:after="0"/>
              <w:rPr>
                <w:lang w:eastAsia="en-AU"/>
              </w:rPr>
            </w:pPr>
            <w:r w:rsidRPr="00DD3DA8">
              <w:t>592</w:t>
            </w:r>
          </w:p>
        </w:tc>
        <w:tc>
          <w:tcPr>
            <w:tcW w:w="1808" w:type="dxa"/>
          </w:tcPr>
          <w:p w14:paraId="42EA4BC1" w14:textId="7A56A772" w:rsidR="0042515D" w:rsidRDefault="00FF04DB" w:rsidP="00021EF3">
            <w:pPr>
              <w:spacing w:after="0"/>
              <w:rPr>
                <w:lang w:eastAsia="en-AU"/>
              </w:rPr>
            </w:pPr>
            <w:r w:rsidRPr="00DD3DA8">
              <w:t>Data Processing, Web Hosting and Electronic Information Storage Services</w:t>
            </w:r>
          </w:p>
        </w:tc>
        <w:tc>
          <w:tcPr>
            <w:tcW w:w="532" w:type="dxa"/>
          </w:tcPr>
          <w:p w14:paraId="218F499D" w14:textId="675EAECB" w:rsidR="00846CC2" w:rsidRDefault="00593B06" w:rsidP="00021EF3">
            <w:pPr>
              <w:spacing w:after="0"/>
              <w:rPr>
                <w:lang w:eastAsia="en-AU"/>
              </w:rPr>
            </w:pPr>
            <w:r w:rsidRPr="00A7109C">
              <w:t>752</w:t>
            </w:r>
          </w:p>
        </w:tc>
        <w:tc>
          <w:tcPr>
            <w:tcW w:w="1810" w:type="dxa"/>
          </w:tcPr>
          <w:p w14:paraId="539D70C2" w14:textId="3664A28C" w:rsidR="00846CC2" w:rsidRDefault="00593B06" w:rsidP="00021EF3">
            <w:pPr>
              <w:spacing w:after="0"/>
              <w:rPr>
                <w:lang w:eastAsia="en-AU"/>
              </w:rPr>
            </w:pPr>
            <w:r w:rsidRPr="00A7109C">
              <w:t>State Government Administration</w:t>
            </w:r>
          </w:p>
        </w:tc>
        <w:tc>
          <w:tcPr>
            <w:tcW w:w="530" w:type="dxa"/>
          </w:tcPr>
          <w:p w14:paraId="2AE09448" w14:textId="3BC77648" w:rsidR="00F938B5" w:rsidRPr="00A7109C" w:rsidRDefault="005A4EE5" w:rsidP="00021EF3">
            <w:pPr>
              <w:spacing w:after="0"/>
            </w:pPr>
            <w:r w:rsidRPr="00C86876">
              <w:t>951</w:t>
            </w:r>
          </w:p>
        </w:tc>
        <w:tc>
          <w:tcPr>
            <w:tcW w:w="1812" w:type="dxa"/>
          </w:tcPr>
          <w:p w14:paraId="04A56873" w14:textId="6E118571" w:rsidR="00F938B5" w:rsidRPr="00A7109C" w:rsidRDefault="005A4EE5" w:rsidP="00021EF3">
            <w:pPr>
              <w:spacing w:after="0"/>
            </w:pPr>
            <w:r w:rsidRPr="00C86876">
              <w:t>Personal Care Services</w:t>
            </w:r>
          </w:p>
        </w:tc>
      </w:tr>
      <w:tr w:rsidR="00F75168" w14:paraId="702084DE" w14:textId="433FA7B9" w:rsidTr="00CD06F2">
        <w:trPr>
          <w:trHeight w:val="600"/>
        </w:trPr>
        <w:tc>
          <w:tcPr>
            <w:tcW w:w="540" w:type="dxa"/>
          </w:tcPr>
          <w:p w14:paraId="2870E219" w14:textId="121455CA" w:rsidR="00724871" w:rsidRDefault="00846CC2" w:rsidP="00021EF3">
            <w:pPr>
              <w:spacing w:after="0"/>
              <w:rPr>
                <w:lang w:eastAsia="en-AU"/>
              </w:rPr>
            </w:pPr>
            <w:r w:rsidRPr="0068505E">
              <w:lastRenderedPageBreak/>
              <w:t>185</w:t>
            </w:r>
          </w:p>
        </w:tc>
        <w:tc>
          <w:tcPr>
            <w:tcW w:w="1802" w:type="dxa"/>
          </w:tcPr>
          <w:p w14:paraId="0D9E90FB" w14:textId="78958292" w:rsidR="00724871" w:rsidRDefault="00846CC2" w:rsidP="00021EF3">
            <w:pPr>
              <w:spacing w:after="0"/>
              <w:rPr>
                <w:lang w:eastAsia="en-AU"/>
              </w:rPr>
            </w:pPr>
            <w:r w:rsidRPr="0068505E">
              <w:t>Cleaning Compound and Toiletry Preparation Manufacturing</w:t>
            </w:r>
          </w:p>
        </w:tc>
        <w:tc>
          <w:tcPr>
            <w:tcW w:w="538" w:type="dxa"/>
          </w:tcPr>
          <w:p w14:paraId="172CB3FE" w14:textId="245D2132" w:rsidR="00724871" w:rsidRDefault="00D77A08" w:rsidP="00021EF3">
            <w:pPr>
              <w:spacing w:after="0"/>
              <w:rPr>
                <w:lang w:eastAsia="en-AU"/>
              </w:rPr>
            </w:pPr>
            <w:r w:rsidRPr="00DA1E4E">
              <w:t>323</w:t>
            </w:r>
          </w:p>
        </w:tc>
        <w:tc>
          <w:tcPr>
            <w:tcW w:w="1804" w:type="dxa"/>
          </w:tcPr>
          <w:p w14:paraId="2901E3B4" w14:textId="23CF49C4" w:rsidR="00724871" w:rsidRDefault="00D77A08" w:rsidP="00021EF3">
            <w:pPr>
              <w:spacing w:after="0"/>
              <w:rPr>
                <w:lang w:eastAsia="en-AU"/>
              </w:rPr>
            </w:pPr>
            <w:r w:rsidRPr="00DA1E4E">
              <w:t>Building Installation Services</w:t>
            </w:r>
          </w:p>
        </w:tc>
        <w:tc>
          <w:tcPr>
            <w:tcW w:w="536" w:type="dxa"/>
          </w:tcPr>
          <w:p w14:paraId="48892E5B" w14:textId="25343A64" w:rsidR="00724871" w:rsidRDefault="00D77A08" w:rsidP="00021EF3">
            <w:pPr>
              <w:spacing w:after="0"/>
              <w:rPr>
                <w:lang w:eastAsia="en-AU"/>
              </w:rPr>
            </w:pPr>
            <w:r w:rsidRPr="001E6D66">
              <w:t>427</w:t>
            </w:r>
          </w:p>
        </w:tc>
        <w:tc>
          <w:tcPr>
            <w:tcW w:w="1806" w:type="dxa"/>
          </w:tcPr>
          <w:p w14:paraId="51C43B37" w14:textId="5FB0E16C" w:rsidR="00724871" w:rsidRDefault="00D77A08" w:rsidP="00021EF3">
            <w:pPr>
              <w:spacing w:after="0"/>
              <w:rPr>
                <w:lang w:eastAsia="en-AU"/>
              </w:rPr>
            </w:pPr>
            <w:r w:rsidRPr="001E6D66">
              <w:t>Pharmaceutical and Other Store-Based Retailing</w:t>
            </w:r>
          </w:p>
        </w:tc>
        <w:tc>
          <w:tcPr>
            <w:tcW w:w="534" w:type="dxa"/>
          </w:tcPr>
          <w:p w14:paraId="2D5BF67A" w14:textId="0CC93C0B" w:rsidR="00791F8D" w:rsidRDefault="00FF04DB" w:rsidP="00021EF3">
            <w:pPr>
              <w:spacing w:after="0"/>
              <w:rPr>
                <w:lang w:eastAsia="en-AU"/>
              </w:rPr>
            </w:pPr>
            <w:r w:rsidRPr="00DD3DA8">
              <w:t>623</w:t>
            </w:r>
          </w:p>
        </w:tc>
        <w:tc>
          <w:tcPr>
            <w:tcW w:w="1808" w:type="dxa"/>
          </w:tcPr>
          <w:p w14:paraId="3E0542E9" w14:textId="1F113C2D" w:rsidR="00791F8D" w:rsidRDefault="00FF04DB" w:rsidP="00021EF3">
            <w:pPr>
              <w:spacing w:after="0"/>
              <w:rPr>
                <w:lang w:eastAsia="en-AU"/>
              </w:rPr>
            </w:pPr>
            <w:r w:rsidRPr="00DD3DA8">
              <w:t>Non-Depository Financing</w:t>
            </w:r>
          </w:p>
        </w:tc>
        <w:tc>
          <w:tcPr>
            <w:tcW w:w="532" w:type="dxa"/>
          </w:tcPr>
          <w:p w14:paraId="4366588D" w14:textId="4DBCB7EA" w:rsidR="00846CC2" w:rsidRDefault="00593B06" w:rsidP="00021EF3">
            <w:pPr>
              <w:spacing w:after="0"/>
              <w:rPr>
                <w:lang w:eastAsia="en-AU"/>
              </w:rPr>
            </w:pPr>
            <w:r w:rsidRPr="00A7109C">
              <w:t>753</w:t>
            </w:r>
          </w:p>
        </w:tc>
        <w:tc>
          <w:tcPr>
            <w:tcW w:w="1810" w:type="dxa"/>
          </w:tcPr>
          <w:p w14:paraId="58BF2983" w14:textId="5BE86ACA" w:rsidR="00846CC2" w:rsidRDefault="00593B06" w:rsidP="00021EF3">
            <w:pPr>
              <w:spacing w:after="0"/>
              <w:rPr>
                <w:lang w:eastAsia="en-AU"/>
              </w:rPr>
            </w:pPr>
            <w:r w:rsidRPr="00A7109C">
              <w:t>Local Government Administration</w:t>
            </w:r>
          </w:p>
        </w:tc>
        <w:tc>
          <w:tcPr>
            <w:tcW w:w="530" w:type="dxa"/>
          </w:tcPr>
          <w:p w14:paraId="075ADB19" w14:textId="31391F5C" w:rsidR="00F938B5" w:rsidRPr="00A7109C" w:rsidRDefault="005A4EE5" w:rsidP="00021EF3">
            <w:pPr>
              <w:spacing w:after="0"/>
            </w:pPr>
            <w:r w:rsidRPr="00C86876">
              <w:t>952</w:t>
            </w:r>
          </w:p>
        </w:tc>
        <w:tc>
          <w:tcPr>
            <w:tcW w:w="1812" w:type="dxa"/>
          </w:tcPr>
          <w:p w14:paraId="43941185" w14:textId="7774E80E" w:rsidR="00F938B5" w:rsidRPr="00A7109C" w:rsidRDefault="005A4EE5" w:rsidP="00021EF3">
            <w:pPr>
              <w:spacing w:after="0"/>
            </w:pPr>
            <w:r w:rsidRPr="00C86876">
              <w:t>Funeral, Crematorium and Cemetery Services</w:t>
            </w:r>
          </w:p>
        </w:tc>
      </w:tr>
      <w:tr w:rsidR="00F75168" w14:paraId="019E7AA3" w14:textId="72903946" w:rsidTr="00CD06F2">
        <w:trPr>
          <w:trHeight w:val="144"/>
        </w:trPr>
        <w:tc>
          <w:tcPr>
            <w:tcW w:w="540" w:type="dxa"/>
          </w:tcPr>
          <w:p w14:paraId="2A963B53" w14:textId="3101F5AF" w:rsidR="00724871" w:rsidRDefault="00846CC2" w:rsidP="00021EF3">
            <w:pPr>
              <w:spacing w:after="0"/>
              <w:rPr>
                <w:lang w:eastAsia="en-AU"/>
              </w:rPr>
            </w:pPr>
            <w:r w:rsidRPr="0068505E">
              <w:t>191</w:t>
            </w:r>
          </w:p>
        </w:tc>
        <w:tc>
          <w:tcPr>
            <w:tcW w:w="1802" w:type="dxa"/>
          </w:tcPr>
          <w:p w14:paraId="606EB099" w14:textId="7A2C7377" w:rsidR="00724871" w:rsidRDefault="00846CC2" w:rsidP="00021EF3">
            <w:pPr>
              <w:spacing w:after="0"/>
              <w:rPr>
                <w:lang w:eastAsia="en-AU"/>
              </w:rPr>
            </w:pPr>
            <w:r w:rsidRPr="0068505E">
              <w:t>Polymer Product Manufacturing</w:t>
            </w:r>
          </w:p>
        </w:tc>
        <w:tc>
          <w:tcPr>
            <w:tcW w:w="538" w:type="dxa"/>
          </w:tcPr>
          <w:p w14:paraId="1179C86F" w14:textId="58DCFC0F" w:rsidR="00724871" w:rsidRDefault="00D77A08" w:rsidP="00021EF3">
            <w:pPr>
              <w:spacing w:after="0"/>
              <w:rPr>
                <w:lang w:eastAsia="en-AU"/>
              </w:rPr>
            </w:pPr>
            <w:r w:rsidRPr="00DA1E4E">
              <w:t>324</w:t>
            </w:r>
          </w:p>
        </w:tc>
        <w:tc>
          <w:tcPr>
            <w:tcW w:w="1804" w:type="dxa"/>
          </w:tcPr>
          <w:p w14:paraId="080AFE8E" w14:textId="30BEAE35" w:rsidR="00724871" w:rsidRDefault="00D77A08" w:rsidP="00021EF3">
            <w:pPr>
              <w:spacing w:after="0"/>
              <w:rPr>
                <w:lang w:eastAsia="en-AU"/>
              </w:rPr>
            </w:pPr>
            <w:r w:rsidRPr="00DA1E4E">
              <w:t>Building Completion Services</w:t>
            </w:r>
          </w:p>
        </w:tc>
        <w:tc>
          <w:tcPr>
            <w:tcW w:w="536" w:type="dxa"/>
          </w:tcPr>
          <w:p w14:paraId="28D431DA" w14:textId="5D765B79" w:rsidR="00724871" w:rsidRDefault="00D77A08" w:rsidP="00021EF3">
            <w:pPr>
              <w:spacing w:after="0"/>
              <w:rPr>
                <w:lang w:eastAsia="en-AU"/>
              </w:rPr>
            </w:pPr>
            <w:r w:rsidRPr="001E6D66">
              <w:t>431</w:t>
            </w:r>
          </w:p>
        </w:tc>
        <w:tc>
          <w:tcPr>
            <w:tcW w:w="1806" w:type="dxa"/>
          </w:tcPr>
          <w:p w14:paraId="6F894EBC" w14:textId="20A02A31" w:rsidR="00724871" w:rsidRDefault="00D77A08" w:rsidP="00021EF3">
            <w:pPr>
              <w:spacing w:after="0"/>
              <w:rPr>
                <w:lang w:eastAsia="en-AU"/>
              </w:rPr>
            </w:pPr>
            <w:r w:rsidRPr="001E6D66">
              <w:t>Non-Store Retailing</w:t>
            </w:r>
          </w:p>
        </w:tc>
        <w:tc>
          <w:tcPr>
            <w:tcW w:w="534" w:type="dxa"/>
          </w:tcPr>
          <w:p w14:paraId="33454EED" w14:textId="3A93A2C0" w:rsidR="00791F8D" w:rsidRDefault="00FF04DB" w:rsidP="00021EF3">
            <w:pPr>
              <w:spacing w:after="0"/>
              <w:rPr>
                <w:lang w:eastAsia="en-AU"/>
              </w:rPr>
            </w:pPr>
            <w:r w:rsidRPr="00DD3DA8">
              <w:t>624</w:t>
            </w:r>
          </w:p>
        </w:tc>
        <w:tc>
          <w:tcPr>
            <w:tcW w:w="1808" w:type="dxa"/>
          </w:tcPr>
          <w:p w14:paraId="7CFD4CFA" w14:textId="4CD76C67" w:rsidR="00791F8D" w:rsidRDefault="00FF04DB" w:rsidP="00021EF3">
            <w:pPr>
              <w:spacing w:after="0"/>
              <w:rPr>
                <w:lang w:eastAsia="en-AU"/>
              </w:rPr>
            </w:pPr>
            <w:r w:rsidRPr="00DD3DA8">
              <w:t>Financial Asset Investing</w:t>
            </w:r>
          </w:p>
        </w:tc>
        <w:tc>
          <w:tcPr>
            <w:tcW w:w="532" w:type="dxa"/>
          </w:tcPr>
          <w:p w14:paraId="3F907203" w14:textId="7E55BEF7" w:rsidR="00846CC2" w:rsidRDefault="00593B06" w:rsidP="00021EF3">
            <w:pPr>
              <w:spacing w:after="0"/>
              <w:rPr>
                <w:lang w:eastAsia="en-AU"/>
              </w:rPr>
            </w:pPr>
            <w:r w:rsidRPr="00A7109C">
              <w:t>771</w:t>
            </w:r>
          </w:p>
        </w:tc>
        <w:tc>
          <w:tcPr>
            <w:tcW w:w="1810" w:type="dxa"/>
          </w:tcPr>
          <w:p w14:paraId="31AA0DD3" w14:textId="3A8C060A" w:rsidR="00846CC2" w:rsidRDefault="00593B06" w:rsidP="00021EF3">
            <w:pPr>
              <w:spacing w:after="0"/>
              <w:rPr>
                <w:lang w:eastAsia="en-AU"/>
              </w:rPr>
            </w:pPr>
            <w:r w:rsidRPr="00A7109C">
              <w:t>Public Order and Safety Services</w:t>
            </w:r>
          </w:p>
        </w:tc>
        <w:tc>
          <w:tcPr>
            <w:tcW w:w="530" w:type="dxa"/>
          </w:tcPr>
          <w:p w14:paraId="3DFD4F0A" w14:textId="5AF766E8" w:rsidR="00F938B5" w:rsidRPr="00A7109C" w:rsidRDefault="005A4EE5" w:rsidP="00021EF3">
            <w:pPr>
              <w:spacing w:after="0"/>
            </w:pPr>
            <w:r w:rsidRPr="00C86876">
              <w:t>953</w:t>
            </w:r>
          </w:p>
        </w:tc>
        <w:tc>
          <w:tcPr>
            <w:tcW w:w="1812" w:type="dxa"/>
          </w:tcPr>
          <w:p w14:paraId="39CE1577" w14:textId="6033BC01" w:rsidR="00F938B5" w:rsidRPr="00A7109C" w:rsidRDefault="005A4EE5" w:rsidP="00021EF3">
            <w:pPr>
              <w:spacing w:after="0"/>
            </w:pPr>
            <w:r w:rsidRPr="00C86876">
              <w:t>Other Personal Services</w:t>
            </w:r>
          </w:p>
        </w:tc>
      </w:tr>
      <w:tr w:rsidR="00F75168" w14:paraId="4912ACBF" w14:textId="2353C063" w:rsidTr="00CD06F2">
        <w:trPr>
          <w:trHeight w:val="144"/>
        </w:trPr>
        <w:tc>
          <w:tcPr>
            <w:tcW w:w="540" w:type="dxa"/>
          </w:tcPr>
          <w:p w14:paraId="37D367E7" w14:textId="11BF570A" w:rsidR="00724871" w:rsidRDefault="00846CC2" w:rsidP="00021EF3">
            <w:pPr>
              <w:spacing w:after="0"/>
              <w:rPr>
                <w:lang w:eastAsia="en-AU"/>
              </w:rPr>
            </w:pPr>
            <w:r w:rsidRPr="0068505E">
              <w:t>202</w:t>
            </w:r>
          </w:p>
        </w:tc>
        <w:tc>
          <w:tcPr>
            <w:tcW w:w="1802" w:type="dxa"/>
          </w:tcPr>
          <w:p w14:paraId="4445D499" w14:textId="285B61A9" w:rsidR="00724871" w:rsidRDefault="00846CC2" w:rsidP="00021EF3">
            <w:pPr>
              <w:spacing w:after="0"/>
              <w:rPr>
                <w:lang w:eastAsia="en-AU"/>
              </w:rPr>
            </w:pPr>
            <w:r w:rsidRPr="0068505E">
              <w:t>Ceramic Product Manufacturing</w:t>
            </w:r>
          </w:p>
        </w:tc>
        <w:tc>
          <w:tcPr>
            <w:tcW w:w="538" w:type="dxa"/>
          </w:tcPr>
          <w:p w14:paraId="45F9C20E" w14:textId="627D2EF6" w:rsidR="00724871" w:rsidRDefault="00D77A08" w:rsidP="00021EF3">
            <w:pPr>
              <w:spacing w:after="0"/>
              <w:rPr>
                <w:lang w:eastAsia="en-AU"/>
              </w:rPr>
            </w:pPr>
            <w:r w:rsidRPr="00DA1E4E">
              <w:t>329</w:t>
            </w:r>
          </w:p>
        </w:tc>
        <w:tc>
          <w:tcPr>
            <w:tcW w:w="1804" w:type="dxa"/>
          </w:tcPr>
          <w:p w14:paraId="19967013" w14:textId="777F8E2C" w:rsidR="00724871" w:rsidRDefault="00D77A08" w:rsidP="00021EF3">
            <w:pPr>
              <w:spacing w:after="0"/>
              <w:rPr>
                <w:lang w:eastAsia="en-AU"/>
              </w:rPr>
            </w:pPr>
            <w:r w:rsidRPr="00DA1E4E">
              <w:t>Other Construction Services</w:t>
            </w:r>
          </w:p>
        </w:tc>
        <w:tc>
          <w:tcPr>
            <w:tcW w:w="536" w:type="dxa"/>
          </w:tcPr>
          <w:p w14:paraId="3B564C57" w14:textId="22E8F33C" w:rsidR="00724871" w:rsidRDefault="00D77A08" w:rsidP="00021EF3">
            <w:pPr>
              <w:spacing w:after="0"/>
              <w:rPr>
                <w:lang w:eastAsia="en-AU"/>
              </w:rPr>
            </w:pPr>
            <w:r w:rsidRPr="001E6D66">
              <w:t>432</w:t>
            </w:r>
          </w:p>
        </w:tc>
        <w:tc>
          <w:tcPr>
            <w:tcW w:w="1806" w:type="dxa"/>
          </w:tcPr>
          <w:p w14:paraId="78BB6B5C" w14:textId="5DC8168B" w:rsidR="00724871" w:rsidRDefault="00D77A08" w:rsidP="00021EF3">
            <w:pPr>
              <w:spacing w:after="0"/>
              <w:rPr>
                <w:lang w:eastAsia="en-AU"/>
              </w:rPr>
            </w:pPr>
            <w:r w:rsidRPr="001E6D66">
              <w:t xml:space="preserve">Retail Commission-Based Buying and/or </w:t>
            </w:r>
            <w:proofErr w:type="gramStart"/>
            <w:r w:rsidRPr="001E6D66">
              <w:t>Selling</w:t>
            </w:r>
            <w:proofErr w:type="gramEnd"/>
          </w:p>
        </w:tc>
        <w:tc>
          <w:tcPr>
            <w:tcW w:w="534" w:type="dxa"/>
          </w:tcPr>
          <w:p w14:paraId="0E471AD9" w14:textId="1A07B2AE" w:rsidR="00791F8D" w:rsidRDefault="00FF04DB" w:rsidP="00021EF3">
            <w:pPr>
              <w:spacing w:after="0"/>
              <w:rPr>
                <w:lang w:eastAsia="en-AU"/>
              </w:rPr>
            </w:pPr>
            <w:r w:rsidRPr="00DD3DA8">
              <w:t>632</w:t>
            </w:r>
          </w:p>
        </w:tc>
        <w:tc>
          <w:tcPr>
            <w:tcW w:w="1808" w:type="dxa"/>
          </w:tcPr>
          <w:p w14:paraId="3A991D3A" w14:textId="345E6FF0" w:rsidR="00791F8D" w:rsidRDefault="00FF04DB" w:rsidP="00021EF3">
            <w:pPr>
              <w:spacing w:after="0"/>
              <w:rPr>
                <w:lang w:eastAsia="en-AU"/>
              </w:rPr>
            </w:pPr>
            <w:r w:rsidRPr="00DD3DA8">
              <w:t>Health and General Insurance</w:t>
            </w:r>
          </w:p>
        </w:tc>
        <w:tc>
          <w:tcPr>
            <w:tcW w:w="532" w:type="dxa"/>
          </w:tcPr>
          <w:p w14:paraId="40F5B207" w14:textId="28D06E4C" w:rsidR="00846CC2" w:rsidRDefault="00593B06" w:rsidP="00021EF3">
            <w:pPr>
              <w:spacing w:after="0"/>
              <w:rPr>
                <w:lang w:eastAsia="en-AU"/>
              </w:rPr>
            </w:pPr>
            <w:r w:rsidRPr="00A7109C">
              <w:t>801</w:t>
            </w:r>
          </w:p>
        </w:tc>
        <w:tc>
          <w:tcPr>
            <w:tcW w:w="1810" w:type="dxa"/>
          </w:tcPr>
          <w:p w14:paraId="71DB7C21" w14:textId="5F242A15" w:rsidR="00846CC2" w:rsidRDefault="00593B06" w:rsidP="00021EF3">
            <w:pPr>
              <w:spacing w:after="0"/>
              <w:rPr>
                <w:lang w:eastAsia="en-AU"/>
              </w:rPr>
            </w:pPr>
            <w:r w:rsidRPr="00A7109C">
              <w:t>Preschool Education</w:t>
            </w:r>
          </w:p>
        </w:tc>
        <w:tc>
          <w:tcPr>
            <w:tcW w:w="530" w:type="dxa"/>
          </w:tcPr>
          <w:p w14:paraId="779620C2" w14:textId="3BC05784" w:rsidR="00F938B5" w:rsidRPr="00A7109C" w:rsidRDefault="005A4EE5" w:rsidP="00021EF3">
            <w:pPr>
              <w:spacing w:after="0"/>
            </w:pPr>
            <w:r w:rsidRPr="00C86876">
              <w:t>954</w:t>
            </w:r>
          </w:p>
        </w:tc>
        <w:tc>
          <w:tcPr>
            <w:tcW w:w="1812" w:type="dxa"/>
          </w:tcPr>
          <w:p w14:paraId="5573B9DF" w14:textId="5CEA4508" w:rsidR="00F938B5" w:rsidRPr="00A7109C" w:rsidRDefault="005A4EE5" w:rsidP="00021EF3">
            <w:pPr>
              <w:spacing w:after="0"/>
            </w:pPr>
            <w:r w:rsidRPr="00C86876">
              <w:t>Religious Services</w:t>
            </w:r>
          </w:p>
        </w:tc>
      </w:tr>
      <w:tr w:rsidR="00F75168" w14:paraId="2E4AB85A" w14:textId="1B0C434C" w:rsidTr="00CD06F2">
        <w:trPr>
          <w:trHeight w:val="583"/>
        </w:trPr>
        <w:tc>
          <w:tcPr>
            <w:tcW w:w="540" w:type="dxa"/>
          </w:tcPr>
          <w:p w14:paraId="6C79ECD5" w14:textId="276E97F0" w:rsidR="00724871" w:rsidRDefault="00846CC2" w:rsidP="00021EF3">
            <w:pPr>
              <w:spacing w:after="0"/>
              <w:rPr>
                <w:lang w:eastAsia="en-AU"/>
              </w:rPr>
            </w:pPr>
            <w:r w:rsidRPr="0068505E">
              <w:t>203</w:t>
            </w:r>
          </w:p>
        </w:tc>
        <w:tc>
          <w:tcPr>
            <w:tcW w:w="1802" w:type="dxa"/>
          </w:tcPr>
          <w:p w14:paraId="1C7F923B" w14:textId="7B7084A1" w:rsidR="00724871" w:rsidRDefault="00846CC2" w:rsidP="00021EF3">
            <w:pPr>
              <w:spacing w:after="0"/>
              <w:rPr>
                <w:lang w:eastAsia="en-AU"/>
              </w:rPr>
            </w:pPr>
            <w:r w:rsidRPr="0068505E">
              <w:t>Cement, Lime, Plaster and Concrete Product Manufacturing</w:t>
            </w:r>
          </w:p>
        </w:tc>
        <w:tc>
          <w:tcPr>
            <w:tcW w:w="538" w:type="dxa"/>
          </w:tcPr>
          <w:p w14:paraId="651995CE" w14:textId="49126C87" w:rsidR="00724871" w:rsidRDefault="00D77A08" w:rsidP="00021EF3">
            <w:pPr>
              <w:spacing w:after="0"/>
              <w:rPr>
                <w:lang w:eastAsia="en-AU"/>
              </w:rPr>
            </w:pPr>
            <w:r w:rsidRPr="00DA1E4E">
              <w:t>331</w:t>
            </w:r>
          </w:p>
        </w:tc>
        <w:tc>
          <w:tcPr>
            <w:tcW w:w="1804" w:type="dxa"/>
          </w:tcPr>
          <w:p w14:paraId="2194FEC4" w14:textId="62DA5EAB" w:rsidR="00724871" w:rsidRDefault="00D77A08" w:rsidP="00021EF3">
            <w:pPr>
              <w:spacing w:after="0"/>
              <w:rPr>
                <w:lang w:eastAsia="en-AU"/>
              </w:rPr>
            </w:pPr>
            <w:r w:rsidRPr="00DA1E4E">
              <w:t>Agricultural Product Wholesaling</w:t>
            </w:r>
          </w:p>
        </w:tc>
        <w:tc>
          <w:tcPr>
            <w:tcW w:w="536" w:type="dxa"/>
          </w:tcPr>
          <w:p w14:paraId="6BFE7380" w14:textId="3B7B45AA" w:rsidR="00724871" w:rsidRDefault="00D77A08" w:rsidP="00021EF3">
            <w:pPr>
              <w:spacing w:after="0"/>
              <w:rPr>
                <w:lang w:eastAsia="en-AU"/>
              </w:rPr>
            </w:pPr>
            <w:r w:rsidRPr="001E6D66">
              <w:t>440</w:t>
            </w:r>
          </w:p>
        </w:tc>
        <w:tc>
          <w:tcPr>
            <w:tcW w:w="1806" w:type="dxa"/>
          </w:tcPr>
          <w:p w14:paraId="1BA1EE96" w14:textId="032C56E4" w:rsidR="00724871" w:rsidRDefault="00D77A08" w:rsidP="00021EF3">
            <w:pPr>
              <w:spacing w:after="0"/>
              <w:rPr>
                <w:lang w:eastAsia="en-AU"/>
              </w:rPr>
            </w:pPr>
            <w:r w:rsidRPr="001E6D66">
              <w:t>Accommodation</w:t>
            </w:r>
          </w:p>
        </w:tc>
        <w:tc>
          <w:tcPr>
            <w:tcW w:w="534" w:type="dxa"/>
          </w:tcPr>
          <w:p w14:paraId="76C880B5" w14:textId="61BCD427" w:rsidR="00E14355" w:rsidRDefault="00FF04DB" w:rsidP="00021EF3">
            <w:pPr>
              <w:spacing w:after="0"/>
              <w:rPr>
                <w:lang w:eastAsia="en-AU"/>
              </w:rPr>
            </w:pPr>
            <w:r w:rsidRPr="00DD3DA8">
              <w:t>641</w:t>
            </w:r>
          </w:p>
        </w:tc>
        <w:tc>
          <w:tcPr>
            <w:tcW w:w="1808" w:type="dxa"/>
          </w:tcPr>
          <w:p w14:paraId="29E91F0B" w14:textId="2423CD03" w:rsidR="00E14355" w:rsidRDefault="00FF04DB" w:rsidP="00021EF3">
            <w:pPr>
              <w:spacing w:after="0"/>
              <w:rPr>
                <w:lang w:eastAsia="en-AU"/>
              </w:rPr>
            </w:pPr>
            <w:r w:rsidRPr="00DD3DA8">
              <w:t>Auxiliary Finance and Investment Services</w:t>
            </w:r>
          </w:p>
        </w:tc>
        <w:tc>
          <w:tcPr>
            <w:tcW w:w="532" w:type="dxa"/>
          </w:tcPr>
          <w:p w14:paraId="289D02C5" w14:textId="096F449E" w:rsidR="00846CC2" w:rsidRDefault="00593B06" w:rsidP="00021EF3">
            <w:pPr>
              <w:spacing w:after="0"/>
              <w:rPr>
                <w:lang w:eastAsia="en-AU"/>
              </w:rPr>
            </w:pPr>
            <w:r w:rsidRPr="00A7109C">
              <w:t>802</w:t>
            </w:r>
          </w:p>
        </w:tc>
        <w:tc>
          <w:tcPr>
            <w:tcW w:w="1810" w:type="dxa"/>
          </w:tcPr>
          <w:p w14:paraId="1933D766" w14:textId="0CA824D6" w:rsidR="00846CC2" w:rsidRDefault="00593B06" w:rsidP="00021EF3">
            <w:pPr>
              <w:spacing w:after="0"/>
              <w:rPr>
                <w:lang w:eastAsia="en-AU"/>
              </w:rPr>
            </w:pPr>
            <w:r w:rsidRPr="00A7109C">
              <w:t>School Education</w:t>
            </w:r>
          </w:p>
        </w:tc>
        <w:tc>
          <w:tcPr>
            <w:tcW w:w="530" w:type="dxa"/>
          </w:tcPr>
          <w:p w14:paraId="6D0A4460" w14:textId="22673B32" w:rsidR="00F938B5" w:rsidRPr="00A7109C" w:rsidRDefault="005A4EE5" w:rsidP="00021EF3">
            <w:pPr>
              <w:spacing w:after="0"/>
            </w:pPr>
            <w:r w:rsidRPr="00C86876">
              <w:t>955</w:t>
            </w:r>
          </w:p>
        </w:tc>
        <w:tc>
          <w:tcPr>
            <w:tcW w:w="1812" w:type="dxa"/>
          </w:tcPr>
          <w:p w14:paraId="3DEE167A" w14:textId="6D56A73B" w:rsidR="00F938B5" w:rsidRPr="00A7109C" w:rsidRDefault="005A4EE5" w:rsidP="00021EF3">
            <w:pPr>
              <w:spacing w:after="0"/>
            </w:pPr>
            <w:r w:rsidRPr="00C86876">
              <w:t>Civic, Professional and Other Interest Group Services</w:t>
            </w:r>
          </w:p>
        </w:tc>
      </w:tr>
    </w:tbl>
    <w:p w14:paraId="542E2780" w14:textId="71830079" w:rsidR="004D070B" w:rsidRDefault="004B7892" w:rsidP="00021EF3">
      <w:pPr>
        <w:pStyle w:val="Source"/>
        <w:rPr>
          <w:lang w:eastAsia="en-AU"/>
        </w:rPr>
      </w:pPr>
      <w:r w:rsidRPr="004B7892">
        <w:rPr>
          <w:lang w:eastAsia="en-AU"/>
        </w:rPr>
        <w:t>Source: Documentation provided by the Department</w:t>
      </w:r>
      <w:r>
        <w:rPr>
          <w:lang w:eastAsia="en-AU"/>
        </w:rPr>
        <w:t>.</w:t>
      </w:r>
    </w:p>
    <w:p w14:paraId="3DD40E05" w14:textId="77777777" w:rsidR="0015600A" w:rsidRDefault="0015600A" w:rsidP="00021EF3">
      <w:pPr>
        <w:rPr>
          <w:lang w:eastAsia="en-AU"/>
        </w:rPr>
      </w:pPr>
    </w:p>
    <w:p w14:paraId="7E7F3EC3" w14:textId="77777777" w:rsidR="0015600A" w:rsidRDefault="0015600A" w:rsidP="00021EF3">
      <w:pPr>
        <w:rPr>
          <w:lang w:eastAsia="en-AU"/>
        </w:rPr>
      </w:pPr>
    </w:p>
    <w:p w14:paraId="419A4567" w14:textId="77777777" w:rsidR="0015600A" w:rsidRDefault="0015600A" w:rsidP="00021EF3">
      <w:pPr>
        <w:rPr>
          <w:lang w:eastAsia="en-AU"/>
        </w:rPr>
      </w:pPr>
    </w:p>
    <w:p w14:paraId="4F58193F" w14:textId="77777777" w:rsidR="00473968" w:rsidRPr="0055679E" w:rsidRDefault="00473968" w:rsidP="00021EF3">
      <w:pPr>
        <w:rPr>
          <w:lang w:eastAsia="en-AU"/>
        </w:rPr>
        <w:sectPr w:rsidR="00473968" w:rsidRPr="0055679E" w:rsidSect="00473968">
          <w:footnotePr>
            <w:numFmt w:val="chicago"/>
          </w:footnotePr>
          <w:endnotePr>
            <w:numFmt w:val="decimal"/>
          </w:endnotePr>
          <w:pgSz w:w="16838" w:h="11906" w:orient="landscape" w:code="9"/>
          <w:pgMar w:top="1440" w:right="1440" w:bottom="1440" w:left="1440" w:header="680" w:footer="425" w:gutter="0"/>
          <w:cols w:space="284"/>
          <w:noEndnote/>
          <w:docGrid w:linePitch="360"/>
        </w:sectPr>
      </w:pPr>
    </w:p>
    <w:p w14:paraId="01CD5A09" w14:textId="77777777" w:rsidR="00473968" w:rsidRDefault="00473968" w:rsidP="00021EF3">
      <w:pPr>
        <w:pStyle w:val="Appendixhead2"/>
      </w:pPr>
      <w:bookmarkStart w:id="649" w:name="_Toc173308329"/>
      <w:bookmarkStart w:id="650" w:name="_Ref173308588"/>
      <w:bookmarkStart w:id="651" w:name="_Ref173308617"/>
      <w:bookmarkStart w:id="652" w:name="_Ref173308650"/>
      <w:bookmarkStart w:id="653" w:name="_Ref173308669"/>
      <w:bookmarkStart w:id="654" w:name="_Toc173344751"/>
      <w:bookmarkStart w:id="655" w:name="_Toc173344978"/>
      <w:bookmarkStart w:id="656" w:name="_Toc173915948"/>
      <w:bookmarkStart w:id="657" w:name="_Toc174118209"/>
      <w:bookmarkStart w:id="658" w:name="_Toc176516331"/>
      <w:r>
        <w:lastRenderedPageBreak/>
        <w:t>LHVF round design and eligibility criteria</w:t>
      </w:r>
      <w:bookmarkEnd w:id="649"/>
      <w:bookmarkEnd w:id="650"/>
      <w:bookmarkEnd w:id="651"/>
      <w:bookmarkEnd w:id="652"/>
      <w:bookmarkEnd w:id="653"/>
      <w:bookmarkEnd w:id="654"/>
      <w:bookmarkEnd w:id="655"/>
      <w:bookmarkEnd w:id="656"/>
      <w:bookmarkEnd w:id="657"/>
      <w:bookmarkEnd w:id="658"/>
    </w:p>
    <w:p w14:paraId="3E03BE12" w14:textId="3AA6EA92" w:rsidR="00473968" w:rsidRDefault="00473968" w:rsidP="00021EF3">
      <w:pPr>
        <w:rPr>
          <w:lang w:eastAsia="en-AU"/>
        </w:rPr>
      </w:pPr>
      <w:r>
        <w:rPr>
          <w:lang w:eastAsia="en-AU"/>
        </w:rPr>
        <w:t>LHVF consisted of five grant rounds across 2020 and 2021 to support hospitality businesses. Within some rounds, there were additional and automatic top</w:t>
      </w:r>
      <w:r w:rsidR="003F3A24">
        <w:rPr>
          <w:lang w:eastAsia="en-AU"/>
        </w:rPr>
        <w:t>-</w:t>
      </w:r>
      <w:r>
        <w:rPr>
          <w:lang w:eastAsia="en-AU"/>
        </w:rPr>
        <w:t>up payments</w:t>
      </w:r>
      <w:r w:rsidR="008F48D8">
        <w:rPr>
          <w:lang w:eastAsia="en-AU"/>
        </w:rPr>
        <w:t>,</w:t>
      </w:r>
      <w:r>
        <w:rPr>
          <w:lang w:eastAsia="en-AU"/>
        </w:rPr>
        <w:t xml:space="preserve"> as COVID-19 public health restrictions were extended beyond anticipated easing dates. Subsequent rounds of LHVF following LHVF21/21e relied on the established eligibility of businesses during the LHVF21/21e round. If businesses had not received this LHVF21/21e grant, they were not eligible for any subsequent payment rounds of LHVF.</w:t>
      </w:r>
    </w:p>
    <w:p w14:paraId="309F983A" w14:textId="123798B0" w:rsidR="00473968" w:rsidRDefault="00473968" w:rsidP="00021EF3">
      <w:pPr>
        <w:rPr>
          <w:lang w:eastAsia="en-AU"/>
        </w:rPr>
      </w:pPr>
      <w:r w:rsidRPr="00DE2C7E">
        <w:rPr>
          <w:lang w:eastAsia="en-AU"/>
        </w:rPr>
        <w:t>Grant amounts</w:t>
      </w:r>
      <w:r>
        <w:rPr>
          <w:lang w:eastAsia="en-AU"/>
        </w:rPr>
        <w:t xml:space="preserve"> were mixed between rounds. With the exception of LHVF21, LHVF 21e and associated top</w:t>
      </w:r>
      <w:r w:rsidR="00945F41">
        <w:rPr>
          <w:lang w:eastAsia="en-AU"/>
        </w:rPr>
        <w:t>-</w:t>
      </w:r>
      <w:r>
        <w:rPr>
          <w:lang w:eastAsia="en-AU"/>
        </w:rPr>
        <w:t>ups, grant amounts available to businesses were tiered based on their venue or patron capacity. Higher capacity venues received larger grants. By LHVF Top</w:t>
      </w:r>
      <w:r w:rsidR="003F3A24">
        <w:rPr>
          <w:lang w:eastAsia="en-AU"/>
        </w:rPr>
        <w:t>-</w:t>
      </w:r>
      <w:r>
        <w:rPr>
          <w:lang w:eastAsia="en-AU"/>
        </w:rPr>
        <w:t>Up Payment 3, the grant amount was provided on a per week basis, rather than a one-off basis as previous rounds had been. Businesses that received BCAP were not eligible for LHVF, and private gender-exclusive clubs were also excluded from LHVF21 onwards. Other additional eligibility criteria were also introduced and adjusted over the course of the program. These are described below.</w:t>
      </w:r>
    </w:p>
    <w:p w14:paraId="759FB1D3" w14:textId="77777777" w:rsidR="00473968" w:rsidRDefault="00473968" w:rsidP="00021EF3">
      <w:pPr>
        <w:pStyle w:val="Heading3un-numbered"/>
        <w:rPr>
          <w:lang w:eastAsia="en-AU"/>
        </w:rPr>
      </w:pPr>
      <w:bookmarkStart w:id="659" w:name="_Toc173915949"/>
      <w:bookmarkStart w:id="660" w:name="_Toc174118210"/>
      <w:bookmarkStart w:id="661" w:name="_Toc176516332"/>
      <w:r>
        <w:rPr>
          <w:lang w:eastAsia="en-AU"/>
        </w:rPr>
        <w:t>Premises</w:t>
      </w:r>
      <w:bookmarkEnd w:id="659"/>
      <w:bookmarkEnd w:id="660"/>
      <w:bookmarkEnd w:id="661"/>
    </w:p>
    <w:p w14:paraId="0A75D3CE" w14:textId="3BBB7BB2" w:rsidR="00473968" w:rsidRDefault="00473968" w:rsidP="00021EF3">
      <w:pPr>
        <w:rPr>
          <w:lang w:eastAsia="en-AU"/>
        </w:rPr>
      </w:pPr>
      <w:r>
        <w:rPr>
          <w:lang w:eastAsia="en-AU"/>
        </w:rPr>
        <w:t>For all rounds of LHVF, businesses were eligible if they operated a licen</w:t>
      </w:r>
      <w:r w:rsidR="00AE476C">
        <w:rPr>
          <w:lang w:eastAsia="en-AU"/>
        </w:rPr>
        <w:t>s</w:t>
      </w:r>
      <w:r>
        <w:rPr>
          <w:lang w:eastAsia="en-AU"/>
        </w:rPr>
        <w:t xml:space="preserve">ed bar, restaurant, pub, club, hotel, café or reception centre that was registered to serve food and alcohol. </w:t>
      </w:r>
      <w:r w:rsidR="000940FA">
        <w:rPr>
          <w:lang w:eastAsia="en-AU"/>
        </w:rPr>
        <w:t xml:space="preserve">These </w:t>
      </w:r>
      <w:r>
        <w:rPr>
          <w:lang w:eastAsia="en-AU"/>
        </w:rPr>
        <w:t xml:space="preserve">premises needed to be located in Victoria. </w:t>
      </w:r>
    </w:p>
    <w:p w14:paraId="654B4BE4" w14:textId="77777777" w:rsidR="00473968" w:rsidRDefault="00473968" w:rsidP="00021EF3">
      <w:pPr>
        <w:pStyle w:val="Heading3un-numbered"/>
        <w:rPr>
          <w:lang w:eastAsia="en-AU"/>
        </w:rPr>
      </w:pPr>
      <w:bookmarkStart w:id="662" w:name="_Toc173915950"/>
      <w:bookmarkStart w:id="663" w:name="_Toc174118211"/>
      <w:bookmarkStart w:id="664" w:name="_Toc176516333"/>
      <w:r>
        <w:rPr>
          <w:lang w:eastAsia="en-AU"/>
        </w:rPr>
        <w:t>Liquor licence</w:t>
      </w:r>
      <w:bookmarkEnd w:id="662"/>
      <w:bookmarkEnd w:id="663"/>
      <w:bookmarkEnd w:id="664"/>
    </w:p>
    <w:p w14:paraId="14AB63AA" w14:textId="5FA4FB19" w:rsidR="00473968" w:rsidRDefault="00473968" w:rsidP="00021EF3">
      <w:pPr>
        <w:rPr>
          <w:lang w:eastAsia="en-AU"/>
        </w:rPr>
      </w:pPr>
      <w:r>
        <w:rPr>
          <w:lang w:eastAsia="en-AU"/>
        </w:rPr>
        <w:t>For all rounds of LHVF to be eligible, businesses needed to hold one of the following liquor licences:</w:t>
      </w:r>
    </w:p>
    <w:p w14:paraId="0E1B3193" w14:textId="77777777" w:rsidR="00473968" w:rsidRDefault="00473968" w:rsidP="00021EF3">
      <w:pPr>
        <w:pStyle w:val="ListBullet"/>
        <w:rPr>
          <w:lang w:eastAsia="en-AU"/>
        </w:rPr>
      </w:pPr>
      <w:r>
        <w:rPr>
          <w:lang w:eastAsia="en-AU"/>
        </w:rPr>
        <w:t>general or late night (general)</w:t>
      </w:r>
    </w:p>
    <w:p w14:paraId="44498C73" w14:textId="77777777" w:rsidR="00473968" w:rsidRDefault="00473968" w:rsidP="00021EF3">
      <w:pPr>
        <w:pStyle w:val="ListBullet"/>
        <w:rPr>
          <w:lang w:eastAsia="en-AU"/>
        </w:rPr>
      </w:pPr>
      <w:r>
        <w:rPr>
          <w:lang w:eastAsia="en-AU"/>
        </w:rPr>
        <w:t>full club</w:t>
      </w:r>
    </w:p>
    <w:p w14:paraId="549DEC85" w14:textId="77777777" w:rsidR="00473968" w:rsidRDefault="00473968" w:rsidP="00021EF3">
      <w:pPr>
        <w:pStyle w:val="ListBullet"/>
        <w:rPr>
          <w:lang w:eastAsia="en-AU"/>
        </w:rPr>
      </w:pPr>
      <w:r>
        <w:rPr>
          <w:lang w:eastAsia="en-AU"/>
        </w:rPr>
        <w:t>restaurant and café</w:t>
      </w:r>
    </w:p>
    <w:p w14:paraId="498794DD" w14:textId="77777777" w:rsidR="00473968" w:rsidRPr="00DE2C7E" w:rsidRDefault="00473968" w:rsidP="00021EF3">
      <w:pPr>
        <w:pStyle w:val="ListBullet"/>
        <w:rPr>
          <w:lang w:eastAsia="en-AU"/>
        </w:rPr>
      </w:pPr>
      <w:r w:rsidRPr="00DE2C7E">
        <w:rPr>
          <w:lang w:eastAsia="en-AU"/>
        </w:rPr>
        <w:t>producer’s</w:t>
      </w:r>
    </w:p>
    <w:p w14:paraId="7166C75C" w14:textId="77777777" w:rsidR="00473968" w:rsidRDefault="00473968" w:rsidP="00021EF3">
      <w:pPr>
        <w:pStyle w:val="ListBullet"/>
        <w:rPr>
          <w:lang w:eastAsia="en-AU"/>
        </w:rPr>
      </w:pPr>
      <w:r>
        <w:rPr>
          <w:lang w:eastAsia="en-AU"/>
        </w:rPr>
        <w:t>on-premises</w:t>
      </w:r>
    </w:p>
    <w:p w14:paraId="0EFB15E7" w14:textId="2CF58981" w:rsidR="00473968" w:rsidRPr="00B651D5" w:rsidRDefault="00473968" w:rsidP="00021EF3">
      <w:pPr>
        <w:pStyle w:val="ListBullet"/>
        <w:rPr>
          <w:lang w:eastAsia="en-AU"/>
        </w:rPr>
      </w:pPr>
      <w:r>
        <w:rPr>
          <w:lang w:eastAsia="en-AU"/>
        </w:rPr>
        <w:t>late night (on-premises)</w:t>
      </w:r>
    </w:p>
    <w:p w14:paraId="5183ED99" w14:textId="77777777" w:rsidR="00473968" w:rsidRDefault="00473968" w:rsidP="00021EF3">
      <w:pPr>
        <w:pStyle w:val="Heading3un-numbered"/>
        <w:rPr>
          <w:lang w:eastAsia="en-AU"/>
        </w:rPr>
      </w:pPr>
      <w:bookmarkStart w:id="665" w:name="_Toc173915951"/>
      <w:bookmarkStart w:id="666" w:name="_Toc174118212"/>
      <w:bookmarkStart w:id="667" w:name="_Toc176516334"/>
      <w:r>
        <w:rPr>
          <w:lang w:eastAsia="en-AU"/>
        </w:rPr>
        <w:t>GST and ABN</w:t>
      </w:r>
      <w:bookmarkEnd w:id="665"/>
      <w:bookmarkEnd w:id="666"/>
      <w:bookmarkEnd w:id="667"/>
    </w:p>
    <w:p w14:paraId="4D3EE6A4" w14:textId="711ADD31" w:rsidR="00473968" w:rsidRDefault="00473968" w:rsidP="00021EF3">
      <w:pPr>
        <w:rPr>
          <w:lang w:eastAsia="en-AU"/>
        </w:rPr>
      </w:pPr>
      <w:r>
        <w:t xml:space="preserve">For all rounds of LHVF, businesses needed to be registered for GST and hold an ABN. </w:t>
      </w:r>
      <w:r>
        <w:rPr>
          <w:lang w:eastAsia="en-AU"/>
        </w:rPr>
        <w:t xml:space="preserve">For each of the premises, liquor licence, GST and ABN eligibility criteria, a </w:t>
      </w:r>
      <w:r w:rsidRPr="00DE2C7E">
        <w:rPr>
          <w:lang w:eastAsia="en-AU"/>
        </w:rPr>
        <w:t>business</w:t>
      </w:r>
      <w:r>
        <w:rPr>
          <w:lang w:eastAsia="en-AU"/>
        </w:rPr>
        <w:t xml:space="preserve"> eligibility was assessed and measured as </w:t>
      </w:r>
      <w:proofErr w:type="gramStart"/>
      <w:r>
        <w:rPr>
          <w:lang w:eastAsia="en-AU"/>
        </w:rPr>
        <w:t>at</w:t>
      </w:r>
      <w:proofErr w:type="gramEnd"/>
      <w:r>
        <w:rPr>
          <w:lang w:eastAsia="en-AU"/>
        </w:rPr>
        <w:t xml:space="preserve"> 13 September 2020 for LHVF, 27 May 2021 for LHVF21 and 15 July 2021 for LHVF21e. </w:t>
      </w:r>
      <w:r>
        <w:t>Other LHVF rounds did not require this measurement as they were based on the eligibility and receipt of LHVF21/21e.</w:t>
      </w:r>
    </w:p>
    <w:p w14:paraId="0122F62D" w14:textId="77777777" w:rsidR="00473968" w:rsidRDefault="00473968" w:rsidP="00021EF3">
      <w:pPr>
        <w:pStyle w:val="Heading3un-numbered"/>
        <w:rPr>
          <w:lang w:eastAsia="en-AU"/>
        </w:rPr>
      </w:pPr>
      <w:bookmarkStart w:id="668" w:name="_Toc173915952"/>
      <w:bookmarkStart w:id="669" w:name="_Toc174118213"/>
      <w:bookmarkStart w:id="670" w:name="_Toc176516335"/>
      <w:r>
        <w:rPr>
          <w:lang w:eastAsia="en-AU"/>
        </w:rPr>
        <w:t>Business location</w:t>
      </w:r>
      <w:bookmarkEnd w:id="668"/>
      <w:bookmarkEnd w:id="669"/>
      <w:bookmarkEnd w:id="670"/>
    </w:p>
    <w:p w14:paraId="354AD299" w14:textId="456E8337" w:rsidR="00473968" w:rsidRDefault="00473968" w:rsidP="00021EF3">
      <w:pPr>
        <w:rPr>
          <w:rFonts w:cs="Arial"/>
        </w:rPr>
      </w:pPr>
      <w:r>
        <w:rPr>
          <w:rFonts w:cs="Arial"/>
        </w:rPr>
        <w:t>Certain top</w:t>
      </w:r>
      <w:r w:rsidR="003F3A24">
        <w:rPr>
          <w:rFonts w:cs="Arial"/>
        </w:rPr>
        <w:t>-</w:t>
      </w:r>
      <w:r>
        <w:rPr>
          <w:rFonts w:cs="Arial"/>
        </w:rPr>
        <w:t>up payments within a round of LHVF were only relevant for some business locations, such as for metropolitan Melbourne, the Melbourne CBD or regional Victoria. The business location was determined using the ABN registered ‘primary operating address’. For example, the LHVF CBD top</w:t>
      </w:r>
      <w:r w:rsidR="003F3A24">
        <w:rPr>
          <w:rFonts w:cs="Arial"/>
        </w:rPr>
        <w:t>-</w:t>
      </w:r>
      <w:r>
        <w:rPr>
          <w:rFonts w:cs="Arial"/>
        </w:rPr>
        <w:t>up payment on 28 July 2021 only provided businesses located in the CBD with the $2,000 top</w:t>
      </w:r>
      <w:r w:rsidR="00D774AB">
        <w:rPr>
          <w:rFonts w:cs="Arial"/>
        </w:rPr>
        <w:t>-</w:t>
      </w:r>
      <w:r>
        <w:rPr>
          <w:rFonts w:cs="Arial"/>
        </w:rPr>
        <w:t>up. LHVF Top</w:t>
      </w:r>
      <w:r w:rsidR="003F3A24">
        <w:rPr>
          <w:rFonts w:cs="Arial"/>
        </w:rPr>
        <w:t>-</w:t>
      </w:r>
      <w:r>
        <w:rPr>
          <w:rFonts w:cs="Arial"/>
        </w:rPr>
        <w:t>Up Payment 2 was only provided to metropolitan Melbourne initially for two weeks, but then expanded to regional Victoria in the second week on the 22 August 2021. Additionally, some grant amounts (such as the first payment under LHVF21) varied according to whether the business was located in metropolitan Melbourne or regional Victoria.</w:t>
      </w:r>
    </w:p>
    <w:p w14:paraId="127DFE8B" w14:textId="77777777" w:rsidR="00473968" w:rsidRDefault="00473968" w:rsidP="00021EF3">
      <w:pPr>
        <w:pStyle w:val="Heading3un-numbered"/>
      </w:pPr>
      <w:bookmarkStart w:id="671" w:name="_Toc173915953"/>
      <w:bookmarkStart w:id="672" w:name="_Toc174118214"/>
      <w:bookmarkStart w:id="673" w:name="_Toc176516336"/>
      <w:r>
        <w:t>Registered with the regulator</w:t>
      </w:r>
      <w:bookmarkEnd w:id="671"/>
      <w:bookmarkEnd w:id="672"/>
      <w:bookmarkEnd w:id="673"/>
    </w:p>
    <w:p w14:paraId="069ADA00" w14:textId="0137D197" w:rsidR="00473968" w:rsidRDefault="00473968" w:rsidP="00021EF3">
      <w:r>
        <w:t xml:space="preserve">For all LHVF rounds, businesses needed to be registered with the responsible </w:t>
      </w:r>
      <w:r w:rsidR="005A54B4">
        <w:t>s</w:t>
      </w:r>
      <w:r>
        <w:t xml:space="preserve">tate and </w:t>
      </w:r>
      <w:r w:rsidR="005A54B4">
        <w:t>f</w:t>
      </w:r>
      <w:r>
        <w:t xml:space="preserve">ederal regulator where relevant and applicable. This included ASIC, the </w:t>
      </w:r>
      <w:r w:rsidRPr="00CA7E42">
        <w:t>Australian Charities and Not-</w:t>
      </w:r>
      <w:r w:rsidR="00582025">
        <w:t>F</w:t>
      </w:r>
      <w:r w:rsidRPr="00CA7E42">
        <w:t>or-</w:t>
      </w:r>
      <w:r w:rsidR="00582025">
        <w:t>P</w:t>
      </w:r>
      <w:r w:rsidRPr="00CA7E42">
        <w:t>rofits Commission</w:t>
      </w:r>
      <w:r>
        <w:t xml:space="preserve"> for charities and </w:t>
      </w:r>
      <w:r w:rsidR="00582025">
        <w:t>NFPs</w:t>
      </w:r>
      <w:r>
        <w:t xml:space="preserve">, Consumer Affairs Victoria for incorporated associations, the Victorian Commission for Gambling and Liquor Regulation, local councils, </w:t>
      </w:r>
      <w:proofErr w:type="spellStart"/>
      <w:r>
        <w:t>PrimeSafe</w:t>
      </w:r>
      <w:proofErr w:type="spellEnd"/>
      <w:r>
        <w:t xml:space="preserve"> Victoria and the ABR.</w:t>
      </w:r>
    </w:p>
    <w:p w14:paraId="7DA9F65E" w14:textId="77777777" w:rsidR="00473968" w:rsidRDefault="00473968" w:rsidP="00021EF3">
      <w:pPr>
        <w:pStyle w:val="Heading3un-numbered"/>
      </w:pPr>
      <w:bookmarkStart w:id="674" w:name="_Toc173915954"/>
      <w:bookmarkStart w:id="675" w:name="_Toc174118215"/>
      <w:bookmarkStart w:id="676" w:name="_Toc176516337"/>
      <w:r>
        <w:t>Food registration</w:t>
      </w:r>
      <w:bookmarkEnd w:id="674"/>
      <w:bookmarkEnd w:id="675"/>
      <w:bookmarkEnd w:id="676"/>
    </w:p>
    <w:p w14:paraId="7C5D7DD3" w14:textId="49AB0A53" w:rsidR="00473968" w:rsidRPr="00A25441" w:rsidRDefault="00473968" w:rsidP="00021EF3">
      <w:r>
        <w:t xml:space="preserve">For all LHVF rounds, premises needed to have a valid food registration. This meant the premises had to have a food business (either the applicant themselves or a third party) on the same premises who held a Class 2 or 3 Service Sector Certificate of Registration under the </w:t>
      </w:r>
      <w:r w:rsidRPr="00B21944">
        <w:rPr>
          <w:i/>
          <w:iCs/>
        </w:rPr>
        <w:t xml:space="preserve">Food Act </w:t>
      </w:r>
      <w:r>
        <w:t>1984. This certificate of registration was that issued by the local council and could only be used once for one premises only. For the first round of LHVF in 2020, this food registration needed to be valid in 2020. For LHVF21, it needed to be valid in 2021. However</w:t>
      </w:r>
      <w:r w:rsidR="002C52F8">
        <w:t>, f</w:t>
      </w:r>
      <w:r>
        <w:t>or LHVF21e, the food registration needed to have been valid in either 2020 or 2021.</w:t>
      </w:r>
    </w:p>
    <w:p w14:paraId="29B1120C" w14:textId="56B79A02" w:rsidR="00473968" w:rsidRDefault="00473968" w:rsidP="00021EF3">
      <w:pPr>
        <w:rPr>
          <w:lang w:eastAsia="en-AU"/>
        </w:rPr>
      </w:pPr>
      <w:r w:rsidRPr="00A25441">
        <w:t>Businesses also needed to attest that they intended to remain trading at the end of COVID-19 public health restrictions</w:t>
      </w:r>
      <w:r>
        <w:t>, and that they were supporting their workers to access any paid leave entitlements or work from home.</w:t>
      </w:r>
      <w:r>
        <w:rPr>
          <w:lang w:eastAsia="en-AU"/>
        </w:rPr>
        <w:t xml:space="preserve"> The design and eligibility of each round, as well as any changes from the previous round, are shown in </w:t>
      </w:r>
      <w:r w:rsidRPr="00494F99">
        <w:rPr>
          <w:lang w:eastAsia="en-AU"/>
        </w:rPr>
        <w:fldChar w:fldCharType="begin"/>
      </w:r>
      <w:r w:rsidRPr="00494F99">
        <w:rPr>
          <w:lang w:eastAsia="en-AU"/>
        </w:rPr>
        <w:instrText xml:space="preserve"> REF _Ref173262985 \r \h  \* MERGEFORMAT </w:instrText>
      </w:r>
      <w:r w:rsidRPr="00494F99">
        <w:rPr>
          <w:lang w:eastAsia="en-AU"/>
        </w:rPr>
      </w:r>
      <w:r w:rsidRPr="00494F99">
        <w:rPr>
          <w:lang w:eastAsia="en-AU"/>
        </w:rPr>
        <w:fldChar w:fldCharType="separate"/>
      </w:r>
      <w:r w:rsidR="0016271C">
        <w:rPr>
          <w:lang w:eastAsia="en-AU"/>
        </w:rPr>
        <w:t>Table F.3</w:t>
      </w:r>
      <w:r w:rsidRPr="00494F99">
        <w:rPr>
          <w:lang w:eastAsia="en-AU"/>
        </w:rPr>
        <w:fldChar w:fldCharType="end"/>
      </w:r>
      <w:r>
        <w:rPr>
          <w:lang w:eastAsia="en-AU"/>
        </w:rPr>
        <w:t>.</w:t>
      </w:r>
    </w:p>
    <w:p w14:paraId="090E1CB9" w14:textId="77777777" w:rsidR="00473968" w:rsidRDefault="00473968" w:rsidP="00021EF3">
      <w:pPr>
        <w:rPr>
          <w:lang w:eastAsia="en-AU"/>
        </w:rPr>
      </w:pPr>
    </w:p>
    <w:p w14:paraId="7D7087D2" w14:textId="77777777" w:rsidR="00473968" w:rsidRDefault="00473968" w:rsidP="00021EF3">
      <w:pPr>
        <w:rPr>
          <w:lang w:eastAsia="en-AU"/>
        </w:rPr>
        <w:sectPr w:rsidR="00473968" w:rsidSect="00473968">
          <w:footnotePr>
            <w:numFmt w:val="chicago"/>
          </w:footnotePr>
          <w:endnotePr>
            <w:numFmt w:val="decimal"/>
          </w:endnotePr>
          <w:pgSz w:w="11906" w:h="16838" w:code="9"/>
          <w:pgMar w:top="1440" w:right="1440" w:bottom="1440" w:left="1440" w:header="680" w:footer="425" w:gutter="0"/>
          <w:cols w:space="284"/>
          <w:noEndnote/>
          <w:docGrid w:linePitch="360"/>
        </w:sectPr>
      </w:pPr>
    </w:p>
    <w:p w14:paraId="61178058" w14:textId="60A7C619" w:rsidR="00473968" w:rsidRDefault="00473968" w:rsidP="00021EF3">
      <w:pPr>
        <w:pStyle w:val="AppendixTableCaption"/>
      </w:pPr>
      <w:bookmarkStart w:id="677" w:name="_Ref173262985"/>
      <w:r>
        <w:lastRenderedPageBreak/>
        <w:t>: LHVF round design and eligibility</w:t>
      </w:r>
      <w:bookmarkEnd w:id="677"/>
      <w:r w:rsidR="00792D18">
        <w:t>.</w:t>
      </w:r>
    </w:p>
    <w:tbl>
      <w:tblPr>
        <w:tblStyle w:val="Deloittetable"/>
        <w:tblW w:w="13964" w:type="dxa"/>
        <w:tblLayout w:type="fixed"/>
        <w:tblCellMar>
          <w:left w:w="57" w:type="dxa"/>
          <w:right w:w="57" w:type="dxa"/>
        </w:tblCellMar>
        <w:tblLook w:val="04A0" w:firstRow="1" w:lastRow="0" w:firstColumn="1" w:lastColumn="0" w:noHBand="0" w:noVBand="1"/>
      </w:tblPr>
      <w:tblGrid>
        <w:gridCol w:w="1192"/>
        <w:gridCol w:w="2777"/>
        <w:gridCol w:w="4678"/>
        <w:gridCol w:w="5317"/>
      </w:tblGrid>
      <w:tr w:rsidR="00473968" w:rsidRPr="00FC4873" w14:paraId="082F15F5" w14:textId="77777777">
        <w:trPr>
          <w:cnfStyle w:val="100000000000" w:firstRow="1" w:lastRow="0" w:firstColumn="0" w:lastColumn="0" w:oddVBand="0" w:evenVBand="0" w:oddHBand="0" w:evenHBand="0" w:firstRowFirstColumn="0" w:firstRowLastColumn="0" w:lastRowFirstColumn="0" w:lastRowLastColumn="0"/>
          <w:cantSplit/>
          <w:trHeight w:val="17"/>
          <w:tblHeader/>
        </w:trPr>
        <w:tc>
          <w:tcPr>
            <w:tcW w:w="1192" w:type="dxa"/>
          </w:tcPr>
          <w:p w14:paraId="5DA38FF3" w14:textId="77777777" w:rsidR="00473968" w:rsidRPr="00E82A8B" w:rsidRDefault="00473968" w:rsidP="00021EF3">
            <w:pPr>
              <w:spacing w:after="0"/>
              <w:ind w:left="0" w:right="0"/>
              <w:rPr>
                <w:rFonts w:cs="Arial"/>
                <w:b/>
                <w:bCs/>
              </w:rPr>
            </w:pPr>
            <w:r w:rsidRPr="00FC3567">
              <w:rPr>
                <w:rFonts w:cs="Arial"/>
                <w:b/>
                <w:bCs/>
              </w:rPr>
              <w:t>Stream</w:t>
            </w:r>
            <w:r w:rsidRPr="00D70D1D">
              <w:rPr>
                <w:rStyle w:val="FootnoteReference"/>
                <w:rFonts w:cs="Arial"/>
                <w:b/>
              </w:rPr>
              <w:footnoteReference w:id="14"/>
            </w:r>
          </w:p>
        </w:tc>
        <w:tc>
          <w:tcPr>
            <w:tcW w:w="2777" w:type="dxa"/>
          </w:tcPr>
          <w:p w14:paraId="66D65144" w14:textId="02F01B17" w:rsidR="00473968" w:rsidRPr="00310795" w:rsidRDefault="00473968" w:rsidP="00021EF3">
            <w:pPr>
              <w:spacing w:after="0"/>
              <w:ind w:left="0" w:right="0"/>
              <w:rPr>
                <w:rFonts w:cs="Arial"/>
                <w:b/>
                <w:bCs/>
              </w:rPr>
            </w:pPr>
            <w:r w:rsidRPr="00310795">
              <w:rPr>
                <w:rFonts w:cs="Arial"/>
                <w:b/>
                <w:bCs/>
              </w:rPr>
              <w:t>Round</w:t>
            </w:r>
            <w:r>
              <w:rPr>
                <w:rFonts w:cs="Arial"/>
                <w:b/>
                <w:bCs/>
              </w:rPr>
              <w:t>, date</w:t>
            </w:r>
            <w:r w:rsidR="00F554F6">
              <w:rPr>
                <w:rFonts w:cs="Arial"/>
                <w:b/>
                <w:bCs/>
              </w:rPr>
              <w:t xml:space="preserve"> and</w:t>
            </w:r>
            <w:r>
              <w:rPr>
                <w:rFonts w:cs="Arial"/>
                <w:b/>
                <w:bCs/>
              </w:rPr>
              <w:t xml:space="preserve"> business location</w:t>
            </w:r>
          </w:p>
        </w:tc>
        <w:tc>
          <w:tcPr>
            <w:tcW w:w="4678" w:type="dxa"/>
          </w:tcPr>
          <w:p w14:paraId="46F87E6F" w14:textId="77777777" w:rsidR="00473968" w:rsidRPr="00E12AEF" w:rsidRDefault="00473968" w:rsidP="00021EF3">
            <w:pPr>
              <w:spacing w:after="0"/>
              <w:rPr>
                <w:rFonts w:cs="Arial"/>
                <w:b/>
                <w:bCs/>
                <w:u w:val="single"/>
              </w:rPr>
            </w:pPr>
            <w:r w:rsidRPr="00E12AEF">
              <w:rPr>
                <w:rFonts w:cs="Arial"/>
                <w:b/>
                <w:bCs/>
              </w:rPr>
              <w:t>Grant amount</w:t>
            </w:r>
            <w:r>
              <w:rPr>
                <w:rFonts w:cs="Arial"/>
                <w:b/>
                <w:bCs/>
              </w:rPr>
              <w:t xml:space="preserve"> per premises</w:t>
            </w:r>
          </w:p>
        </w:tc>
        <w:tc>
          <w:tcPr>
            <w:tcW w:w="5317" w:type="dxa"/>
          </w:tcPr>
          <w:p w14:paraId="46175545" w14:textId="77777777" w:rsidR="00473968" w:rsidRPr="0081220A" w:rsidRDefault="00473968" w:rsidP="00021EF3">
            <w:pPr>
              <w:spacing w:after="0"/>
              <w:ind w:left="0"/>
              <w:rPr>
                <w:b/>
                <w:bCs/>
              </w:rPr>
            </w:pPr>
            <w:r w:rsidRPr="0081220A">
              <w:rPr>
                <w:b/>
                <w:bCs/>
              </w:rPr>
              <w:t>Change from previous round</w:t>
            </w:r>
          </w:p>
        </w:tc>
      </w:tr>
      <w:tr w:rsidR="00473968" w:rsidRPr="00FC4873" w14:paraId="5B5805BB" w14:textId="77777777">
        <w:trPr>
          <w:cantSplit/>
          <w:trHeight w:val="170"/>
        </w:trPr>
        <w:tc>
          <w:tcPr>
            <w:tcW w:w="1192" w:type="dxa"/>
            <w:shd w:val="clear" w:color="auto" w:fill="DFF0F9" w:themeFill="accent3" w:themeFillTint="33"/>
          </w:tcPr>
          <w:p w14:paraId="1169FBF9" w14:textId="77777777" w:rsidR="00473968" w:rsidRPr="00BB215F" w:rsidRDefault="00473968" w:rsidP="00021EF3">
            <w:pPr>
              <w:spacing w:after="0"/>
              <w:ind w:left="0"/>
              <w:rPr>
                <w:rFonts w:cs="Arial"/>
                <w:b/>
                <w:bCs/>
              </w:rPr>
            </w:pPr>
            <w:r w:rsidRPr="00BB215F">
              <w:rPr>
                <w:rFonts w:cs="Arial"/>
                <w:b/>
                <w:bCs/>
              </w:rPr>
              <w:t>LHVF</w:t>
            </w:r>
          </w:p>
        </w:tc>
        <w:tc>
          <w:tcPr>
            <w:tcW w:w="2777" w:type="dxa"/>
            <w:shd w:val="clear" w:color="auto" w:fill="DFF0F9" w:themeFill="accent3" w:themeFillTint="33"/>
          </w:tcPr>
          <w:p w14:paraId="29F43A21" w14:textId="77777777" w:rsidR="00473968" w:rsidRPr="00310795" w:rsidRDefault="00473968" w:rsidP="00021EF3">
            <w:pPr>
              <w:spacing w:after="0"/>
              <w:rPr>
                <w:rFonts w:cs="Arial"/>
                <w:b/>
                <w:bCs/>
              </w:rPr>
            </w:pPr>
          </w:p>
        </w:tc>
        <w:tc>
          <w:tcPr>
            <w:tcW w:w="4678" w:type="dxa"/>
            <w:shd w:val="clear" w:color="auto" w:fill="DFF0F9" w:themeFill="accent3" w:themeFillTint="33"/>
          </w:tcPr>
          <w:p w14:paraId="1966C015" w14:textId="77777777" w:rsidR="00473968" w:rsidRPr="00A53BAB" w:rsidRDefault="00473968" w:rsidP="00021EF3">
            <w:pPr>
              <w:spacing w:after="0"/>
              <w:rPr>
                <w:rFonts w:cs="Arial"/>
                <w:u w:val="single"/>
              </w:rPr>
            </w:pPr>
          </w:p>
        </w:tc>
        <w:tc>
          <w:tcPr>
            <w:tcW w:w="5317" w:type="dxa"/>
            <w:shd w:val="clear" w:color="auto" w:fill="DFF0F9" w:themeFill="accent3" w:themeFillTint="33"/>
          </w:tcPr>
          <w:p w14:paraId="15E3B308" w14:textId="77777777" w:rsidR="00473968" w:rsidRPr="00E82A8B" w:rsidRDefault="00473968" w:rsidP="00021EF3">
            <w:pPr>
              <w:spacing w:after="0"/>
              <w:ind w:left="312" w:hanging="284"/>
              <w:rPr>
                <w:rFonts w:cs="Arial"/>
                <w:i/>
                <w:iCs/>
              </w:rPr>
            </w:pPr>
          </w:p>
        </w:tc>
      </w:tr>
      <w:tr w:rsidR="006D5674" w:rsidRPr="00FC4873" w14:paraId="08BC3F14" w14:textId="77777777">
        <w:trPr>
          <w:cantSplit/>
          <w:trHeight w:val="644"/>
        </w:trPr>
        <w:tc>
          <w:tcPr>
            <w:tcW w:w="1192" w:type="dxa"/>
          </w:tcPr>
          <w:p w14:paraId="5AE0D03E" w14:textId="77777777" w:rsidR="006D5674" w:rsidRDefault="006D5674" w:rsidP="00021EF3">
            <w:pPr>
              <w:spacing w:after="0"/>
              <w:ind w:left="0" w:right="0"/>
              <w:rPr>
                <w:rFonts w:cs="Arial"/>
                <w:b/>
                <w:bCs/>
              </w:rPr>
            </w:pPr>
            <w:r>
              <w:rPr>
                <w:rFonts w:cs="Arial"/>
              </w:rPr>
              <w:t>LHVF</w:t>
            </w:r>
          </w:p>
        </w:tc>
        <w:tc>
          <w:tcPr>
            <w:tcW w:w="2777" w:type="dxa"/>
          </w:tcPr>
          <w:p w14:paraId="7DA1B748" w14:textId="77777777" w:rsidR="006D5674" w:rsidRDefault="006D5674" w:rsidP="00021EF3">
            <w:pPr>
              <w:spacing w:after="0"/>
              <w:rPr>
                <w:rFonts w:cs="Arial"/>
                <w:b/>
                <w:bCs/>
              </w:rPr>
            </w:pPr>
            <w:r w:rsidRPr="00310795">
              <w:rPr>
                <w:rFonts w:cs="Arial"/>
                <w:b/>
                <w:bCs/>
              </w:rPr>
              <w:t>LHVF</w:t>
            </w:r>
          </w:p>
          <w:p w14:paraId="4001406A" w14:textId="77777777" w:rsidR="006D5674" w:rsidRDefault="006D5674" w:rsidP="00021EF3">
            <w:pPr>
              <w:spacing w:after="0"/>
              <w:rPr>
                <w:rFonts w:cs="Arial"/>
              </w:rPr>
            </w:pPr>
            <w:r>
              <w:rPr>
                <w:rFonts w:cs="Arial"/>
              </w:rPr>
              <w:t>September 2020</w:t>
            </w:r>
          </w:p>
          <w:p w14:paraId="0B10F4B5" w14:textId="77777777" w:rsidR="006D5674" w:rsidRPr="00310795" w:rsidRDefault="006D5674" w:rsidP="00021EF3">
            <w:pPr>
              <w:spacing w:after="0"/>
              <w:rPr>
                <w:rFonts w:cs="Arial"/>
                <w:i/>
                <w:iCs/>
              </w:rPr>
            </w:pPr>
            <w:r>
              <w:rPr>
                <w:rFonts w:cs="Arial"/>
                <w:i/>
                <w:iCs/>
              </w:rPr>
              <w:t>Victoria</w:t>
            </w:r>
          </w:p>
        </w:tc>
        <w:tc>
          <w:tcPr>
            <w:tcW w:w="4678" w:type="dxa"/>
          </w:tcPr>
          <w:p w14:paraId="79CE26F0" w14:textId="77777777" w:rsidR="006D5674" w:rsidRPr="00A53BAB" w:rsidRDefault="006D5674" w:rsidP="00021EF3">
            <w:pPr>
              <w:spacing w:after="0"/>
              <w:rPr>
                <w:rFonts w:cs="Arial"/>
              </w:rPr>
            </w:pPr>
            <w:r w:rsidRPr="00A53BAB">
              <w:rPr>
                <w:rFonts w:cs="Arial"/>
                <w:u w:val="single"/>
              </w:rPr>
              <w:t>Metropolitan Melbourne:</w:t>
            </w:r>
          </w:p>
          <w:p w14:paraId="74B8C563" w14:textId="77777777" w:rsidR="006D5674" w:rsidRPr="00A53BAB" w:rsidRDefault="006D5674" w:rsidP="00021EF3">
            <w:pPr>
              <w:spacing w:after="0"/>
              <w:rPr>
                <w:rFonts w:cs="Arial"/>
              </w:rPr>
            </w:pPr>
            <w:r w:rsidRPr="00A53BAB">
              <w:rPr>
                <w:rFonts w:cs="Arial"/>
              </w:rPr>
              <w:t>1-20 patrons: $15,000</w:t>
            </w:r>
          </w:p>
          <w:p w14:paraId="6F795F13" w14:textId="77777777" w:rsidR="006D5674" w:rsidRPr="00A53BAB" w:rsidRDefault="006D5674" w:rsidP="00021EF3">
            <w:pPr>
              <w:spacing w:after="0"/>
              <w:rPr>
                <w:rFonts w:cs="Arial"/>
              </w:rPr>
            </w:pPr>
            <w:r w:rsidRPr="00A53BAB">
              <w:rPr>
                <w:rFonts w:cs="Arial"/>
              </w:rPr>
              <w:t>21-100 patrons: $20,000</w:t>
            </w:r>
          </w:p>
          <w:p w14:paraId="238BB40C" w14:textId="77777777" w:rsidR="006D5674" w:rsidRPr="00A53BAB" w:rsidRDefault="006D5674" w:rsidP="00021EF3">
            <w:pPr>
              <w:spacing w:after="0"/>
              <w:rPr>
                <w:rFonts w:cs="Arial"/>
              </w:rPr>
            </w:pPr>
            <w:r w:rsidRPr="00A53BAB">
              <w:rPr>
                <w:rFonts w:cs="Arial"/>
              </w:rPr>
              <w:t>101+ patrons: $30,000</w:t>
            </w:r>
          </w:p>
          <w:p w14:paraId="0DA3B9A9" w14:textId="77777777" w:rsidR="006D5674" w:rsidRDefault="006D5674" w:rsidP="00021EF3">
            <w:pPr>
              <w:spacing w:after="0"/>
              <w:rPr>
                <w:rFonts w:cs="Arial"/>
                <w:u w:val="single"/>
              </w:rPr>
            </w:pPr>
          </w:p>
          <w:p w14:paraId="5A2646F1" w14:textId="77777777" w:rsidR="006D5674" w:rsidRPr="00A53BAB" w:rsidRDefault="006D5674" w:rsidP="00021EF3">
            <w:pPr>
              <w:spacing w:after="0"/>
              <w:rPr>
                <w:rFonts w:cs="Arial"/>
              </w:rPr>
            </w:pPr>
            <w:r w:rsidRPr="00A53BAB">
              <w:rPr>
                <w:rFonts w:cs="Arial"/>
                <w:u w:val="single"/>
              </w:rPr>
              <w:t>Regional Victoria:</w:t>
            </w:r>
          </w:p>
          <w:p w14:paraId="097C6D30" w14:textId="77777777" w:rsidR="006D5674" w:rsidRPr="00A53BAB" w:rsidRDefault="006D5674" w:rsidP="00021EF3">
            <w:pPr>
              <w:spacing w:after="0"/>
              <w:rPr>
                <w:rFonts w:cs="Arial"/>
              </w:rPr>
            </w:pPr>
            <w:r w:rsidRPr="00A53BAB">
              <w:rPr>
                <w:rFonts w:cs="Arial"/>
              </w:rPr>
              <w:t>1-20 patrons: $10,000</w:t>
            </w:r>
          </w:p>
          <w:p w14:paraId="0575718E" w14:textId="77777777" w:rsidR="006D5674" w:rsidRPr="00A53BAB" w:rsidRDefault="006D5674" w:rsidP="00021EF3">
            <w:pPr>
              <w:spacing w:after="0"/>
              <w:rPr>
                <w:rFonts w:cs="Arial"/>
              </w:rPr>
            </w:pPr>
            <w:r w:rsidRPr="00A53BAB">
              <w:rPr>
                <w:rFonts w:cs="Arial"/>
              </w:rPr>
              <w:t>21-100 patrons: $15,000</w:t>
            </w:r>
          </w:p>
          <w:p w14:paraId="05920106" w14:textId="77777777" w:rsidR="006D5674" w:rsidRPr="00A53BAB" w:rsidRDefault="006D5674" w:rsidP="00021EF3">
            <w:pPr>
              <w:spacing w:after="0"/>
              <w:rPr>
                <w:rFonts w:cs="Arial"/>
                <w:u w:val="single"/>
              </w:rPr>
            </w:pPr>
            <w:r w:rsidRPr="00A53BAB">
              <w:rPr>
                <w:rFonts w:cs="Arial"/>
              </w:rPr>
              <w:t>101+ patrons: $25,000</w:t>
            </w:r>
          </w:p>
        </w:tc>
        <w:tc>
          <w:tcPr>
            <w:tcW w:w="5317" w:type="dxa"/>
          </w:tcPr>
          <w:p w14:paraId="4D3DEBA4" w14:textId="77777777" w:rsidR="006D5674" w:rsidRPr="00FF4B71" w:rsidRDefault="006D5674" w:rsidP="00021EF3">
            <w:pPr>
              <w:pStyle w:val="ListParagraph"/>
              <w:numPr>
                <w:ilvl w:val="0"/>
                <w:numId w:val="20"/>
              </w:numPr>
              <w:spacing w:after="0"/>
              <w:ind w:left="312" w:hanging="284"/>
              <w:rPr>
                <w:rFonts w:cs="Arial"/>
              </w:rPr>
            </w:pPr>
            <w:r>
              <w:rPr>
                <w:rFonts w:cs="Arial"/>
              </w:rPr>
              <w:t>Excludes BCAP recipients</w:t>
            </w:r>
          </w:p>
          <w:p w14:paraId="5B85CFB6" w14:textId="77777777" w:rsidR="006D5674" w:rsidRPr="00E82A8B" w:rsidRDefault="006D5674" w:rsidP="00021EF3">
            <w:pPr>
              <w:pStyle w:val="ListParagraph"/>
              <w:numPr>
                <w:ilvl w:val="0"/>
                <w:numId w:val="20"/>
              </w:numPr>
              <w:spacing w:after="0"/>
              <w:ind w:left="312" w:hanging="284"/>
              <w:rPr>
                <w:rFonts w:cs="Arial"/>
              </w:rPr>
            </w:pPr>
            <w:r>
              <w:rPr>
                <w:rFonts w:cs="Arial"/>
              </w:rPr>
              <w:t>Date of assessment for GST, ABN, premises and liquor licence is 13 September 2020.</w:t>
            </w:r>
          </w:p>
          <w:p w14:paraId="377E70DA" w14:textId="77777777" w:rsidR="006D5674" w:rsidRPr="00E82A8B" w:rsidRDefault="006D5674" w:rsidP="00021EF3">
            <w:pPr>
              <w:spacing w:after="0"/>
              <w:ind w:left="312" w:hanging="284"/>
              <w:rPr>
                <w:rFonts w:cs="Arial"/>
                <w:i/>
                <w:iCs/>
              </w:rPr>
            </w:pPr>
          </w:p>
        </w:tc>
      </w:tr>
      <w:tr w:rsidR="00473968" w:rsidRPr="00FC4873" w14:paraId="6530AFCC" w14:textId="77777777">
        <w:trPr>
          <w:trHeight w:val="202"/>
        </w:trPr>
        <w:tc>
          <w:tcPr>
            <w:tcW w:w="1192" w:type="dxa"/>
            <w:shd w:val="clear" w:color="auto" w:fill="DFF0F9" w:themeFill="accent3" w:themeFillTint="33"/>
          </w:tcPr>
          <w:p w14:paraId="38CC9A9D" w14:textId="77777777" w:rsidR="00473968" w:rsidRDefault="00473968" w:rsidP="00021EF3">
            <w:pPr>
              <w:spacing w:after="0"/>
              <w:ind w:left="0"/>
              <w:rPr>
                <w:rFonts w:cs="Arial"/>
                <w:b/>
                <w:bCs/>
              </w:rPr>
            </w:pPr>
            <w:r>
              <w:rPr>
                <w:rFonts w:cs="Arial"/>
                <w:b/>
                <w:bCs/>
              </w:rPr>
              <w:t>LHVF21/21e</w:t>
            </w:r>
          </w:p>
        </w:tc>
        <w:tc>
          <w:tcPr>
            <w:tcW w:w="2777" w:type="dxa"/>
            <w:shd w:val="clear" w:color="auto" w:fill="DFF0F9" w:themeFill="accent3" w:themeFillTint="33"/>
          </w:tcPr>
          <w:p w14:paraId="1C54434B" w14:textId="77777777" w:rsidR="00473968" w:rsidRPr="00310795" w:rsidRDefault="00473968" w:rsidP="00021EF3">
            <w:pPr>
              <w:spacing w:after="0"/>
              <w:rPr>
                <w:rFonts w:cs="Arial"/>
                <w:b/>
                <w:bCs/>
              </w:rPr>
            </w:pPr>
          </w:p>
        </w:tc>
        <w:tc>
          <w:tcPr>
            <w:tcW w:w="4678" w:type="dxa"/>
            <w:shd w:val="clear" w:color="auto" w:fill="DFF0F9" w:themeFill="accent3" w:themeFillTint="33"/>
          </w:tcPr>
          <w:p w14:paraId="67A647F2" w14:textId="77777777" w:rsidR="00473968" w:rsidRPr="00A53BAB" w:rsidRDefault="00473968" w:rsidP="00021EF3">
            <w:pPr>
              <w:spacing w:after="0"/>
              <w:rPr>
                <w:rFonts w:cs="Arial"/>
                <w:u w:val="single"/>
              </w:rPr>
            </w:pPr>
          </w:p>
        </w:tc>
        <w:tc>
          <w:tcPr>
            <w:tcW w:w="5317" w:type="dxa"/>
            <w:shd w:val="clear" w:color="auto" w:fill="DFF0F9" w:themeFill="accent3" w:themeFillTint="33"/>
          </w:tcPr>
          <w:p w14:paraId="7122F57D" w14:textId="77777777" w:rsidR="00473968" w:rsidRPr="00BB215F" w:rsidRDefault="00473968" w:rsidP="00021EF3">
            <w:pPr>
              <w:spacing w:after="0"/>
              <w:ind w:left="360" w:hanging="360"/>
              <w:rPr>
                <w:rFonts w:cs="Arial"/>
                <w:i/>
                <w:iCs/>
              </w:rPr>
            </w:pPr>
          </w:p>
        </w:tc>
      </w:tr>
      <w:tr w:rsidR="009B2896" w:rsidRPr="00FC4873" w14:paraId="316893A6" w14:textId="77777777">
        <w:trPr>
          <w:trHeight w:val="2274"/>
        </w:trPr>
        <w:tc>
          <w:tcPr>
            <w:tcW w:w="1192" w:type="dxa"/>
          </w:tcPr>
          <w:p w14:paraId="6572D1D7" w14:textId="16483D7B" w:rsidR="009B2896" w:rsidRPr="00FC4873" w:rsidRDefault="009B2896" w:rsidP="0036581B">
            <w:pPr>
              <w:spacing w:after="0"/>
              <w:ind w:left="0" w:right="0"/>
              <w:rPr>
                <w:rFonts w:cs="Arial"/>
              </w:rPr>
            </w:pPr>
            <w:r w:rsidRPr="00E12AEF">
              <w:rPr>
                <w:rFonts w:cs="Arial"/>
              </w:rPr>
              <w:t>LHVF 21/21e</w:t>
            </w:r>
          </w:p>
        </w:tc>
        <w:tc>
          <w:tcPr>
            <w:tcW w:w="2777" w:type="dxa"/>
          </w:tcPr>
          <w:p w14:paraId="00E8FFFF" w14:textId="77777777" w:rsidR="009B2896" w:rsidRDefault="009B2896" w:rsidP="00E10539">
            <w:pPr>
              <w:spacing w:after="0"/>
              <w:rPr>
                <w:rFonts w:cs="Arial"/>
                <w:b/>
                <w:bCs/>
              </w:rPr>
            </w:pPr>
            <w:r w:rsidRPr="00310795">
              <w:rPr>
                <w:rFonts w:cs="Arial"/>
                <w:b/>
                <w:bCs/>
              </w:rPr>
              <w:t>LHVF21</w:t>
            </w:r>
          </w:p>
          <w:p w14:paraId="05B199C7" w14:textId="77777777" w:rsidR="009B2896" w:rsidRDefault="009B2896" w:rsidP="00E10539">
            <w:pPr>
              <w:spacing w:after="0"/>
              <w:rPr>
                <w:rFonts w:cs="Arial"/>
              </w:rPr>
            </w:pPr>
            <w:r>
              <w:rPr>
                <w:rFonts w:cs="Arial"/>
              </w:rPr>
              <w:t>June 2021</w:t>
            </w:r>
          </w:p>
          <w:p w14:paraId="09652D5B" w14:textId="77777777" w:rsidR="009B2896" w:rsidRPr="00310795" w:rsidRDefault="009B2896" w:rsidP="00E10539">
            <w:pPr>
              <w:spacing w:after="0"/>
              <w:rPr>
                <w:rFonts w:cs="Arial"/>
                <w:i/>
                <w:iCs/>
              </w:rPr>
            </w:pPr>
            <w:r>
              <w:rPr>
                <w:rFonts w:cs="Arial"/>
                <w:i/>
                <w:iCs/>
              </w:rPr>
              <w:t>Victoria</w:t>
            </w:r>
          </w:p>
        </w:tc>
        <w:tc>
          <w:tcPr>
            <w:tcW w:w="4678" w:type="dxa"/>
          </w:tcPr>
          <w:p w14:paraId="5842225A" w14:textId="77777777" w:rsidR="009B2896" w:rsidRPr="00A53BAB" w:rsidRDefault="009B2896" w:rsidP="00E10539">
            <w:pPr>
              <w:spacing w:after="0"/>
              <w:rPr>
                <w:rFonts w:cs="Arial"/>
                <w:u w:val="single"/>
              </w:rPr>
            </w:pPr>
            <w:r w:rsidRPr="00A53BAB">
              <w:rPr>
                <w:rFonts w:cs="Arial"/>
                <w:u w:val="single"/>
              </w:rPr>
              <w:t>Metropolitan Melbourne:</w:t>
            </w:r>
          </w:p>
          <w:p w14:paraId="26202DBA" w14:textId="77777777" w:rsidR="009B2896" w:rsidRPr="00A53BAB" w:rsidRDefault="009B2896" w:rsidP="00E10539">
            <w:pPr>
              <w:spacing w:after="0"/>
              <w:rPr>
                <w:rFonts w:cs="Arial"/>
              </w:rPr>
            </w:pPr>
            <w:r w:rsidRPr="00A53BAB">
              <w:rPr>
                <w:rFonts w:cs="Arial"/>
              </w:rPr>
              <w:t>$7,000</w:t>
            </w:r>
          </w:p>
          <w:p w14:paraId="18B1A154" w14:textId="77777777" w:rsidR="009B2896" w:rsidRDefault="009B2896" w:rsidP="00E10539">
            <w:pPr>
              <w:spacing w:after="0"/>
              <w:rPr>
                <w:rFonts w:cs="Arial"/>
                <w:u w:val="single"/>
              </w:rPr>
            </w:pPr>
            <w:r w:rsidRPr="00A53BAB">
              <w:rPr>
                <w:rFonts w:cs="Arial"/>
                <w:u w:val="single"/>
              </w:rPr>
              <w:t xml:space="preserve">Regional Victoria: </w:t>
            </w:r>
          </w:p>
          <w:p w14:paraId="72791808" w14:textId="77777777" w:rsidR="009B2896" w:rsidRDefault="009B2896" w:rsidP="00E10539">
            <w:pPr>
              <w:spacing w:after="0"/>
              <w:rPr>
                <w:rFonts w:cs="Arial"/>
              </w:rPr>
            </w:pPr>
            <w:r w:rsidRPr="00A53BAB">
              <w:rPr>
                <w:rFonts w:cs="Arial"/>
              </w:rPr>
              <w:t>$3,500</w:t>
            </w:r>
          </w:p>
          <w:p w14:paraId="73D4B709" w14:textId="77777777" w:rsidR="009B2896" w:rsidRPr="00A53BAB" w:rsidRDefault="009B2896" w:rsidP="00E10539">
            <w:pPr>
              <w:spacing w:after="0"/>
              <w:rPr>
                <w:rFonts w:cs="Arial"/>
              </w:rPr>
            </w:pPr>
          </w:p>
          <w:p w14:paraId="2A9BEA5C" w14:textId="77777777" w:rsidR="009B2896" w:rsidRPr="00A53BAB" w:rsidRDefault="009B2896" w:rsidP="00E10539">
            <w:pPr>
              <w:spacing w:after="0"/>
              <w:rPr>
                <w:rFonts w:cs="Arial"/>
                <w:i/>
                <w:iCs/>
              </w:rPr>
            </w:pPr>
            <w:r w:rsidRPr="00A53BAB">
              <w:rPr>
                <w:rFonts w:cs="Arial"/>
                <w:i/>
                <w:iCs/>
              </w:rPr>
              <w:t>If eligible (and only one premises in regional Victoria), businesses could also receive the Tourism Supplement, to the value of $3,500 (automatically paid).</w:t>
            </w:r>
          </w:p>
          <w:p w14:paraId="3A7AA436" w14:textId="77777777" w:rsidR="009B2896" w:rsidRDefault="009B2896" w:rsidP="00E10539">
            <w:pPr>
              <w:spacing w:after="0"/>
              <w:rPr>
                <w:rFonts w:cs="Arial"/>
                <w:u w:val="single"/>
              </w:rPr>
            </w:pPr>
          </w:p>
          <w:p w14:paraId="0DFA8ED3" w14:textId="77777777" w:rsidR="009B2896" w:rsidRPr="00A53BAB" w:rsidRDefault="009B2896" w:rsidP="00E10539">
            <w:pPr>
              <w:spacing w:after="0"/>
              <w:rPr>
                <w:rFonts w:cs="Arial"/>
              </w:rPr>
            </w:pPr>
            <w:r w:rsidRPr="00A53BAB">
              <w:rPr>
                <w:rFonts w:cs="Arial"/>
                <w:u w:val="single"/>
              </w:rPr>
              <w:t>Automatic top</w:t>
            </w:r>
            <w:r>
              <w:rPr>
                <w:rFonts w:cs="Arial"/>
                <w:u w:val="single"/>
              </w:rPr>
              <w:t>-</w:t>
            </w:r>
            <w:r w:rsidRPr="00A53BAB">
              <w:rPr>
                <w:rFonts w:cs="Arial"/>
                <w:u w:val="single"/>
              </w:rPr>
              <w:t>up payment</w:t>
            </w:r>
            <w:r>
              <w:rPr>
                <w:rFonts w:cs="Arial"/>
                <w:u w:val="single"/>
              </w:rPr>
              <w:t xml:space="preserve"> for both locations</w:t>
            </w:r>
            <w:r w:rsidRPr="00A53BAB">
              <w:rPr>
                <w:rFonts w:cs="Arial"/>
                <w:u w:val="single"/>
              </w:rPr>
              <w:t>:</w:t>
            </w:r>
          </w:p>
          <w:p w14:paraId="6045FB02" w14:textId="77777777" w:rsidR="009B2896" w:rsidRPr="00A53BAB" w:rsidRDefault="009B2896" w:rsidP="00E10539">
            <w:pPr>
              <w:spacing w:after="0"/>
              <w:rPr>
                <w:rFonts w:cs="Arial"/>
              </w:rPr>
            </w:pPr>
            <w:r w:rsidRPr="00A53BAB">
              <w:rPr>
                <w:rFonts w:cs="Arial"/>
              </w:rPr>
              <w:t>$3000 on 16 July 2021</w:t>
            </w:r>
          </w:p>
          <w:p w14:paraId="7186C8C5" w14:textId="77BB6B11" w:rsidR="009B2896" w:rsidRPr="00A53BAB" w:rsidRDefault="009B2896" w:rsidP="00E10539">
            <w:pPr>
              <w:spacing w:after="0"/>
              <w:rPr>
                <w:rFonts w:cs="Arial"/>
              </w:rPr>
            </w:pPr>
            <w:r w:rsidRPr="00A53BAB">
              <w:rPr>
                <w:rFonts w:cs="Arial"/>
              </w:rPr>
              <w:t>$4,200 on 21 July 2021</w:t>
            </w:r>
          </w:p>
        </w:tc>
        <w:tc>
          <w:tcPr>
            <w:tcW w:w="5317" w:type="dxa"/>
          </w:tcPr>
          <w:p w14:paraId="5AD12BE0" w14:textId="293F5EF4" w:rsidR="009B2896" w:rsidRPr="00E82A8B" w:rsidRDefault="009B2896" w:rsidP="00E10539">
            <w:pPr>
              <w:pStyle w:val="ListParagraph"/>
              <w:numPr>
                <w:ilvl w:val="0"/>
                <w:numId w:val="20"/>
              </w:numPr>
              <w:spacing w:after="0"/>
              <w:ind w:left="312" w:hanging="284"/>
              <w:rPr>
                <w:rFonts w:cs="Arial"/>
              </w:rPr>
            </w:pPr>
            <w:r>
              <w:rPr>
                <w:rFonts w:cs="Arial"/>
              </w:rPr>
              <w:t>Grant amount decreases and is not distributed by patron capacity.</w:t>
            </w:r>
          </w:p>
          <w:p w14:paraId="258D1B99" w14:textId="77777777" w:rsidR="009B2896" w:rsidRPr="00A53BAB" w:rsidRDefault="009B2896" w:rsidP="00E10539">
            <w:pPr>
              <w:pStyle w:val="ListParagraph"/>
              <w:numPr>
                <w:ilvl w:val="0"/>
                <w:numId w:val="20"/>
              </w:numPr>
              <w:spacing w:after="0"/>
              <w:ind w:left="312" w:hanging="284"/>
              <w:rPr>
                <w:rFonts w:cs="Arial"/>
              </w:rPr>
            </w:pPr>
            <w:r>
              <w:rPr>
                <w:rFonts w:cs="Arial"/>
              </w:rPr>
              <w:t>Date of assessment for GST, ABN, premises and liquor licence is later on 27 May 2021.</w:t>
            </w:r>
          </w:p>
        </w:tc>
      </w:tr>
      <w:tr w:rsidR="00E10539" w:rsidRPr="00FC4873" w14:paraId="07C188C4" w14:textId="77777777">
        <w:trPr>
          <w:trHeight w:val="202"/>
        </w:trPr>
        <w:tc>
          <w:tcPr>
            <w:tcW w:w="1192" w:type="dxa"/>
          </w:tcPr>
          <w:p w14:paraId="109E465A" w14:textId="77777777" w:rsidR="00E10539" w:rsidRPr="00E12AEF" w:rsidRDefault="00E10539" w:rsidP="00E10539">
            <w:pPr>
              <w:spacing w:after="0"/>
              <w:ind w:left="0" w:right="0"/>
              <w:rPr>
                <w:rFonts w:cs="Arial"/>
              </w:rPr>
            </w:pPr>
            <w:r w:rsidRPr="00E12AEF">
              <w:rPr>
                <w:rFonts w:cs="Arial"/>
              </w:rPr>
              <w:t>LHVF 21/21e</w:t>
            </w:r>
          </w:p>
          <w:p w14:paraId="4105A3E8" w14:textId="77777777" w:rsidR="00E10539" w:rsidRPr="00FC4873" w:rsidRDefault="00E10539" w:rsidP="00E10539">
            <w:pPr>
              <w:spacing w:after="0"/>
              <w:ind w:left="0" w:right="0"/>
              <w:rPr>
                <w:rFonts w:cs="Arial"/>
              </w:rPr>
            </w:pPr>
          </w:p>
        </w:tc>
        <w:tc>
          <w:tcPr>
            <w:tcW w:w="2777" w:type="dxa"/>
          </w:tcPr>
          <w:p w14:paraId="106DD439" w14:textId="77777777" w:rsidR="00E10539" w:rsidRDefault="00E10539" w:rsidP="00E10539">
            <w:pPr>
              <w:spacing w:after="0"/>
              <w:rPr>
                <w:rFonts w:cs="Arial"/>
                <w:b/>
                <w:bCs/>
              </w:rPr>
            </w:pPr>
            <w:r w:rsidRPr="00310795">
              <w:rPr>
                <w:rFonts w:cs="Arial"/>
                <w:b/>
                <w:bCs/>
              </w:rPr>
              <w:t>LHVF21e</w:t>
            </w:r>
          </w:p>
          <w:p w14:paraId="6073597C" w14:textId="77777777" w:rsidR="00E10539" w:rsidRDefault="00E10539" w:rsidP="00E10539">
            <w:pPr>
              <w:spacing w:after="0"/>
              <w:rPr>
                <w:rFonts w:cs="Arial"/>
              </w:rPr>
            </w:pPr>
            <w:r>
              <w:rPr>
                <w:rFonts w:cs="Arial"/>
              </w:rPr>
              <w:t>July 2021</w:t>
            </w:r>
          </w:p>
          <w:p w14:paraId="443CCE87" w14:textId="77777777" w:rsidR="00E10539" w:rsidRPr="00310795" w:rsidRDefault="00E10539" w:rsidP="00E10539">
            <w:pPr>
              <w:spacing w:after="0"/>
              <w:rPr>
                <w:rFonts w:cs="Arial"/>
                <w:i/>
                <w:iCs/>
              </w:rPr>
            </w:pPr>
            <w:r>
              <w:rPr>
                <w:rFonts w:cs="Arial"/>
                <w:i/>
                <w:iCs/>
              </w:rPr>
              <w:t>Victoria</w:t>
            </w:r>
          </w:p>
        </w:tc>
        <w:tc>
          <w:tcPr>
            <w:tcW w:w="4678" w:type="dxa"/>
            <w:tcBorders>
              <w:top w:val="single" w:sz="4" w:space="0" w:color="auto"/>
            </w:tcBorders>
          </w:tcPr>
          <w:p w14:paraId="6BCBDAC5" w14:textId="77777777" w:rsidR="00E10539" w:rsidRPr="00A53BAB" w:rsidRDefault="00E10539" w:rsidP="00E10539">
            <w:pPr>
              <w:spacing w:after="0"/>
              <w:rPr>
                <w:rFonts w:cs="Arial"/>
              </w:rPr>
            </w:pPr>
            <w:r w:rsidRPr="00A53BAB">
              <w:rPr>
                <w:rFonts w:cs="Arial"/>
              </w:rPr>
              <w:t>$7,200</w:t>
            </w:r>
          </w:p>
        </w:tc>
        <w:tc>
          <w:tcPr>
            <w:tcW w:w="5317" w:type="dxa"/>
          </w:tcPr>
          <w:p w14:paraId="0694AD95" w14:textId="03F521B9" w:rsidR="00E10539" w:rsidRPr="00E82A8B" w:rsidRDefault="00E10539" w:rsidP="00E10539">
            <w:pPr>
              <w:pStyle w:val="ListParagraph"/>
              <w:numPr>
                <w:ilvl w:val="0"/>
                <w:numId w:val="20"/>
              </w:numPr>
              <w:spacing w:after="0"/>
              <w:ind w:left="312" w:hanging="284"/>
              <w:rPr>
                <w:rFonts w:cs="Arial"/>
              </w:rPr>
            </w:pPr>
            <w:r>
              <w:rPr>
                <w:rFonts w:cs="Arial"/>
              </w:rPr>
              <w:t>Compared to LHVF21, the date of assessment for GST, ABN, premises and liquor licence is later on 15 July 2021, but the remaining LHVF21 eligibility criteria remain.</w:t>
            </w:r>
          </w:p>
          <w:p w14:paraId="10D3E3E8" w14:textId="0088EECD" w:rsidR="00E10539" w:rsidRDefault="00E10539" w:rsidP="00E10539">
            <w:pPr>
              <w:pStyle w:val="ListParagraph"/>
              <w:numPr>
                <w:ilvl w:val="0"/>
                <w:numId w:val="20"/>
              </w:numPr>
              <w:spacing w:after="0"/>
              <w:ind w:left="312" w:hanging="284"/>
              <w:rPr>
                <w:rFonts w:cs="Arial"/>
              </w:rPr>
            </w:pPr>
            <w:r w:rsidRPr="00E82A8B">
              <w:rPr>
                <w:rFonts w:cs="Arial"/>
              </w:rPr>
              <w:t xml:space="preserve">For businesses that did not apply for </w:t>
            </w:r>
            <w:r>
              <w:rPr>
                <w:rFonts w:cs="Arial"/>
              </w:rPr>
              <w:t>LHVF</w:t>
            </w:r>
            <w:r w:rsidRPr="00E82A8B">
              <w:rPr>
                <w:rFonts w:cs="Arial"/>
              </w:rPr>
              <w:t xml:space="preserve"> or were not eligible at the time</w:t>
            </w:r>
            <w:r>
              <w:rPr>
                <w:rFonts w:cs="Arial"/>
              </w:rPr>
              <w:t>.</w:t>
            </w:r>
          </w:p>
          <w:p w14:paraId="2BDAE64B" w14:textId="77777777" w:rsidR="00E10539" w:rsidRPr="00235394" w:rsidRDefault="00E10539" w:rsidP="00E10539">
            <w:pPr>
              <w:pStyle w:val="ListParagraph"/>
              <w:numPr>
                <w:ilvl w:val="0"/>
                <w:numId w:val="20"/>
              </w:numPr>
              <w:spacing w:after="0"/>
              <w:ind w:left="312" w:hanging="284"/>
              <w:rPr>
                <w:rFonts w:cs="Arial"/>
              </w:rPr>
            </w:pPr>
            <w:r>
              <w:rPr>
                <w:rFonts w:cs="Arial"/>
              </w:rPr>
              <w:t>The year of validity</w:t>
            </w:r>
            <w:r w:rsidRPr="00E82A8B">
              <w:rPr>
                <w:rFonts w:cs="Arial"/>
              </w:rPr>
              <w:t xml:space="preserve"> for food business </w:t>
            </w:r>
            <w:r>
              <w:rPr>
                <w:rFonts w:cs="Arial"/>
              </w:rPr>
              <w:t xml:space="preserve">certificate of </w:t>
            </w:r>
            <w:r w:rsidRPr="00E82A8B">
              <w:rPr>
                <w:rFonts w:cs="Arial"/>
              </w:rPr>
              <w:t xml:space="preserve">registration </w:t>
            </w:r>
            <w:r>
              <w:rPr>
                <w:rFonts w:cs="Arial"/>
              </w:rPr>
              <w:t xml:space="preserve">is extended from 2021 only to both 2020 </w:t>
            </w:r>
            <w:proofErr w:type="gramStart"/>
            <w:r>
              <w:rPr>
                <w:rFonts w:cs="Arial"/>
              </w:rPr>
              <w:t>or</w:t>
            </w:r>
            <w:proofErr w:type="gramEnd"/>
            <w:r>
              <w:rPr>
                <w:rFonts w:cs="Arial"/>
              </w:rPr>
              <w:t xml:space="preserve"> 2021.</w:t>
            </w:r>
          </w:p>
        </w:tc>
      </w:tr>
      <w:tr w:rsidR="00E10539" w:rsidRPr="000D5048" w14:paraId="7CC71472" w14:textId="77777777">
        <w:trPr>
          <w:trHeight w:val="20"/>
        </w:trPr>
        <w:tc>
          <w:tcPr>
            <w:tcW w:w="1192" w:type="dxa"/>
          </w:tcPr>
          <w:p w14:paraId="22FDB7E0" w14:textId="77777777" w:rsidR="00E10539" w:rsidRPr="00E12AEF" w:rsidRDefault="00E10539" w:rsidP="00E10539">
            <w:pPr>
              <w:spacing w:after="0"/>
              <w:ind w:left="0" w:right="0"/>
              <w:rPr>
                <w:rFonts w:cs="Arial"/>
              </w:rPr>
            </w:pPr>
            <w:r w:rsidRPr="00E12AEF">
              <w:rPr>
                <w:rFonts w:cs="Arial"/>
              </w:rPr>
              <w:t>LHVF 21/21e</w:t>
            </w:r>
          </w:p>
          <w:p w14:paraId="26A87F8D" w14:textId="77777777" w:rsidR="00E10539" w:rsidRPr="000D5048" w:rsidRDefault="00E10539" w:rsidP="00E10539">
            <w:pPr>
              <w:spacing w:after="0"/>
              <w:ind w:left="0" w:right="0"/>
              <w:rPr>
                <w:rFonts w:cs="Arial"/>
              </w:rPr>
            </w:pPr>
          </w:p>
        </w:tc>
        <w:tc>
          <w:tcPr>
            <w:tcW w:w="2777" w:type="dxa"/>
          </w:tcPr>
          <w:p w14:paraId="29320E7A" w14:textId="2FDD73DD" w:rsidR="00E10539" w:rsidRDefault="00E10539" w:rsidP="00E10539">
            <w:pPr>
              <w:spacing w:after="0"/>
              <w:rPr>
                <w:rFonts w:cs="Arial"/>
                <w:b/>
                <w:bCs/>
              </w:rPr>
            </w:pPr>
            <w:r w:rsidRPr="00310795">
              <w:rPr>
                <w:rFonts w:cs="Arial"/>
                <w:b/>
                <w:bCs/>
              </w:rPr>
              <w:t>LHVF CBD</w:t>
            </w:r>
            <w:r>
              <w:rPr>
                <w:rFonts w:cs="Arial"/>
                <w:b/>
                <w:bCs/>
              </w:rPr>
              <w:t xml:space="preserve"> top-up payment</w:t>
            </w:r>
          </w:p>
          <w:p w14:paraId="00623863" w14:textId="77777777" w:rsidR="00E10539" w:rsidRDefault="00E10539" w:rsidP="00E10539">
            <w:pPr>
              <w:spacing w:after="0"/>
              <w:rPr>
                <w:rFonts w:cs="Arial"/>
              </w:rPr>
            </w:pPr>
            <w:r>
              <w:rPr>
                <w:rFonts w:cs="Arial"/>
              </w:rPr>
              <w:t>28 July 2021</w:t>
            </w:r>
          </w:p>
          <w:p w14:paraId="5319EE2D" w14:textId="77777777" w:rsidR="00E10539" w:rsidRPr="00E12AEF" w:rsidRDefault="00E10539" w:rsidP="00E10539">
            <w:pPr>
              <w:spacing w:after="0"/>
              <w:rPr>
                <w:rFonts w:cs="Arial"/>
                <w:i/>
                <w:iCs/>
              </w:rPr>
            </w:pPr>
            <w:r>
              <w:rPr>
                <w:rFonts w:cs="Arial"/>
                <w:i/>
                <w:iCs/>
              </w:rPr>
              <w:t>Melbourne CBD</w:t>
            </w:r>
          </w:p>
        </w:tc>
        <w:tc>
          <w:tcPr>
            <w:tcW w:w="4678" w:type="dxa"/>
          </w:tcPr>
          <w:p w14:paraId="24D327BE" w14:textId="77777777" w:rsidR="00E10539" w:rsidRPr="00A53BAB" w:rsidRDefault="00E10539" w:rsidP="00E10539">
            <w:pPr>
              <w:spacing w:after="0"/>
              <w:rPr>
                <w:rFonts w:cs="Arial"/>
              </w:rPr>
            </w:pPr>
            <w:r w:rsidRPr="00A53BAB">
              <w:rPr>
                <w:rFonts w:cs="Arial"/>
              </w:rPr>
              <w:t>$2,000</w:t>
            </w:r>
          </w:p>
        </w:tc>
        <w:tc>
          <w:tcPr>
            <w:tcW w:w="5317" w:type="dxa"/>
          </w:tcPr>
          <w:p w14:paraId="53A85B65" w14:textId="2CDC85FD" w:rsidR="00E10539" w:rsidRPr="00BA5CB7" w:rsidRDefault="00E10539" w:rsidP="00E10539">
            <w:pPr>
              <w:pStyle w:val="ListParagraph"/>
              <w:numPr>
                <w:ilvl w:val="0"/>
                <w:numId w:val="56"/>
              </w:numPr>
              <w:spacing w:after="0"/>
              <w:rPr>
                <w:rFonts w:cs="Arial"/>
              </w:rPr>
            </w:pPr>
            <w:r>
              <w:rPr>
                <w:rFonts w:cs="Arial"/>
              </w:rPr>
              <w:t>Top-up payment only available for businesses located in the Melbourne CBD.</w:t>
            </w:r>
          </w:p>
        </w:tc>
      </w:tr>
      <w:tr w:rsidR="00E10539" w:rsidRPr="000D5048" w14:paraId="1C461A0D" w14:textId="77777777">
        <w:trPr>
          <w:trHeight w:val="623"/>
        </w:trPr>
        <w:tc>
          <w:tcPr>
            <w:tcW w:w="1192" w:type="dxa"/>
          </w:tcPr>
          <w:p w14:paraId="7A83C34B" w14:textId="77777777" w:rsidR="00E10539" w:rsidRPr="00E12AEF" w:rsidRDefault="00E10539" w:rsidP="00E10539">
            <w:pPr>
              <w:spacing w:after="0"/>
              <w:ind w:left="0" w:right="0"/>
              <w:rPr>
                <w:rFonts w:cs="Arial"/>
              </w:rPr>
            </w:pPr>
            <w:r w:rsidRPr="00E12AEF">
              <w:rPr>
                <w:rFonts w:cs="Arial"/>
              </w:rPr>
              <w:lastRenderedPageBreak/>
              <w:t>LHVF 21/21e</w:t>
            </w:r>
          </w:p>
          <w:p w14:paraId="7C6842AF" w14:textId="77777777" w:rsidR="00E10539" w:rsidRPr="000D5048" w:rsidRDefault="00E10539" w:rsidP="00E10539">
            <w:pPr>
              <w:spacing w:after="0"/>
              <w:ind w:left="0" w:right="0"/>
              <w:rPr>
                <w:rFonts w:cs="Arial"/>
              </w:rPr>
            </w:pPr>
          </w:p>
        </w:tc>
        <w:tc>
          <w:tcPr>
            <w:tcW w:w="2777" w:type="dxa"/>
          </w:tcPr>
          <w:p w14:paraId="46D33BB8" w14:textId="77777777" w:rsidR="00E10539" w:rsidRDefault="00E10539" w:rsidP="00E10539">
            <w:pPr>
              <w:spacing w:after="0"/>
              <w:rPr>
                <w:rFonts w:cs="Arial"/>
                <w:b/>
                <w:bCs/>
              </w:rPr>
            </w:pPr>
            <w:r>
              <w:rPr>
                <w:rFonts w:cs="Arial"/>
                <w:b/>
                <w:bCs/>
              </w:rPr>
              <w:t>LHVF continuity payment</w:t>
            </w:r>
          </w:p>
          <w:p w14:paraId="30A6DD55" w14:textId="5374030D" w:rsidR="00E10539" w:rsidRDefault="00E10539" w:rsidP="00E10539">
            <w:pPr>
              <w:spacing w:after="0"/>
              <w:rPr>
                <w:rFonts w:cs="Arial"/>
              </w:rPr>
            </w:pPr>
            <w:r>
              <w:rPr>
                <w:rFonts w:cs="Arial"/>
              </w:rPr>
              <w:t>28 July 2021 and 6 August 2021</w:t>
            </w:r>
          </w:p>
          <w:p w14:paraId="0C85D768" w14:textId="77777777" w:rsidR="00E10539" w:rsidRPr="00E21DE1" w:rsidRDefault="00E10539" w:rsidP="00E10539">
            <w:pPr>
              <w:spacing w:after="0"/>
              <w:rPr>
                <w:rFonts w:cs="Arial"/>
                <w:i/>
                <w:iCs/>
              </w:rPr>
            </w:pPr>
            <w:r>
              <w:rPr>
                <w:rFonts w:cs="Arial"/>
                <w:i/>
                <w:iCs/>
              </w:rPr>
              <w:t>Victoria</w:t>
            </w:r>
          </w:p>
        </w:tc>
        <w:tc>
          <w:tcPr>
            <w:tcW w:w="4678" w:type="dxa"/>
          </w:tcPr>
          <w:p w14:paraId="05A555E0" w14:textId="77777777" w:rsidR="00E10539" w:rsidRPr="00A53BAB" w:rsidRDefault="00E10539" w:rsidP="00E10539">
            <w:pPr>
              <w:spacing w:after="0"/>
              <w:rPr>
                <w:rFonts w:cs="Arial"/>
              </w:rPr>
            </w:pPr>
            <w:r w:rsidRPr="00A53BAB">
              <w:rPr>
                <w:rFonts w:cs="Arial"/>
                <w:u w:val="single"/>
              </w:rPr>
              <w:t>Two</w:t>
            </w:r>
            <w:r>
              <w:rPr>
                <w:rFonts w:cs="Arial"/>
                <w:u w:val="single"/>
              </w:rPr>
              <w:t xml:space="preserve"> </w:t>
            </w:r>
            <w:r w:rsidRPr="00A53BAB">
              <w:rPr>
                <w:rFonts w:cs="Arial"/>
                <w:u w:val="single"/>
              </w:rPr>
              <w:t xml:space="preserve">payments </w:t>
            </w:r>
            <w:r>
              <w:rPr>
                <w:rFonts w:cs="Arial"/>
                <w:u w:val="single"/>
              </w:rPr>
              <w:t>of</w:t>
            </w:r>
            <w:r w:rsidRPr="00A53BAB">
              <w:rPr>
                <w:rFonts w:cs="Arial"/>
                <w:u w:val="single"/>
              </w:rPr>
              <w:t>:</w:t>
            </w:r>
          </w:p>
          <w:p w14:paraId="32DC227B" w14:textId="77777777" w:rsidR="00E10539" w:rsidRPr="00A53BAB" w:rsidRDefault="00E10539" w:rsidP="00E10539">
            <w:pPr>
              <w:spacing w:after="0"/>
              <w:rPr>
                <w:rFonts w:cs="Arial"/>
              </w:rPr>
            </w:pPr>
            <w:r w:rsidRPr="00A53BAB">
              <w:rPr>
                <w:rFonts w:cs="Arial"/>
              </w:rPr>
              <w:t>0-199 patrons: $5,000</w:t>
            </w:r>
          </w:p>
          <w:p w14:paraId="422393B0" w14:textId="77777777" w:rsidR="00E10539" w:rsidRPr="00A53BAB" w:rsidRDefault="00E10539" w:rsidP="00E10539">
            <w:pPr>
              <w:spacing w:after="0"/>
              <w:rPr>
                <w:rFonts w:cs="Arial"/>
              </w:rPr>
            </w:pPr>
            <w:r w:rsidRPr="00A53BAB">
              <w:rPr>
                <w:rFonts w:cs="Arial"/>
              </w:rPr>
              <w:t>200-499 patrons: $10,000</w:t>
            </w:r>
          </w:p>
          <w:p w14:paraId="69E599F5" w14:textId="77777777" w:rsidR="00E10539" w:rsidRPr="00A53BAB" w:rsidRDefault="00E10539" w:rsidP="00E10539">
            <w:pPr>
              <w:spacing w:after="0"/>
              <w:rPr>
                <w:rFonts w:cs="Arial"/>
              </w:rPr>
            </w:pPr>
            <w:r w:rsidRPr="00A53BAB">
              <w:rPr>
                <w:rFonts w:cs="Arial"/>
              </w:rPr>
              <w:t>500+ patrons: $20,000</w:t>
            </w:r>
          </w:p>
        </w:tc>
        <w:tc>
          <w:tcPr>
            <w:tcW w:w="5317" w:type="dxa"/>
          </w:tcPr>
          <w:p w14:paraId="28502FBC" w14:textId="5037D232" w:rsidR="00E10539" w:rsidRDefault="00E10539" w:rsidP="00E10539">
            <w:pPr>
              <w:pStyle w:val="ListParagraph"/>
              <w:numPr>
                <w:ilvl w:val="0"/>
                <w:numId w:val="20"/>
              </w:numPr>
              <w:spacing w:after="0"/>
              <w:ind w:left="312" w:hanging="284"/>
              <w:rPr>
                <w:rFonts w:cs="Arial"/>
              </w:rPr>
            </w:pPr>
            <w:r>
              <w:rPr>
                <w:rFonts w:cs="Arial"/>
              </w:rPr>
              <w:t>Reintroduction</w:t>
            </w:r>
            <w:r w:rsidRPr="00E82A8B">
              <w:rPr>
                <w:rFonts w:cs="Arial"/>
              </w:rPr>
              <w:t xml:space="preserve"> of a </w:t>
            </w:r>
            <w:r>
              <w:rPr>
                <w:rFonts w:cs="Arial"/>
              </w:rPr>
              <w:t>grant amount distributed by</w:t>
            </w:r>
            <w:r w:rsidRPr="00E82A8B">
              <w:rPr>
                <w:rFonts w:cs="Arial"/>
              </w:rPr>
              <w:t xml:space="preserve"> venue capacity</w:t>
            </w:r>
            <w:r>
              <w:rPr>
                <w:rFonts w:cs="Arial"/>
              </w:rPr>
              <w:t>.</w:t>
            </w:r>
          </w:p>
          <w:p w14:paraId="27441012" w14:textId="42359870" w:rsidR="00E10539" w:rsidRDefault="00E10539" w:rsidP="00E10539">
            <w:pPr>
              <w:pStyle w:val="ListParagraph"/>
              <w:numPr>
                <w:ilvl w:val="0"/>
                <w:numId w:val="20"/>
              </w:numPr>
              <w:spacing w:after="0"/>
              <w:ind w:left="312" w:hanging="284"/>
              <w:rPr>
                <w:rFonts w:cs="Arial"/>
              </w:rPr>
            </w:pPr>
            <w:r>
              <w:rPr>
                <w:rFonts w:cs="Arial"/>
              </w:rPr>
              <w:t>Businesses receive the grant amount on two separate occasions (28 July 2021 and 6 August 2021).</w:t>
            </w:r>
          </w:p>
          <w:p w14:paraId="2BBA5E5E" w14:textId="77777777" w:rsidR="00E10539" w:rsidRDefault="00E10539" w:rsidP="00E10539">
            <w:pPr>
              <w:spacing w:after="0"/>
              <w:ind w:left="0"/>
              <w:rPr>
                <w:rFonts w:cs="Arial"/>
              </w:rPr>
            </w:pPr>
          </w:p>
          <w:p w14:paraId="01AAF872" w14:textId="77777777" w:rsidR="00E10539" w:rsidRDefault="00E10539" w:rsidP="00E10539">
            <w:pPr>
              <w:spacing w:after="0"/>
              <w:ind w:left="0"/>
              <w:rPr>
                <w:rFonts w:cs="Arial"/>
              </w:rPr>
            </w:pPr>
          </w:p>
          <w:p w14:paraId="4CD43CE0" w14:textId="77777777" w:rsidR="00E10539" w:rsidRPr="00804AE6" w:rsidRDefault="00E10539" w:rsidP="00E10539">
            <w:pPr>
              <w:spacing w:after="0"/>
              <w:ind w:left="0"/>
              <w:rPr>
                <w:rFonts w:cs="Arial"/>
              </w:rPr>
            </w:pPr>
          </w:p>
          <w:p w14:paraId="7A514EB9" w14:textId="77777777" w:rsidR="00E10539" w:rsidRPr="00235394" w:rsidRDefault="00E10539" w:rsidP="00E10539">
            <w:pPr>
              <w:spacing w:after="0"/>
              <w:ind w:left="0"/>
              <w:rPr>
                <w:rFonts w:cs="Arial"/>
              </w:rPr>
            </w:pPr>
          </w:p>
        </w:tc>
      </w:tr>
      <w:tr w:rsidR="009B2896" w:rsidRPr="00FC3567" w14:paraId="47938F0A" w14:textId="77777777" w:rsidTr="00E000A1">
        <w:trPr>
          <w:trHeight w:val="388"/>
        </w:trPr>
        <w:tc>
          <w:tcPr>
            <w:tcW w:w="1192" w:type="dxa"/>
            <w:shd w:val="clear" w:color="auto" w:fill="DFF0F9" w:themeFill="accent3" w:themeFillTint="33"/>
          </w:tcPr>
          <w:p w14:paraId="43C81F60" w14:textId="7E2FC549" w:rsidR="009B2896" w:rsidRPr="00E12AEF" w:rsidRDefault="009B2896" w:rsidP="00021EF3">
            <w:pPr>
              <w:spacing w:after="0"/>
              <w:rPr>
                <w:rFonts w:cs="Arial"/>
              </w:rPr>
            </w:pPr>
            <w:r w:rsidRPr="00E12AEF">
              <w:rPr>
                <w:rFonts w:cs="Arial"/>
                <w:b/>
                <w:bCs/>
              </w:rPr>
              <w:t>LHVF Top</w:t>
            </w:r>
            <w:r>
              <w:rPr>
                <w:rFonts w:cs="Arial"/>
                <w:b/>
                <w:bCs/>
              </w:rPr>
              <w:t>-</w:t>
            </w:r>
            <w:r w:rsidRPr="00E12AEF">
              <w:rPr>
                <w:rFonts w:cs="Arial"/>
                <w:b/>
                <w:bCs/>
              </w:rPr>
              <w:t xml:space="preserve">Up Payment </w:t>
            </w:r>
            <w:r>
              <w:rPr>
                <w:rFonts w:cs="Arial"/>
                <w:b/>
                <w:bCs/>
              </w:rPr>
              <w:t>2</w:t>
            </w:r>
          </w:p>
        </w:tc>
        <w:tc>
          <w:tcPr>
            <w:tcW w:w="2777" w:type="dxa"/>
            <w:shd w:val="clear" w:color="auto" w:fill="DFF0F9" w:themeFill="accent3" w:themeFillTint="33"/>
          </w:tcPr>
          <w:p w14:paraId="6F6872D3" w14:textId="77777777" w:rsidR="009B2896" w:rsidRPr="00310795" w:rsidRDefault="009B2896" w:rsidP="00021EF3">
            <w:pPr>
              <w:spacing w:after="0"/>
              <w:rPr>
                <w:rFonts w:cs="Arial"/>
                <w:b/>
                <w:bCs/>
              </w:rPr>
            </w:pPr>
          </w:p>
        </w:tc>
        <w:tc>
          <w:tcPr>
            <w:tcW w:w="4678" w:type="dxa"/>
            <w:shd w:val="clear" w:color="auto" w:fill="DFF0F9" w:themeFill="accent3" w:themeFillTint="33"/>
          </w:tcPr>
          <w:p w14:paraId="1509F766" w14:textId="77777777" w:rsidR="009B2896" w:rsidRPr="00A53BAB" w:rsidRDefault="009B2896" w:rsidP="00021EF3">
            <w:pPr>
              <w:spacing w:after="0"/>
              <w:rPr>
                <w:rFonts w:cs="Arial"/>
                <w:u w:val="single"/>
              </w:rPr>
            </w:pPr>
          </w:p>
        </w:tc>
        <w:tc>
          <w:tcPr>
            <w:tcW w:w="5317" w:type="dxa"/>
            <w:shd w:val="clear" w:color="auto" w:fill="DFF0F9" w:themeFill="accent3" w:themeFillTint="33"/>
          </w:tcPr>
          <w:p w14:paraId="3A64C984" w14:textId="77777777" w:rsidR="009B2896" w:rsidRPr="009B2896" w:rsidRDefault="009B2896" w:rsidP="009B2896">
            <w:pPr>
              <w:spacing w:after="0"/>
              <w:ind w:left="360" w:hanging="360"/>
              <w:rPr>
                <w:rFonts w:cs="Arial"/>
              </w:rPr>
            </w:pPr>
          </w:p>
        </w:tc>
      </w:tr>
      <w:tr w:rsidR="0036581B" w:rsidRPr="00FC3567" w14:paraId="2F1C4DEC" w14:textId="77777777">
        <w:trPr>
          <w:trHeight w:val="868"/>
        </w:trPr>
        <w:tc>
          <w:tcPr>
            <w:tcW w:w="1192" w:type="dxa"/>
          </w:tcPr>
          <w:p w14:paraId="01BB7757" w14:textId="77777777" w:rsidR="0036581B" w:rsidRPr="000D5048" w:rsidRDefault="0036581B" w:rsidP="00021EF3">
            <w:pPr>
              <w:spacing w:after="0"/>
              <w:ind w:left="0" w:right="0"/>
              <w:rPr>
                <w:rFonts w:cs="Arial"/>
              </w:rPr>
            </w:pPr>
            <w:r w:rsidRPr="00E12AEF">
              <w:rPr>
                <w:rFonts w:cs="Arial"/>
              </w:rPr>
              <w:t>LHVF 21/21e</w:t>
            </w:r>
          </w:p>
        </w:tc>
        <w:tc>
          <w:tcPr>
            <w:tcW w:w="2777" w:type="dxa"/>
          </w:tcPr>
          <w:p w14:paraId="0FDDE919" w14:textId="42170B94" w:rsidR="0036581B" w:rsidRDefault="0036581B" w:rsidP="00021EF3">
            <w:pPr>
              <w:spacing w:after="0"/>
              <w:rPr>
                <w:rFonts w:cs="Arial"/>
                <w:b/>
                <w:bCs/>
              </w:rPr>
            </w:pPr>
            <w:r w:rsidRPr="00310795">
              <w:rPr>
                <w:rFonts w:cs="Arial"/>
                <w:b/>
                <w:bCs/>
              </w:rPr>
              <w:t>LHVF</w:t>
            </w:r>
            <w:r>
              <w:rPr>
                <w:rFonts w:cs="Arial"/>
                <w:b/>
                <w:bCs/>
              </w:rPr>
              <w:t xml:space="preserve"> metropolitan</w:t>
            </w:r>
            <w:r w:rsidRPr="00310795">
              <w:rPr>
                <w:rFonts w:cs="Arial"/>
                <w:b/>
                <w:bCs/>
              </w:rPr>
              <w:t xml:space="preserve"> top</w:t>
            </w:r>
            <w:r>
              <w:rPr>
                <w:rFonts w:cs="Arial"/>
                <w:b/>
                <w:bCs/>
              </w:rPr>
              <w:t>-</w:t>
            </w:r>
            <w:r w:rsidRPr="00310795">
              <w:rPr>
                <w:rFonts w:cs="Arial"/>
                <w:b/>
                <w:bCs/>
              </w:rPr>
              <w:t>up payment 2</w:t>
            </w:r>
          </w:p>
          <w:p w14:paraId="4F44292B" w14:textId="6BF0EBED" w:rsidR="0036581B" w:rsidRDefault="0036581B" w:rsidP="00021EF3">
            <w:pPr>
              <w:spacing w:after="0"/>
              <w:rPr>
                <w:rFonts w:cs="Arial"/>
              </w:rPr>
            </w:pPr>
            <w:r>
              <w:rPr>
                <w:rFonts w:cs="Arial"/>
              </w:rPr>
              <w:t>12 August 2021 and 19 August 2021</w:t>
            </w:r>
          </w:p>
          <w:p w14:paraId="04EC333D" w14:textId="77777777" w:rsidR="0036581B" w:rsidRPr="00E21DE1" w:rsidRDefault="0036581B" w:rsidP="00021EF3">
            <w:pPr>
              <w:spacing w:after="0"/>
              <w:rPr>
                <w:rFonts w:cs="Arial"/>
                <w:i/>
                <w:iCs/>
              </w:rPr>
            </w:pPr>
            <w:r>
              <w:rPr>
                <w:rFonts w:cs="Arial"/>
                <w:i/>
                <w:iCs/>
              </w:rPr>
              <w:t>Metropolitan Melbourne</w:t>
            </w:r>
          </w:p>
        </w:tc>
        <w:tc>
          <w:tcPr>
            <w:tcW w:w="4678" w:type="dxa"/>
          </w:tcPr>
          <w:p w14:paraId="74764BC0" w14:textId="77777777" w:rsidR="0036581B" w:rsidRPr="00A53BAB" w:rsidRDefault="0036581B" w:rsidP="00021EF3">
            <w:pPr>
              <w:spacing w:after="0"/>
              <w:rPr>
                <w:rFonts w:cs="Arial"/>
              </w:rPr>
            </w:pPr>
            <w:r w:rsidRPr="00A53BAB">
              <w:rPr>
                <w:rFonts w:cs="Arial"/>
                <w:u w:val="single"/>
              </w:rPr>
              <w:t xml:space="preserve">Two </w:t>
            </w:r>
            <w:r>
              <w:rPr>
                <w:rFonts w:cs="Arial"/>
                <w:u w:val="single"/>
              </w:rPr>
              <w:t>payments of:</w:t>
            </w:r>
          </w:p>
          <w:p w14:paraId="79450579" w14:textId="77777777" w:rsidR="0036581B" w:rsidRPr="00A53BAB" w:rsidRDefault="0036581B" w:rsidP="00021EF3">
            <w:pPr>
              <w:spacing w:after="0"/>
              <w:rPr>
                <w:rFonts w:cs="Arial"/>
              </w:rPr>
            </w:pPr>
            <w:r w:rsidRPr="00A53BAB">
              <w:rPr>
                <w:rFonts w:cs="Arial"/>
              </w:rPr>
              <w:t>0-99 patrons: $5,000</w:t>
            </w:r>
          </w:p>
          <w:p w14:paraId="67EFF58E" w14:textId="77777777" w:rsidR="0036581B" w:rsidRPr="00A53BAB" w:rsidRDefault="0036581B" w:rsidP="00021EF3">
            <w:pPr>
              <w:spacing w:after="0"/>
              <w:rPr>
                <w:rFonts w:cs="Arial"/>
              </w:rPr>
            </w:pPr>
            <w:r w:rsidRPr="00A53BAB">
              <w:rPr>
                <w:rFonts w:cs="Arial"/>
              </w:rPr>
              <w:t>100-499 patrons: $10,000</w:t>
            </w:r>
          </w:p>
          <w:p w14:paraId="7BAC3980" w14:textId="77777777" w:rsidR="0036581B" w:rsidRPr="00A53BAB" w:rsidRDefault="0036581B" w:rsidP="00021EF3">
            <w:pPr>
              <w:spacing w:after="0"/>
              <w:rPr>
                <w:rFonts w:cs="Arial"/>
              </w:rPr>
            </w:pPr>
            <w:r w:rsidRPr="00A53BAB">
              <w:rPr>
                <w:rFonts w:cs="Arial"/>
              </w:rPr>
              <w:t>500+ patrons: $20,000</w:t>
            </w:r>
          </w:p>
        </w:tc>
        <w:tc>
          <w:tcPr>
            <w:tcW w:w="5317" w:type="dxa"/>
          </w:tcPr>
          <w:p w14:paraId="1926D971" w14:textId="715FA01D" w:rsidR="0036581B" w:rsidRDefault="0036581B" w:rsidP="00021EF3">
            <w:pPr>
              <w:pStyle w:val="ListParagraph"/>
              <w:numPr>
                <w:ilvl w:val="0"/>
                <w:numId w:val="20"/>
              </w:numPr>
              <w:spacing w:after="0"/>
              <w:ind w:left="312" w:hanging="284"/>
              <w:rPr>
                <w:rFonts w:cs="Arial"/>
              </w:rPr>
            </w:pPr>
            <w:r>
              <w:rPr>
                <w:rFonts w:cs="Arial"/>
              </w:rPr>
              <w:t>R</w:t>
            </w:r>
            <w:r w:rsidRPr="00E82A8B">
              <w:rPr>
                <w:rFonts w:cs="Arial"/>
              </w:rPr>
              <w:t>educed patron capacity</w:t>
            </w:r>
            <w:r>
              <w:rPr>
                <w:rFonts w:cs="Arial"/>
              </w:rPr>
              <w:t xml:space="preserve"> for the midpoint grant amount</w:t>
            </w:r>
            <w:r w:rsidRPr="00E82A8B">
              <w:rPr>
                <w:rFonts w:cs="Arial"/>
              </w:rPr>
              <w:t xml:space="preserve"> in response to industry feedback about relative costs facing different establishment sizes</w:t>
            </w:r>
            <w:r>
              <w:rPr>
                <w:rFonts w:cs="Arial"/>
              </w:rPr>
              <w:t>.</w:t>
            </w:r>
          </w:p>
          <w:p w14:paraId="027073EF" w14:textId="0BB5A759" w:rsidR="0036581B" w:rsidRPr="00E12AEF" w:rsidRDefault="0036581B" w:rsidP="00021EF3">
            <w:pPr>
              <w:pStyle w:val="ListParagraph"/>
              <w:numPr>
                <w:ilvl w:val="0"/>
                <w:numId w:val="20"/>
              </w:numPr>
              <w:spacing w:after="0"/>
              <w:ind w:left="312" w:hanging="284"/>
              <w:rPr>
                <w:rFonts w:cs="Arial"/>
              </w:rPr>
            </w:pPr>
            <w:r w:rsidRPr="00E12AEF">
              <w:rPr>
                <w:rFonts w:cs="Arial"/>
              </w:rPr>
              <w:t>Businesses receive the grant amount on two separate occasions (</w:t>
            </w:r>
            <w:r>
              <w:rPr>
                <w:rFonts w:cs="Arial"/>
              </w:rPr>
              <w:t>12 August 2021 and 19</w:t>
            </w:r>
            <w:r w:rsidRPr="00E12AEF">
              <w:rPr>
                <w:rFonts w:cs="Arial"/>
              </w:rPr>
              <w:t xml:space="preserve"> August</w:t>
            </w:r>
            <w:r>
              <w:rPr>
                <w:rFonts w:cs="Arial"/>
              </w:rPr>
              <w:t xml:space="preserve"> 2021</w:t>
            </w:r>
            <w:r w:rsidRPr="00E12AEF">
              <w:rPr>
                <w:rFonts w:cs="Arial"/>
              </w:rPr>
              <w:t>).</w:t>
            </w:r>
          </w:p>
        </w:tc>
      </w:tr>
      <w:tr w:rsidR="0036581B" w:rsidRPr="00FC3567" w14:paraId="0BABDFAF" w14:textId="77777777">
        <w:trPr>
          <w:trHeight w:val="503"/>
        </w:trPr>
        <w:tc>
          <w:tcPr>
            <w:tcW w:w="1192" w:type="dxa"/>
          </w:tcPr>
          <w:p w14:paraId="6BE6361E" w14:textId="6EAA1B7C" w:rsidR="0036581B" w:rsidRPr="000D5048" w:rsidRDefault="0036581B" w:rsidP="0036581B">
            <w:pPr>
              <w:spacing w:after="0"/>
              <w:ind w:left="0" w:right="0"/>
              <w:rPr>
                <w:rFonts w:cs="Arial"/>
              </w:rPr>
            </w:pPr>
            <w:r w:rsidRPr="00E12AEF">
              <w:rPr>
                <w:rFonts w:cs="Arial"/>
              </w:rPr>
              <w:t>LHVF 21/21e</w:t>
            </w:r>
          </w:p>
        </w:tc>
        <w:tc>
          <w:tcPr>
            <w:tcW w:w="2777" w:type="dxa"/>
          </w:tcPr>
          <w:p w14:paraId="79B71681" w14:textId="06D94767" w:rsidR="0036581B" w:rsidRPr="00BB215F" w:rsidRDefault="0036581B" w:rsidP="0036581B">
            <w:pPr>
              <w:spacing w:after="0"/>
              <w:rPr>
                <w:rFonts w:cs="Arial"/>
                <w:b/>
                <w:bCs/>
              </w:rPr>
            </w:pPr>
            <w:r w:rsidRPr="00BB215F">
              <w:rPr>
                <w:rFonts w:cs="Arial"/>
                <w:b/>
                <w:bCs/>
              </w:rPr>
              <w:t>LHVF regional top</w:t>
            </w:r>
            <w:r>
              <w:rPr>
                <w:rFonts w:cs="Arial"/>
                <w:b/>
                <w:bCs/>
              </w:rPr>
              <w:t>-</w:t>
            </w:r>
            <w:r w:rsidRPr="00BB215F">
              <w:rPr>
                <w:rFonts w:cs="Arial"/>
                <w:b/>
                <w:bCs/>
              </w:rPr>
              <w:t>up payment 2</w:t>
            </w:r>
          </w:p>
          <w:p w14:paraId="7FE74B92" w14:textId="77777777" w:rsidR="0036581B" w:rsidRDefault="0036581B" w:rsidP="0036581B">
            <w:pPr>
              <w:spacing w:after="0"/>
              <w:rPr>
                <w:rFonts w:cs="Arial"/>
              </w:rPr>
            </w:pPr>
            <w:r>
              <w:rPr>
                <w:rFonts w:cs="Arial"/>
              </w:rPr>
              <w:t>22 August 2021</w:t>
            </w:r>
          </w:p>
          <w:p w14:paraId="674B11DA" w14:textId="77777777" w:rsidR="0036581B" w:rsidRPr="00BB215F" w:rsidRDefault="0036581B" w:rsidP="0036581B">
            <w:pPr>
              <w:spacing w:after="0"/>
              <w:rPr>
                <w:rFonts w:cs="Arial"/>
                <w:i/>
                <w:iCs/>
              </w:rPr>
            </w:pPr>
            <w:r>
              <w:rPr>
                <w:rFonts w:cs="Arial"/>
                <w:i/>
                <w:iCs/>
              </w:rPr>
              <w:t>Regional Victoria</w:t>
            </w:r>
          </w:p>
        </w:tc>
        <w:tc>
          <w:tcPr>
            <w:tcW w:w="4678" w:type="dxa"/>
          </w:tcPr>
          <w:p w14:paraId="45F8D51A" w14:textId="77777777" w:rsidR="0036581B" w:rsidRPr="00A53BAB" w:rsidRDefault="0036581B" w:rsidP="0036581B">
            <w:pPr>
              <w:spacing w:after="0"/>
              <w:rPr>
                <w:rFonts w:cs="Arial"/>
              </w:rPr>
            </w:pPr>
            <w:r>
              <w:rPr>
                <w:rFonts w:cs="Arial"/>
                <w:u w:val="single"/>
              </w:rPr>
              <w:t>One payment of:</w:t>
            </w:r>
          </w:p>
          <w:p w14:paraId="7614186A" w14:textId="77777777" w:rsidR="0036581B" w:rsidRPr="00A53BAB" w:rsidRDefault="0036581B" w:rsidP="0036581B">
            <w:pPr>
              <w:spacing w:after="0"/>
              <w:rPr>
                <w:rFonts w:cs="Arial"/>
              </w:rPr>
            </w:pPr>
            <w:r w:rsidRPr="00A53BAB">
              <w:rPr>
                <w:rFonts w:cs="Arial"/>
              </w:rPr>
              <w:t xml:space="preserve">$10,000 to $40,000 </w:t>
            </w:r>
            <w:r>
              <w:rPr>
                <w:rFonts w:cs="Arial"/>
              </w:rPr>
              <w:t>depending on venue capacity</w:t>
            </w:r>
          </w:p>
          <w:p w14:paraId="7BF98FC4" w14:textId="77777777" w:rsidR="0036581B" w:rsidRPr="00A53BAB" w:rsidRDefault="0036581B" w:rsidP="0036581B">
            <w:pPr>
              <w:spacing w:after="0"/>
              <w:rPr>
                <w:rFonts w:cs="Arial"/>
              </w:rPr>
            </w:pPr>
          </w:p>
        </w:tc>
        <w:tc>
          <w:tcPr>
            <w:tcW w:w="5317" w:type="dxa"/>
          </w:tcPr>
          <w:p w14:paraId="300D5CBF" w14:textId="6861EFB8" w:rsidR="0036581B" w:rsidRPr="0081220A" w:rsidRDefault="0036581B" w:rsidP="0036581B">
            <w:pPr>
              <w:pStyle w:val="ListParagraph"/>
              <w:numPr>
                <w:ilvl w:val="0"/>
                <w:numId w:val="20"/>
              </w:numPr>
              <w:spacing w:after="0"/>
              <w:ind w:left="312" w:hanging="284"/>
              <w:rPr>
                <w:rFonts w:cs="Arial"/>
              </w:rPr>
            </w:pPr>
            <w:r w:rsidRPr="00E82A8B">
              <w:rPr>
                <w:rFonts w:cs="Arial"/>
              </w:rPr>
              <w:t xml:space="preserve">Higher grant amount for regional Victoria than </w:t>
            </w:r>
            <w:r>
              <w:rPr>
                <w:rFonts w:cs="Arial"/>
              </w:rPr>
              <w:t>metropolitan</w:t>
            </w:r>
            <w:r w:rsidRPr="00E82A8B">
              <w:rPr>
                <w:rFonts w:cs="Arial"/>
              </w:rPr>
              <w:t xml:space="preserve"> Melbourne</w:t>
            </w:r>
            <w:r>
              <w:rPr>
                <w:rFonts w:cs="Arial"/>
              </w:rPr>
              <w:t xml:space="preserve"> in the LHVF top-up payment 2.</w:t>
            </w:r>
          </w:p>
        </w:tc>
      </w:tr>
      <w:tr w:rsidR="009B2896" w:rsidRPr="00FC3567" w14:paraId="01D92A5E" w14:textId="77777777" w:rsidTr="009B2896">
        <w:trPr>
          <w:trHeight w:val="361"/>
        </w:trPr>
        <w:tc>
          <w:tcPr>
            <w:tcW w:w="1192" w:type="dxa"/>
            <w:shd w:val="clear" w:color="auto" w:fill="DFF0F9" w:themeFill="accent3" w:themeFillTint="33"/>
          </w:tcPr>
          <w:p w14:paraId="5855C285" w14:textId="2F991924" w:rsidR="009B2896" w:rsidRPr="00E12AEF" w:rsidRDefault="009B2896" w:rsidP="0036581B">
            <w:pPr>
              <w:spacing w:after="0"/>
              <w:rPr>
                <w:rFonts w:cs="Arial"/>
              </w:rPr>
            </w:pPr>
            <w:r w:rsidRPr="00E12AEF">
              <w:rPr>
                <w:rFonts w:cs="Arial"/>
                <w:b/>
                <w:bCs/>
              </w:rPr>
              <w:t>LHVF Top</w:t>
            </w:r>
            <w:r>
              <w:rPr>
                <w:rFonts w:cs="Arial"/>
                <w:b/>
                <w:bCs/>
              </w:rPr>
              <w:t>-</w:t>
            </w:r>
            <w:r w:rsidRPr="00E12AEF">
              <w:rPr>
                <w:rFonts w:cs="Arial"/>
                <w:b/>
                <w:bCs/>
              </w:rPr>
              <w:t>Up Payment</w:t>
            </w:r>
            <w:r>
              <w:rPr>
                <w:rFonts w:cs="Arial"/>
                <w:b/>
                <w:bCs/>
              </w:rPr>
              <w:t xml:space="preserve"> 3</w:t>
            </w:r>
          </w:p>
        </w:tc>
        <w:tc>
          <w:tcPr>
            <w:tcW w:w="2777" w:type="dxa"/>
            <w:shd w:val="clear" w:color="auto" w:fill="DFF0F9" w:themeFill="accent3" w:themeFillTint="33"/>
          </w:tcPr>
          <w:p w14:paraId="6D145569" w14:textId="77777777" w:rsidR="009B2896" w:rsidRPr="00310795" w:rsidRDefault="009B2896" w:rsidP="0036581B">
            <w:pPr>
              <w:spacing w:after="0"/>
              <w:rPr>
                <w:rFonts w:cs="Arial"/>
                <w:b/>
                <w:bCs/>
              </w:rPr>
            </w:pPr>
          </w:p>
        </w:tc>
        <w:tc>
          <w:tcPr>
            <w:tcW w:w="4678" w:type="dxa"/>
            <w:shd w:val="clear" w:color="auto" w:fill="DFF0F9" w:themeFill="accent3" w:themeFillTint="33"/>
          </w:tcPr>
          <w:p w14:paraId="401D88F7" w14:textId="77777777" w:rsidR="009B2896" w:rsidRPr="00A53BAB" w:rsidRDefault="009B2896" w:rsidP="0036581B">
            <w:pPr>
              <w:spacing w:after="0"/>
              <w:rPr>
                <w:rFonts w:cs="Arial"/>
              </w:rPr>
            </w:pPr>
          </w:p>
        </w:tc>
        <w:tc>
          <w:tcPr>
            <w:tcW w:w="5317" w:type="dxa"/>
            <w:shd w:val="clear" w:color="auto" w:fill="DFF0F9" w:themeFill="accent3" w:themeFillTint="33"/>
          </w:tcPr>
          <w:p w14:paraId="481C5441" w14:textId="77777777" w:rsidR="009B2896" w:rsidRPr="009B2896" w:rsidRDefault="009B2896" w:rsidP="009B2896">
            <w:pPr>
              <w:spacing w:after="0"/>
              <w:ind w:left="360" w:hanging="360"/>
              <w:rPr>
                <w:rFonts w:cs="Arial"/>
              </w:rPr>
            </w:pPr>
          </w:p>
        </w:tc>
      </w:tr>
      <w:tr w:rsidR="0036581B" w:rsidRPr="00FC3567" w14:paraId="460F0F1D" w14:textId="77777777">
        <w:trPr>
          <w:trHeight w:val="361"/>
        </w:trPr>
        <w:tc>
          <w:tcPr>
            <w:tcW w:w="1192" w:type="dxa"/>
          </w:tcPr>
          <w:p w14:paraId="0E5CD6BB" w14:textId="77777777" w:rsidR="0036581B" w:rsidRPr="00FC3567" w:rsidRDefault="0036581B" w:rsidP="0036581B">
            <w:pPr>
              <w:spacing w:after="0"/>
              <w:ind w:left="0" w:right="0"/>
              <w:rPr>
                <w:rFonts w:cs="Arial"/>
              </w:rPr>
            </w:pPr>
            <w:r w:rsidRPr="00E12AEF">
              <w:rPr>
                <w:rFonts w:cs="Arial"/>
              </w:rPr>
              <w:t>LHVF 21/21e</w:t>
            </w:r>
          </w:p>
        </w:tc>
        <w:tc>
          <w:tcPr>
            <w:tcW w:w="2777" w:type="dxa"/>
          </w:tcPr>
          <w:p w14:paraId="1AA687BF" w14:textId="71F8FB6C" w:rsidR="0036581B" w:rsidRDefault="0036581B" w:rsidP="0036581B">
            <w:pPr>
              <w:spacing w:after="0"/>
              <w:rPr>
                <w:rFonts w:cs="Arial"/>
                <w:b/>
                <w:bCs/>
              </w:rPr>
            </w:pPr>
            <w:r w:rsidRPr="00310795">
              <w:rPr>
                <w:rFonts w:cs="Arial"/>
                <w:b/>
                <w:bCs/>
              </w:rPr>
              <w:t>LHVF top</w:t>
            </w:r>
            <w:r>
              <w:rPr>
                <w:rFonts w:cs="Arial"/>
                <w:b/>
                <w:bCs/>
              </w:rPr>
              <w:t>-</w:t>
            </w:r>
            <w:r w:rsidRPr="00310795">
              <w:rPr>
                <w:rFonts w:cs="Arial"/>
                <w:b/>
                <w:bCs/>
              </w:rPr>
              <w:t>up payment 3</w:t>
            </w:r>
          </w:p>
          <w:p w14:paraId="01B26CA1" w14:textId="77777777" w:rsidR="0036581B" w:rsidRDefault="0036581B" w:rsidP="0036581B">
            <w:pPr>
              <w:spacing w:after="0"/>
              <w:rPr>
                <w:rFonts w:cs="Arial"/>
              </w:rPr>
            </w:pPr>
            <w:r>
              <w:rPr>
                <w:rFonts w:cs="Arial"/>
              </w:rPr>
              <w:t>September 2021</w:t>
            </w:r>
          </w:p>
          <w:p w14:paraId="34FDFF7B" w14:textId="77777777" w:rsidR="0036581B" w:rsidRPr="00BB215F" w:rsidRDefault="0036581B" w:rsidP="0036581B">
            <w:pPr>
              <w:spacing w:after="0"/>
              <w:rPr>
                <w:rFonts w:cs="Arial"/>
              </w:rPr>
            </w:pPr>
            <w:r>
              <w:rPr>
                <w:rFonts w:cs="Arial"/>
              </w:rPr>
              <w:t>Victoria</w:t>
            </w:r>
          </w:p>
        </w:tc>
        <w:tc>
          <w:tcPr>
            <w:tcW w:w="4678" w:type="dxa"/>
          </w:tcPr>
          <w:p w14:paraId="0F3EE4DC" w14:textId="77777777" w:rsidR="0036581B" w:rsidRPr="00A53BAB" w:rsidRDefault="0036581B" w:rsidP="0036581B">
            <w:pPr>
              <w:spacing w:after="0"/>
              <w:rPr>
                <w:rFonts w:cs="Arial"/>
              </w:rPr>
            </w:pPr>
            <w:r w:rsidRPr="00A53BAB">
              <w:rPr>
                <w:rFonts w:cs="Arial"/>
              </w:rPr>
              <w:t>Based on venue capacity, $5,000 to $20,000 per premises per week</w:t>
            </w:r>
          </w:p>
        </w:tc>
        <w:tc>
          <w:tcPr>
            <w:tcW w:w="5317" w:type="dxa"/>
          </w:tcPr>
          <w:p w14:paraId="7ADE87DC" w14:textId="77D256CA" w:rsidR="0036581B" w:rsidRPr="0081220A" w:rsidRDefault="0036581B" w:rsidP="0036581B">
            <w:pPr>
              <w:pStyle w:val="ListParagraph"/>
              <w:numPr>
                <w:ilvl w:val="0"/>
                <w:numId w:val="20"/>
              </w:numPr>
              <w:spacing w:after="0"/>
              <w:ind w:left="312" w:hanging="284"/>
              <w:rPr>
                <w:rFonts w:cs="Arial"/>
              </w:rPr>
            </w:pPr>
            <w:r w:rsidRPr="00E82A8B">
              <w:rPr>
                <w:rFonts w:cs="Arial"/>
              </w:rPr>
              <w:t>Structure changed from one-off payment to weekly payments.</w:t>
            </w:r>
          </w:p>
        </w:tc>
      </w:tr>
      <w:tr w:rsidR="009B2896" w:rsidRPr="00375F64" w14:paraId="374D086D" w14:textId="77777777" w:rsidTr="009B2896">
        <w:trPr>
          <w:cantSplit/>
          <w:trHeight w:val="1141"/>
        </w:trPr>
        <w:tc>
          <w:tcPr>
            <w:tcW w:w="1192" w:type="dxa"/>
            <w:shd w:val="clear" w:color="auto" w:fill="DFF0F9" w:themeFill="accent3" w:themeFillTint="33"/>
          </w:tcPr>
          <w:p w14:paraId="1A2B583C" w14:textId="49B07D34" w:rsidR="009B2896" w:rsidRPr="00E12AEF" w:rsidRDefault="009B2896" w:rsidP="0036581B">
            <w:pPr>
              <w:spacing w:after="0"/>
              <w:rPr>
                <w:rFonts w:cs="Arial"/>
              </w:rPr>
            </w:pPr>
            <w:r w:rsidRPr="00E12AEF">
              <w:rPr>
                <w:rFonts w:cs="Arial"/>
                <w:b/>
                <w:bCs/>
              </w:rPr>
              <w:t>LHVF Top</w:t>
            </w:r>
            <w:r>
              <w:rPr>
                <w:rFonts w:cs="Arial"/>
                <w:b/>
                <w:bCs/>
              </w:rPr>
              <w:t>-</w:t>
            </w:r>
            <w:r w:rsidRPr="00E12AEF">
              <w:rPr>
                <w:rFonts w:cs="Arial"/>
                <w:b/>
                <w:bCs/>
              </w:rPr>
              <w:t xml:space="preserve">Up Payment </w:t>
            </w:r>
            <w:r>
              <w:rPr>
                <w:rFonts w:cs="Arial"/>
                <w:b/>
                <w:bCs/>
              </w:rPr>
              <w:t>4</w:t>
            </w:r>
          </w:p>
        </w:tc>
        <w:tc>
          <w:tcPr>
            <w:tcW w:w="2777" w:type="dxa"/>
            <w:shd w:val="clear" w:color="auto" w:fill="DFF0F9" w:themeFill="accent3" w:themeFillTint="33"/>
          </w:tcPr>
          <w:p w14:paraId="0BE4C108" w14:textId="77777777" w:rsidR="009B2896" w:rsidRPr="00310795" w:rsidRDefault="009B2896" w:rsidP="0036581B">
            <w:pPr>
              <w:spacing w:after="0"/>
              <w:rPr>
                <w:rFonts w:cs="Arial"/>
                <w:b/>
                <w:bCs/>
              </w:rPr>
            </w:pPr>
          </w:p>
        </w:tc>
        <w:tc>
          <w:tcPr>
            <w:tcW w:w="4678" w:type="dxa"/>
            <w:shd w:val="clear" w:color="auto" w:fill="DFF0F9" w:themeFill="accent3" w:themeFillTint="33"/>
          </w:tcPr>
          <w:p w14:paraId="61CDF69B" w14:textId="77777777" w:rsidR="009B2896" w:rsidRPr="00A53BAB" w:rsidRDefault="009B2896" w:rsidP="0036581B">
            <w:pPr>
              <w:spacing w:after="0"/>
              <w:rPr>
                <w:rFonts w:cs="Arial"/>
                <w:u w:val="single"/>
              </w:rPr>
            </w:pPr>
          </w:p>
        </w:tc>
        <w:tc>
          <w:tcPr>
            <w:tcW w:w="5317" w:type="dxa"/>
            <w:shd w:val="clear" w:color="auto" w:fill="DFF0F9" w:themeFill="accent3" w:themeFillTint="33"/>
          </w:tcPr>
          <w:p w14:paraId="357A7E53" w14:textId="77777777" w:rsidR="009B2896" w:rsidRPr="009B2896" w:rsidRDefault="009B2896" w:rsidP="009B2896">
            <w:pPr>
              <w:spacing w:after="0"/>
              <w:ind w:left="360" w:hanging="360"/>
              <w:rPr>
                <w:rFonts w:cs="Arial"/>
              </w:rPr>
            </w:pPr>
          </w:p>
        </w:tc>
      </w:tr>
      <w:tr w:rsidR="0036581B" w:rsidRPr="00375F64" w14:paraId="6100F2AC" w14:textId="77777777">
        <w:trPr>
          <w:cantSplit/>
          <w:trHeight w:val="1141"/>
        </w:trPr>
        <w:tc>
          <w:tcPr>
            <w:tcW w:w="1192" w:type="dxa"/>
          </w:tcPr>
          <w:p w14:paraId="0041D590" w14:textId="77777777" w:rsidR="0036581B" w:rsidRPr="00375F64" w:rsidRDefault="0036581B" w:rsidP="0036581B">
            <w:pPr>
              <w:spacing w:after="0"/>
              <w:ind w:left="0" w:right="0"/>
              <w:rPr>
                <w:rFonts w:cs="Arial"/>
              </w:rPr>
            </w:pPr>
            <w:r w:rsidRPr="00E12AEF">
              <w:rPr>
                <w:rFonts w:cs="Arial"/>
              </w:rPr>
              <w:lastRenderedPageBreak/>
              <w:t>LHVF 21/21e</w:t>
            </w:r>
          </w:p>
        </w:tc>
        <w:tc>
          <w:tcPr>
            <w:tcW w:w="2777" w:type="dxa"/>
          </w:tcPr>
          <w:p w14:paraId="78AAA710" w14:textId="56943D99" w:rsidR="0036581B" w:rsidRDefault="0036581B" w:rsidP="0036581B">
            <w:pPr>
              <w:spacing w:after="0"/>
              <w:rPr>
                <w:rFonts w:cs="Arial"/>
                <w:b/>
                <w:bCs/>
              </w:rPr>
            </w:pPr>
            <w:r w:rsidRPr="00310795">
              <w:rPr>
                <w:rFonts w:cs="Arial"/>
                <w:b/>
                <w:bCs/>
              </w:rPr>
              <w:t>LHVF top</w:t>
            </w:r>
            <w:r>
              <w:rPr>
                <w:rFonts w:cs="Arial"/>
                <w:b/>
                <w:bCs/>
              </w:rPr>
              <w:t>-</w:t>
            </w:r>
            <w:r w:rsidRPr="00310795">
              <w:rPr>
                <w:rFonts w:cs="Arial"/>
                <w:b/>
                <w:bCs/>
              </w:rPr>
              <w:t>up payment 4</w:t>
            </w:r>
          </w:p>
          <w:p w14:paraId="45D80208" w14:textId="3DD40F24" w:rsidR="0036581B" w:rsidRDefault="0036581B" w:rsidP="0036581B">
            <w:pPr>
              <w:spacing w:after="0"/>
              <w:rPr>
                <w:rFonts w:cs="Arial"/>
              </w:rPr>
            </w:pPr>
            <w:r>
              <w:rPr>
                <w:rFonts w:cs="Arial"/>
              </w:rPr>
              <w:t>October 2021-November 2021</w:t>
            </w:r>
          </w:p>
          <w:p w14:paraId="0AD2C074" w14:textId="77777777" w:rsidR="0036581B" w:rsidRPr="00BB215F" w:rsidRDefault="0036581B" w:rsidP="0036581B">
            <w:pPr>
              <w:spacing w:after="0"/>
              <w:rPr>
                <w:rFonts w:cs="Arial"/>
                <w:i/>
                <w:iCs/>
              </w:rPr>
            </w:pPr>
            <w:r w:rsidRPr="00BB215F">
              <w:rPr>
                <w:rFonts w:cs="Arial"/>
                <w:i/>
                <w:iCs/>
              </w:rPr>
              <w:t>Victoria</w:t>
            </w:r>
          </w:p>
        </w:tc>
        <w:tc>
          <w:tcPr>
            <w:tcW w:w="4678" w:type="dxa"/>
          </w:tcPr>
          <w:p w14:paraId="522DE9EC" w14:textId="294D85C0" w:rsidR="0036581B" w:rsidRDefault="0036581B" w:rsidP="0036581B">
            <w:pPr>
              <w:spacing w:after="0"/>
              <w:rPr>
                <w:rFonts w:cs="Arial"/>
                <w:u w:val="single"/>
              </w:rPr>
            </w:pPr>
            <w:r w:rsidRPr="00A53BAB">
              <w:rPr>
                <w:rFonts w:cs="Arial"/>
                <w:u w:val="single"/>
              </w:rPr>
              <w:t xml:space="preserve">Fortnight 1 and </w:t>
            </w:r>
            <w:r>
              <w:rPr>
                <w:rFonts w:cs="Arial"/>
                <w:u w:val="single"/>
              </w:rPr>
              <w:t xml:space="preserve">Fortnight </w:t>
            </w:r>
            <w:r w:rsidRPr="00A53BAB">
              <w:rPr>
                <w:rFonts w:cs="Arial"/>
                <w:u w:val="single"/>
              </w:rPr>
              <w:t xml:space="preserve">2 (1-29 October 2021): </w:t>
            </w:r>
          </w:p>
          <w:p w14:paraId="4673DD06" w14:textId="77777777" w:rsidR="0036581B" w:rsidRPr="00A53BAB" w:rsidRDefault="0036581B" w:rsidP="0036581B">
            <w:pPr>
              <w:spacing w:after="0"/>
              <w:rPr>
                <w:rFonts w:cs="Arial"/>
              </w:rPr>
            </w:pPr>
            <w:r w:rsidRPr="00A53BAB">
              <w:rPr>
                <w:rFonts w:cs="Arial"/>
              </w:rPr>
              <w:t>$5,000 to $20,000 per premises per week (based on venue capacity)</w:t>
            </w:r>
          </w:p>
          <w:p w14:paraId="65F3044C" w14:textId="2A14E652" w:rsidR="0036581B" w:rsidRPr="00A53BAB" w:rsidRDefault="0036581B" w:rsidP="0036581B">
            <w:pPr>
              <w:spacing w:after="0"/>
              <w:rPr>
                <w:rFonts w:cs="Arial"/>
              </w:rPr>
            </w:pPr>
            <w:r w:rsidRPr="00A53BAB">
              <w:rPr>
                <w:rFonts w:cs="Arial"/>
                <w:u w:val="single"/>
              </w:rPr>
              <w:t>Fortnight 3 (29 October</w:t>
            </w:r>
            <w:r>
              <w:rPr>
                <w:rFonts w:cs="Arial"/>
                <w:u w:val="single"/>
              </w:rPr>
              <w:t xml:space="preserve"> 2021</w:t>
            </w:r>
            <w:r w:rsidRPr="00A53BAB">
              <w:rPr>
                <w:rFonts w:cs="Arial"/>
                <w:u w:val="single"/>
              </w:rPr>
              <w:t xml:space="preserve"> – 13 November 2021), per premises per week:</w:t>
            </w:r>
          </w:p>
          <w:p w14:paraId="36F8BEA3" w14:textId="77777777" w:rsidR="0036581B" w:rsidRPr="00A53BAB" w:rsidRDefault="0036581B" w:rsidP="0036581B">
            <w:pPr>
              <w:spacing w:after="0"/>
              <w:rPr>
                <w:rFonts w:cs="Arial"/>
              </w:rPr>
            </w:pPr>
            <w:r w:rsidRPr="00A53BAB">
              <w:rPr>
                <w:rFonts w:cs="Arial"/>
              </w:rPr>
              <w:t>0-99 patrons: $1,750</w:t>
            </w:r>
          </w:p>
          <w:p w14:paraId="7FB643AF" w14:textId="77777777" w:rsidR="0036581B" w:rsidRPr="00A53BAB" w:rsidRDefault="0036581B" w:rsidP="0036581B">
            <w:pPr>
              <w:spacing w:after="0"/>
              <w:rPr>
                <w:rFonts w:cs="Arial"/>
              </w:rPr>
            </w:pPr>
            <w:r w:rsidRPr="00A53BAB">
              <w:rPr>
                <w:rFonts w:cs="Arial"/>
              </w:rPr>
              <w:t>100-499 patrons: $3,500</w:t>
            </w:r>
          </w:p>
          <w:p w14:paraId="0E4F93ED" w14:textId="77777777" w:rsidR="0036581B" w:rsidRPr="00A53BAB" w:rsidRDefault="0036581B" w:rsidP="0036581B">
            <w:pPr>
              <w:spacing w:after="0"/>
              <w:rPr>
                <w:rFonts w:cs="Arial"/>
              </w:rPr>
            </w:pPr>
            <w:r w:rsidRPr="00A53BAB">
              <w:rPr>
                <w:rFonts w:cs="Arial"/>
              </w:rPr>
              <w:t>500+ patrons: $7,000</w:t>
            </w:r>
          </w:p>
        </w:tc>
        <w:tc>
          <w:tcPr>
            <w:tcW w:w="5317" w:type="dxa"/>
          </w:tcPr>
          <w:p w14:paraId="1DEAAE9C" w14:textId="04E87AA4" w:rsidR="0036581B" w:rsidRDefault="0036581B" w:rsidP="0036581B">
            <w:pPr>
              <w:pStyle w:val="ListParagraph"/>
              <w:numPr>
                <w:ilvl w:val="0"/>
                <w:numId w:val="20"/>
              </w:numPr>
              <w:spacing w:after="0"/>
              <w:ind w:left="312" w:hanging="284"/>
              <w:rPr>
                <w:rFonts w:cs="Arial"/>
              </w:rPr>
            </w:pPr>
            <w:r>
              <w:rPr>
                <w:rFonts w:cs="Arial"/>
              </w:rPr>
              <w:t>For Fortnight 1 and Fortnight 2, grant amount remains the same as LHVF top-up payment 3.</w:t>
            </w:r>
          </w:p>
          <w:p w14:paraId="4F396366" w14:textId="65B592C2" w:rsidR="0036581B" w:rsidRPr="00E82A8B" w:rsidRDefault="0036581B" w:rsidP="0036581B">
            <w:pPr>
              <w:pStyle w:val="ListParagraph"/>
              <w:numPr>
                <w:ilvl w:val="0"/>
                <w:numId w:val="20"/>
              </w:numPr>
              <w:spacing w:after="0"/>
              <w:ind w:left="312" w:hanging="284"/>
              <w:rPr>
                <w:rFonts w:cs="Arial"/>
              </w:rPr>
            </w:pPr>
            <w:r>
              <w:rPr>
                <w:rFonts w:cs="Arial"/>
              </w:rPr>
              <w:t>For Fortnight 3, the grant amount decreases.</w:t>
            </w:r>
          </w:p>
          <w:p w14:paraId="67A719E4" w14:textId="77777777" w:rsidR="0036581B" w:rsidRPr="00612E7F" w:rsidRDefault="0036581B" w:rsidP="0036581B">
            <w:pPr>
              <w:pStyle w:val="ListParagraph"/>
              <w:numPr>
                <w:ilvl w:val="0"/>
                <w:numId w:val="20"/>
              </w:numPr>
              <w:spacing w:after="0"/>
              <w:ind w:left="312" w:hanging="284"/>
              <w:rPr>
                <w:rFonts w:cs="Arial"/>
              </w:rPr>
            </w:pPr>
            <w:r w:rsidRPr="00612E7F">
              <w:rPr>
                <w:rFonts w:cs="Arial"/>
              </w:rPr>
              <w:t xml:space="preserve">Fortnight 3 payment was revised down from $3,750-$15,000 for </w:t>
            </w:r>
            <w:r>
              <w:rPr>
                <w:rFonts w:cs="Arial"/>
              </w:rPr>
              <w:t>m</w:t>
            </w:r>
            <w:r w:rsidRPr="00612E7F">
              <w:rPr>
                <w:rFonts w:cs="Arial"/>
              </w:rPr>
              <w:t xml:space="preserve">etropolitan Melbourne premises and $2,500-$10,000 for </w:t>
            </w:r>
            <w:r>
              <w:rPr>
                <w:rFonts w:cs="Arial"/>
              </w:rPr>
              <w:t>r</w:t>
            </w:r>
            <w:r w:rsidRPr="00612E7F">
              <w:rPr>
                <w:rFonts w:cs="Arial"/>
              </w:rPr>
              <w:t>egional Victoria premises.</w:t>
            </w:r>
          </w:p>
          <w:p w14:paraId="109937DE" w14:textId="77777777" w:rsidR="0036581B" w:rsidRPr="00375F64" w:rsidRDefault="0036581B" w:rsidP="0036581B">
            <w:pPr>
              <w:spacing w:after="0"/>
              <w:ind w:left="312" w:hanging="284"/>
              <w:rPr>
                <w:rFonts w:cs="Arial"/>
              </w:rPr>
            </w:pPr>
          </w:p>
        </w:tc>
      </w:tr>
    </w:tbl>
    <w:p w14:paraId="7C6AA512" w14:textId="77777777" w:rsidR="00473968" w:rsidRDefault="00473968" w:rsidP="00021EF3">
      <w:pPr>
        <w:pStyle w:val="Source"/>
        <w:rPr>
          <w:lang w:eastAsia="en-AU"/>
        </w:rPr>
      </w:pPr>
      <w:r>
        <w:rPr>
          <w:lang w:eastAsia="en-AU"/>
        </w:rPr>
        <w:t>Source: Documentation provided by the Department</w:t>
      </w:r>
      <w:r w:rsidDel="000A6F03">
        <w:rPr>
          <w:lang w:eastAsia="en-AU"/>
        </w:rPr>
        <w:t>.</w:t>
      </w:r>
    </w:p>
    <w:p w14:paraId="08BA6DDC" w14:textId="77777777" w:rsidR="0015600A" w:rsidRDefault="0015600A" w:rsidP="00021EF3">
      <w:pPr>
        <w:rPr>
          <w:lang w:eastAsia="en-AU"/>
        </w:rPr>
      </w:pPr>
    </w:p>
    <w:p w14:paraId="4B89D6D0" w14:textId="72286A14" w:rsidR="00782B7E" w:rsidRPr="00893EB3" w:rsidRDefault="00782B7E" w:rsidP="00021EF3">
      <w:pPr>
        <w:rPr>
          <w:lang w:eastAsia="en-AU"/>
        </w:rPr>
        <w:sectPr w:rsidR="00782B7E" w:rsidRPr="00893EB3" w:rsidSect="0049698A">
          <w:footnotePr>
            <w:numFmt w:val="chicago"/>
          </w:footnotePr>
          <w:endnotePr>
            <w:numFmt w:val="decimal"/>
          </w:endnotePr>
          <w:pgSz w:w="16838" w:h="11906" w:orient="landscape" w:code="9"/>
          <w:pgMar w:top="1440" w:right="1440" w:bottom="1440" w:left="1440" w:header="680" w:footer="425" w:gutter="0"/>
          <w:cols w:space="284"/>
          <w:noEndnote/>
          <w:docGrid w:linePitch="360"/>
        </w:sectPr>
      </w:pPr>
    </w:p>
    <w:p w14:paraId="75EF8C68" w14:textId="32F93A11" w:rsidR="006A23BA" w:rsidRPr="006A23BA" w:rsidRDefault="00640261" w:rsidP="00021EF3">
      <w:pPr>
        <w:pStyle w:val="Appendixhead1"/>
      </w:pPr>
      <w:bookmarkStart w:id="678" w:name="_Ref173251455"/>
      <w:bookmarkStart w:id="679" w:name="_Ref173309204"/>
      <w:bookmarkStart w:id="680" w:name="_Toc176516338"/>
      <w:r>
        <w:lastRenderedPageBreak/>
        <w:t>S</w:t>
      </w:r>
      <w:r w:rsidR="000836CC">
        <w:t>takeholder consultation tools</w:t>
      </w:r>
      <w:bookmarkEnd w:id="678"/>
      <w:bookmarkEnd w:id="679"/>
      <w:bookmarkEnd w:id="680"/>
    </w:p>
    <w:p w14:paraId="1FEC9DC7" w14:textId="1E356583" w:rsidR="00AF1F4B" w:rsidRDefault="00831348" w:rsidP="00021EF3">
      <w:pPr>
        <w:pStyle w:val="Appendixhead2"/>
      </w:pPr>
      <w:bookmarkStart w:id="681" w:name="_Toc173308332"/>
      <w:bookmarkStart w:id="682" w:name="_Toc173344753"/>
      <w:bookmarkStart w:id="683" w:name="_Toc173344980"/>
      <w:bookmarkStart w:id="684" w:name="_Toc173915956"/>
      <w:bookmarkStart w:id="685" w:name="_Toc174118217"/>
      <w:bookmarkStart w:id="686" w:name="_Toc176516339"/>
      <w:r>
        <w:t xml:space="preserve">Semi-structured interview </w:t>
      </w:r>
      <w:bookmarkEnd w:id="681"/>
      <w:r w:rsidR="00AB0768">
        <w:t>questions</w:t>
      </w:r>
      <w:bookmarkEnd w:id="682"/>
      <w:bookmarkEnd w:id="683"/>
      <w:bookmarkEnd w:id="684"/>
      <w:bookmarkEnd w:id="685"/>
      <w:bookmarkEnd w:id="686"/>
    </w:p>
    <w:p w14:paraId="63BC2D63" w14:textId="77777777" w:rsidR="00946BFE" w:rsidRPr="00EA7C69" w:rsidRDefault="00946BFE" w:rsidP="00021EF3">
      <w:pPr>
        <w:pStyle w:val="Heading4un-numbered"/>
      </w:pPr>
      <w:r w:rsidRPr="00EA7C69">
        <w:t>Background</w:t>
      </w:r>
    </w:p>
    <w:p w14:paraId="45261E29" w14:textId="77777777" w:rsidR="00946BFE" w:rsidRPr="00EA7C69" w:rsidRDefault="00946BFE" w:rsidP="00021EF3">
      <w:pPr>
        <w:pStyle w:val="ListNumber"/>
        <w:spacing w:after="160"/>
      </w:pPr>
      <w:r w:rsidRPr="00EA7C69">
        <w:t xml:space="preserve">Can you please describe your role, including your connection to each of the </w:t>
      </w:r>
      <w:r>
        <w:t>programs (BCAP and LHVF)</w:t>
      </w:r>
      <w:r w:rsidRPr="003819DA">
        <w:t>?</w:t>
      </w:r>
    </w:p>
    <w:p w14:paraId="625FD3A6" w14:textId="537F4E70" w:rsidR="00946BFE" w:rsidRDefault="00946BFE" w:rsidP="00021EF3">
      <w:pPr>
        <w:pStyle w:val="Heading4un-numbered"/>
      </w:pPr>
      <w:r>
        <w:t>Justification/Appropriateness</w:t>
      </w:r>
    </w:p>
    <w:p w14:paraId="11476F75" w14:textId="77777777" w:rsidR="00946BFE" w:rsidRPr="00427811" w:rsidRDefault="00946BFE" w:rsidP="00021EF3">
      <w:pPr>
        <w:pStyle w:val="ListNumber"/>
      </w:pPr>
      <w:r>
        <w:t>In your view, t</w:t>
      </w:r>
      <w:r w:rsidRPr="00427811">
        <w:t>o what extent were the eligibility criteria appropriate for reaching intended cohorts?</w:t>
      </w:r>
    </w:p>
    <w:p w14:paraId="7C8BA169" w14:textId="77777777" w:rsidR="00946BFE" w:rsidRPr="00F90995" w:rsidRDefault="00946BFE" w:rsidP="00021EF3">
      <w:pPr>
        <w:pStyle w:val="ListNumber"/>
      </w:pPr>
      <w:r>
        <w:t>In your view, t</w:t>
      </w:r>
      <w:r w:rsidRPr="00F90995">
        <w:t>o what extent did the in-scope programs fulfill an unmet need?</w:t>
      </w:r>
    </w:p>
    <w:p w14:paraId="13BC250B" w14:textId="77777777" w:rsidR="00946BFE" w:rsidRDefault="00946BFE" w:rsidP="00021EF3">
      <w:pPr>
        <w:pStyle w:val="ListNumber"/>
      </w:pPr>
      <w:r w:rsidRPr="00C05748">
        <w:t xml:space="preserve">How did COVID-19 restrictions affect the context under which the Department made decisions regarding business support? </w:t>
      </w:r>
    </w:p>
    <w:p w14:paraId="33E5E00D" w14:textId="77777777" w:rsidR="00946BFE" w:rsidRDefault="00946BFE" w:rsidP="00021EF3">
      <w:pPr>
        <w:pStyle w:val="ListNumber"/>
        <w:spacing w:after="160"/>
      </w:pPr>
      <w:r w:rsidRPr="00991992">
        <w:t>How well did the Department engage with internal and external stakeholders when determining a response?</w:t>
      </w:r>
    </w:p>
    <w:p w14:paraId="14D13063" w14:textId="19895890" w:rsidR="00946BFE" w:rsidRPr="00EA7C69" w:rsidRDefault="00946BFE" w:rsidP="00021EF3">
      <w:pPr>
        <w:pStyle w:val="Heading4un-numbered"/>
      </w:pPr>
      <w:r>
        <w:t>Design/Implementation</w:t>
      </w:r>
    </w:p>
    <w:p w14:paraId="3839FB64" w14:textId="5113E445" w:rsidR="00946BFE" w:rsidRPr="006E6C24" w:rsidRDefault="00946BFE" w:rsidP="00021EF3">
      <w:pPr>
        <w:pStyle w:val="ListNumber"/>
        <w:spacing w:after="160"/>
      </w:pPr>
      <w:r w:rsidRPr="00756816">
        <w:t>How well has the Department adapted its emergency grant</w:t>
      </w:r>
      <w:r w:rsidR="00DE010A">
        <w:t>-</w:t>
      </w:r>
      <w:r w:rsidRPr="00756816">
        <w:t>making practices?</w:t>
      </w:r>
    </w:p>
    <w:p w14:paraId="236DF25D" w14:textId="77777777" w:rsidR="00946BFE" w:rsidRPr="00EA7C69" w:rsidRDefault="00946BFE" w:rsidP="00021EF3">
      <w:pPr>
        <w:pStyle w:val="Heading4un-numbered"/>
      </w:pPr>
      <w:r>
        <w:t>Effectiveness</w:t>
      </w:r>
    </w:p>
    <w:p w14:paraId="4BF794C1" w14:textId="77777777" w:rsidR="00946BFE" w:rsidRPr="003819DA" w:rsidRDefault="00946BFE" w:rsidP="00021EF3">
      <w:pPr>
        <w:pStyle w:val="ListNumber"/>
      </w:pPr>
      <w:r>
        <w:t>Based on your understanding, w</w:t>
      </w:r>
      <w:r w:rsidRPr="00006564">
        <w:t>hat impact did the grants have on business operators and on business resilience</w:t>
      </w:r>
      <w:r w:rsidRPr="003819DA">
        <w:t>?</w:t>
      </w:r>
    </w:p>
    <w:p w14:paraId="74128814" w14:textId="77777777" w:rsidR="00946BFE" w:rsidRPr="003819DA" w:rsidRDefault="00946BFE" w:rsidP="00021EF3">
      <w:pPr>
        <w:pStyle w:val="ListNumber"/>
      </w:pPr>
      <w:r w:rsidRPr="00006564">
        <w:t>Which of the grants and related outcomes contributed the greatest and least value to recipients and the Victorian community</w:t>
      </w:r>
      <w:r w:rsidRPr="003819DA">
        <w:t>?</w:t>
      </w:r>
    </w:p>
    <w:p w14:paraId="05FB4A8D" w14:textId="77777777" w:rsidR="00946BFE" w:rsidRDefault="00946BFE" w:rsidP="00021EF3">
      <w:pPr>
        <w:pStyle w:val="ListNumber"/>
      </w:pPr>
      <w:r w:rsidRPr="00DE3A87">
        <w:t xml:space="preserve">How did the benefits of the programs vary for different cohorts, contexts and geographical locations (i.e., metropolitan, outer-metropolitan, regional and rural locations)? </w:t>
      </w:r>
    </w:p>
    <w:p w14:paraId="1467AA43" w14:textId="77777777" w:rsidR="00946BFE" w:rsidRPr="00EA7C69" w:rsidRDefault="00946BFE" w:rsidP="00021EF3">
      <w:pPr>
        <w:pStyle w:val="ListNumber"/>
        <w:spacing w:after="160"/>
      </w:pPr>
      <w:r>
        <w:t>In your view, t</w:t>
      </w:r>
      <w:r w:rsidRPr="00DF6432">
        <w:t xml:space="preserve">o what extent did the </w:t>
      </w:r>
      <w:r>
        <w:t>external factors</w:t>
      </w:r>
      <w:r w:rsidRPr="00DE3A87">
        <w:t xml:space="preserve"> </w:t>
      </w:r>
      <w:r w:rsidRPr="00DF6432">
        <w:t>outside of the Department’s control affect</w:t>
      </w:r>
      <w:r w:rsidRPr="00DE3A87">
        <w:t xml:space="preserve"> the extent to which the grants benefitted the recipients and the broader Victorian economy?</w:t>
      </w:r>
    </w:p>
    <w:p w14:paraId="67FB982A" w14:textId="77777777" w:rsidR="00946BFE" w:rsidRPr="00835422" w:rsidRDefault="00946BFE" w:rsidP="00021EF3">
      <w:pPr>
        <w:pStyle w:val="Heading4un-numbered"/>
      </w:pPr>
      <w:r>
        <w:t>Value for money</w:t>
      </w:r>
    </w:p>
    <w:p w14:paraId="3A097C91" w14:textId="77777777" w:rsidR="00946BFE" w:rsidRPr="00EA7C69" w:rsidRDefault="00946BFE" w:rsidP="00021EF3">
      <w:pPr>
        <w:pStyle w:val="ListNumber"/>
      </w:pPr>
      <w:r>
        <w:t>What is your view on the extent to which the Department demonstrated efficiency in the delivery of the grants?</w:t>
      </w:r>
    </w:p>
    <w:p w14:paraId="18FCA371" w14:textId="77777777" w:rsidR="00946BFE" w:rsidRPr="003819DA" w:rsidRDefault="00946BFE" w:rsidP="00021EF3">
      <w:pPr>
        <w:pStyle w:val="ListNumber"/>
        <w:spacing w:after="160"/>
      </w:pPr>
      <w:r w:rsidRPr="003819DA">
        <w:t>How valuable were the outcomes to recipients and the community?</w:t>
      </w:r>
    </w:p>
    <w:p w14:paraId="2F16D495" w14:textId="77777777" w:rsidR="00946BFE" w:rsidRPr="00D84FE4" w:rsidRDefault="00946BFE" w:rsidP="00021EF3">
      <w:pPr>
        <w:pStyle w:val="Heading4un-numbered"/>
      </w:pPr>
      <w:r>
        <w:t>Lessons learned</w:t>
      </w:r>
    </w:p>
    <w:p w14:paraId="19E62A41" w14:textId="77777777" w:rsidR="00946BFE" w:rsidRDefault="00946BFE" w:rsidP="00021EF3">
      <w:pPr>
        <w:pStyle w:val="ListNumber"/>
      </w:pPr>
      <w:r>
        <w:t>Based on your experience, w</w:t>
      </w:r>
      <w:r w:rsidRPr="00E01A0C">
        <w:t xml:space="preserve">hat has the </w:t>
      </w:r>
      <w:r>
        <w:t>D</w:t>
      </w:r>
      <w:r w:rsidRPr="00E01A0C">
        <w:t>epartment learned in relation to its role in supporting businesses under emergency circumstances?</w:t>
      </w:r>
    </w:p>
    <w:p w14:paraId="2DEFB616" w14:textId="77777777" w:rsidR="00946BFE" w:rsidRDefault="00946BFE" w:rsidP="00021EF3">
      <w:pPr>
        <w:pStyle w:val="ListNumber"/>
      </w:pPr>
      <w:r>
        <w:t>In your view, w</w:t>
      </w:r>
      <w:r w:rsidRPr="003173CB">
        <w:t>hat are the continuous improvement opportunities identified relating to grant design and implementation?</w:t>
      </w:r>
    </w:p>
    <w:p w14:paraId="6FF0F8B1" w14:textId="0679151D" w:rsidR="00B41837" w:rsidRPr="009934B2" w:rsidRDefault="00946BFE" w:rsidP="00021EF3">
      <w:pPr>
        <w:pStyle w:val="ListNumber"/>
        <w:spacing w:after="160"/>
        <w:rPr>
          <w:rFonts w:cs="Arial"/>
          <w:i/>
        </w:rPr>
        <w:sectPr w:rsidR="00B41837" w:rsidRPr="009934B2" w:rsidSect="007523C8">
          <w:footnotePr>
            <w:numFmt w:val="chicago"/>
          </w:footnotePr>
          <w:endnotePr>
            <w:numFmt w:val="decimal"/>
          </w:endnotePr>
          <w:pgSz w:w="11906" w:h="16838" w:code="9"/>
          <w:pgMar w:top="1440" w:right="1440" w:bottom="1440" w:left="1440" w:header="680" w:footer="425" w:gutter="0"/>
          <w:cols w:space="284"/>
          <w:noEndnote/>
          <w:docGrid w:linePitch="360"/>
        </w:sectPr>
      </w:pPr>
      <w:r w:rsidRPr="003819DA">
        <w:t>Finally, do you have any other comments you</w:t>
      </w:r>
      <w:r>
        <w:t xml:space="preserve"> would</w:t>
      </w:r>
      <w:r w:rsidRPr="003819DA">
        <w:t xml:space="preserve"> like to add?</w:t>
      </w:r>
    </w:p>
    <w:p w14:paraId="7818AE39" w14:textId="5DCAA27C" w:rsidR="00C12AC3" w:rsidRPr="000A2C8E" w:rsidRDefault="000A2C8E" w:rsidP="00021EF3">
      <w:pPr>
        <w:pStyle w:val="Appendixhead2"/>
      </w:pPr>
      <w:bookmarkStart w:id="687" w:name="_Toc173308338"/>
      <w:bookmarkStart w:id="688" w:name="_Toc173344754"/>
      <w:bookmarkStart w:id="689" w:name="_Toc173344981"/>
      <w:bookmarkStart w:id="690" w:name="_Toc173915957"/>
      <w:bookmarkStart w:id="691" w:name="_Toc174118218"/>
      <w:bookmarkStart w:id="692" w:name="_Toc176516340"/>
      <w:r>
        <w:lastRenderedPageBreak/>
        <w:t>Business survey questions</w:t>
      </w:r>
      <w:bookmarkEnd w:id="687"/>
      <w:bookmarkEnd w:id="688"/>
      <w:bookmarkEnd w:id="689"/>
      <w:bookmarkEnd w:id="690"/>
      <w:bookmarkEnd w:id="691"/>
      <w:bookmarkEnd w:id="692"/>
    </w:p>
    <w:p w14:paraId="40B074E2" w14:textId="3B3A8158" w:rsidR="00C90A24" w:rsidRDefault="00FD78FD" w:rsidP="00021EF3">
      <w:pPr>
        <w:pStyle w:val="AppendixTableCaption"/>
      </w:pPr>
      <w:r>
        <w:t>: Business survey questions</w:t>
      </w:r>
      <w:r w:rsidR="00792D18">
        <w:t>.</w:t>
      </w:r>
    </w:p>
    <w:tbl>
      <w:tblPr>
        <w:tblStyle w:val="Deloittetable"/>
        <w:tblW w:w="5000" w:type="pct"/>
        <w:tblLook w:val="0420" w:firstRow="1" w:lastRow="0" w:firstColumn="0" w:lastColumn="0" w:noHBand="0" w:noVBand="1"/>
      </w:tblPr>
      <w:tblGrid>
        <w:gridCol w:w="1275"/>
        <w:gridCol w:w="5338"/>
        <w:gridCol w:w="1608"/>
        <w:gridCol w:w="5737"/>
      </w:tblGrid>
      <w:tr w:rsidR="00F16A6E" w:rsidRPr="0010614C" w14:paraId="588E32CA" w14:textId="77777777" w:rsidTr="005D6A08">
        <w:trPr>
          <w:cnfStyle w:val="100000000000" w:firstRow="1" w:lastRow="0" w:firstColumn="0" w:lastColumn="0" w:oddVBand="0" w:evenVBand="0" w:oddHBand="0" w:evenHBand="0" w:firstRowFirstColumn="0" w:firstRowLastColumn="0" w:lastRowFirstColumn="0" w:lastRowLastColumn="0"/>
          <w:trHeight w:val="43"/>
          <w:tblHeader/>
        </w:trPr>
        <w:tc>
          <w:tcPr>
            <w:tcW w:w="457" w:type="pct"/>
            <w:hideMark/>
          </w:tcPr>
          <w:p w14:paraId="393A7A5B" w14:textId="77777777" w:rsidR="003C1C06" w:rsidRPr="0010614C" w:rsidRDefault="003C1C06" w:rsidP="00021EF3">
            <w:pPr>
              <w:spacing w:after="0"/>
              <w:rPr>
                <w:rFonts w:cs="Arial"/>
                <w:b/>
              </w:rPr>
            </w:pPr>
            <w:r w:rsidRPr="0010614C">
              <w:rPr>
                <w:rFonts w:cs="Arial"/>
                <w:b/>
              </w:rPr>
              <w:t>No.</w:t>
            </w:r>
          </w:p>
        </w:tc>
        <w:tc>
          <w:tcPr>
            <w:tcW w:w="1912" w:type="pct"/>
            <w:hideMark/>
          </w:tcPr>
          <w:p w14:paraId="1374CBE7" w14:textId="77777777" w:rsidR="003C1C06" w:rsidRPr="0010614C" w:rsidRDefault="003C1C06" w:rsidP="00021EF3">
            <w:pPr>
              <w:spacing w:after="0"/>
              <w:rPr>
                <w:rFonts w:cs="Arial"/>
                <w:b/>
              </w:rPr>
            </w:pPr>
            <w:r w:rsidRPr="0010614C">
              <w:rPr>
                <w:rFonts w:cs="Arial"/>
                <w:b/>
              </w:rPr>
              <w:t>Question</w:t>
            </w:r>
          </w:p>
        </w:tc>
        <w:tc>
          <w:tcPr>
            <w:tcW w:w="576" w:type="pct"/>
            <w:hideMark/>
          </w:tcPr>
          <w:p w14:paraId="02BF2467" w14:textId="77777777" w:rsidR="003C1C06" w:rsidRPr="0010614C" w:rsidRDefault="003C1C06" w:rsidP="00021EF3">
            <w:pPr>
              <w:spacing w:after="0"/>
              <w:rPr>
                <w:rFonts w:cs="Arial"/>
                <w:b/>
              </w:rPr>
            </w:pPr>
            <w:r w:rsidRPr="0010614C">
              <w:rPr>
                <w:rFonts w:cs="Arial"/>
                <w:b/>
              </w:rPr>
              <w:t>Question type</w:t>
            </w:r>
          </w:p>
        </w:tc>
        <w:tc>
          <w:tcPr>
            <w:tcW w:w="2055" w:type="pct"/>
            <w:hideMark/>
          </w:tcPr>
          <w:p w14:paraId="79E441D4" w14:textId="77777777" w:rsidR="003C1C06" w:rsidRPr="0010614C" w:rsidRDefault="003C1C06" w:rsidP="00021EF3">
            <w:pPr>
              <w:spacing w:after="0"/>
              <w:rPr>
                <w:rFonts w:cs="Arial"/>
                <w:b/>
              </w:rPr>
            </w:pPr>
            <w:r w:rsidRPr="0010614C">
              <w:rPr>
                <w:rFonts w:cs="Arial"/>
                <w:b/>
              </w:rPr>
              <w:t>Options</w:t>
            </w:r>
          </w:p>
        </w:tc>
      </w:tr>
      <w:tr w:rsidR="00F16A6E" w:rsidRPr="0010614C" w14:paraId="79F2C437" w14:textId="77777777" w:rsidTr="00CA3CC8">
        <w:trPr>
          <w:trHeight w:val="370"/>
        </w:trPr>
        <w:tc>
          <w:tcPr>
            <w:tcW w:w="457" w:type="pct"/>
            <w:hideMark/>
          </w:tcPr>
          <w:p w14:paraId="623F4BD8" w14:textId="77777777" w:rsidR="003C1C06" w:rsidRPr="0010614C" w:rsidRDefault="003C1C06" w:rsidP="00021EF3">
            <w:pPr>
              <w:spacing w:after="0"/>
              <w:rPr>
                <w:rFonts w:cs="Arial"/>
                <w:b/>
              </w:rPr>
            </w:pPr>
            <w:r w:rsidRPr="0010614C">
              <w:rPr>
                <w:rFonts w:cs="Arial"/>
                <w:b/>
              </w:rPr>
              <w:t>Screener</w:t>
            </w:r>
          </w:p>
        </w:tc>
        <w:tc>
          <w:tcPr>
            <w:tcW w:w="1912" w:type="pct"/>
            <w:hideMark/>
          </w:tcPr>
          <w:p w14:paraId="314D7CDB" w14:textId="6E2BAFB5" w:rsidR="003C1C06" w:rsidRPr="0010614C" w:rsidRDefault="003C1C06" w:rsidP="00021EF3">
            <w:pPr>
              <w:spacing w:after="0"/>
              <w:rPr>
                <w:rFonts w:cs="Arial"/>
              </w:rPr>
            </w:pPr>
            <w:r w:rsidRPr="0010614C">
              <w:rPr>
                <w:rFonts w:cs="Arial"/>
              </w:rPr>
              <w:t>Did your business or a business you represent receive a BCAP/LHVF grant?</w:t>
            </w:r>
          </w:p>
        </w:tc>
        <w:tc>
          <w:tcPr>
            <w:tcW w:w="576" w:type="pct"/>
            <w:hideMark/>
          </w:tcPr>
          <w:p w14:paraId="04BB99CE" w14:textId="77777777" w:rsidR="003C1C06" w:rsidRPr="0010614C" w:rsidRDefault="003C1C06" w:rsidP="00021EF3">
            <w:pPr>
              <w:spacing w:after="0"/>
              <w:rPr>
                <w:rFonts w:cs="Arial"/>
              </w:rPr>
            </w:pPr>
            <w:r w:rsidRPr="0010614C">
              <w:rPr>
                <w:rFonts w:cs="Arial"/>
              </w:rPr>
              <w:t>Drop down</w:t>
            </w:r>
          </w:p>
        </w:tc>
        <w:tc>
          <w:tcPr>
            <w:tcW w:w="2055" w:type="pct"/>
            <w:hideMark/>
          </w:tcPr>
          <w:p w14:paraId="2C0828D0" w14:textId="77777777" w:rsidR="003C1C06" w:rsidRPr="0010614C" w:rsidRDefault="003C1C06" w:rsidP="00021EF3">
            <w:pPr>
              <w:numPr>
                <w:ilvl w:val="0"/>
                <w:numId w:val="25"/>
              </w:numPr>
              <w:spacing w:after="0"/>
              <w:rPr>
                <w:rFonts w:cs="Arial"/>
              </w:rPr>
            </w:pPr>
            <w:r w:rsidRPr="0010614C">
              <w:rPr>
                <w:rFonts w:cs="Arial"/>
              </w:rPr>
              <w:t>Yes, I received a BCAP/LHVF* grant</w:t>
            </w:r>
          </w:p>
          <w:p w14:paraId="50127726" w14:textId="77777777" w:rsidR="003C1C06" w:rsidRPr="0010614C" w:rsidRDefault="003C1C06" w:rsidP="00021EF3">
            <w:pPr>
              <w:numPr>
                <w:ilvl w:val="0"/>
                <w:numId w:val="25"/>
              </w:numPr>
              <w:spacing w:after="0"/>
              <w:rPr>
                <w:rFonts w:cs="Arial"/>
              </w:rPr>
            </w:pPr>
            <w:r w:rsidRPr="0010614C">
              <w:rPr>
                <w:rFonts w:cs="Arial"/>
              </w:rPr>
              <w:t>No</w:t>
            </w:r>
          </w:p>
        </w:tc>
      </w:tr>
      <w:tr w:rsidR="00F16A6E" w:rsidRPr="0010614C" w14:paraId="0FD6690D" w14:textId="77777777" w:rsidTr="005D6A08">
        <w:trPr>
          <w:trHeight w:val="332"/>
        </w:trPr>
        <w:tc>
          <w:tcPr>
            <w:tcW w:w="457" w:type="pct"/>
          </w:tcPr>
          <w:p w14:paraId="715E6A63" w14:textId="77777777" w:rsidR="003C1C06" w:rsidRPr="0010614C" w:rsidRDefault="003C1C06" w:rsidP="00021EF3">
            <w:pPr>
              <w:spacing w:after="0"/>
              <w:rPr>
                <w:rFonts w:cs="Arial"/>
                <w:b/>
              </w:rPr>
            </w:pPr>
            <w:r w:rsidRPr="0010614C">
              <w:rPr>
                <w:rFonts w:cs="Arial"/>
                <w:b/>
              </w:rPr>
              <w:t>1</w:t>
            </w:r>
          </w:p>
        </w:tc>
        <w:tc>
          <w:tcPr>
            <w:tcW w:w="1912" w:type="pct"/>
          </w:tcPr>
          <w:p w14:paraId="4E245445" w14:textId="77777777" w:rsidR="003C1C06" w:rsidRPr="0010614C" w:rsidRDefault="003C1C06" w:rsidP="00021EF3">
            <w:pPr>
              <w:spacing w:after="0"/>
              <w:rPr>
                <w:rFonts w:cs="Arial"/>
              </w:rPr>
            </w:pPr>
            <w:r w:rsidRPr="0010614C">
              <w:rPr>
                <w:rFonts w:cs="Arial"/>
              </w:rPr>
              <w:t>What is or was your role in relation to the relevant business?</w:t>
            </w:r>
          </w:p>
        </w:tc>
        <w:tc>
          <w:tcPr>
            <w:tcW w:w="576" w:type="pct"/>
          </w:tcPr>
          <w:p w14:paraId="62C1C217" w14:textId="77777777" w:rsidR="003C1C06" w:rsidRPr="0010614C" w:rsidRDefault="003C1C06" w:rsidP="00021EF3">
            <w:pPr>
              <w:spacing w:after="0"/>
              <w:rPr>
                <w:rFonts w:cs="Arial"/>
              </w:rPr>
            </w:pPr>
            <w:r w:rsidRPr="0010614C">
              <w:rPr>
                <w:rFonts w:cs="Arial"/>
              </w:rPr>
              <w:t>Multiple choice</w:t>
            </w:r>
          </w:p>
        </w:tc>
        <w:tc>
          <w:tcPr>
            <w:tcW w:w="2055" w:type="pct"/>
          </w:tcPr>
          <w:p w14:paraId="3E3FE331" w14:textId="77777777" w:rsidR="003C1C06" w:rsidRPr="0010614C" w:rsidRDefault="003C1C06" w:rsidP="00021EF3">
            <w:pPr>
              <w:numPr>
                <w:ilvl w:val="0"/>
                <w:numId w:val="28"/>
              </w:numPr>
              <w:spacing w:after="0"/>
              <w:rPr>
                <w:rFonts w:cs="Arial"/>
              </w:rPr>
            </w:pPr>
            <w:r w:rsidRPr="0010614C">
              <w:rPr>
                <w:rFonts w:cs="Arial"/>
              </w:rPr>
              <w:t>Owner-operator</w:t>
            </w:r>
          </w:p>
          <w:p w14:paraId="33FBABCA" w14:textId="5EE2FC01" w:rsidR="003C1C06" w:rsidRPr="0010614C" w:rsidRDefault="003C1C06" w:rsidP="00021EF3">
            <w:pPr>
              <w:numPr>
                <w:ilvl w:val="0"/>
                <w:numId w:val="28"/>
              </w:numPr>
              <w:spacing w:after="0"/>
              <w:rPr>
                <w:rFonts w:cs="Arial"/>
              </w:rPr>
            </w:pPr>
            <w:r w:rsidRPr="0010614C">
              <w:rPr>
                <w:rFonts w:cs="Arial"/>
              </w:rPr>
              <w:t>Advisor (e.g., accountant, tax agent, other financial service provider)</w:t>
            </w:r>
          </w:p>
        </w:tc>
      </w:tr>
      <w:tr w:rsidR="00F16A6E" w:rsidRPr="0010614C" w14:paraId="71DEC6F1" w14:textId="77777777" w:rsidTr="005D6A08">
        <w:trPr>
          <w:trHeight w:val="396"/>
        </w:trPr>
        <w:tc>
          <w:tcPr>
            <w:tcW w:w="457" w:type="pct"/>
          </w:tcPr>
          <w:p w14:paraId="2F88CF52" w14:textId="706D7C80" w:rsidR="003C1C06" w:rsidRPr="0010614C" w:rsidRDefault="003C1C06" w:rsidP="00021EF3">
            <w:pPr>
              <w:spacing w:after="0"/>
              <w:rPr>
                <w:rFonts w:cs="Arial"/>
                <w:b/>
              </w:rPr>
            </w:pPr>
            <w:r w:rsidRPr="0010614C">
              <w:rPr>
                <w:rFonts w:cs="Arial"/>
                <w:b/>
              </w:rPr>
              <w:t>N</w:t>
            </w:r>
            <w:r w:rsidR="0011004E">
              <w:rPr>
                <w:rFonts w:cs="Arial"/>
                <w:b/>
              </w:rPr>
              <w:t>/</w:t>
            </w:r>
            <w:r w:rsidRPr="0010614C">
              <w:rPr>
                <w:rFonts w:cs="Arial"/>
                <w:b/>
              </w:rPr>
              <w:t>A</w:t>
            </w:r>
          </w:p>
        </w:tc>
        <w:tc>
          <w:tcPr>
            <w:tcW w:w="1912" w:type="pct"/>
          </w:tcPr>
          <w:p w14:paraId="2E864E16" w14:textId="77777777" w:rsidR="003C1C06" w:rsidRPr="0010614C" w:rsidRDefault="003C1C06" w:rsidP="00021EF3">
            <w:pPr>
              <w:spacing w:after="0"/>
              <w:rPr>
                <w:rFonts w:cs="Arial"/>
              </w:rPr>
            </w:pPr>
            <w:r w:rsidRPr="0010614C">
              <w:rPr>
                <w:rFonts w:cs="Arial"/>
              </w:rPr>
              <w:t>If you are an accountant, tax agent or other financial service provider, please answer on behalf of the businesses you represented and complete and submit a separate survey for each of those businesses.</w:t>
            </w:r>
          </w:p>
        </w:tc>
        <w:tc>
          <w:tcPr>
            <w:tcW w:w="576" w:type="pct"/>
          </w:tcPr>
          <w:p w14:paraId="716E7EE7" w14:textId="77777777" w:rsidR="003C1C06" w:rsidRPr="0010614C" w:rsidRDefault="003C1C06" w:rsidP="00021EF3">
            <w:pPr>
              <w:spacing w:after="0"/>
              <w:rPr>
                <w:rFonts w:cs="Arial"/>
              </w:rPr>
            </w:pPr>
            <w:r w:rsidRPr="0010614C">
              <w:rPr>
                <w:rFonts w:cs="Arial"/>
              </w:rPr>
              <w:t>Text display</w:t>
            </w:r>
          </w:p>
        </w:tc>
        <w:tc>
          <w:tcPr>
            <w:tcW w:w="2055" w:type="pct"/>
          </w:tcPr>
          <w:p w14:paraId="370746C0" w14:textId="77777777" w:rsidR="003C1C06" w:rsidRPr="0010614C" w:rsidRDefault="003C1C06" w:rsidP="00021EF3">
            <w:pPr>
              <w:spacing w:after="0"/>
              <w:ind w:left="0"/>
              <w:rPr>
                <w:rFonts w:cs="Arial"/>
              </w:rPr>
            </w:pPr>
            <w:r w:rsidRPr="0010614C">
              <w:rPr>
                <w:rFonts w:cs="Arial"/>
              </w:rPr>
              <w:t>N/A</w:t>
            </w:r>
          </w:p>
        </w:tc>
      </w:tr>
      <w:tr w:rsidR="00F16A6E" w:rsidRPr="0010614C" w14:paraId="33F3AE28" w14:textId="77777777" w:rsidTr="00CA3CC8">
        <w:trPr>
          <w:trHeight w:val="397"/>
        </w:trPr>
        <w:tc>
          <w:tcPr>
            <w:tcW w:w="457" w:type="pct"/>
            <w:hideMark/>
          </w:tcPr>
          <w:p w14:paraId="0A83029E" w14:textId="77777777" w:rsidR="003C1C06" w:rsidRPr="0010614C" w:rsidRDefault="003C1C06" w:rsidP="00021EF3">
            <w:pPr>
              <w:spacing w:after="0"/>
              <w:rPr>
                <w:rFonts w:cs="Arial"/>
                <w:b/>
              </w:rPr>
            </w:pPr>
            <w:r w:rsidRPr="0010614C">
              <w:rPr>
                <w:rFonts w:cs="Arial"/>
                <w:b/>
              </w:rPr>
              <w:t>2</w:t>
            </w:r>
          </w:p>
        </w:tc>
        <w:tc>
          <w:tcPr>
            <w:tcW w:w="1912" w:type="pct"/>
            <w:hideMark/>
          </w:tcPr>
          <w:p w14:paraId="5F080CA3" w14:textId="77777777" w:rsidR="003C1C06" w:rsidRPr="0010614C" w:rsidRDefault="003C1C06" w:rsidP="00021EF3">
            <w:pPr>
              <w:spacing w:after="0"/>
              <w:rPr>
                <w:rFonts w:cs="Arial"/>
              </w:rPr>
            </w:pPr>
            <w:r w:rsidRPr="0010614C">
              <w:rPr>
                <w:rFonts w:cs="Arial"/>
              </w:rPr>
              <w:t>Is the relevant business currently operating?</w:t>
            </w:r>
          </w:p>
        </w:tc>
        <w:tc>
          <w:tcPr>
            <w:tcW w:w="576" w:type="pct"/>
            <w:hideMark/>
          </w:tcPr>
          <w:p w14:paraId="52D9AD9E" w14:textId="77777777" w:rsidR="003C1C06" w:rsidRPr="0010614C" w:rsidRDefault="003C1C06" w:rsidP="00021EF3">
            <w:pPr>
              <w:spacing w:after="0"/>
              <w:rPr>
                <w:rFonts w:cs="Arial"/>
              </w:rPr>
            </w:pPr>
            <w:r w:rsidRPr="0010614C">
              <w:rPr>
                <w:rFonts w:cs="Arial"/>
              </w:rPr>
              <w:t>Drop down</w:t>
            </w:r>
          </w:p>
        </w:tc>
        <w:tc>
          <w:tcPr>
            <w:tcW w:w="2055" w:type="pct"/>
            <w:hideMark/>
          </w:tcPr>
          <w:p w14:paraId="03E66F87" w14:textId="77777777" w:rsidR="003C1C06" w:rsidRPr="0010614C" w:rsidRDefault="003C1C06" w:rsidP="00021EF3">
            <w:pPr>
              <w:numPr>
                <w:ilvl w:val="0"/>
                <w:numId w:val="26"/>
              </w:numPr>
              <w:spacing w:after="0"/>
              <w:rPr>
                <w:rFonts w:cs="Arial"/>
              </w:rPr>
            </w:pPr>
            <w:r w:rsidRPr="0010614C">
              <w:rPr>
                <w:rFonts w:cs="Arial"/>
              </w:rPr>
              <w:t>Yes</w:t>
            </w:r>
          </w:p>
          <w:p w14:paraId="3A513B73" w14:textId="77777777" w:rsidR="003C1C06" w:rsidRPr="0010614C" w:rsidRDefault="003C1C06" w:rsidP="00021EF3">
            <w:pPr>
              <w:numPr>
                <w:ilvl w:val="0"/>
                <w:numId w:val="26"/>
              </w:numPr>
              <w:spacing w:after="0"/>
              <w:rPr>
                <w:rFonts w:cs="Arial"/>
              </w:rPr>
            </w:pPr>
            <w:r w:rsidRPr="0010614C">
              <w:rPr>
                <w:rFonts w:cs="Arial"/>
              </w:rPr>
              <w:t>No</w:t>
            </w:r>
          </w:p>
        </w:tc>
      </w:tr>
      <w:tr w:rsidR="00F16A6E" w:rsidRPr="0010614C" w14:paraId="0EA93015" w14:textId="77777777" w:rsidTr="00CA3CC8">
        <w:trPr>
          <w:trHeight w:val="650"/>
        </w:trPr>
        <w:tc>
          <w:tcPr>
            <w:tcW w:w="457" w:type="pct"/>
            <w:hideMark/>
          </w:tcPr>
          <w:p w14:paraId="266D0AC7" w14:textId="77777777" w:rsidR="003C1C06" w:rsidRPr="0010614C" w:rsidRDefault="003C1C06" w:rsidP="00021EF3">
            <w:pPr>
              <w:spacing w:after="0"/>
              <w:rPr>
                <w:rFonts w:cs="Arial"/>
                <w:b/>
              </w:rPr>
            </w:pPr>
            <w:r w:rsidRPr="0010614C">
              <w:rPr>
                <w:rFonts w:cs="Arial"/>
                <w:b/>
              </w:rPr>
              <w:t>3</w:t>
            </w:r>
          </w:p>
        </w:tc>
        <w:tc>
          <w:tcPr>
            <w:tcW w:w="1912" w:type="pct"/>
            <w:hideMark/>
          </w:tcPr>
          <w:p w14:paraId="40432A64" w14:textId="77777777" w:rsidR="003C1C06" w:rsidRPr="0010614C" w:rsidRDefault="003C1C06" w:rsidP="00021EF3">
            <w:pPr>
              <w:spacing w:after="0"/>
              <w:rPr>
                <w:rFonts w:cs="Arial"/>
              </w:rPr>
            </w:pPr>
            <w:r w:rsidRPr="0010614C">
              <w:rPr>
                <w:rFonts w:cs="Arial"/>
              </w:rPr>
              <w:t>When did the relevant business stop operating?</w:t>
            </w:r>
          </w:p>
          <w:p w14:paraId="6BBE1DB6" w14:textId="77777777" w:rsidR="003C1C06" w:rsidRPr="0010614C" w:rsidRDefault="003C1C06" w:rsidP="00021EF3">
            <w:pPr>
              <w:spacing w:after="0"/>
              <w:rPr>
                <w:rFonts w:cs="Arial"/>
              </w:rPr>
            </w:pPr>
            <w:r w:rsidRPr="0010614C">
              <w:rPr>
                <w:rFonts w:cs="Arial"/>
                <w:i/>
              </w:rPr>
              <w:t>Please enter the month and year.</w:t>
            </w:r>
          </w:p>
        </w:tc>
        <w:tc>
          <w:tcPr>
            <w:tcW w:w="576" w:type="pct"/>
            <w:hideMark/>
          </w:tcPr>
          <w:p w14:paraId="7786B1B8" w14:textId="77777777" w:rsidR="003C1C06" w:rsidRPr="0010614C" w:rsidRDefault="003C1C06" w:rsidP="00021EF3">
            <w:pPr>
              <w:spacing w:after="0"/>
              <w:rPr>
                <w:rFonts w:cs="Arial"/>
              </w:rPr>
            </w:pPr>
            <w:r w:rsidRPr="0010614C">
              <w:rPr>
                <w:rFonts w:cs="Arial"/>
              </w:rPr>
              <w:t>Drop down</w:t>
            </w:r>
          </w:p>
        </w:tc>
        <w:tc>
          <w:tcPr>
            <w:tcW w:w="2055" w:type="pct"/>
            <w:hideMark/>
          </w:tcPr>
          <w:p w14:paraId="055CE18C" w14:textId="77777777" w:rsidR="003C1C06" w:rsidRPr="0010614C" w:rsidRDefault="003C1C06" w:rsidP="00021EF3">
            <w:pPr>
              <w:numPr>
                <w:ilvl w:val="0"/>
                <w:numId w:val="27"/>
              </w:numPr>
              <w:spacing w:after="0"/>
              <w:rPr>
                <w:rFonts w:cs="Arial"/>
              </w:rPr>
            </w:pPr>
            <w:r w:rsidRPr="0010614C">
              <w:rPr>
                <w:rFonts w:cs="Arial"/>
              </w:rPr>
              <w:t>Select month</w:t>
            </w:r>
          </w:p>
          <w:p w14:paraId="57457B85" w14:textId="77777777" w:rsidR="003C1C06" w:rsidRPr="0010614C" w:rsidRDefault="003C1C06" w:rsidP="00021EF3">
            <w:pPr>
              <w:numPr>
                <w:ilvl w:val="0"/>
                <w:numId w:val="27"/>
              </w:numPr>
              <w:spacing w:after="0"/>
              <w:rPr>
                <w:rFonts w:cs="Arial"/>
              </w:rPr>
            </w:pPr>
            <w:r w:rsidRPr="0010614C">
              <w:rPr>
                <w:rFonts w:cs="Arial"/>
              </w:rPr>
              <w:t>Select year</w:t>
            </w:r>
          </w:p>
          <w:p w14:paraId="1FA077FB" w14:textId="77777777" w:rsidR="003C1C06" w:rsidRPr="0010614C" w:rsidRDefault="003C1C06" w:rsidP="00021EF3">
            <w:pPr>
              <w:numPr>
                <w:ilvl w:val="0"/>
                <w:numId w:val="27"/>
              </w:numPr>
              <w:spacing w:after="0"/>
              <w:rPr>
                <w:rFonts w:cs="Arial"/>
              </w:rPr>
            </w:pPr>
            <w:r w:rsidRPr="0010614C">
              <w:rPr>
                <w:rFonts w:cs="Arial"/>
              </w:rPr>
              <w:t>Prefer not to answer</w:t>
            </w:r>
          </w:p>
        </w:tc>
      </w:tr>
      <w:tr w:rsidR="00F16A6E" w:rsidRPr="0010614C" w14:paraId="0765545C" w14:textId="77777777" w:rsidTr="005D6A08">
        <w:trPr>
          <w:trHeight w:val="31"/>
        </w:trPr>
        <w:tc>
          <w:tcPr>
            <w:tcW w:w="457" w:type="pct"/>
            <w:hideMark/>
          </w:tcPr>
          <w:p w14:paraId="0BA6419E" w14:textId="6AF296D9" w:rsidR="003C1C06" w:rsidRPr="0010614C" w:rsidRDefault="003C1C06" w:rsidP="00021EF3">
            <w:pPr>
              <w:spacing w:after="0"/>
              <w:rPr>
                <w:rFonts w:cs="Arial"/>
                <w:b/>
              </w:rPr>
            </w:pPr>
            <w:r w:rsidRPr="0010614C">
              <w:rPr>
                <w:rFonts w:cs="Arial"/>
                <w:b/>
              </w:rPr>
              <w:t>N</w:t>
            </w:r>
            <w:r w:rsidR="0011004E">
              <w:rPr>
                <w:rFonts w:cs="Arial"/>
                <w:b/>
              </w:rPr>
              <w:t>/</w:t>
            </w:r>
            <w:r w:rsidRPr="0010614C">
              <w:rPr>
                <w:rFonts w:cs="Arial"/>
                <w:b/>
              </w:rPr>
              <w:t>A</w:t>
            </w:r>
          </w:p>
        </w:tc>
        <w:tc>
          <w:tcPr>
            <w:tcW w:w="1912" w:type="pct"/>
            <w:hideMark/>
          </w:tcPr>
          <w:p w14:paraId="042FEF6B" w14:textId="77777777" w:rsidR="003C1C06" w:rsidRPr="0010614C" w:rsidRDefault="003C1C06" w:rsidP="00021EF3">
            <w:pPr>
              <w:spacing w:after="0"/>
              <w:rPr>
                <w:rFonts w:cs="Arial"/>
              </w:rPr>
            </w:pPr>
            <w:r w:rsidRPr="0010614C">
              <w:rPr>
                <w:rFonts w:cs="Arial"/>
              </w:rPr>
              <w:t>Please answer the following questions in relation to the relevant business before it stopped operating.</w:t>
            </w:r>
          </w:p>
        </w:tc>
        <w:tc>
          <w:tcPr>
            <w:tcW w:w="576" w:type="pct"/>
            <w:hideMark/>
          </w:tcPr>
          <w:p w14:paraId="3E008502" w14:textId="77777777" w:rsidR="003C1C06" w:rsidRPr="0010614C" w:rsidRDefault="003C1C06" w:rsidP="00021EF3">
            <w:pPr>
              <w:spacing w:after="0"/>
              <w:rPr>
                <w:rFonts w:cs="Arial"/>
              </w:rPr>
            </w:pPr>
            <w:r w:rsidRPr="0010614C">
              <w:rPr>
                <w:rFonts w:cs="Arial"/>
              </w:rPr>
              <w:t>Text display</w:t>
            </w:r>
          </w:p>
        </w:tc>
        <w:tc>
          <w:tcPr>
            <w:tcW w:w="2055" w:type="pct"/>
            <w:hideMark/>
          </w:tcPr>
          <w:p w14:paraId="34FB6CDA" w14:textId="77777777" w:rsidR="003C1C06" w:rsidRPr="0010614C" w:rsidRDefault="003C1C06" w:rsidP="00021EF3">
            <w:pPr>
              <w:spacing w:after="0"/>
              <w:rPr>
                <w:rFonts w:cs="Arial"/>
              </w:rPr>
            </w:pPr>
            <w:r w:rsidRPr="0010614C">
              <w:rPr>
                <w:rFonts w:cs="Arial"/>
              </w:rPr>
              <w:t>N/A</w:t>
            </w:r>
          </w:p>
        </w:tc>
      </w:tr>
      <w:tr w:rsidR="00F16A6E" w:rsidRPr="0010614C" w14:paraId="7197F186" w14:textId="77777777" w:rsidTr="005D6A08">
        <w:trPr>
          <w:trHeight w:val="94"/>
        </w:trPr>
        <w:tc>
          <w:tcPr>
            <w:tcW w:w="457" w:type="pct"/>
            <w:hideMark/>
          </w:tcPr>
          <w:p w14:paraId="55620C70" w14:textId="5168528C" w:rsidR="003C1C06" w:rsidRPr="0010614C" w:rsidRDefault="003C1C06" w:rsidP="00021EF3">
            <w:pPr>
              <w:spacing w:after="0"/>
              <w:rPr>
                <w:rFonts w:cs="Arial"/>
                <w:b/>
              </w:rPr>
            </w:pPr>
            <w:r w:rsidRPr="0010614C">
              <w:rPr>
                <w:rFonts w:cs="Arial"/>
                <w:b/>
              </w:rPr>
              <w:t>N</w:t>
            </w:r>
            <w:r w:rsidR="0011004E">
              <w:rPr>
                <w:rFonts w:cs="Arial"/>
                <w:b/>
              </w:rPr>
              <w:t>/</w:t>
            </w:r>
            <w:r w:rsidRPr="0010614C">
              <w:rPr>
                <w:rFonts w:cs="Arial"/>
                <w:b/>
              </w:rPr>
              <w:t>A</w:t>
            </w:r>
          </w:p>
        </w:tc>
        <w:tc>
          <w:tcPr>
            <w:tcW w:w="1912" w:type="pct"/>
            <w:hideMark/>
          </w:tcPr>
          <w:p w14:paraId="2D83F550" w14:textId="77777777" w:rsidR="003C1C06" w:rsidRPr="0010614C" w:rsidRDefault="003C1C06" w:rsidP="00021EF3">
            <w:pPr>
              <w:spacing w:after="0"/>
              <w:rPr>
                <w:rFonts w:cs="Arial"/>
              </w:rPr>
            </w:pPr>
            <w:r w:rsidRPr="0010614C">
              <w:rPr>
                <w:rFonts w:cs="Arial"/>
              </w:rPr>
              <w:t>Please answer the following questions in relation to the relevant business as it currently operates.</w:t>
            </w:r>
          </w:p>
        </w:tc>
        <w:tc>
          <w:tcPr>
            <w:tcW w:w="576" w:type="pct"/>
            <w:hideMark/>
          </w:tcPr>
          <w:p w14:paraId="3A66C29F" w14:textId="77777777" w:rsidR="003C1C06" w:rsidRPr="0010614C" w:rsidRDefault="003C1C06" w:rsidP="00021EF3">
            <w:pPr>
              <w:spacing w:after="0"/>
              <w:rPr>
                <w:rFonts w:cs="Arial"/>
              </w:rPr>
            </w:pPr>
            <w:r w:rsidRPr="0010614C">
              <w:rPr>
                <w:rFonts w:cs="Arial"/>
              </w:rPr>
              <w:t>Text display</w:t>
            </w:r>
          </w:p>
        </w:tc>
        <w:tc>
          <w:tcPr>
            <w:tcW w:w="2055" w:type="pct"/>
            <w:hideMark/>
          </w:tcPr>
          <w:p w14:paraId="13452F52" w14:textId="77777777" w:rsidR="003C1C06" w:rsidRPr="0010614C" w:rsidRDefault="003C1C06" w:rsidP="00021EF3">
            <w:pPr>
              <w:spacing w:after="0"/>
              <w:rPr>
                <w:rFonts w:cs="Arial"/>
              </w:rPr>
            </w:pPr>
            <w:r w:rsidRPr="0010614C">
              <w:rPr>
                <w:rFonts w:cs="Arial"/>
              </w:rPr>
              <w:t>N/A</w:t>
            </w:r>
          </w:p>
        </w:tc>
      </w:tr>
      <w:tr w:rsidR="00F16A6E" w:rsidRPr="0010614C" w14:paraId="239A8F92" w14:textId="77777777" w:rsidTr="00CA3CC8">
        <w:trPr>
          <w:trHeight w:val="475"/>
        </w:trPr>
        <w:tc>
          <w:tcPr>
            <w:tcW w:w="457" w:type="pct"/>
            <w:hideMark/>
          </w:tcPr>
          <w:p w14:paraId="6D19967E" w14:textId="77777777" w:rsidR="003C1C06" w:rsidRPr="0010614C" w:rsidRDefault="003C1C06" w:rsidP="00021EF3">
            <w:pPr>
              <w:spacing w:after="0"/>
              <w:rPr>
                <w:rFonts w:cs="Arial"/>
                <w:b/>
              </w:rPr>
            </w:pPr>
            <w:r w:rsidRPr="0010614C">
              <w:rPr>
                <w:rFonts w:cs="Arial"/>
                <w:b/>
              </w:rPr>
              <w:t>4</w:t>
            </w:r>
          </w:p>
        </w:tc>
        <w:tc>
          <w:tcPr>
            <w:tcW w:w="1912" w:type="pct"/>
            <w:hideMark/>
          </w:tcPr>
          <w:p w14:paraId="09AF4082" w14:textId="77777777" w:rsidR="003C1C06" w:rsidRPr="0010614C" w:rsidRDefault="003C1C06" w:rsidP="00021EF3">
            <w:pPr>
              <w:spacing w:after="0"/>
              <w:rPr>
                <w:rFonts w:cs="Arial"/>
              </w:rPr>
            </w:pPr>
            <w:r w:rsidRPr="0010614C">
              <w:rPr>
                <w:rFonts w:cs="Arial"/>
              </w:rPr>
              <w:t xml:space="preserve">Did the business receive any other </w:t>
            </w:r>
            <w:proofErr w:type="gramStart"/>
            <w:r w:rsidRPr="0010614C">
              <w:rPr>
                <w:rFonts w:cs="Arial"/>
              </w:rPr>
              <w:t>grants</w:t>
            </w:r>
            <w:proofErr w:type="gramEnd"/>
            <w:r w:rsidRPr="0010614C">
              <w:rPr>
                <w:rFonts w:cs="Arial"/>
              </w:rPr>
              <w:t xml:space="preserve"> or business supports from the Victorian or Commonwealth Governments (including any other grant funding)? </w:t>
            </w:r>
          </w:p>
          <w:p w14:paraId="234A81E3" w14:textId="77777777" w:rsidR="003C1C06" w:rsidRPr="0010614C" w:rsidRDefault="003C1C06" w:rsidP="00021EF3">
            <w:pPr>
              <w:spacing w:after="0"/>
              <w:rPr>
                <w:rFonts w:cs="Arial"/>
              </w:rPr>
            </w:pPr>
          </w:p>
        </w:tc>
        <w:tc>
          <w:tcPr>
            <w:tcW w:w="576" w:type="pct"/>
            <w:hideMark/>
          </w:tcPr>
          <w:p w14:paraId="7C659FF4" w14:textId="77777777" w:rsidR="003C1C06" w:rsidRPr="0010614C" w:rsidRDefault="003C1C06" w:rsidP="00021EF3">
            <w:pPr>
              <w:spacing w:after="0"/>
              <w:rPr>
                <w:rFonts w:cs="Arial"/>
              </w:rPr>
            </w:pPr>
            <w:r w:rsidRPr="0010614C">
              <w:rPr>
                <w:rFonts w:cs="Arial"/>
              </w:rPr>
              <w:t>Drop down</w:t>
            </w:r>
          </w:p>
        </w:tc>
        <w:tc>
          <w:tcPr>
            <w:tcW w:w="2055" w:type="pct"/>
            <w:hideMark/>
          </w:tcPr>
          <w:p w14:paraId="61B64036" w14:textId="77777777" w:rsidR="003C1C06" w:rsidRPr="0010614C" w:rsidRDefault="003C1C06" w:rsidP="00021EF3">
            <w:pPr>
              <w:numPr>
                <w:ilvl w:val="0"/>
                <w:numId w:val="29"/>
              </w:numPr>
              <w:spacing w:after="0"/>
              <w:rPr>
                <w:rFonts w:cs="Arial"/>
              </w:rPr>
            </w:pPr>
            <w:r w:rsidRPr="0010614C">
              <w:rPr>
                <w:rFonts w:cs="Arial"/>
              </w:rPr>
              <w:t>Yes</w:t>
            </w:r>
          </w:p>
          <w:p w14:paraId="27CA391A" w14:textId="77777777" w:rsidR="003C1C06" w:rsidRPr="0010614C" w:rsidRDefault="003C1C06" w:rsidP="00021EF3">
            <w:pPr>
              <w:numPr>
                <w:ilvl w:val="0"/>
                <w:numId w:val="29"/>
              </w:numPr>
              <w:spacing w:after="0"/>
              <w:rPr>
                <w:rFonts w:cs="Arial"/>
              </w:rPr>
            </w:pPr>
            <w:r w:rsidRPr="0010614C">
              <w:rPr>
                <w:rFonts w:cs="Arial"/>
              </w:rPr>
              <w:t>No</w:t>
            </w:r>
          </w:p>
          <w:p w14:paraId="13FD59FD" w14:textId="2756014C" w:rsidR="003C1C06" w:rsidRPr="0010614C" w:rsidRDefault="003C1C06" w:rsidP="00021EF3">
            <w:pPr>
              <w:numPr>
                <w:ilvl w:val="0"/>
                <w:numId w:val="29"/>
              </w:numPr>
              <w:spacing w:after="0"/>
              <w:rPr>
                <w:rFonts w:cs="Arial"/>
              </w:rPr>
            </w:pPr>
            <w:r w:rsidRPr="0010614C">
              <w:rPr>
                <w:rFonts w:cs="Arial"/>
              </w:rPr>
              <w:t>Not sure/don’t know</w:t>
            </w:r>
          </w:p>
        </w:tc>
      </w:tr>
      <w:tr w:rsidR="00F16A6E" w:rsidRPr="0010614C" w14:paraId="4EF59184" w14:textId="77777777" w:rsidTr="00CA3CC8">
        <w:trPr>
          <w:trHeight w:val="475"/>
        </w:trPr>
        <w:tc>
          <w:tcPr>
            <w:tcW w:w="457" w:type="pct"/>
          </w:tcPr>
          <w:p w14:paraId="7B829200" w14:textId="77777777" w:rsidR="003C1C06" w:rsidRPr="0010614C" w:rsidRDefault="003C1C06" w:rsidP="00021EF3">
            <w:pPr>
              <w:spacing w:after="0"/>
              <w:rPr>
                <w:rFonts w:cs="Arial"/>
                <w:b/>
              </w:rPr>
            </w:pPr>
            <w:r w:rsidRPr="0010614C">
              <w:rPr>
                <w:rFonts w:cs="Arial"/>
                <w:b/>
              </w:rPr>
              <w:t>4a</w:t>
            </w:r>
          </w:p>
        </w:tc>
        <w:tc>
          <w:tcPr>
            <w:tcW w:w="1912" w:type="pct"/>
          </w:tcPr>
          <w:p w14:paraId="5B281285" w14:textId="77777777" w:rsidR="003C1C06" w:rsidRPr="0010614C" w:rsidRDefault="003C1C06" w:rsidP="00021EF3">
            <w:pPr>
              <w:spacing w:after="0"/>
              <w:rPr>
                <w:rFonts w:cs="Arial"/>
              </w:rPr>
            </w:pPr>
            <w:r w:rsidRPr="0010614C">
              <w:rPr>
                <w:rFonts w:cs="Arial"/>
              </w:rPr>
              <w:t>If you can recall, please list the names of any other grants or business supports the business received from government.</w:t>
            </w:r>
          </w:p>
        </w:tc>
        <w:tc>
          <w:tcPr>
            <w:tcW w:w="576" w:type="pct"/>
          </w:tcPr>
          <w:p w14:paraId="2B5B505C" w14:textId="77777777" w:rsidR="003C1C06" w:rsidRPr="0010614C" w:rsidRDefault="003C1C06" w:rsidP="00021EF3">
            <w:pPr>
              <w:spacing w:after="0"/>
              <w:rPr>
                <w:rFonts w:cs="Arial"/>
              </w:rPr>
            </w:pPr>
            <w:r w:rsidRPr="0010614C">
              <w:rPr>
                <w:rFonts w:cs="Arial"/>
              </w:rPr>
              <w:t>Free text</w:t>
            </w:r>
          </w:p>
        </w:tc>
        <w:tc>
          <w:tcPr>
            <w:tcW w:w="2055" w:type="pct"/>
          </w:tcPr>
          <w:p w14:paraId="69269D4E" w14:textId="77777777" w:rsidR="003C1C06" w:rsidRPr="0010614C" w:rsidRDefault="003C1C06" w:rsidP="00021EF3">
            <w:pPr>
              <w:numPr>
                <w:ilvl w:val="0"/>
                <w:numId w:val="52"/>
              </w:numPr>
              <w:spacing w:after="0"/>
              <w:rPr>
                <w:rFonts w:cs="Arial"/>
              </w:rPr>
            </w:pPr>
            <w:r w:rsidRPr="0010614C">
              <w:rPr>
                <w:rFonts w:cs="Arial"/>
              </w:rPr>
              <w:t>____ FREE TEXT</w:t>
            </w:r>
          </w:p>
        </w:tc>
      </w:tr>
      <w:tr w:rsidR="00F16A6E" w:rsidRPr="0010614C" w14:paraId="332B3313" w14:textId="77777777" w:rsidTr="00CA3CC8">
        <w:trPr>
          <w:trHeight w:val="475"/>
        </w:trPr>
        <w:tc>
          <w:tcPr>
            <w:tcW w:w="457" w:type="pct"/>
          </w:tcPr>
          <w:p w14:paraId="3DDC4880" w14:textId="77777777" w:rsidR="003C1C06" w:rsidRPr="0010614C" w:rsidRDefault="003C1C06" w:rsidP="00021EF3">
            <w:pPr>
              <w:spacing w:after="0"/>
              <w:rPr>
                <w:rFonts w:cs="Arial"/>
                <w:b/>
              </w:rPr>
            </w:pPr>
            <w:r w:rsidRPr="0010614C">
              <w:rPr>
                <w:rFonts w:cs="Arial"/>
                <w:b/>
              </w:rPr>
              <w:t>5</w:t>
            </w:r>
          </w:p>
        </w:tc>
        <w:tc>
          <w:tcPr>
            <w:tcW w:w="1912" w:type="pct"/>
          </w:tcPr>
          <w:p w14:paraId="46D61E48" w14:textId="77777777" w:rsidR="003C1C06" w:rsidRPr="0010614C" w:rsidRDefault="003C1C06" w:rsidP="00021EF3">
            <w:pPr>
              <w:spacing w:after="0"/>
              <w:rPr>
                <w:rFonts w:cs="Arial"/>
              </w:rPr>
            </w:pPr>
            <w:r w:rsidRPr="0010614C">
              <w:rPr>
                <w:rFonts w:eastAsia="Times New Roman" w:cs="Arial"/>
                <w:color w:val="000000" w:themeColor="text1"/>
                <w:kern w:val="24"/>
                <w:lang w:eastAsia="en-AU"/>
              </w:rPr>
              <w:t>What impact did COVID-</w:t>
            </w:r>
            <w:proofErr w:type="gramStart"/>
            <w:r w:rsidRPr="0010614C">
              <w:rPr>
                <w:rFonts w:eastAsia="Times New Roman" w:cs="Arial"/>
                <w:color w:val="000000" w:themeColor="text1"/>
                <w:kern w:val="24"/>
                <w:lang w:eastAsia="en-AU"/>
              </w:rPr>
              <w:t>19</w:t>
            </w:r>
            <w:proofErr w:type="gramEnd"/>
            <w:r w:rsidRPr="0010614C">
              <w:rPr>
                <w:rFonts w:eastAsia="Times New Roman" w:cs="Arial"/>
                <w:color w:val="000000" w:themeColor="text1"/>
                <w:kern w:val="24"/>
                <w:lang w:eastAsia="en-AU"/>
              </w:rPr>
              <w:t xml:space="preserve"> and related restrictions have on the </w:t>
            </w:r>
            <w:r w:rsidRPr="000B0DC6">
              <w:rPr>
                <w:rFonts w:eastAsia="Times New Roman" w:cs="Arial"/>
                <w:color w:val="000000" w:themeColor="text1"/>
                <w:kern w:val="24"/>
                <w:lang w:eastAsia="en-AU"/>
              </w:rPr>
              <w:t>business’</w:t>
            </w:r>
            <w:r w:rsidRPr="0010614C">
              <w:rPr>
                <w:rFonts w:eastAsia="Times New Roman" w:cs="Arial"/>
                <w:color w:val="000000" w:themeColor="text1"/>
                <w:kern w:val="24"/>
                <w:lang w:eastAsia="en-AU"/>
              </w:rPr>
              <w:t xml:space="preserve"> operating revenue? </w:t>
            </w:r>
          </w:p>
        </w:tc>
        <w:tc>
          <w:tcPr>
            <w:tcW w:w="576" w:type="pct"/>
          </w:tcPr>
          <w:p w14:paraId="1F548A72" w14:textId="77777777" w:rsidR="003C1C06" w:rsidRPr="0010614C" w:rsidRDefault="003C1C06" w:rsidP="00021EF3">
            <w:pPr>
              <w:spacing w:after="0"/>
              <w:rPr>
                <w:rFonts w:cs="Arial"/>
              </w:rPr>
            </w:pPr>
            <w:r w:rsidRPr="0010614C">
              <w:rPr>
                <w:rFonts w:cs="Arial"/>
              </w:rPr>
              <w:t>Drop down</w:t>
            </w:r>
          </w:p>
        </w:tc>
        <w:tc>
          <w:tcPr>
            <w:tcW w:w="2055" w:type="pct"/>
          </w:tcPr>
          <w:p w14:paraId="09500C89" w14:textId="6F6BBABF" w:rsidR="003C1C06" w:rsidRPr="0010614C" w:rsidRDefault="003C1C06" w:rsidP="00021EF3">
            <w:pPr>
              <w:numPr>
                <w:ilvl w:val="0"/>
                <w:numId w:val="30"/>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The business was unable to operate and</w:t>
            </w:r>
            <w:r w:rsidR="00B36A27">
              <w:rPr>
                <w:rFonts w:eastAsiaTheme="minorEastAsia" w:cs="Arial"/>
                <w:color w:val="000000" w:themeColor="text1"/>
                <w:kern w:val="24"/>
                <w:lang w:eastAsia="en-AU"/>
              </w:rPr>
              <w:t>,</w:t>
            </w:r>
            <w:r w:rsidRPr="0010614C">
              <w:rPr>
                <w:rFonts w:eastAsiaTheme="minorEastAsia" w:cs="Arial"/>
                <w:color w:val="000000" w:themeColor="text1"/>
                <w:kern w:val="24"/>
                <w:lang w:eastAsia="en-AU"/>
              </w:rPr>
              <w:t xml:space="preserve"> therefore</w:t>
            </w:r>
            <w:r w:rsidR="00B36A27">
              <w:rPr>
                <w:rFonts w:eastAsiaTheme="minorEastAsia" w:cs="Arial"/>
                <w:color w:val="000000" w:themeColor="text1"/>
                <w:kern w:val="24"/>
                <w:lang w:eastAsia="en-AU"/>
              </w:rPr>
              <w:t>,</w:t>
            </w:r>
            <w:r w:rsidRPr="0010614C">
              <w:rPr>
                <w:rFonts w:eastAsiaTheme="minorEastAsia" w:cs="Arial"/>
                <w:color w:val="000000" w:themeColor="text1"/>
                <w:kern w:val="24"/>
                <w:lang w:eastAsia="en-AU"/>
              </w:rPr>
              <w:t xml:space="preserve"> generated no revenue during restrictions. </w:t>
            </w:r>
          </w:p>
          <w:p w14:paraId="5EFDA46E" w14:textId="77777777" w:rsidR="003C1C06" w:rsidRPr="0010614C" w:rsidRDefault="003C1C06" w:rsidP="00021EF3">
            <w:pPr>
              <w:numPr>
                <w:ilvl w:val="0"/>
                <w:numId w:val="30"/>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The business experienced a significant reduction in operating revenue during restrictions.</w:t>
            </w:r>
          </w:p>
          <w:p w14:paraId="439A06CC" w14:textId="77777777" w:rsidR="003C1C06" w:rsidRPr="0010614C" w:rsidRDefault="003C1C06" w:rsidP="00021EF3">
            <w:pPr>
              <w:numPr>
                <w:ilvl w:val="0"/>
                <w:numId w:val="30"/>
              </w:numPr>
              <w:spacing w:after="0"/>
              <w:ind w:left="360"/>
              <w:contextualSpacing/>
              <w:rPr>
                <w:rStyle w:val="CommentReference"/>
                <w:rFonts w:eastAsiaTheme="minorEastAsia" w:cs="Arial"/>
                <w:color w:val="000000" w:themeColor="text1"/>
                <w:kern w:val="24"/>
                <w:sz w:val="18"/>
                <w:szCs w:val="18"/>
                <w:lang w:eastAsia="en-AU"/>
              </w:rPr>
            </w:pPr>
            <w:r w:rsidRPr="0010614C">
              <w:rPr>
                <w:rFonts w:eastAsiaTheme="minorEastAsia" w:cs="Arial"/>
                <w:color w:val="000000" w:themeColor="text1"/>
                <w:kern w:val="24"/>
                <w:lang w:eastAsia="en-AU"/>
              </w:rPr>
              <w:t xml:space="preserve">The business experienced no change in operating revenue during restrictions. </w:t>
            </w:r>
          </w:p>
          <w:p w14:paraId="07039D19" w14:textId="3D6B8951" w:rsidR="003C1C06" w:rsidRPr="0010614C" w:rsidRDefault="003C1C06" w:rsidP="00021EF3">
            <w:pPr>
              <w:numPr>
                <w:ilvl w:val="0"/>
                <w:numId w:val="30"/>
              </w:numPr>
              <w:spacing w:after="0"/>
              <w:ind w:left="360"/>
              <w:contextualSpacing/>
              <w:rPr>
                <w:rFonts w:eastAsiaTheme="minorEastAsia" w:cs="Arial"/>
                <w:color w:val="000000" w:themeColor="text1"/>
                <w:kern w:val="24"/>
                <w:lang w:eastAsia="en-AU"/>
              </w:rPr>
            </w:pPr>
            <w:r w:rsidRPr="0010614C">
              <w:rPr>
                <w:rFonts w:eastAsiaTheme="minorEastAsia" w:cs="Arial"/>
                <w:color w:val="000000" w:themeColor="text1"/>
                <w:kern w:val="24"/>
                <w:lang w:eastAsia="en-AU"/>
              </w:rPr>
              <w:t>Can’t remember/prefer not to answer</w:t>
            </w:r>
            <w:r w:rsidR="00B36A27">
              <w:rPr>
                <w:rFonts w:eastAsiaTheme="minorEastAsia" w:cs="Arial"/>
                <w:color w:val="000000" w:themeColor="text1"/>
                <w:kern w:val="24"/>
                <w:lang w:eastAsia="en-AU"/>
              </w:rPr>
              <w:t>.</w:t>
            </w:r>
          </w:p>
        </w:tc>
      </w:tr>
      <w:tr w:rsidR="00F16A6E" w:rsidRPr="0010614C" w14:paraId="022123EA" w14:textId="77777777" w:rsidTr="00CA3CC8">
        <w:trPr>
          <w:trHeight w:val="475"/>
        </w:trPr>
        <w:tc>
          <w:tcPr>
            <w:tcW w:w="457" w:type="pct"/>
          </w:tcPr>
          <w:p w14:paraId="1B533DDD"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6</w:t>
            </w:r>
          </w:p>
        </w:tc>
        <w:tc>
          <w:tcPr>
            <w:tcW w:w="1912" w:type="pct"/>
          </w:tcPr>
          <w:p w14:paraId="63791895" w14:textId="77777777" w:rsidR="003C1C06" w:rsidRPr="0010614C" w:rsidRDefault="003C1C06" w:rsidP="00021EF3">
            <w:pPr>
              <w:spacing w:after="0"/>
              <w:rPr>
                <w:rFonts w:eastAsia="Times New Roman" w:cs="Arial"/>
                <w:lang w:eastAsia="en-AU"/>
              </w:rPr>
            </w:pPr>
            <w:r w:rsidRPr="0010614C">
              <w:rPr>
                <w:rFonts w:eastAsia="Times New Roman" w:cs="Arial"/>
                <w:color w:val="000000" w:themeColor="text1"/>
                <w:kern w:val="24"/>
                <w:lang w:eastAsia="en-AU"/>
              </w:rPr>
              <w:t>We are interested in understanding the impact of the grant(s) on the business.</w:t>
            </w:r>
          </w:p>
          <w:p w14:paraId="37B0E90A" w14:textId="77777777" w:rsidR="003C1C06" w:rsidRPr="0010614C" w:rsidRDefault="003C1C06" w:rsidP="00021EF3">
            <w:pPr>
              <w:spacing w:after="0"/>
              <w:rPr>
                <w:rFonts w:eastAsia="Times New Roman" w:cs="Arial"/>
                <w:color w:val="000000" w:themeColor="text1"/>
                <w:kern w:val="24"/>
                <w:lang w:eastAsia="en-AU"/>
              </w:rPr>
            </w:pPr>
          </w:p>
          <w:p w14:paraId="18E90777"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i/>
                <w:color w:val="000000" w:themeColor="text1"/>
                <w:kern w:val="24"/>
                <w:lang w:eastAsia="en-AU"/>
              </w:rPr>
              <w:lastRenderedPageBreak/>
              <w:t>Please select all of the statements that apply to you.</w:t>
            </w:r>
          </w:p>
        </w:tc>
        <w:tc>
          <w:tcPr>
            <w:tcW w:w="576" w:type="pct"/>
          </w:tcPr>
          <w:p w14:paraId="3ED02A1C" w14:textId="77777777" w:rsidR="003C1C06" w:rsidRPr="0010614C" w:rsidRDefault="003C1C06" w:rsidP="00021EF3">
            <w:pPr>
              <w:spacing w:after="0"/>
              <w:rPr>
                <w:rFonts w:cs="Arial"/>
              </w:rPr>
            </w:pPr>
            <w:r w:rsidRPr="0010614C">
              <w:rPr>
                <w:rFonts w:eastAsia="Times New Roman" w:cs="Arial"/>
                <w:color w:val="000000" w:themeColor="text1"/>
                <w:kern w:val="24"/>
                <w:lang w:eastAsia="en-AU"/>
              </w:rPr>
              <w:lastRenderedPageBreak/>
              <w:t>Tick all that apply</w:t>
            </w:r>
          </w:p>
        </w:tc>
        <w:tc>
          <w:tcPr>
            <w:tcW w:w="2055" w:type="pct"/>
          </w:tcPr>
          <w:p w14:paraId="52EC51C2" w14:textId="77777777" w:rsidR="003C1C06" w:rsidRPr="0010614C" w:rsidRDefault="003C1C06" w:rsidP="00021EF3">
            <w:pPr>
              <w:spacing w:after="0"/>
              <w:ind w:left="0"/>
              <w:rPr>
                <w:rFonts w:eastAsia="Times New Roman" w:cs="Arial"/>
                <w:lang w:eastAsia="en-AU"/>
              </w:rPr>
            </w:pPr>
            <w:r w:rsidRPr="0010614C">
              <w:rPr>
                <w:rFonts w:eastAsiaTheme="minorEastAsia" w:cs="Arial"/>
                <w:color w:val="000000" w:themeColor="text1"/>
                <w:kern w:val="24"/>
                <w:lang w:eastAsia="en-AU"/>
              </w:rPr>
              <w:t>The grants…</w:t>
            </w:r>
          </w:p>
          <w:p w14:paraId="4F09544B" w14:textId="77777777" w:rsidR="003C1C06" w:rsidRPr="0010614C" w:rsidRDefault="003C1C06" w:rsidP="00021EF3">
            <w:pPr>
              <w:numPr>
                <w:ilvl w:val="0"/>
                <w:numId w:val="31"/>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Enabled the business to cover costs</w:t>
            </w:r>
          </w:p>
          <w:p w14:paraId="33F3B2C3" w14:textId="77777777" w:rsidR="003C1C06" w:rsidRPr="0010614C" w:rsidRDefault="003C1C06" w:rsidP="00021EF3">
            <w:pPr>
              <w:numPr>
                <w:ilvl w:val="0"/>
                <w:numId w:val="31"/>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Enabled access to financial, legal or other advice needed at the time</w:t>
            </w:r>
          </w:p>
          <w:p w14:paraId="271DC3CD" w14:textId="77777777" w:rsidR="003C1C06" w:rsidRPr="0010614C" w:rsidRDefault="003C1C06" w:rsidP="00021EF3">
            <w:pPr>
              <w:numPr>
                <w:ilvl w:val="0"/>
                <w:numId w:val="31"/>
              </w:numPr>
              <w:spacing w:after="0"/>
              <w:ind w:left="360"/>
              <w:contextualSpacing/>
              <w:rPr>
                <w:rFonts w:eastAsia="Times New Roman" w:cs="Arial"/>
                <w:lang w:eastAsia="en-AU"/>
              </w:rPr>
            </w:pPr>
            <w:r w:rsidRPr="0010614C">
              <w:rPr>
                <w:rFonts w:eastAsiaTheme="minorEastAsia" w:cs="Arial"/>
                <w:color w:val="000000" w:themeColor="text1"/>
                <w:kern w:val="24"/>
                <w:lang w:eastAsia="en-AU"/>
              </w:rPr>
              <w:lastRenderedPageBreak/>
              <w:t xml:space="preserve">Enabled the business to </w:t>
            </w:r>
            <w:r w:rsidRPr="0010614C" w:rsidDel="00FB49BF">
              <w:rPr>
                <w:rFonts w:eastAsiaTheme="minorEastAsia" w:cs="Arial"/>
                <w:color w:val="000000" w:themeColor="text1"/>
                <w:kern w:val="24"/>
                <w:lang w:eastAsia="en-AU"/>
              </w:rPr>
              <w:t>retain staff</w:t>
            </w:r>
            <w:r w:rsidRPr="0010614C">
              <w:rPr>
                <w:rFonts w:eastAsiaTheme="minorEastAsia" w:cs="Arial"/>
                <w:color w:val="000000" w:themeColor="text1"/>
                <w:kern w:val="24"/>
                <w:lang w:eastAsia="en-AU"/>
              </w:rPr>
              <w:t xml:space="preserve"> and pay wages </w:t>
            </w:r>
          </w:p>
          <w:p w14:paraId="3BED4499" w14:textId="77777777" w:rsidR="003C1C06" w:rsidRPr="0010614C" w:rsidRDefault="003C1C06" w:rsidP="00021EF3">
            <w:pPr>
              <w:numPr>
                <w:ilvl w:val="0"/>
                <w:numId w:val="31"/>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Enabled the business to increase the number of staff employed</w:t>
            </w:r>
          </w:p>
          <w:p w14:paraId="186D731B" w14:textId="77777777" w:rsidR="003C1C06" w:rsidRPr="0010614C" w:rsidRDefault="003C1C06" w:rsidP="00021EF3">
            <w:pPr>
              <w:numPr>
                <w:ilvl w:val="0"/>
                <w:numId w:val="31"/>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 xml:space="preserve">Enabled the business to increase investment </w:t>
            </w:r>
          </w:p>
          <w:p w14:paraId="39E59E43" w14:textId="77777777" w:rsidR="003C1C06" w:rsidRPr="0010614C" w:rsidRDefault="003C1C06" w:rsidP="00021EF3">
            <w:pPr>
              <w:numPr>
                <w:ilvl w:val="0"/>
                <w:numId w:val="31"/>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Supported the business to more quickly stabilise after restrictions lifted</w:t>
            </w:r>
          </w:p>
          <w:p w14:paraId="38F546CF" w14:textId="77777777" w:rsidR="003C1C06" w:rsidRPr="0010614C" w:rsidRDefault="003C1C06" w:rsidP="00021EF3">
            <w:pPr>
              <w:numPr>
                <w:ilvl w:val="0"/>
                <w:numId w:val="31"/>
              </w:numPr>
              <w:spacing w:after="0"/>
              <w:ind w:left="360"/>
              <w:contextualSpacing/>
              <w:rPr>
                <w:rFonts w:eastAsiaTheme="minorEastAsia" w:cs="Arial"/>
                <w:color w:val="000000" w:themeColor="text1"/>
                <w:kern w:val="24"/>
                <w:lang w:eastAsia="en-AU"/>
              </w:rPr>
            </w:pPr>
            <w:r w:rsidRPr="0010614C">
              <w:rPr>
                <w:rFonts w:eastAsiaTheme="minorEastAsia" w:cs="Arial"/>
                <w:color w:val="000000" w:themeColor="text1"/>
                <w:kern w:val="24"/>
                <w:lang w:eastAsia="en-AU"/>
              </w:rPr>
              <w:t>None of the above</w:t>
            </w:r>
          </w:p>
        </w:tc>
      </w:tr>
      <w:tr w:rsidR="00F16A6E" w:rsidRPr="0010614C" w14:paraId="6AD8814B" w14:textId="77777777" w:rsidTr="00CA3CC8">
        <w:trPr>
          <w:trHeight w:val="475"/>
        </w:trPr>
        <w:tc>
          <w:tcPr>
            <w:tcW w:w="457" w:type="pct"/>
          </w:tcPr>
          <w:p w14:paraId="4C6B8560"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lastRenderedPageBreak/>
              <w:t>7</w:t>
            </w:r>
          </w:p>
        </w:tc>
        <w:tc>
          <w:tcPr>
            <w:tcW w:w="1912" w:type="pct"/>
          </w:tcPr>
          <w:p w14:paraId="53E884A6" w14:textId="77777777" w:rsidR="003C1C06" w:rsidRPr="0010614C" w:rsidRDefault="003C1C06" w:rsidP="00021EF3">
            <w:pPr>
              <w:spacing w:after="0"/>
              <w:rPr>
                <w:rFonts w:eastAsia="Times New Roman" w:cs="Arial"/>
                <w:lang w:eastAsia="en-AU"/>
              </w:rPr>
            </w:pPr>
            <w:r w:rsidRPr="0010614C">
              <w:rPr>
                <w:rFonts w:eastAsia="Times New Roman" w:cs="Arial"/>
                <w:color w:val="000000" w:themeColor="text1"/>
                <w:kern w:val="24"/>
                <w:lang w:eastAsia="en-AU"/>
              </w:rPr>
              <w:t>We are interested in understanding your view on any additional impacts that could be linked to the grant(s).</w:t>
            </w:r>
          </w:p>
          <w:p w14:paraId="1A35BDCE" w14:textId="77777777" w:rsidR="003C1C06" w:rsidRPr="0010614C" w:rsidRDefault="003C1C06" w:rsidP="00021EF3">
            <w:pPr>
              <w:spacing w:after="0"/>
              <w:rPr>
                <w:rFonts w:eastAsia="Times New Roman" w:cs="Arial"/>
                <w:color w:val="000000" w:themeColor="text1"/>
                <w:kern w:val="24"/>
                <w:lang w:eastAsia="en-AU"/>
              </w:rPr>
            </w:pPr>
          </w:p>
          <w:p w14:paraId="1ABF5816"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To what extent do you agree or disagree that the grant(s):</w:t>
            </w:r>
          </w:p>
        </w:tc>
        <w:tc>
          <w:tcPr>
            <w:tcW w:w="576" w:type="pct"/>
          </w:tcPr>
          <w:p w14:paraId="39A30C13"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Likert response for each option</w:t>
            </w:r>
          </w:p>
        </w:tc>
        <w:tc>
          <w:tcPr>
            <w:tcW w:w="2055" w:type="pct"/>
          </w:tcPr>
          <w:p w14:paraId="3F1304B4" w14:textId="77777777" w:rsidR="003C1C06" w:rsidRPr="0010614C" w:rsidRDefault="003C1C06" w:rsidP="00021EF3">
            <w:pPr>
              <w:numPr>
                <w:ilvl w:val="0"/>
                <w:numId w:val="32"/>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Made me feel more supported</w:t>
            </w:r>
          </w:p>
          <w:p w14:paraId="57A83206" w14:textId="77777777" w:rsidR="003C1C06" w:rsidRPr="0010614C" w:rsidRDefault="003C1C06" w:rsidP="00021EF3">
            <w:pPr>
              <w:numPr>
                <w:ilvl w:val="0"/>
                <w:numId w:val="32"/>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Made me feel more secure</w:t>
            </w:r>
          </w:p>
          <w:p w14:paraId="6A93F8B4" w14:textId="77777777" w:rsidR="003C1C06" w:rsidRPr="0010614C" w:rsidRDefault="003C1C06" w:rsidP="00021EF3">
            <w:pPr>
              <w:numPr>
                <w:ilvl w:val="0"/>
                <w:numId w:val="32"/>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Provided me with a sense of relief</w:t>
            </w:r>
          </w:p>
          <w:p w14:paraId="49B8FA24" w14:textId="77777777" w:rsidR="003C1C06" w:rsidRPr="0010614C" w:rsidRDefault="003C1C06" w:rsidP="00021EF3">
            <w:pPr>
              <w:numPr>
                <w:ilvl w:val="0"/>
                <w:numId w:val="32"/>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Helped to reduce my stress</w:t>
            </w:r>
          </w:p>
          <w:p w14:paraId="58610E5E" w14:textId="77777777" w:rsidR="003C1C06" w:rsidRPr="0010614C" w:rsidRDefault="003C1C06" w:rsidP="00021EF3">
            <w:pPr>
              <w:numPr>
                <w:ilvl w:val="0"/>
                <w:numId w:val="32"/>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Supported the wellbeing or reduced stress for others in the business</w:t>
            </w:r>
          </w:p>
          <w:p w14:paraId="1E711D71" w14:textId="77777777" w:rsidR="003C1C06" w:rsidRPr="0010614C" w:rsidRDefault="003C1C06" w:rsidP="00021EF3">
            <w:pPr>
              <w:numPr>
                <w:ilvl w:val="0"/>
                <w:numId w:val="32"/>
              </w:numPr>
              <w:spacing w:after="0"/>
              <w:ind w:left="360"/>
              <w:contextualSpacing/>
              <w:rPr>
                <w:rFonts w:eastAsia="Times New Roman" w:cs="Arial"/>
                <w:lang w:eastAsia="en-AU"/>
              </w:rPr>
            </w:pPr>
            <w:r w:rsidRPr="0010614C">
              <w:rPr>
                <w:rFonts w:eastAsiaTheme="minorEastAsia" w:cs="Arial"/>
                <w:color w:val="000000" w:themeColor="text1"/>
                <w:kern w:val="24"/>
                <w:lang w:eastAsia="en-AU"/>
              </w:rPr>
              <w:t>Supported my ability to comply with restrictions</w:t>
            </w:r>
          </w:p>
        </w:tc>
      </w:tr>
      <w:tr w:rsidR="00F16A6E" w:rsidRPr="0010614C" w14:paraId="377CCCBE" w14:textId="77777777" w:rsidTr="00CA3CC8">
        <w:trPr>
          <w:trHeight w:val="475"/>
        </w:trPr>
        <w:tc>
          <w:tcPr>
            <w:tcW w:w="457" w:type="pct"/>
          </w:tcPr>
          <w:p w14:paraId="0EE51129"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8</w:t>
            </w:r>
          </w:p>
        </w:tc>
        <w:tc>
          <w:tcPr>
            <w:tcW w:w="1912" w:type="pct"/>
          </w:tcPr>
          <w:p w14:paraId="04D00F91"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We are interested in understanding your view on any broader community impacts that could be linked to the grant(s).</w:t>
            </w:r>
          </w:p>
          <w:p w14:paraId="3CF1CD99" w14:textId="77777777" w:rsidR="003C1C06" w:rsidRPr="0010614C" w:rsidRDefault="003C1C06" w:rsidP="00021EF3">
            <w:pPr>
              <w:spacing w:after="0"/>
              <w:rPr>
                <w:rFonts w:eastAsia="Times New Roman" w:cs="Arial"/>
                <w:lang w:eastAsia="en-AU"/>
              </w:rPr>
            </w:pPr>
          </w:p>
          <w:p w14:paraId="23692899"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To what extent do you agree or disagree that the grant(s):</w:t>
            </w:r>
          </w:p>
        </w:tc>
        <w:tc>
          <w:tcPr>
            <w:tcW w:w="576" w:type="pct"/>
          </w:tcPr>
          <w:p w14:paraId="14472A09"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Likert response for each option</w:t>
            </w:r>
          </w:p>
        </w:tc>
        <w:tc>
          <w:tcPr>
            <w:tcW w:w="2055" w:type="pct"/>
          </w:tcPr>
          <w:p w14:paraId="09245472" w14:textId="77777777" w:rsidR="003C1C06" w:rsidRPr="0010614C" w:rsidRDefault="003C1C06" w:rsidP="00021EF3">
            <w:pPr>
              <w:numPr>
                <w:ilvl w:val="0"/>
                <w:numId w:val="35"/>
              </w:numPr>
              <w:spacing w:after="0"/>
              <w:contextualSpacing/>
              <w:rPr>
                <w:rFonts w:eastAsia="Times New Roman" w:cs="Arial"/>
                <w:lang w:eastAsia="en-AU"/>
              </w:rPr>
            </w:pPr>
            <w:r w:rsidRPr="0010614C">
              <w:rPr>
                <w:rFonts w:eastAsiaTheme="minorEastAsia" w:cs="Arial"/>
                <w:color w:val="000000" w:themeColor="text1"/>
                <w:kern w:val="24"/>
                <w:lang w:eastAsia="en-AU"/>
              </w:rPr>
              <w:t>Supported the wellbeing of the community more broadly</w:t>
            </w:r>
          </w:p>
          <w:p w14:paraId="51C83D3B" w14:textId="77777777" w:rsidR="003C1C06" w:rsidRPr="0010614C" w:rsidRDefault="003C1C06" w:rsidP="00021EF3">
            <w:pPr>
              <w:numPr>
                <w:ilvl w:val="0"/>
                <w:numId w:val="35"/>
              </w:numPr>
              <w:spacing w:after="0"/>
              <w:contextualSpacing/>
              <w:rPr>
                <w:rFonts w:eastAsiaTheme="minorEastAsia" w:cs="Arial"/>
                <w:color w:val="000000" w:themeColor="text1"/>
                <w:kern w:val="24"/>
                <w:lang w:eastAsia="en-AU"/>
              </w:rPr>
            </w:pPr>
            <w:r w:rsidRPr="0010614C">
              <w:rPr>
                <w:rFonts w:eastAsiaTheme="minorEastAsia" w:cs="Arial"/>
                <w:color w:val="000000" w:themeColor="text1"/>
                <w:kern w:val="24"/>
                <w:lang w:eastAsia="en-AU"/>
              </w:rPr>
              <w:t>Increased business confidence within the businesses sector or region</w:t>
            </w:r>
          </w:p>
        </w:tc>
      </w:tr>
      <w:tr w:rsidR="00F16A6E" w:rsidRPr="0010614C" w14:paraId="1E19B074" w14:textId="77777777" w:rsidTr="00CA3CC8">
        <w:trPr>
          <w:trHeight w:val="475"/>
        </w:trPr>
        <w:tc>
          <w:tcPr>
            <w:tcW w:w="457" w:type="pct"/>
          </w:tcPr>
          <w:p w14:paraId="49C761AD"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9</w:t>
            </w:r>
          </w:p>
        </w:tc>
        <w:tc>
          <w:tcPr>
            <w:tcW w:w="1912" w:type="pct"/>
          </w:tcPr>
          <w:p w14:paraId="00FAFCB9"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Did the grant(s</w:t>
            </w:r>
            <w:r w:rsidRPr="00F16A6E">
              <w:rPr>
                <w:rFonts w:eastAsia="Times New Roman" w:cs="Arial"/>
                <w:color w:val="000000" w:themeColor="text1"/>
                <w:kern w:val="24"/>
                <w:lang w:eastAsia="en-AU"/>
              </w:rPr>
              <w:t xml:space="preserve">) </w:t>
            </w:r>
            <w:r w:rsidRPr="00144137">
              <w:rPr>
                <w:rFonts w:eastAsia="Times New Roman" w:cs="Arial"/>
                <w:color w:val="000000" w:themeColor="text1"/>
                <w:kern w:val="24"/>
                <w:lang w:eastAsia="en-AU"/>
              </w:rPr>
              <w:t>you</w:t>
            </w:r>
            <w:r w:rsidRPr="00F16A6E">
              <w:rPr>
                <w:rFonts w:eastAsia="Times New Roman" w:cs="Arial"/>
                <w:color w:val="000000" w:themeColor="text1"/>
                <w:kern w:val="24"/>
                <w:lang w:eastAsia="en-AU"/>
              </w:rPr>
              <w:t xml:space="preserve"> received support </w:t>
            </w:r>
            <w:r w:rsidRPr="00144137">
              <w:rPr>
                <w:rFonts w:eastAsia="Times New Roman" w:cs="Arial"/>
                <w:color w:val="000000" w:themeColor="text1"/>
                <w:kern w:val="24"/>
                <w:lang w:eastAsia="en-AU"/>
              </w:rPr>
              <w:t>your</w:t>
            </w:r>
            <w:r w:rsidRPr="0010614C">
              <w:rPr>
                <w:rFonts w:eastAsia="Times New Roman" w:cs="Arial"/>
                <w:color w:val="000000" w:themeColor="text1"/>
                <w:kern w:val="24"/>
                <w:lang w:eastAsia="en-AU"/>
              </w:rPr>
              <w:t xml:space="preserve"> business to stay afloat during the COVID-19 pandemic?</w:t>
            </w:r>
          </w:p>
        </w:tc>
        <w:tc>
          <w:tcPr>
            <w:tcW w:w="576" w:type="pct"/>
          </w:tcPr>
          <w:p w14:paraId="37BDF4A3"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Drop down</w:t>
            </w:r>
          </w:p>
        </w:tc>
        <w:tc>
          <w:tcPr>
            <w:tcW w:w="2055" w:type="pct"/>
          </w:tcPr>
          <w:p w14:paraId="0D5EEA3C" w14:textId="77777777" w:rsidR="003C1C06" w:rsidRPr="0010614C" w:rsidRDefault="003C1C06" w:rsidP="00021EF3">
            <w:pPr>
              <w:numPr>
                <w:ilvl w:val="0"/>
                <w:numId w:val="33"/>
              </w:numPr>
              <w:spacing w:after="0"/>
              <w:ind w:left="360"/>
              <w:contextualSpacing/>
              <w:rPr>
                <w:rFonts w:eastAsia="Times New Roman" w:cs="Arial"/>
                <w:lang w:eastAsia="en-AU"/>
              </w:rPr>
            </w:pPr>
            <w:r w:rsidRPr="0010614C">
              <w:rPr>
                <w:rFonts w:eastAsia="Times New Roman" w:cs="Arial"/>
                <w:color w:val="000000" w:themeColor="text1"/>
                <w:kern w:val="24"/>
                <w:lang w:eastAsia="en-AU"/>
              </w:rPr>
              <w:t>Yes, Victorian operations would have ceased without the grant(s)</w:t>
            </w:r>
          </w:p>
          <w:p w14:paraId="0D4CB6A6" w14:textId="77777777" w:rsidR="003C1C06" w:rsidRPr="0010614C" w:rsidRDefault="003C1C06" w:rsidP="00021EF3">
            <w:pPr>
              <w:numPr>
                <w:ilvl w:val="0"/>
                <w:numId w:val="33"/>
              </w:numPr>
              <w:spacing w:after="0"/>
              <w:ind w:left="360"/>
              <w:contextualSpacing/>
              <w:rPr>
                <w:rFonts w:eastAsia="Times New Roman" w:cs="Arial"/>
                <w:lang w:eastAsia="en-AU"/>
              </w:rPr>
            </w:pPr>
            <w:r w:rsidRPr="0010614C">
              <w:rPr>
                <w:rFonts w:eastAsia="Times New Roman" w:cs="Arial"/>
                <w:color w:val="000000" w:themeColor="text1"/>
                <w:kern w:val="24"/>
                <w:lang w:eastAsia="en-AU"/>
              </w:rPr>
              <w:t>Partially, Victorian operations may have ceased without the grant(s)</w:t>
            </w:r>
          </w:p>
          <w:p w14:paraId="5307B048" w14:textId="77777777" w:rsidR="003C1C06" w:rsidRPr="0010614C" w:rsidRDefault="003C1C06" w:rsidP="00021EF3">
            <w:pPr>
              <w:numPr>
                <w:ilvl w:val="0"/>
                <w:numId w:val="35"/>
              </w:numPr>
              <w:spacing w:after="0"/>
              <w:contextualSpacing/>
              <w:rPr>
                <w:rFonts w:eastAsiaTheme="minorEastAsia" w:cs="Arial"/>
                <w:color w:val="000000" w:themeColor="text1"/>
                <w:kern w:val="24"/>
                <w:lang w:eastAsia="en-AU"/>
              </w:rPr>
            </w:pPr>
            <w:r w:rsidRPr="0010614C">
              <w:rPr>
                <w:rFonts w:eastAsiaTheme="minorEastAsia" w:cs="Arial"/>
                <w:color w:val="000000" w:themeColor="text1"/>
                <w:kern w:val="24"/>
                <w:lang w:eastAsia="en-AU"/>
              </w:rPr>
              <w:t>No, Victorian operations would have continued regardless</w:t>
            </w:r>
          </w:p>
          <w:p w14:paraId="690299EA" w14:textId="77777777" w:rsidR="003C1C06" w:rsidRPr="0010614C" w:rsidRDefault="003C1C06" w:rsidP="00021EF3">
            <w:pPr>
              <w:numPr>
                <w:ilvl w:val="0"/>
                <w:numId w:val="35"/>
              </w:numPr>
              <w:spacing w:after="0"/>
              <w:contextualSpacing/>
              <w:rPr>
                <w:rFonts w:eastAsiaTheme="minorEastAsia" w:cs="Arial"/>
                <w:color w:val="000000" w:themeColor="text1"/>
                <w:kern w:val="24"/>
                <w:lang w:eastAsia="en-AU"/>
              </w:rPr>
            </w:pPr>
            <w:r w:rsidRPr="0010614C">
              <w:rPr>
                <w:rFonts w:eastAsiaTheme="minorEastAsia" w:cs="Arial"/>
                <w:color w:val="000000" w:themeColor="text1"/>
                <w:kern w:val="24"/>
                <w:lang w:eastAsia="en-AU"/>
              </w:rPr>
              <w:t>Not sure/don’t know</w:t>
            </w:r>
          </w:p>
        </w:tc>
      </w:tr>
      <w:tr w:rsidR="00F16A6E" w:rsidRPr="0010614C" w14:paraId="2ABC04BC" w14:textId="77777777" w:rsidTr="00CA3CC8">
        <w:trPr>
          <w:trHeight w:val="475"/>
        </w:trPr>
        <w:tc>
          <w:tcPr>
            <w:tcW w:w="457" w:type="pct"/>
          </w:tcPr>
          <w:p w14:paraId="5A931799"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10</w:t>
            </w:r>
          </w:p>
        </w:tc>
        <w:tc>
          <w:tcPr>
            <w:tcW w:w="1912" w:type="pct"/>
          </w:tcPr>
          <w:p w14:paraId="57FD3108" w14:textId="77777777" w:rsidR="003C1C06" w:rsidRPr="0010614C" w:rsidRDefault="003C1C06" w:rsidP="00021EF3">
            <w:pPr>
              <w:spacing w:after="0"/>
              <w:rPr>
                <w:rFonts w:eastAsia="Times New Roman" w:cs="Arial"/>
                <w:lang w:eastAsia="en-AU"/>
              </w:rPr>
            </w:pPr>
            <w:r w:rsidRPr="0010614C">
              <w:rPr>
                <w:rFonts w:eastAsia="Times New Roman" w:cs="Arial"/>
                <w:color w:val="000000" w:themeColor="text1"/>
                <w:kern w:val="24"/>
                <w:lang w:eastAsia="en-AU"/>
              </w:rPr>
              <w:t>Please do your best to reflect on the impact of BCAP/LHVF* only.</w:t>
            </w:r>
          </w:p>
          <w:p w14:paraId="274EE1B1" w14:textId="77777777" w:rsidR="003C1C06" w:rsidRPr="0010614C" w:rsidRDefault="003C1C06" w:rsidP="00021EF3">
            <w:pPr>
              <w:spacing w:after="0"/>
              <w:rPr>
                <w:rFonts w:eastAsia="Times New Roman" w:cs="Arial"/>
                <w:color w:val="000000" w:themeColor="text1"/>
                <w:kern w:val="24"/>
                <w:lang w:eastAsia="en-AU"/>
              </w:rPr>
            </w:pPr>
          </w:p>
          <w:p w14:paraId="1834F85A"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lang w:eastAsia="en-AU"/>
              </w:rPr>
              <w:t>What impact do you believe the grants had on the business’ operating revenue during the COVID-19 pandemic?</w:t>
            </w:r>
          </w:p>
        </w:tc>
        <w:tc>
          <w:tcPr>
            <w:tcW w:w="576" w:type="pct"/>
          </w:tcPr>
          <w:p w14:paraId="43285F40"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Drop down</w:t>
            </w:r>
          </w:p>
        </w:tc>
        <w:tc>
          <w:tcPr>
            <w:tcW w:w="2055" w:type="pct"/>
          </w:tcPr>
          <w:p w14:paraId="7EDAE9D2" w14:textId="77777777" w:rsidR="003C1C06" w:rsidRPr="0010614C" w:rsidRDefault="003C1C06" w:rsidP="00021EF3">
            <w:pPr>
              <w:numPr>
                <w:ilvl w:val="0"/>
                <w:numId w:val="3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 xml:space="preserve">No impact – the </w:t>
            </w:r>
            <w:r w:rsidRPr="00717F04">
              <w:rPr>
                <w:rFonts w:eastAsia="Times New Roman" w:cs="Arial"/>
                <w:color w:val="000000" w:themeColor="text1"/>
                <w:kern w:val="24"/>
                <w:lang w:eastAsia="en-AU"/>
              </w:rPr>
              <w:t>business’</w:t>
            </w:r>
            <w:r w:rsidRPr="0010614C">
              <w:rPr>
                <w:rFonts w:eastAsia="Times New Roman" w:cs="Arial"/>
                <w:color w:val="000000" w:themeColor="text1"/>
                <w:kern w:val="24"/>
                <w:lang w:eastAsia="en-AU"/>
              </w:rPr>
              <w:t xml:space="preserve"> revenue would have been the same without the support of the grants</w:t>
            </w:r>
          </w:p>
          <w:p w14:paraId="2F4919BF" w14:textId="77777777" w:rsidR="003C1C06" w:rsidRPr="0010614C" w:rsidRDefault="003C1C06" w:rsidP="00021EF3">
            <w:pPr>
              <w:numPr>
                <w:ilvl w:val="0"/>
                <w:numId w:val="3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 xml:space="preserve">Slight impact – the </w:t>
            </w:r>
            <w:r w:rsidRPr="002A4117">
              <w:rPr>
                <w:rFonts w:eastAsia="Times New Roman" w:cs="Arial"/>
                <w:color w:val="000000" w:themeColor="text1"/>
                <w:kern w:val="24"/>
                <w:lang w:eastAsia="en-AU"/>
              </w:rPr>
              <w:t>business’</w:t>
            </w:r>
            <w:r w:rsidRPr="0010614C">
              <w:rPr>
                <w:rFonts w:eastAsia="Times New Roman" w:cs="Arial"/>
                <w:color w:val="000000" w:themeColor="text1"/>
                <w:kern w:val="24"/>
                <w:lang w:eastAsia="en-AU"/>
              </w:rPr>
              <w:t xml:space="preserve"> revenue would have been slightly lower without the support of the grants</w:t>
            </w:r>
          </w:p>
          <w:p w14:paraId="226D82FD" w14:textId="77777777" w:rsidR="003C1C06" w:rsidRPr="0010614C" w:rsidRDefault="003C1C06" w:rsidP="00021EF3">
            <w:pPr>
              <w:numPr>
                <w:ilvl w:val="0"/>
                <w:numId w:val="3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 xml:space="preserve">Moderate impact – the </w:t>
            </w:r>
            <w:r w:rsidRPr="00717F04">
              <w:rPr>
                <w:rFonts w:eastAsia="Times New Roman" w:cs="Arial"/>
                <w:color w:val="000000" w:themeColor="text1"/>
                <w:kern w:val="24"/>
                <w:lang w:eastAsia="en-AU"/>
              </w:rPr>
              <w:t>business’</w:t>
            </w:r>
            <w:r w:rsidRPr="0010614C">
              <w:rPr>
                <w:rFonts w:eastAsia="Times New Roman" w:cs="Arial"/>
                <w:color w:val="000000" w:themeColor="text1"/>
                <w:kern w:val="24"/>
                <w:lang w:eastAsia="en-AU"/>
              </w:rPr>
              <w:t xml:space="preserve"> revenue would have been moderately lower without the support of the grants</w:t>
            </w:r>
          </w:p>
          <w:p w14:paraId="5E46EC24" w14:textId="77777777" w:rsidR="003C1C06" w:rsidRPr="0010614C" w:rsidRDefault="003C1C06" w:rsidP="00021EF3">
            <w:pPr>
              <w:numPr>
                <w:ilvl w:val="0"/>
                <w:numId w:val="3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 xml:space="preserve">Significant impact – the </w:t>
            </w:r>
            <w:r w:rsidRPr="00717F04">
              <w:rPr>
                <w:rFonts w:eastAsia="Times New Roman" w:cs="Arial"/>
                <w:color w:val="000000" w:themeColor="text1"/>
                <w:kern w:val="24"/>
                <w:lang w:eastAsia="en-AU"/>
              </w:rPr>
              <w:t>business’</w:t>
            </w:r>
            <w:r w:rsidRPr="0010614C">
              <w:rPr>
                <w:rFonts w:eastAsia="Times New Roman" w:cs="Arial"/>
                <w:color w:val="000000" w:themeColor="text1"/>
                <w:kern w:val="24"/>
                <w:lang w:eastAsia="en-AU"/>
              </w:rPr>
              <w:t xml:space="preserve"> revenue would have been significantly lower without the support of the grants</w:t>
            </w:r>
          </w:p>
          <w:p w14:paraId="61DDFED0" w14:textId="77777777" w:rsidR="003C1C06" w:rsidRPr="0010614C" w:rsidRDefault="003C1C06" w:rsidP="00021EF3">
            <w:pPr>
              <w:numPr>
                <w:ilvl w:val="0"/>
                <w:numId w:val="3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Very significant impact – the business would have closed down without the support of the grants</w:t>
            </w:r>
          </w:p>
          <w:p w14:paraId="1C855452" w14:textId="77777777" w:rsidR="003C1C06" w:rsidRPr="0010614C" w:rsidRDefault="003C1C06" w:rsidP="00021EF3">
            <w:pPr>
              <w:numPr>
                <w:ilvl w:val="0"/>
                <w:numId w:val="3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sure/don’t know</w:t>
            </w:r>
          </w:p>
        </w:tc>
      </w:tr>
      <w:tr w:rsidR="00F16A6E" w:rsidRPr="0010614C" w14:paraId="20A90963" w14:textId="77777777" w:rsidTr="00CA3CC8">
        <w:trPr>
          <w:trHeight w:val="475"/>
        </w:trPr>
        <w:tc>
          <w:tcPr>
            <w:tcW w:w="457" w:type="pct"/>
          </w:tcPr>
          <w:p w14:paraId="0A0E74BF"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11</w:t>
            </w:r>
          </w:p>
        </w:tc>
        <w:tc>
          <w:tcPr>
            <w:tcW w:w="1912" w:type="pct"/>
          </w:tcPr>
          <w:p w14:paraId="67A16BB2"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Please do your best to reflect on the impact of BCAP/LHVF* only.</w:t>
            </w:r>
          </w:p>
          <w:p w14:paraId="36AD813A" w14:textId="77777777" w:rsidR="003C1C06" w:rsidRPr="0010614C" w:rsidRDefault="003C1C06" w:rsidP="00021EF3">
            <w:pPr>
              <w:spacing w:after="0"/>
              <w:rPr>
                <w:rFonts w:eastAsia="Times New Roman" w:cs="Arial"/>
                <w:color w:val="000000" w:themeColor="text1"/>
                <w:kern w:val="24"/>
                <w:lang w:eastAsia="en-AU"/>
              </w:rPr>
            </w:pPr>
          </w:p>
          <w:p w14:paraId="394367AF" w14:textId="4AD8D97F"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lang w:eastAsia="en-AU"/>
              </w:rPr>
              <w:t xml:space="preserve">What impact do you believe the grants had on the business’ </w:t>
            </w:r>
            <w:r w:rsidR="00670D54">
              <w:rPr>
                <w:rFonts w:eastAsia="Times New Roman" w:cs="Arial"/>
                <w:lang w:eastAsia="en-AU"/>
              </w:rPr>
              <w:t xml:space="preserve">FTE </w:t>
            </w:r>
            <w:r w:rsidRPr="0010614C">
              <w:rPr>
                <w:rFonts w:eastAsia="Times New Roman" w:cs="Arial"/>
                <w:lang w:eastAsia="en-AU"/>
              </w:rPr>
              <w:t>employment during the COVID-19 pandemic?</w:t>
            </w:r>
          </w:p>
        </w:tc>
        <w:tc>
          <w:tcPr>
            <w:tcW w:w="576" w:type="pct"/>
          </w:tcPr>
          <w:p w14:paraId="69ED87B4"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Drop down</w:t>
            </w:r>
          </w:p>
        </w:tc>
        <w:tc>
          <w:tcPr>
            <w:tcW w:w="2055" w:type="pct"/>
          </w:tcPr>
          <w:p w14:paraId="587BEA24" w14:textId="77777777" w:rsidR="003C1C06" w:rsidRPr="0010614C" w:rsidRDefault="003C1C06" w:rsidP="00021EF3">
            <w:pPr>
              <w:numPr>
                <w:ilvl w:val="0"/>
                <w:numId w:val="53"/>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applicable, I am a sole trader</w:t>
            </w:r>
          </w:p>
          <w:p w14:paraId="24D25A8B" w14:textId="77777777" w:rsidR="003C1C06" w:rsidRPr="0010614C" w:rsidRDefault="003C1C06" w:rsidP="00021EF3">
            <w:pPr>
              <w:numPr>
                <w:ilvl w:val="0"/>
                <w:numId w:val="53"/>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 impact – the business’ FTE employment would have been the same without the support of the grants</w:t>
            </w:r>
          </w:p>
          <w:p w14:paraId="34E85CD1" w14:textId="77777777" w:rsidR="003C1C06" w:rsidRPr="0010614C" w:rsidRDefault="003C1C06" w:rsidP="00021EF3">
            <w:pPr>
              <w:numPr>
                <w:ilvl w:val="0"/>
                <w:numId w:val="53"/>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Slight impact – the business’ FTE employment would have been slightly lower without the support of the grants</w:t>
            </w:r>
          </w:p>
          <w:p w14:paraId="513D7AFE" w14:textId="77777777" w:rsidR="003C1C06" w:rsidRPr="0010614C" w:rsidRDefault="003C1C06" w:rsidP="00021EF3">
            <w:pPr>
              <w:numPr>
                <w:ilvl w:val="0"/>
                <w:numId w:val="53"/>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Moderate impact – the business’ FTE employment would have been moderately lower without the support of the grants</w:t>
            </w:r>
          </w:p>
          <w:p w14:paraId="3EA43D89" w14:textId="77777777" w:rsidR="003C1C06" w:rsidRPr="0010614C" w:rsidRDefault="003C1C06" w:rsidP="00021EF3">
            <w:pPr>
              <w:numPr>
                <w:ilvl w:val="0"/>
                <w:numId w:val="53"/>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 xml:space="preserve">Significant impact – the </w:t>
            </w:r>
            <w:r w:rsidRPr="00717F04">
              <w:rPr>
                <w:rFonts w:eastAsia="Times New Roman" w:cs="Arial"/>
                <w:color w:val="000000" w:themeColor="text1"/>
                <w:kern w:val="24"/>
                <w:lang w:eastAsia="en-AU"/>
              </w:rPr>
              <w:t>business’</w:t>
            </w:r>
            <w:r w:rsidRPr="0010614C">
              <w:rPr>
                <w:rFonts w:eastAsia="Times New Roman" w:cs="Arial"/>
                <w:color w:val="000000" w:themeColor="text1"/>
                <w:kern w:val="24"/>
                <w:lang w:eastAsia="en-AU"/>
              </w:rPr>
              <w:t xml:space="preserve"> FTE employment would have been significantly lower without the support of the grants</w:t>
            </w:r>
          </w:p>
          <w:p w14:paraId="3DD993C0" w14:textId="77777777" w:rsidR="003C1C06" w:rsidRPr="0010614C" w:rsidRDefault="003C1C06" w:rsidP="00021EF3">
            <w:pPr>
              <w:numPr>
                <w:ilvl w:val="0"/>
                <w:numId w:val="53"/>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lastRenderedPageBreak/>
              <w:t>Very significant impact – the business would not have been able to retain any FTE employment without the support of the grants</w:t>
            </w:r>
          </w:p>
          <w:p w14:paraId="5F060490" w14:textId="6F71AFAF" w:rsidR="003C1C06" w:rsidRPr="0010614C" w:rsidRDefault="003C1C06" w:rsidP="00021EF3">
            <w:pPr>
              <w:numPr>
                <w:ilvl w:val="0"/>
                <w:numId w:val="53"/>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sure/don’t know</w:t>
            </w:r>
          </w:p>
        </w:tc>
      </w:tr>
      <w:tr w:rsidR="00F16A6E" w:rsidRPr="0010614C" w14:paraId="46783864" w14:textId="77777777" w:rsidTr="005D6A08">
        <w:trPr>
          <w:trHeight w:val="1159"/>
        </w:trPr>
        <w:tc>
          <w:tcPr>
            <w:tcW w:w="457" w:type="pct"/>
          </w:tcPr>
          <w:p w14:paraId="0FD9DF14" w14:textId="546CD079" w:rsidR="003C1C06" w:rsidRPr="0010614C" w:rsidRDefault="002A139E" w:rsidP="00021EF3">
            <w:pPr>
              <w:spacing w:after="0"/>
              <w:rPr>
                <w:rFonts w:eastAsia="Times New Roman" w:cs="Arial"/>
                <w:color w:val="000000" w:themeColor="text1"/>
                <w:kern w:val="24"/>
                <w:lang w:eastAsia="en-AU"/>
              </w:rPr>
            </w:pPr>
            <w:r>
              <w:rPr>
                <w:rFonts w:eastAsia="Times New Roman" w:cs="Arial"/>
                <w:color w:val="000000" w:themeColor="text1"/>
                <w:kern w:val="24"/>
                <w:lang w:eastAsia="en-AU"/>
              </w:rPr>
              <w:lastRenderedPageBreak/>
              <w:t>Re</w:t>
            </w:r>
            <w:r w:rsidR="003C1C06" w:rsidRPr="0010614C">
              <w:rPr>
                <w:rFonts w:eastAsia="Times New Roman" w:cs="Arial"/>
                <w:color w:val="000000" w:themeColor="text1"/>
                <w:kern w:val="24"/>
                <w:lang w:eastAsia="en-AU"/>
              </w:rPr>
              <w:t>12</w:t>
            </w:r>
          </w:p>
        </w:tc>
        <w:tc>
          <w:tcPr>
            <w:tcW w:w="1912" w:type="pct"/>
          </w:tcPr>
          <w:p w14:paraId="344FBA03" w14:textId="77777777" w:rsidR="003C1C06" w:rsidRPr="0010614C" w:rsidRDefault="003C1C06" w:rsidP="00021EF3">
            <w:pPr>
              <w:spacing w:after="0"/>
              <w:rPr>
                <w:rFonts w:eastAsia="Times New Roman" w:cs="Arial"/>
                <w:lang w:eastAsia="en-AU"/>
              </w:rPr>
            </w:pPr>
            <w:r w:rsidRPr="0010614C">
              <w:rPr>
                <w:rFonts w:eastAsia="Times New Roman" w:cs="Arial"/>
                <w:color w:val="000000" w:themeColor="text1"/>
                <w:kern w:val="24"/>
                <w:lang w:eastAsia="en-AU"/>
              </w:rPr>
              <w:t>Relative to a scenario where you did not receive the grant(s), what would you estimate was the uplift in business operating revenue during the COVID-19 pandemic attributable to the grant(s)?</w:t>
            </w:r>
          </w:p>
          <w:p w14:paraId="719FE452" w14:textId="77777777" w:rsidR="003C1C06" w:rsidRPr="0010614C" w:rsidRDefault="003C1C06" w:rsidP="00021EF3">
            <w:pPr>
              <w:spacing w:after="0"/>
              <w:rPr>
                <w:rFonts w:eastAsia="Times New Roman" w:cs="Arial"/>
                <w:color w:val="000000" w:themeColor="text1"/>
                <w:kern w:val="24"/>
                <w:lang w:eastAsia="en-AU"/>
              </w:rPr>
            </w:pPr>
          </w:p>
          <w:p w14:paraId="1E0718D3"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Please do your best to reflect on the impact of BCAP/LHVF* only.</w:t>
            </w:r>
          </w:p>
          <w:p w14:paraId="11501406" w14:textId="77777777" w:rsidR="003C1C06" w:rsidRPr="0010614C" w:rsidRDefault="003C1C06" w:rsidP="00021EF3">
            <w:pPr>
              <w:spacing w:after="0"/>
              <w:rPr>
                <w:rFonts w:eastAsia="Times New Roman" w:cs="Arial"/>
                <w:lang w:eastAsia="en-AU"/>
              </w:rPr>
            </w:pPr>
          </w:p>
          <w:p w14:paraId="1514775B" w14:textId="26ECD136" w:rsidR="003C1C06" w:rsidRPr="005D6A08" w:rsidRDefault="003C1C06" w:rsidP="00021EF3">
            <w:pPr>
              <w:spacing w:after="0"/>
              <w:rPr>
                <w:rFonts w:eastAsia="Times New Roman" w:cs="Arial"/>
                <w:i/>
                <w:color w:val="000000" w:themeColor="text1"/>
                <w:kern w:val="24"/>
                <w:lang w:eastAsia="en-AU"/>
              </w:rPr>
            </w:pPr>
            <w:r w:rsidRPr="0010614C">
              <w:rPr>
                <w:rFonts w:eastAsia="Times New Roman" w:cs="Arial"/>
                <w:i/>
                <w:color w:val="000000" w:themeColor="text1"/>
                <w:kern w:val="24"/>
                <w:lang w:eastAsia="en-AU"/>
              </w:rPr>
              <w:t>Please answer with respect to the 12-month period following first receipt of the grant.</w:t>
            </w:r>
          </w:p>
        </w:tc>
        <w:tc>
          <w:tcPr>
            <w:tcW w:w="576" w:type="pct"/>
          </w:tcPr>
          <w:p w14:paraId="4D339102"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Drop down</w:t>
            </w:r>
          </w:p>
        </w:tc>
        <w:tc>
          <w:tcPr>
            <w:tcW w:w="2055" w:type="pct"/>
          </w:tcPr>
          <w:p w14:paraId="4E4EE759" w14:textId="77777777" w:rsidR="003C1C06" w:rsidRPr="0010614C" w:rsidRDefault="003C1C06" w:rsidP="00021EF3">
            <w:pPr>
              <w:numPr>
                <w:ilvl w:val="0"/>
                <w:numId w:val="3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1-19%</w:t>
            </w:r>
          </w:p>
          <w:p w14:paraId="440E1135" w14:textId="77777777" w:rsidR="003C1C06" w:rsidRPr="0010614C" w:rsidRDefault="003C1C06" w:rsidP="00021EF3">
            <w:pPr>
              <w:numPr>
                <w:ilvl w:val="0"/>
                <w:numId w:val="3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20-39%</w:t>
            </w:r>
          </w:p>
          <w:p w14:paraId="6AB6E9DB" w14:textId="77777777" w:rsidR="003C1C06" w:rsidRPr="0010614C" w:rsidRDefault="003C1C06" w:rsidP="00021EF3">
            <w:pPr>
              <w:numPr>
                <w:ilvl w:val="0"/>
                <w:numId w:val="3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40-59%</w:t>
            </w:r>
          </w:p>
          <w:p w14:paraId="06365AF7" w14:textId="77777777" w:rsidR="003C1C06" w:rsidRPr="0010614C" w:rsidRDefault="003C1C06" w:rsidP="00021EF3">
            <w:pPr>
              <w:numPr>
                <w:ilvl w:val="0"/>
                <w:numId w:val="3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60-79%</w:t>
            </w:r>
          </w:p>
          <w:p w14:paraId="6E4C787D" w14:textId="77777777" w:rsidR="003C1C06" w:rsidRPr="0010614C" w:rsidRDefault="003C1C06" w:rsidP="00021EF3">
            <w:pPr>
              <w:numPr>
                <w:ilvl w:val="0"/>
                <w:numId w:val="3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80-99%</w:t>
            </w:r>
          </w:p>
          <w:p w14:paraId="06B74D8C" w14:textId="77777777" w:rsidR="003C1C06" w:rsidRPr="0010614C" w:rsidRDefault="003C1C06" w:rsidP="00021EF3">
            <w:pPr>
              <w:numPr>
                <w:ilvl w:val="0"/>
                <w:numId w:val="3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100%</w:t>
            </w:r>
          </w:p>
          <w:p w14:paraId="4126AA55" w14:textId="77777777" w:rsidR="003C1C06" w:rsidRPr="0010614C" w:rsidRDefault="003C1C06" w:rsidP="00021EF3">
            <w:pPr>
              <w:numPr>
                <w:ilvl w:val="0"/>
                <w:numId w:val="3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More than 100%</w:t>
            </w:r>
          </w:p>
          <w:p w14:paraId="03615ABF" w14:textId="47929FDB" w:rsidR="003C1C06" w:rsidRPr="0010614C" w:rsidRDefault="003C1C06" w:rsidP="00021EF3">
            <w:pPr>
              <w:numPr>
                <w:ilvl w:val="0"/>
                <w:numId w:val="3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sure/don’t know</w:t>
            </w:r>
          </w:p>
        </w:tc>
      </w:tr>
      <w:tr w:rsidR="00F16A6E" w:rsidRPr="0010614C" w14:paraId="6B38ECB0" w14:textId="77777777" w:rsidTr="00CA3CC8">
        <w:trPr>
          <w:trHeight w:val="475"/>
        </w:trPr>
        <w:tc>
          <w:tcPr>
            <w:tcW w:w="457" w:type="pct"/>
          </w:tcPr>
          <w:p w14:paraId="0D182CAC"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13</w:t>
            </w:r>
          </w:p>
        </w:tc>
        <w:tc>
          <w:tcPr>
            <w:tcW w:w="1912" w:type="pct"/>
          </w:tcPr>
          <w:p w14:paraId="73767BE0"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Relative to a scenario where you did not receive the grant(s), what would you estimate was the uplift in total wages paid during the COVID-19 pandemic attributable to the grant(s)?</w:t>
            </w:r>
          </w:p>
          <w:p w14:paraId="237B45D3" w14:textId="77777777" w:rsidR="003C1C06" w:rsidRPr="0010614C" w:rsidRDefault="003C1C06" w:rsidP="00021EF3">
            <w:pPr>
              <w:spacing w:after="0"/>
              <w:rPr>
                <w:rFonts w:eastAsia="Times New Roman" w:cs="Arial"/>
                <w:lang w:eastAsia="en-AU"/>
              </w:rPr>
            </w:pPr>
          </w:p>
          <w:p w14:paraId="4B327676" w14:textId="77777777" w:rsidR="003C1C06" w:rsidRPr="0010614C" w:rsidRDefault="003C1C06" w:rsidP="00021EF3">
            <w:pPr>
              <w:spacing w:after="0"/>
              <w:rPr>
                <w:rFonts w:eastAsia="Times New Roman" w:cs="Arial"/>
                <w:lang w:eastAsia="en-AU"/>
              </w:rPr>
            </w:pPr>
            <w:r w:rsidRPr="0010614C">
              <w:rPr>
                <w:rFonts w:eastAsia="Times New Roman" w:cs="Arial"/>
                <w:color w:val="000000" w:themeColor="text1"/>
                <w:kern w:val="24"/>
                <w:lang w:eastAsia="en-AU"/>
              </w:rPr>
              <w:t>Please do your best to reflect on the impact of BCAP/LHVF* only.</w:t>
            </w:r>
          </w:p>
          <w:p w14:paraId="69F7594B" w14:textId="77777777" w:rsidR="003C1C06" w:rsidRPr="0010614C" w:rsidRDefault="003C1C06" w:rsidP="00021EF3">
            <w:pPr>
              <w:spacing w:after="0"/>
              <w:rPr>
                <w:rFonts w:eastAsia="Times New Roman" w:cs="Arial"/>
                <w:i/>
                <w:color w:val="000000" w:themeColor="text1"/>
                <w:kern w:val="24"/>
                <w:lang w:eastAsia="en-AU"/>
              </w:rPr>
            </w:pPr>
          </w:p>
          <w:p w14:paraId="51297693"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i/>
                <w:color w:val="000000" w:themeColor="text1"/>
                <w:kern w:val="24"/>
                <w:lang w:eastAsia="en-AU"/>
              </w:rPr>
              <w:t>Please answer with respect to the 12-month period following first receipt of the grant.</w:t>
            </w:r>
          </w:p>
        </w:tc>
        <w:tc>
          <w:tcPr>
            <w:tcW w:w="576" w:type="pct"/>
          </w:tcPr>
          <w:p w14:paraId="3EB6C78F"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Drop down</w:t>
            </w:r>
          </w:p>
        </w:tc>
        <w:tc>
          <w:tcPr>
            <w:tcW w:w="2055" w:type="pct"/>
          </w:tcPr>
          <w:p w14:paraId="051290D8" w14:textId="77777777" w:rsidR="003C1C06" w:rsidRPr="0010614C" w:rsidRDefault="003C1C06" w:rsidP="00021EF3">
            <w:pPr>
              <w:numPr>
                <w:ilvl w:val="0"/>
                <w:numId w:val="50"/>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1-19%</w:t>
            </w:r>
          </w:p>
          <w:p w14:paraId="344B646B" w14:textId="77777777" w:rsidR="003C1C06" w:rsidRPr="0010614C" w:rsidRDefault="003C1C06" w:rsidP="00021EF3">
            <w:pPr>
              <w:numPr>
                <w:ilvl w:val="0"/>
                <w:numId w:val="50"/>
              </w:numPr>
              <w:spacing w:after="0"/>
              <w:ind w:left="773" w:hanging="732"/>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20-39%</w:t>
            </w:r>
          </w:p>
          <w:p w14:paraId="4B582E51" w14:textId="77777777" w:rsidR="003C1C06" w:rsidRPr="0010614C" w:rsidRDefault="003C1C06" w:rsidP="00021EF3">
            <w:pPr>
              <w:numPr>
                <w:ilvl w:val="0"/>
                <w:numId w:val="50"/>
              </w:numPr>
              <w:spacing w:after="0"/>
              <w:ind w:left="773" w:hanging="732"/>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40-59%</w:t>
            </w:r>
          </w:p>
          <w:p w14:paraId="10F5C447" w14:textId="77777777" w:rsidR="003C1C06" w:rsidRPr="0010614C" w:rsidRDefault="003C1C06" w:rsidP="00021EF3">
            <w:pPr>
              <w:numPr>
                <w:ilvl w:val="0"/>
                <w:numId w:val="50"/>
              </w:numPr>
              <w:spacing w:after="0"/>
              <w:ind w:left="773" w:hanging="732"/>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60-79%</w:t>
            </w:r>
          </w:p>
          <w:p w14:paraId="3F778C05" w14:textId="77777777" w:rsidR="003C1C06" w:rsidRPr="0010614C" w:rsidRDefault="003C1C06" w:rsidP="00021EF3">
            <w:pPr>
              <w:numPr>
                <w:ilvl w:val="0"/>
                <w:numId w:val="50"/>
              </w:numPr>
              <w:spacing w:after="0"/>
              <w:ind w:left="773" w:hanging="732"/>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80-99%</w:t>
            </w:r>
          </w:p>
          <w:p w14:paraId="68436671" w14:textId="77777777" w:rsidR="003C1C06" w:rsidRPr="0010614C" w:rsidRDefault="003C1C06" w:rsidP="00021EF3">
            <w:pPr>
              <w:numPr>
                <w:ilvl w:val="0"/>
                <w:numId w:val="50"/>
              </w:numPr>
              <w:spacing w:after="0"/>
              <w:ind w:left="773" w:hanging="732"/>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100%</w:t>
            </w:r>
          </w:p>
          <w:p w14:paraId="7CBDF9F4" w14:textId="77777777" w:rsidR="003C1C06" w:rsidRPr="0010614C" w:rsidRDefault="003C1C06" w:rsidP="00021EF3">
            <w:pPr>
              <w:numPr>
                <w:ilvl w:val="0"/>
                <w:numId w:val="50"/>
              </w:numPr>
              <w:spacing w:after="0"/>
              <w:ind w:left="773" w:hanging="732"/>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More than 100%</w:t>
            </w:r>
          </w:p>
          <w:p w14:paraId="1F2AFDFA" w14:textId="77777777" w:rsidR="003C1C06" w:rsidRPr="0010614C" w:rsidRDefault="003C1C06" w:rsidP="00021EF3">
            <w:pPr>
              <w:numPr>
                <w:ilvl w:val="0"/>
                <w:numId w:val="50"/>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sure/don’t know</w:t>
            </w:r>
          </w:p>
        </w:tc>
      </w:tr>
      <w:tr w:rsidR="00F16A6E" w:rsidRPr="0010614C" w14:paraId="7F790611" w14:textId="77777777" w:rsidTr="00CA3CC8">
        <w:trPr>
          <w:trHeight w:val="475"/>
        </w:trPr>
        <w:tc>
          <w:tcPr>
            <w:tcW w:w="457" w:type="pct"/>
          </w:tcPr>
          <w:p w14:paraId="01DD0750"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14</w:t>
            </w:r>
          </w:p>
        </w:tc>
        <w:tc>
          <w:tcPr>
            <w:tcW w:w="1912" w:type="pct"/>
          </w:tcPr>
          <w:p w14:paraId="176E46C8" w14:textId="77777777" w:rsidR="003C1C06" w:rsidRPr="0010614C" w:rsidRDefault="003C1C06" w:rsidP="00021EF3">
            <w:pPr>
              <w:spacing w:after="0"/>
              <w:rPr>
                <w:rFonts w:eastAsia="Times New Roman" w:cs="Arial"/>
                <w:lang w:eastAsia="en-AU"/>
              </w:rPr>
            </w:pPr>
            <w:r w:rsidRPr="0010614C">
              <w:rPr>
                <w:rFonts w:eastAsia="Times New Roman" w:cs="Arial"/>
                <w:color w:val="000000" w:themeColor="text1"/>
                <w:kern w:val="24"/>
                <w:lang w:eastAsia="en-AU"/>
              </w:rPr>
              <w:t xml:space="preserve">To what extent did the grant(s) received enable the business to “bounce back” to pre-COVID-19 levels of operating revenue (i.e., 2019 levels) once restrictions ended? </w:t>
            </w:r>
          </w:p>
          <w:p w14:paraId="7C9E1B68" w14:textId="77777777" w:rsidR="003C1C06" w:rsidRPr="0010614C" w:rsidRDefault="003C1C06" w:rsidP="00021EF3">
            <w:pPr>
              <w:spacing w:after="0"/>
              <w:rPr>
                <w:rFonts w:eastAsia="Times New Roman" w:cs="Arial"/>
                <w:i/>
                <w:color w:val="000000" w:themeColor="text1"/>
                <w:kern w:val="24"/>
                <w:lang w:eastAsia="en-AU"/>
              </w:rPr>
            </w:pPr>
          </w:p>
          <w:p w14:paraId="588E50D4" w14:textId="156E8E18"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i/>
                <w:color w:val="000000" w:themeColor="text1"/>
                <w:kern w:val="24"/>
                <w:lang w:eastAsia="en-AU"/>
              </w:rPr>
              <w:t>Please answer with respect to the 12-month period following the final shutdown or the 2022 calendar year.</w:t>
            </w:r>
          </w:p>
        </w:tc>
        <w:tc>
          <w:tcPr>
            <w:tcW w:w="576" w:type="pct"/>
          </w:tcPr>
          <w:p w14:paraId="66BFAC28"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Drop down</w:t>
            </w:r>
          </w:p>
        </w:tc>
        <w:tc>
          <w:tcPr>
            <w:tcW w:w="2055" w:type="pct"/>
          </w:tcPr>
          <w:p w14:paraId="623C5DE2" w14:textId="77777777" w:rsidR="003C1C06" w:rsidRPr="0010614C" w:rsidRDefault="003C1C06" w:rsidP="00021EF3">
            <w:pPr>
              <w:numPr>
                <w:ilvl w:val="0"/>
                <w:numId w:val="37"/>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The grants enabled the business to reach or exceed pre-COVID-19 levels of operating revenue</w:t>
            </w:r>
            <w:r w:rsidRPr="0010614C" w:rsidDel="000E6ACF">
              <w:rPr>
                <w:rFonts w:eastAsia="Times New Roman" w:cs="Arial"/>
                <w:color w:val="000000" w:themeColor="text1"/>
                <w:kern w:val="24"/>
                <w:lang w:eastAsia="en-AU"/>
              </w:rPr>
              <w:t xml:space="preserve"> </w:t>
            </w:r>
            <w:r w:rsidRPr="0010614C">
              <w:rPr>
                <w:rFonts w:eastAsia="Times New Roman" w:cs="Arial"/>
                <w:color w:val="000000" w:themeColor="text1"/>
                <w:kern w:val="24"/>
                <w:lang w:eastAsia="en-AU"/>
              </w:rPr>
              <w:t>once restrictions ended</w:t>
            </w:r>
          </w:p>
          <w:p w14:paraId="40EAA1C2" w14:textId="77777777" w:rsidR="003C1C06" w:rsidRPr="0010614C" w:rsidRDefault="003C1C06" w:rsidP="00021EF3">
            <w:pPr>
              <w:numPr>
                <w:ilvl w:val="0"/>
                <w:numId w:val="37"/>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The grants helped the business continue, but did not enable it to reach pre-COVID-19 levels once restrictions ended</w:t>
            </w:r>
          </w:p>
          <w:p w14:paraId="044C7695" w14:textId="77777777" w:rsidR="003C1C06" w:rsidRPr="0010614C" w:rsidRDefault="003C1C06" w:rsidP="00021EF3">
            <w:pPr>
              <w:numPr>
                <w:ilvl w:val="0"/>
                <w:numId w:val="37"/>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The grants had no observable impact on the business’ operating revenue after restrictions ended</w:t>
            </w:r>
          </w:p>
          <w:p w14:paraId="046DE336" w14:textId="77777777" w:rsidR="003C1C06" w:rsidRPr="0010614C" w:rsidRDefault="003C1C06" w:rsidP="00021EF3">
            <w:pPr>
              <w:numPr>
                <w:ilvl w:val="0"/>
                <w:numId w:val="37"/>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sure/don’t know</w:t>
            </w:r>
          </w:p>
        </w:tc>
      </w:tr>
      <w:tr w:rsidR="00F16A6E" w:rsidRPr="0010614C" w14:paraId="318AEA26" w14:textId="77777777" w:rsidTr="00CA3CC8">
        <w:trPr>
          <w:trHeight w:val="475"/>
        </w:trPr>
        <w:tc>
          <w:tcPr>
            <w:tcW w:w="457" w:type="pct"/>
          </w:tcPr>
          <w:p w14:paraId="60EAC923"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15</w:t>
            </w:r>
          </w:p>
        </w:tc>
        <w:tc>
          <w:tcPr>
            <w:tcW w:w="1912" w:type="pct"/>
          </w:tcPr>
          <w:p w14:paraId="2A33336F"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 xml:space="preserve">Do you think the impact on operating revenue associated with the grants persisted beyond the COVID-19 pandemic period (i.e., into financial year 2022-23 and beyond)? </w:t>
            </w:r>
          </w:p>
        </w:tc>
        <w:tc>
          <w:tcPr>
            <w:tcW w:w="576" w:type="pct"/>
          </w:tcPr>
          <w:p w14:paraId="0948FC80" w14:textId="77777777" w:rsidR="003C1C06" w:rsidRPr="0010614C" w:rsidRDefault="003C1C06" w:rsidP="00021EF3">
            <w:pPr>
              <w:spacing w:after="0"/>
              <w:rPr>
                <w:rFonts w:eastAsia="Times New Roman" w:cs="Arial"/>
                <w:color w:val="000000" w:themeColor="text1"/>
                <w:kern w:val="24"/>
                <w:lang w:eastAsia="en-AU"/>
              </w:rPr>
            </w:pPr>
          </w:p>
        </w:tc>
        <w:tc>
          <w:tcPr>
            <w:tcW w:w="2055" w:type="pct"/>
          </w:tcPr>
          <w:p w14:paraId="500B5F70" w14:textId="77777777" w:rsidR="003C1C06" w:rsidRPr="0010614C" w:rsidRDefault="003C1C06" w:rsidP="00021EF3">
            <w:pPr>
              <w:numPr>
                <w:ilvl w:val="0"/>
                <w:numId w:val="38"/>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Yes, the impact on the business’ operating revenue persisted beyond the COVID-19 pandemic period.</w:t>
            </w:r>
          </w:p>
          <w:p w14:paraId="5F593A94" w14:textId="77777777" w:rsidR="003C1C06" w:rsidRPr="0010614C" w:rsidRDefault="003C1C06" w:rsidP="00021EF3">
            <w:pPr>
              <w:numPr>
                <w:ilvl w:val="0"/>
                <w:numId w:val="38"/>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 the impact on the business’ operating revenue did not persist beyond the COVID-19 pandemic period.</w:t>
            </w:r>
          </w:p>
        </w:tc>
      </w:tr>
      <w:tr w:rsidR="00F16A6E" w:rsidRPr="0010614C" w14:paraId="1B8D1F4F" w14:textId="77777777" w:rsidTr="00CA3CC8">
        <w:trPr>
          <w:trHeight w:val="475"/>
        </w:trPr>
        <w:tc>
          <w:tcPr>
            <w:tcW w:w="457" w:type="pct"/>
          </w:tcPr>
          <w:p w14:paraId="3945785D"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15a</w:t>
            </w:r>
          </w:p>
        </w:tc>
        <w:tc>
          <w:tcPr>
            <w:tcW w:w="1912" w:type="pct"/>
          </w:tcPr>
          <w:p w14:paraId="39276958"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How long beyond the COVID-19 pandemic do you think the impact of the grants on operating revenue persisted?</w:t>
            </w:r>
          </w:p>
        </w:tc>
        <w:tc>
          <w:tcPr>
            <w:tcW w:w="576" w:type="pct"/>
          </w:tcPr>
          <w:p w14:paraId="38011B7A"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Drop down</w:t>
            </w:r>
          </w:p>
        </w:tc>
        <w:tc>
          <w:tcPr>
            <w:tcW w:w="2055" w:type="pct"/>
          </w:tcPr>
          <w:p w14:paraId="1D87EE3D" w14:textId="77777777" w:rsidR="003C1C06" w:rsidRPr="0010614C" w:rsidRDefault="003C1C06" w:rsidP="00021EF3">
            <w:pPr>
              <w:numPr>
                <w:ilvl w:val="0"/>
                <w:numId w:val="4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Less than 3 months</w:t>
            </w:r>
          </w:p>
          <w:p w14:paraId="02CB689D" w14:textId="77777777" w:rsidR="003C1C06" w:rsidRPr="0010614C" w:rsidRDefault="003C1C06" w:rsidP="00021EF3">
            <w:pPr>
              <w:numPr>
                <w:ilvl w:val="0"/>
                <w:numId w:val="4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More than 3 months and up to 6 months</w:t>
            </w:r>
          </w:p>
          <w:p w14:paraId="50790954" w14:textId="77777777" w:rsidR="003C1C06" w:rsidRPr="0010614C" w:rsidRDefault="003C1C06" w:rsidP="00021EF3">
            <w:pPr>
              <w:numPr>
                <w:ilvl w:val="0"/>
                <w:numId w:val="4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More than 6 months and up to 1 year</w:t>
            </w:r>
          </w:p>
          <w:p w14:paraId="4E67C17F" w14:textId="77777777" w:rsidR="003C1C06" w:rsidRPr="0010614C" w:rsidRDefault="003C1C06" w:rsidP="00021EF3">
            <w:pPr>
              <w:numPr>
                <w:ilvl w:val="0"/>
                <w:numId w:val="4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More than 1 year and up to 1.5 years</w:t>
            </w:r>
          </w:p>
          <w:p w14:paraId="7D76F7C7" w14:textId="77777777" w:rsidR="003C1C06" w:rsidRPr="0010614C" w:rsidRDefault="003C1C06" w:rsidP="00021EF3">
            <w:pPr>
              <w:numPr>
                <w:ilvl w:val="0"/>
                <w:numId w:val="4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More than 1.5 years and up to 2 years</w:t>
            </w:r>
          </w:p>
          <w:p w14:paraId="580C9AE8" w14:textId="77777777" w:rsidR="003C1C06" w:rsidRPr="0010614C" w:rsidRDefault="003C1C06" w:rsidP="00021EF3">
            <w:pPr>
              <w:numPr>
                <w:ilvl w:val="0"/>
                <w:numId w:val="4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More than 2 years</w:t>
            </w:r>
          </w:p>
          <w:p w14:paraId="769F9BCE" w14:textId="77777777" w:rsidR="003C1C06" w:rsidRPr="0010614C" w:rsidRDefault="003C1C06" w:rsidP="00021EF3">
            <w:pPr>
              <w:numPr>
                <w:ilvl w:val="0"/>
                <w:numId w:val="4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sure/don’t know</w:t>
            </w:r>
          </w:p>
        </w:tc>
      </w:tr>
      <w:tr w:rsidR="00F16A6E" w:rsidRPr="0010614C" w14:paraId="6296882B" w14:textId="77777777" w:rsidTr="00CA3CC8">
        <w:trPr>
          <w:trHeight w:val="475"/>
        </w:trPr>
        <w:tc>
          <w:tcPr>
            <w:tcW w:w="457" w:type="pct"/>
          </w:tcPr>
          <w:p w14:paraId="0FF6E395"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16</w:t>
            </w:r>
          </w:p>
        </w:tc>
        <w:tc>
          <w:tcPr>
            <w:tcW w:w="1912" w:type="pct"/>
          </w:tcPr>
          <w:p w14:paraId="0D85825B"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Overall, how satisfied were you with your experience in applying for and receiving the grant payment(s)?</w:t>
            </w:r>
          </w:p>
        </w:tc>
        <w:tc>
          <w:tcPr>
            <w:tcW w:w="576" w:type="pct"/>
          </w:tcPr>
          <w:p w14:paraId="55E68B83"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Drop down</w:t>
            </w:r>
          </w:p>
        </w:tc>
        <w:tc>
          <w:tcPr>
            <w:tcW w:w="2055" w:type="pct"/>
          </w:tcPr>
          <w:p w14:paraId="0883121C" w14:textId="77777777" w:rsidR="003C1C06" w:rsidRPr="0010614C" w:rsidRDefault="003C1C06" w:rsidP="00021EF3">
            <w:pPr>
              <w:numPr>
                <w:ilvl w:val="0"/>
                <w:numId w:val="3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Very satisfied</w:t>
            </w:r>
          </w:p>
          <w:p w14:paraId="275A76C5" w14:textId="77777777" w:rsidR="003C1C06" w:rsidRPr="0010614C" w:rsidRDefault="003C1C06" w:rsidP="00021EF3">
            <w:pPr>
              <w:numPr>
                <w:ilvl w:val="0"/>
                <w:numId w:val="3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Satisfied</w:t>
            </w:r>
          </w:p>
          <w:p w14:paraId="548B18B1" w14:textId="77777777" w:rsidR="003C1C06" w:rsidRPr="0010614C" w:rsidRDefault="003C1C06" w:rsidP="00021EF3">
            <w:pPr>
              <w:numPr>
                <w:ilvl w:val="0"/>
                <w:numId w:val="3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lastRenderedPageBreak/>
              <w:t>Neither satisfied nor dissatisfied</w:t>
            </w:r>
          </w:p>
          <w:p w14:paraId="773F0FD2" w14:textId="77777777" w:rsidR="003C1C06" w:rsidRPr="0010614C" w:rsidRDefault="003C1C06" w:rsidP="00021EF3">
            <w:pPr>
              <w:numPr>
                <w:ilvl w:val="0"/>
                <w:numId w:val="3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Dissatisfied</w:t>
            </w:r>
          </w:p>
          <w:p w14:paraId="494EDD1B" w14:textId="77777777" w:rsidR="003C1C06" w:rsidRPr="0010614C" w:rsidRDefault="003C1C06" w:rsidP="00021EF3">
            <w:pPr>
              <w:numPr>
                <w:ilvl w:val="0"/>
                <w:numId w:val="3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 xml:space="preserve">Very dissatisfied </w:t>
            </w:r>
          </w:p>
          <w:p w14:paraId="71852B59" w14:textId="77777777" w:rsidR="003C1C06" w:rsidRPr="0010614C" w:rsidRDefault="003C1C06" w:rsidP="00021EF3">
            <w:pPr>
              <w:numPr>
                <w:ilvl w:val="0"/>
                <w:numId w:val="39"/>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sure/don’t know</w:t>
            </w:r>
          </w:p>
        </w:tc>
      </w:tr>
      <w:tr w:rsidR="00F16A6E" w:rsidRPr="0010614C" w14:paraId="21437EE3" w14:textId="77777777" w:rsidTr="00CA3CC8">
        <w:trPr>
          <w:trHeight w:val="475"/>
        </w:trPr>
        <w:tc>
          <w:tcPr>
            <w:tcW w:w="457" w:type="pct"/>
          </w:tcPr>
          <w:p w14:paraId="43F2CBA9"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lastRenderedPageBreak/>
              <w:t>17</w:t>
            </w:r>
          </w:p>
        </w:tc>
        <w:tc>
          <w:tcPr>
            <w:tcW w:w="1912" w:type="pct"/>
          </w:tcPr>
          <w:p w14:paraId="547BFDC4" w14:textId="77777777" w:rsidR="003C1C06" w:rsidRPr="0010614C" w:rsidRDefault="003C1C06" w:rsidP="00021EF3">
            <w:pPr>
              <w:spacing w:after="0"/>
              <w:rPr>
                <w:rFonts w:eastAsia="Times New Roman" w:cs="Arial"/>
                <w:lang w:eastAsia="en-AU"/>
              </w:rPr>
            </w:pPr>
            <w:r w:rsidRPr="0010614C">
              <w:rPr>
                <w:rFonts w:eastAsia="Times New Roman" w:cs="Arial"/>
                <w:color w:val="000000" w:themeColor="text1"/>
                <w:kern w:val="24"/>
                <w:lang w:eastAsia="en-AU"/>
              </w:rPr>
              <w:t xml:space="preserve">Providing the business’ ABN would help us to identify details relevant for the evaluation, such as the date the business received </w:t>
            </w:r>
            <w:proofErr w:type="gramStart"/>
            <w:r w:rsidRPr="0010614C">
              <w:rPr>
                <w:rFonts w:eastAsia="Times New Roman" w:cs="Arial"/>
                <w:color w:val="000000" w:themeColor="text1"/>
                <w:kern w:val="24"/>
                <w:lang w:eastAsia="en-AU"/>
              </w:rPr>
              <w:t>grants</w:t>
            </w:r>
            <w:proofErr w:type="gramEnd"/>
            <w:r w:rsidRPr="0010614C">
              <w:rPr>
                <w:rFonts w:eastAsia="Times New Roman" w:cs="Arial"/>
                <w:color w:val="000000" w:themeColor="text1"/>
                <w:kern w:val="24"/>
                <w:lang w:eastAsia="en-AU"/>
              </w:rPr>
              <w:t xml:space="preserve"> and the value of grants received.</w:t>
            </w:r>
          </w:p>
          <w:p w14:paraId="33C32D35" w14:textId="77777777" w:rsidR="003C1C06" w:rsidRPr="0010614C" w:rsidRDefault="003C1C06" w:rsidP="00021EF3">
            <w:pPr>
              <w:spacing w:after="0"/>
              <w:rPr>
                <w:rFonts w:eastAsia="Times New Roman" w:cs="Arial"/>
                <w:color w:val="000000" w:themeColor="text1"/>
                <w:kern w:val="24"/>
                <w:lang w:eastAsia="en-AU"/>
              </w:rPr>
            </w:pPr>
          </w:p>
          <w:p w14:paraId="61AA1E66" w14:textId="28E8C9A0"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i/>
                <w:color w:val="000000" w:themeColor="text1"/>
                <w:kern w:val="24"/>
                <w:lang w:eastAsia="en-AU"/>
              </w:rPr>
              <w:t>This would only be used for the purposes of this evaluation to identify details</w:t>
            </w:r>
            <w:r w:rsidR="002A139E">
              <w:rPr>
                <w:rFonts w:eastAsia="Times New Roman" w:cs="Arial"/>
                <w:i/>
                <w:color w:val="000000" w:themeColor="text1"/>
                <w:kern w:val="24"/>
                <w:lang w:eastAsia="en-AU"/>
              </w:rPr>
              <w:t>,</w:t>
            </w:r>
            <w:r w:rsidRPr="0010614C">
              <w:rPr>
                <w:rFonts w:eastAsia="Times New Roman" w:cs="Arial"/>
                <w:i/>
                <w:color w:val="000000" w:themeColor="text1"/>
                <w:kern w:val="24"/>
                <w:lang w:eastAsia="en-AU"/>
              </w:rPr>
              <w:t xml:space="preserve"> such as the date the business received the grant(s). It will not be provided to the Victorian Government or any other party.</w:t>
            </w:r>
          </w:p>
          <w:p w14:paraId="565D0838" w14:textId="77777777" w:rsidR="003C1C06" w:rsidRPr="0010614C" w:rsidRDefault="003C1C06" w:rsidP="00021EF3">
            <w:pPr>
              <w:spacing w:after="0"/>
              <w:rPr>
                <w:rFonts w:eastAsia="Times New Roman" w:cs="Arial"/>
                <w:color w:val="000000" w:themeColor="text1"/>
                <w:kern w:val="24"/>
                <w:lang w:eastAsia="en-AU"/>
              </w:rPr>
            </w:pPr>
          </w:p>
          <w:p w14:paraId="0FD2E0A9" w14:textId="774B427B" w:rsidR="003C1C06" w:rsidRPr="005D6A08" w:rsidRDefault="003C1C06" w:rsidP="00021EF3">
            <w:pPr>
              <w:spacing w:after="0"/>
              <w:rPr>
                <w:rFonts w:eastAsia="Times New Roman" w:cs="Arial"/>
                <w:lang w:eastAsia="en-AU"/>
              </w:rPr>
            </w:pPr>
            <w:r w:rsidRPr="0010614C">
              <w:rPr>
                <w:rFonts w:eastAsia="Times New Roman" w:cs="Arial"/>
                <w:color w:val="000000" w:themeColor="text1"/>
                <w:kern w:val="24"/>
                <w:lang w:eastAsia="en-AU"/>
              </w:rPr>
              <w:t xml:space="preserve">Would you be willing to provide </w:t>
            </w:r>
            <w:r w:rsidRPr="00717F04">
              <w:rPr>
                <w:rFonts w:eastAsia="Times New Roman" w:cs="Arial"/>
                <w:color w:val="000000" w:themeColor="text1"/>
                <w:kern w:val="24"/>
                <w:lang w:eastAsia="en-AU"/>
              </w:rPr>
              <w:t>the business’</w:t>
            </w:r>
            <w:r w:rsidRPr="0010614C">
              <w:rPr>
                <w:rFonts w:eastAsia="Times New Roman" w:cs="Arial"/>
                <w:color w:val="000000" w:themeColor="text1"/>
                <w:kern w:val="24"/>
                <w:lang w:eastAsia="en-AU"/>
              </w:rPr>
              <w:t xml:space="preserve"> ABN?</w:t>
            </w:r>
          </w:p>
        </w:tc>
        <w:tc>
          <w:tcPr>
            <w:tcW w:w="576" w:type="pct"/>
          </w:tcPr>
          <w:p w14:paraId="28017E40"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Drop down</w:t>
            </w:r>
          </w:p>
        </w:tc>
        <w:tc>
          <w:tcPr>
            <w:tcW w:w="2055" w:type="pct"/>
          </w:tcPr>
          <w:p w14:paraId="5C552255" w14:textId="77777777" w:rsidR="003C1C06" w:rsidRPr="0010614C" w:rsidRDefault="003C1C06" w:rsidP="00021EF3">
            <w:pPr>
              <w:numPr>
                <w:ilvl w:val="0"/>
                <w:numId w:val="40"/>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Yes (Please enter your ABN): ____ FREE NUMERIC</w:t>
            </w:r>
          </w:p>
          <w:p w14:paraId="491302DA" w14:textId="77777777" w:rsidR="003C1C06" w:rsidRPr="0010614C" w:rsidRDefault="003C1C06" w:rsidP="00021EF3">
            <w:pPr>
              <w:numPr>
                <w:ilvl w:val="0"/>
                <w:numId w:val="40"/>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w:t>
            </w:r>
          </w:p>
        </w:tc>
      </w:tr>
      <w:tr w:rsidR="00F16A6E" w:rsidRPr="0010614C" w14:paraId="263EE620" w14:textId="77777777" w:rsidTr="00CA3CC8">
        <w:trPr>
          <w:trHeight w:val="475"/>
        </w:trPr>
        <w:tc>
          <w:tcPr>
            <w:tcW w:w="457" w:type="pct"/>
          </w:tcPr>
          <w:p w14:paraId="35678057" w14:textId="258CC67C"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N</w:t>
            </w:r>
            <w:r w:rsidR="0011004E">
              <w:rPr>
                <w:rFonts w:eastAsia="Times New Roman" w:cs="Arial"/>
                <w:color w:val="000000" w:themeColor="text1"/>
                <w:kern w:val="24"/>
                <w:lang w:eastAsia="en-AU"/>
              </w:rPr>
              <w:t>/</w:t>
            </w:r>
            <w:r w:rsidRPr="0010614C">
              <w:rPr>
                <w:rFonts w:eastAsia="Times New Roman" w:cs="Arial"/>
                <w:color w:val="000000" w:themeColor="text1"/>
                <w:kern w:val="24"/>
                <w:lang w:eastAsia="en-AU"/>
              </w:rPr>
              <w:t>A</w:t>
            </w:r>
          </w:p>
        </w:tc>
        <w:tc>
          <w:tcPr>
            <w:tcW w:w="1912" w:type="pct"/>
          </w:tcPr>
          <w:p w14:paraId="5EB35415"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i/>
                <w:color w:val="000000" w:themeColor="text1"/>
                <w:kern w:val="24"/>
                <w:lang w:eastAsia="en-AU"/>
              </w:rPr>
              <w:t xml:space="preserve">The following questions are seeking some contextual information about the business. Your answers will help us to evaluate the effectiveness of the grants for different types of businesses. </w:t>
            </w:r>
          </w:p>
        </w:tc>
        <w:tc>
          <w:tcPr>
            <w:tcW w:w="576" w:type="pct"/>
          </w:tcPr>
          <w:p w14:paraId="20AD989A"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Text display</w:t>
            </w:r>
          </w:p>
        </w:tc>
        <w:tc>
          <w:tcPr>
            <w:tcW w:w="2055" w:type="pct"/>
          </w:tcPr>
          <w:p w14:paraId="3EC3FFCC" w14:textId="546E8302" w:rsidR="003C1C06" w:rsidRPr="0010614C" w:rsidRDefault="003C1C06" w:rsidP="00021EF3">
            <w:pPr>
              <w:numPr>
                <w:ilvl w:val="0"/>
                <w:numId w:val="54"/>
              </w:numPr>
              <w:spacing w:after="0"/>
              <w:contextualSpacing/>
              <w:rPr>
                <w:rFonts w:eastAsia="Times New Roman" w:cs="Arial"/>
                <w:color w:val="000000" w:themeColor="text1"/>
                <w:kern w:val="24"/>
                <w:lang w:eastAsia="en-AU"/>
              </w:rPr>
            </w:pPr>
            <w:r w:rsidRPr="0010614C">
              <w:rPr>
                <w:rFonts w:eastAsiaTheme="minorEastAsia" w:cs="Arial"/>
                <w:color w:val="000000" w:themeColor="text1"/>
                <w:kern w:val="24"/>
                <w:lang w:eastAsia="en-AU"/>
              </w:rPr>
              <w:t>N</w:t>
            </w:r>
            <w:r w:rsidR="0011004E">
              <w:rPr>
                <w:rFonts w:eastAsiaTheme="minorEastAsia" w:cs="Arial"/>
                <w:color w:val="000000" w:themeColor="text1"/>
                <w:kern w:val="24"/>
                <w:lang w:eastAsia="en-AU"/>
              </w:rPr>
              <w:t>/</w:t>
            </w:r>
            <w:r w:rsidRPr="0010614C">
              <w:rPr>
                <w:rFonts w:eastAsiaTheme="minorEastAsia" w:cs="Arial"/>
                <w:color w:val="000000" w:themeColor="text1"/>
                <w:kern w:val="24"/>
                <w:lang w:eastAsia="en-AU"/>
              </w:rPr>
              <w:t>A</w:t>
            </w:r>
          </w:p>
        </w:tc>
      </w:tr>
      <w:tr w:rsidR="00F16A6E" w:rsidRPr="0010614C" w14:paraId="02960029" w14:textId="77777777" w:rsidTr="00CA3CC8">
        <w:trPr>
          <w:trHeight w:val="475"/>
        </w:trPr>
        <w:tc>
          <w:tcPr>
            <w:tcW w:w="457" w:type="pct"/>
          </w:tcPr>
          <w:p w14:paraId="560F29B9"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18</w:t>
            </w:r>
          </w:p>
        </w:tc>
        <w:tc>
          <w:tcPr>
            <w:tcW w:w="1912" w:type="pct"/>
          </w:tcPr>
          <w:p w14:paraId="1EC08D1A"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What was the total value of the grants the business received under BCAP/LHVF*?</w:t>
            </w:r>
          </w:p>
          <w:p w14:paraId="5BF1F1B0" w14:textId="77777777" w:rsidR="003C1C06" w:rsidRPr="0010614C" w:rsidRDefault="003C1C06" w:rsidP="00021EF3">
            <w:pPr>
              <w:spacing w:after="0"/>
              <w:rPr>
                <w:rFonts w:eastAsia="Times New Roman" w:cs="Arial"/>
                <w:color w:val="000000" w:themeColor="text1"/>
                <w:kern w:val="24"/>
                <w:lang w:eastAsia="en-AU"/>
              </w:rPr>
            </w:pPr>
          </w:p>
          <w:p w14:paraId="6BD1E592" w14:textId="77777777" w:rsidR="003C1C06" w:rsidRPr="0010614C" w:rsidRDefault="003C1C06" w:rsidP="00021EF3">
            <w:pPr>
              <w:spacing w:after="0"/>
              <w:rPr>
                <w:rFonts w:eastAsia="Times New Roman" w:cs="Arial"/>
                <w:i/>
                <w:color w:val="000000" w:themeColor="text1"/>
                <w:kern w:val="24"/>
                <w:lang w:eastAsia="en-AU"/>
              </w:rPr>
            </w:pPr>
            <w:r w:rsidRPr="0010614C">
              <w:rPr>
                <w:rFonts w:eastAsia="Times New Roman" w:cs="Arial"/>
                <w:color w:val="000000" w:themeColor="text1"/>
                <w:kern w:val="24"/>
                <w:lang w:eastAsia="en-AU"/>
              </w:rPr>
              <w:t xml:space="preserve">If you can’t remember exactly, please enter your best estimate. </w:t>
            </w:r>
          </w:p>
        </w:tc>
        <w:tc>
          <w:tcPr>
            <w:tcW w:w="576" w:type="pct"/>
          </w:tcPr>
          <w:p w14:paraId="6E60FCCF"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Drop down</w:t>
            </w:r>
          </w:p>
        </w:tc>
        <w:tc>
          <w:tcPr>
            <w:tcW w:w="2055" w:type="pct"/>
          </w:tcPr>
          <w:p w14:paraId="19CF8B43" w14:textId="27F3867B" w:rsidR="003C1C06" w:rsidRPr="0010614C" w:rsidRDefault="0026728D" w:rsidP="00021EF3">
            <w:pPr>
              <w:numPr>
                <w:ilvl w:val="0"/>
                <w:numId w:val="41"/>
              </w:numPr>
              <w:spacing w:after="0"/>
              <w:contextualSpacing/>
              <w:rPr>
                <w:rFonts w:eastAsia="Times New Roman" w:cs="Arial"/>
                <w:color w:val="000000" w:themeColor="text1"/>
                <w:kern w:val="24"/>
                <w:lang w:eastAsia="en-AU"/>
              </w:rPr>
            </w:pPr>
            <w:r>
              <w:rPr>
                <w:rFonts w:eastAsia="Times New Roman" w:cs="Arial"/>
                <w:color w:val="000000" w:themeColor="text1"/>
                <w:kern w:val="24"/>
                <w:lang w:eastAsia="en-AU"/>
              </w:rPr>
              <w:t>BCAP</w:t>
            </w:r>
          </w:p>
          <w:p w14:paraId="4A1E38C5" w14:textId="77777777" w:rsidR="003C1C06" w:rsidRPr="0010614C" w:rsidRDefault="003C1C06" w:rsidP="00021EF3">
            <w:pPr>
              <w:numPr>
                <w:ilvl w:val="0"/>
                <w:numId w:val="42"/>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Less than $20,000</w:t>
            </w:r>
          </w:p>
          <w:p w14:paraId="0474B696" w14:textId="77777777" w:rsidR="003C1C06" w:rsidRPr="0010614C" w:rsidRDefault="003C1C06" w:rsidP="00021EF3">
            <w:pPr>
              <w:numPr>
                <w:ilvl w:val="0"/>
                <w:numId w:val="42"/>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$20,000-$29,999</w:t>
            </w:r>
          </w:p>
          <w:p w14:paraId="0C8D43E1" w14:textId="77777777" w:rsidR="003C1C06" w:rsidRPr="0010614C" w:rsidRDefault="003C1C06" w:rsidP="00021EF3">
            <w:pPr>
              <w:numPr>
                <w:ilvl w:val="0"/>
                <w:numId w:val="42"/>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$30,000-$39,999</w:t>
            </w:r>
          </w:p>
          <w:p w14:paraId="2271C8BC" w14:textId="77777777" w:rsidR="003C1C06" w:rsidRPr="0010614C" w:rsidRDefault="003C1C06" w:rsidP="00021EF3">
            <w:pPr>
              <w:numPr>
                <w:ilvl w:val="0"/>
                <w:numId w:val="42"/>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$40,000-$49,999</w:t>
            </w:r>
          </w:p>
          <w:p w14:paraId="022E9E68" w14:textId="77777777" w:rsidR="003C1C06" w:rsidRPr="0010614C" w:rsidRDefault="003C1C06" w:rsidP="00021EF3">
            <w:pPr>
              <w:numPr>
                <w:ilvl w:val="0"/>
                <w:numId w:val="42"/>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$50,000 or more</w:t>
            </w:r>
          </w:p>
          <w:p w14:paraId="517FA18B" w14:textId="77777777" w:rsidR="003C1C06" w:rsidRPr="0010614C" w:rsidRDefault="003C1C06" w:rsidP="00021EF3">
            <w:pPr>
              <w:numPr>
                <w:ilvl w:val="0"/>
                <w:numId w:val="42"/>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sure/don’t know</w:t>
            </w:r>
          </w:p>
          <w:p w14:paraId="28654052" w14:textId="3AA3F79F" w:rsidR="003C1C06" w:rsidRPr="0010614C" w:rsidRDefault="0026728D" w:rsidP="00021EF3">
            <w:pPr>
              <w:numPr>
                <w:ilvl w:val="0"/>
                <w:numId w:val="41"/>
              </w:numPr>
              <w:spacing w:after="0"/>
              <w:contextualSpacing/>
              <w:rPr>
                <w:rFonts w:eastAsia="Times New Roman" w:cs="Arial"/>
                <w:color w:val="000000" w:themeColor="text1"/>
                <w:kern w:val="24"/>
                <w:lang w:eastAsia="en-AU"/>
              </w:rPr>
            </w:pPr>
            <w:r>
              <w:rPr>
                <w:rFonts w:eastAsia="Times New Roman" w:cs="Arial"/>
                <w:color w:val="000000" w:themeColor="text1"/>
                <w:kern w:val="24"/>
                <w:lang w:eastAsia="en-AU"/>
              </w:rPr>
              <w:t>LHVF</w:t>
            </w:r>
          </w:p>
          <w:p w14:paraId="4F6146B5" w14:textId="77777777" w:rsidR="003C1C06" w:rsidRPr="0010614C" w:rsidRDefault="003C1C06" w:rsidP="00021EF3">
            <w:pPr>
              <w:numPr>
                <w:ilvl w:val="0"/>
                <w:numId w:val="43"/>
              </w:numPr>
              <w:spacing w:after="0"/>
              <w:contextualSpacing/>
              <w:rPr>
                <w:rFonts w:eastAsia="Times New Roman" w:cs="Arial"/>
                <w:lang w:eastAsia="en-AU"/>
              </w:rPr>
            </w:pPr>
            <w:r w:rsidRPr="0010614C">
              <w:rPr>
                <w:rFonts w:eastAsia="Times New Roman" w:cs="Arial"/>
                <w:color w:val="000000" w:themeColor="text1"/>
                <w:kern w:val="24"/>
                <w:lang w:eastAsia="en-AU"/>
              </w:rPr>
              <w:t>Less than $50,000</w:t>
            </w:r>
          </w:p>
          <w:p w14:paraId="61E25B14" w14:textId="77777777" w:rsidR="003C1C06" w:rsidRPr="0010614C" w:rsidRDefault="003C1C06" w:rsidP="00021EF3">
            <w:pPr>
              <w:numPr>
                <w:ilvl w:val="0"/>
                <w:numId w:val="43"/>
              </w:numPr>
              <w:spacing w:after="0"/>
              <w:contextualSpacing/>
              <w:rPr>
                <w:rFonts w:eastAsia="Times New Roman" w:cs="Arial"/>
                <w:lang w:eastAsia="en-AU"/>
              </w:rPr>
            </w:pPr>
            <w:r w:rsidRPr="0010614C">
              <w:rPr>
                <w:rFonts w:eastAsia="Times New Roman" w:cs="Arial"/>
                <w:color w:val="000000" w:themeColor="text1"/>
                <w:kern w:val="24"/>
                <w:lang w:eastAsia="en-AU"/>
              </w:rPr>
              <w:t>$50,000-$74,999</w:t>
            </w:r>
          </w:p>
          <w:p w14:paraId="43CCF97D" w14:textId="77777777" w:rsidR="003C1C06" w:rsidRPr="0010614C" w:rsidRDefault="003C1C06" w:rsidP="00021EF3">
            <w:pPr>
              <w:numPr>
                <w:ilvl w:val="0"/>
                <w:numId w:val="43"/>
              </w:numPr>
              <w:spacing w:after="0"/>
              <w:contextualSpacing/>
              <w:rPr>
                <w:rFonts w:eastAsia="Times New Roman" w:cs="Arial"/>
                <w:lang w:eastAsia="en-AU"/>
              </w:rPr>
            </w:pPr>
            <w:r w:rsidRPr="0010614C">
              <w:rPr>
                <w:rFonts w:eastAsia="Times New Roman" w:cs="Arial"/>
                <w:color w:val="000000" w:themeColor="text1"/>
                <w:kern w:val="24"/>
                <w:lang w:eastAsia="en-AU"/>
              </w:rPr>
              <w:t>$75,000-$99,999</w:t>
            </w:r>
          </w:p>
          <w:p w14:paraId="298C077B" w14:textId="77777777" w:rsidR="003C1C06" w:rsidRPr="0010614C" w:rsidRDefault="003C1C06" w:rsidP="00021EF3">
            <w:pPr>
              <w:numPr>
                <w:ilvl w:val="0"/>
                <w:numId w:val="43"/>
              </w:numPr>
              <w:spacing w:after="0"/>
              <w:contextualSpacing/>
              <w:rPr>
                <w:rFonts w:eastAsia="Times New Roman" w:cs="Arial"/>
                <w:lang w:eastAsia="en-AU"/>
              </w:rPr>
            </w:pPr>
            <w:r w:rsidRPr="0010614C">
              <w:rPr>
                <w:rFonts w:eastAsia="Times New Roman" w:cs="Arial"/>
                <w:color w:val="000000" w:themeColor="text1"/>
                <w:kern w:val="24"/>
                <w:lang w:eastAsia="en-AU"/>
              </w:rPr>
              <w:t>$100,000-$124,999</w:t>
            </w:r>
          </w:p>
          <w:p w14:paraId="7C07AFB4" w14:textId="77777777" w:rsidR="003C1C06" w:rsidRPr="0010614C" w:rsidRDefault="003C1C06" w:rsidP="00021EF3">
            <w:pPr>
              <w:numPr>
                <w:ilvl w:val="0"/>
                <w:numId w:val="43"/>
              </w:numPr>
              <w:spacing w:after="0"/>
              <w:contextualSpacing/>
              <w:rPr>
                <w:rFonts w:eastAsia="Times New Roman" w:cs="Arial"/>
                <w:lang w:eastAsia="en-AU"/>
              </w:rPr>
            </w:pPr>
            <w:r w:rsidRPr="0010614C">
              <w:rPr>
                <w:rFonts w:eastAsia="Times New Roman" w:cs="Arial"/>
                <w:color w:val="000000" w:themeColor="text1"/>
                <w:kern w:val="24"/>
                <w:lang w:eastAsia="en-AU"/>
              </w:rPr>
              <w:t>$125,000-$149,000</w:t>
            </w:r>
          </w:p>
          <w:p w14:paraId="4DEC8B2B" w14:textId="77777777" w:rsidR="003C1C06" w:rsidRPr="0010614C" w:rsidRDefault="003C1C06" w:rsidP="00021EF3">
            <w:pPr>
              <w:numPr>
                <w:ilvl w:val="0"/>
                <w:numId w:val="43"/>
              </w:numPr>
              <w:spacing w:after="0"/>
              <w:contextualSpacing/>
              <w:rPr>
                <w:rFonts w:eastAsia="Times New Roman" w:cs="Arial"/>
                <w:lang w:eastAsia="en-AU"/>
              </w:rPr>
            </w:pPr>
            <w:r w:rsidRPr="0010614C">
              <w:rPr>
                <w:rFonts w:eastAsia="Times New Roman" w:cs="Arial"/>
                <w:color w:val="000000" w:themeColor="text1"/>
                <w:kern w:val="24"/>
                <w:lang w:eastAsia="en-AU"/>
              </w:rPr>
              <w:t>$150,000-$199,000</w:t>
            </w:r>
          </w:p>
          <w:p w14:paraId="06A3D75A" w14:textId="77777777" w:rsidR="003C1C06" w:rsidRPr="0010614C" w:rsidRDefault="003C1C06" w:rsidP="00021EF3">
            <w:pPr>
              <w:numPr>
                <w:ilvl w:val="0"/>
                <w:numId w:val="43"/>
              </w:numPr>
              <w:spacing w:after="0"/>
              <w:contextualSpacing/>
              <w:rPr>
                <w:rFonts w:eastAsia="Times New Roman" w:cs="Arial"/>
                <w:lang w:eastAsia="en-AU"/>
              </w:rPr>
            </w:pPr>
            <w:r w:rsidRPr="0010614C">
              <w:rPr>
                <w:rFonts w:eastAsia="Times New Roman" w:cs="Arial"/>
                <w:color w:val="000000" w:themeColor="text1"/>
                <w:kern w:val="24"/>
                <w:lang w:eastAsia="en-AU"/>
              </w:rPr>
              <w:t>$200,000 or more</w:t>
            </w:r>
          </w:p>
          <w:p w14:paraId="56894C4B" w14:textId="77777777" w:rsidR="003C1C06" w:rsidRPr="0010614C" w:rsidRDefault="003C1C06" w:rsidP="00021EF3">
            <w:pPr>
              <w:numPr>
                <w:ilvl w:val="0"/>
                <w:numId w:val="41"/>
              </w:numPr>
              <w:spacing w:after="0"/>
              <w:contextualSpacing/>
              <w:rPr>
                <w:rFonts w:eastAsiaTheme="minorEastAsia" w:cs="Arial"/>
                <w:color w:val="000000" w:themeColor="text1"/>
                <w:kern w:val="24"/>
                <w:lang w:eastAsia="en-AU"/>
              </w:rPr>
            </w:pPr>
            <w:r w:rsidRPr="0010614C">
              <w:rPr>
                <w:rFonts w:eastAsia="Times New Roman" w:cs="Arial"/>
                <w:color w:val="000000" w:themeColor="text1"/>
                <w:kern w:val="24"/>
                <w:lang w:eastAsia="en-AU"/>
              </w:rPr>
              <w:t>Not sure/don’t know</w:t>
            </w:r>
          </w:p>
        </w:tc>
      </w:tr>
      <w:tr w:rsidR="00F16A6E" w:rsidRPr="0010614C" w14:paraId="163F50B8" w14:textId="77777777" w:rsidTr="00CA3CC8">
        <w:trPr>
          <w:trHeight w:val="475"/>
        </w:trPr>
        <w:tc>
          <w:tcPr>
            <w:tcW w:w="457" w:type="pct"/>
          </w:tcPr>
          <w:p w14:paraId="4F90C856"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19</w:t>
            </w:r>
          </w:p>
        </w:tc>
        <w:tc>
          <w:tcPr>
            <w:tcW w:w="1912" w:type="pct"/>
          </w:tcPr>
          <w:p w14:paraId="0062703D"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What industry does the business primarily belong to?</w:t>
            </w:r>
          </w:p>
        </w:tc>
        <w:tc>
          <w:tcPr>
            <w:tcW w:w="576" w:type="pct"/>
          </w:tcPr>
          <w:p w14:paraId="5B788204"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kern w:val="24"/>
                <w:lang w:eastAsia="en-AU"/>
              </w:rPr>
              <w:t>Drop down</w:t>
            </w:r>
          </w:p>
        </w:tc>
        <w:tc>
          <w:tcPr>
            <w:tcW w:w="2055" w:type="pct"/>
          </w:tcPr>
          <w:p w14:paraId="3920B397"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Agriculture, Forestry and Fishing</w:t>
            </w:r>
          </w:p>
          <w:p w14:paraId="36966B71"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Mining</w:t>
            </w:r>
          </w:p>
          <w:p w14:paraId="43A4A1BF"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Manufacturing</w:t>
            </w:r>
          </w:p>
          <w:p w14:paraId="1DDDF21B"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Electricity, Gas, Water and Waste Services</w:t>
            </w:r>
          </w:p>
          <w:p w14:paraId="669DC7DA"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Construction</w:t>
            </w:r>
          </w:p>
          <w:p w14:paraId="4E08F26D"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Wholesale Trade</w:t>
            </w:r>
          </w:p>
          <w:p w14:paraId="48491F95"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Retail Trade</w:t>
            </w:r>
          </w:p>
          <w:p w14:paraId="384D64C1"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Accommodation and Food Services</w:t>
            </w:r>
          </w:p>
          <w:p w14:paraId="0C1F20D9"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Transport, Postal and Warehousing</w:t>
            </w:r>
          </w:p>
          <w:p w14:paraId="213BEB6B"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lastRenderedPageBreak/>
              <w:t>Information Media and Telecommunications</w:t>
            </w:r>
          </w:p>
          <w:p w14:paraId="12C31F65"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Financial and Insurance Services</w:t>
            </w:r>
          </w:p>
          <w:p w14:paraId="62983005"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Rental, Hiring and Real Estate Services</w:t>
            </w:r>
          </w:p>
          <w:p w14:paraId="037710DA"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Professional, Scientific and Technical Services</w:t>
            </w:r>
          </w:p>
          <w:p w14:paraId="09CE374B"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Administrative and Support Services</w:t>
            </w:r>
          </w:p>
          <w:p w14:paraId="472BDF49"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Public Administration and Safety</w:t>
            </w:r>
          </w:p>
          <w:p w14:paraId="7921BF58"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Education and Training</w:t>
            </w:r>
          </w:p>
          <w:p w14:paraId="1EB68C48"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Health Care and Social Assistance</w:t>
            </w:r>
          </w:p>
          <w:p w14:paraId="5C305CA1"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Arts and Recreation Services</w:t>
            </w:r>
          </w:p>
          <w:p w14:paraId="465E685A"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Other Services</w:t>
            </w:r>
          </w:p>
          <w:p w14:paraId="2ED612B2" w14:textId="77777777" w:rsidR="003C1C06" w:rsidRPr="0010614C" w:rsidRDefault="003C1C06" w:rsidP="00021EF3">
            <w:pPr>
              <w:numPr>
                <w:ilvl w:val="0"/>
                <w:numId w:val="44"/>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sure/don’t know</w:t>
            </w:r>
          </w:p>
        </w:tc>
      </w:tr>
      <w:tr w:rsidR="00F16A6E" w:rsidRPr="0010614C" w14:paraId="731D81C8" w14:textId="77777777" w:rsidTr="00CA3CC8">
        <w:trPr>
          <w:trHeight w:val="475"/>
        </w:trPr>
        <w:tc>
          <w:tcPr>
            <w:tcW w:w="457" w:type="pct"/>
          </w:tcPr>
          <w:p w14:paraId="16085C3E" w14:textId="77777777" w:rsidR="003C1C06" w:rsidRPr="0010614C" w:rsidRDefault="003C1C06" w:rsidP="00021EF3">
            <w:pPr>
              <w:spacing w:after="0"/>
              <w:rPr>
                <w:rFonts w:eastAsia="Times New Roman" w:cs="Arial"/>
                <w:color w:val="000000" w:themeColor="text1"/>
                <w:kern w:val="24"/>
                <w:lang w:eastAsia="en-AU"/>
              </w:rPr>
            </w:pPr>
            <w:r w:rsidRPr="0010614C">
              <w:rPr>
                <w:rFonts w:eastAsia="Times New Roman" w:cs="Arial"/>
                <w:color w:val="000000" w:themeColor="text1"/>
                <w:lang w:eastAsia="en-AU"/>
              </w:rPr>
              <w:lastRenderedPageBreak/>
              <w:t>20</w:t>
            </w:r>
          </w:p>
        </w:tc>
        <w:tc>
          <w:tcPr>
            <w:tcW w:w="1912" w:type="pct"/>
          </w:tcPr>
          <w:p w14:paraId="59C76F3E" w14:textId="77777777" w:rsidR="003C1C06" w:rsidRPr="0010614C" w:rsidRDefault="003C1C06" w:rsidP="00021EF3">
            <w:pPr>
              <w:spacing w:after="0"/>
              <w:rPr>
                <w:rFonts w:eastAsia="Times New Roman" w:cs="Arial"/>
                <w:color w:val="000000" w:themeColor="text1"/>
                <w:kern w:val="24"/>
                <w:lang w:eastAsia="en-AU"/>
              </w:rPr>
            </w:pPr>
            <w:r w:rsidRPr="0010614C">
              <w:rPr>
                <w:rFonts w:cs="Arial"/>
              </w:rPr>
              <w:t>How would you describe the type of business? Please select the most relevant answer.</w:t>
            </w:r>
          </w:p>
        </w:tc>
        <w:tc>
          <w:tcPr>
            <w:tcW w:w="576" w:type="pct"/>
          </w:tcPr>
          <w:p w14:paraId="53038A9E" w14:textId="77777777" w:rsidR="003C1C06" w:rsidRPr="0010614C" w:rsidRDefault="003C1C06" w:rsidP="00021EF3">
            <w:pPr>
              <w:spacing w:after="0"/>
              <w:rPr>
                <w:rFonts w:eastAsia="Times New Roman" w:cs="Arial"/>
                <w:color w:val="000000" w:themeColor="text1"/>
                <w:kern w:val="24"/>
                <w:lang w:eastAsia="en-AU"/>
              </w:rPr>
            </w:pPr>
            <w:r w:rsidRPr="0010614C">
              <w:rPr>
                <w:rFonts w:cs="Arial"/>
              </w:rPr>
              <w:t>Drop down</w:t>
            </w:r>
          </w:p>
        </w:tc>
        <w:tc>
          <w:tcPr>
            <w:tcW w:w="2055" w:type="pct"/>
          </w:tcPr>
          <w:p w14:paraId="49E9BB38"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Motor vehicle retailing</w:t>
            </w:r>
          </w:p>
          <w:p w14:paraId="26C03BCC"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Fuel retailing</w:t>
            </w:r>
          </w:p>
          <w:p w14:paraId="37C2BC87"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Food retailing</w:t>
            </w:r>
          </w:p>
          <w:p w14:paraId="44C76275"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Supermarket and Grocery Stores</w:t>
            </w:r>
          </w:p>
          <w:p w14:paraId="3018ED0F"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Specialised Food Retailing</w:t>
            </w:r>
          </w:p>
          <w:p w14:paraId="474B2806"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Furniture, Floor Coverings, Houseware and Textile Goods Retailing</w:t>
            </w:r>
          </w:p>
          <w:p w14:paraId="294B4446"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Electrical and Electronic Goods Retailing</w:t>
            </w:r>
          </w:p>
          <w:p w14:paraId="4786FFF4"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Hardware, Building and Garden Supplies Retailing</w:t>
            </w:r>
          </w:p>
          <w:p w14:paraId="21161B45"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Recreational Goods Retailing</w:t>
            </w:r>
          </w:p>
          <w:p w14:paraId="6820E18F"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Clothing, Footwear and Personal Accessory Retailing</w:t>
            </w:r>
          </w:p>
          <w:p w14:paraId="507A0D54"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Department Stores</w:t>
            </w:r>
          </w:p>
          <w:p w14:paraId="755E3C4F"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Pharmaceutical and Other Store-Based Retailing</w:t>
            </w:r>
          </w:p>
          <w:p w14:paraId="3B3C9903"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Other store-based retailing: ____ FREE TEXT</w:t>
            </w:r>
          </w:p>
          <w:p w14:paraId="1EC6DABD"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Non-store retailing</w:t>
            </w:r>
          </w:p>
          <w:p w14:paraId="4DC2458C" w14:textId="77777777" w:rsidR="003C1C06" w:rsidRPr="0010614C" w:rsidRDefault="003C1C06" w:rsidP="00021EF3">
            <w:pPr>
              <w:numPr>
                <w:ilvl w:val="0"/>
                <w:numId w:val="45"/>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sure/don’t know</w:t>
            </w:r>
          </w:p>
        </w:tc>
      </w:tr>
      <w:tr w:rsidR="00F16A6E" w:rsidRPr="0010614C" w14:paraId="26C7E4CE" w14:textId="77777777" w:rsidTr="00CA3CC8">
        <w:trPr>
          <w:trHeight w:val="475"/>
        </w:trPr>
        <w:tc>
          <w:tcPr>
            <w:tcW w:w="457" w:type="pct"/>
          </w:tcPr>
          <w:p w14:paraId="4E08C094" w14:textId="77777777" w:rsidR="003C1C06" w:rsidRPr="0010614C" w:rsidRDefault="003C1C06" w:rsidP="00021EF3">
            <w:pPr>
              <w:spacing w:after="0"/>
              <w:rPr>
                <w:rFonts w:cs="Arial"/>
              </w:rPr>
            </w:pPr>
            <w:r w:rsidRPr="0010614C">
              <w:rPr>
                <w:rFonts w:cs="Arial"/>
              </w:rPr>
              <w:t>21</w:t>
            </w:r>
          </w:p>
        </w:tc>
        <w:tc>
          <w:tcPr>
            <w:tcW w:w="1912" w:type="pct"/>
          </w:tcPr>
          <w:p w14:paraId="40D0CF66" w14:textId="77777777" w:rsidR="003C1C06" w:rsidRPr="0010614C" w:rsidRDefault="003C1C06" w:rsidP="00021EF3">
            <w:pPr>
              <w:spacing w:after="0"/>
              <w:rPr>
                <w:rFonts w:cs="Arial"/>
              </w:rPr>
            </w:pPr>
            <w:r w:rsidRPr="0010614C">
              <w:rPr>
                <w:rFonts w:cs="Arial"/>
              </w:rPr>
              <w:t>How would you describe the type of business? Please select the most relevant answer.</w:t>
            </w:r>
          </w:p>
        </w:tc>
        <w:tc>
          <w:tcPr>
            <w:tcW w:w="576" w:type="pct"/>
          </w:tcPr>
          <w:p w14:paraId="25B14988" w14:textId="77777777" w:rsidR="003C1C06" w:rsidRPr="0010614C" w:rsidRDefault="003C1C06" w:rsidP="00021EF3">
            <w:pPr>
              <w:spacing w:after="0"/>
              <w:rPr>
                <w:rFonts w:cs="Arial"/>
              </w:rPr>
            </w:pPr>
            <w:r w:rsidRPr="0010614C">
              <w:rPr>
                <w:rFonts w:cs="Arial"/>
              </w:rPr>
              <w:t>Drop down</w:t>
            </w:r>
          </w:p>
        </w:tc>
        <w:tc>
          <w:tcPr>
            <w:tcW w:w="2055" w:type="pct"/>
          </w:tcPr>
          <w:p w14:paraId="1D5EB934" w14:textId="77777777" w:rsidR="003C1C06" w:rsidRPr="0010614C" w:rsidRDefault="003C1C06" w:rsidP="00021EF3">
            <w:pPr>
              <w:numPr>
                <w:ilvl w:val="0"/>
                <w:numId w:val="4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Accommodation</w:t>
            </w:r>
          </w:p>
          <w:p w14:paraId="55F3CEB7" w14:textId="77777777" w:rsidR="003C1C06" w:rsidRPr="0010614C" w:rsidRDefault="003C1C06" w:rsidP="00021EF3">
            <w:pPr>
              <w:numPr>
                <w:ilvl w:val="0"/>
                <w:numId w:val="4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Cafes, Restaurants and Takeaway Food Services</w:t>
            </w:r>
          </w:p>
          <w:p w14:paraId="054E1F9F" w14:textId="77777777" w:rsidR="003C1C06" w:rsidRPr="0010614C" w:rsidRDefault="003C1C06" w:rsidP="00021EF3">
            <w:pPr>
              <w:numPr>
                <w:ilvl w:val="0"/>
                <w:numId w:val="4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Pubs, Taverns and Bars</w:t>
            </w:r>
          </w:p>
          <w:p w14:paraId="211FC1C6" w14:textId="77777777" w:rsidR="003C1C06" w:rsidRPr="0010614C" w:rsidRDefault="003C1C06" w:rsidP="00021EF3">
            <w:pPr>
              <w:numPr>
                <w:ilvl w:val="0"/>
                <w:numId w:val="4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Clubs (Hospitality)</w:t>
            </w:r>
          </w:p>
          <w:p w14:paraId="5A598672" w14:textId="77777777" w:rsidR="003C1C06" w:rsidRPr="0010614C" w:rsidRDefault="003C1C06" w:rsidP="00021EF3">
            <w:pPr>
              <w:numPr>
                <w:ilvl w:val="0"/>
                <w:numId w:val="4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Other, please describe: ____ FREE TEXT</w:t>
            </w:r>
          </w:p>
          <w:p w14:paraId="3787A220" w14:textId="77777777" w:rsidR="003C1C06" w:rsidRPr="0010614C" w:rsidRDefault="003C1C06" w:rsidP="00021EF3">
            <w:pPr>
              <w:numPr>
                <w:ilvl w:val="0"/>
                <w:numId w:val="46"/>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sure/don’t know</w:t>
            </w:r>
          </w:p>
        </w:tc>
      </w:tr>
      <w:tr w:rsidR="00F16A6E" w:rsidRPr="0010614C" w14:paraId="1EC4FDDF" w14:textId="77777777" w:rsidTr="00CA3CC8">
        <w:trPr>
          <w:trHeight w:val="475"/>
        </w:trPr>
        <w:tc>
          <w:tcPr>
            <w:tcW w:w="457" w:type="pct"/>
          </w:tcPr>
          <w:p w14:paraId="5DA1730C" w14:textId="77777777" w:rsidR="003C1C06" w:rsidRPr="0010614C" w:rsidRDefault="003C1C06" w:rsidP="00021EF3">
            <w:pPr>
              <w:spacing w:after="0"/>
              <w:rPr>
                <w:rFonts w:cs="Arial"/>
              </w:rPr>
            </w:pPr>
            <w:r w:rsidRPr="0010614C">
              <w:rPr>
                <w:rFonts w:cs="Arial"/>
              </w:rPr>
              <w:t>22</w:t>
            </w:r>
          </w:p>
        </w:tc>
        <w:tc>
          <w:tcPr>
            <w:tcW w:w="1912" w:type="pct"/>
          </w:tcPr>
          <w:p w14:paraId="15C786C0" w14:textId="77777777" w:rsidR="003C1C06" w:rsidRPr="0010614C" w:rsidRDefault="003C1C06" w:rsidP="00021EF3">
            <w:pPr>
              <w:spacing w:after="0"/>
              <w:rPr>
                <w:rFonts w:cs="Arial"/>
              </w:rPr>
            </w:pPr>
            <w:r w:rsidRPr="0010614C">
              <w:rPr>
                <w:rFonts w:cs="Arial"/>
              </w:rPr>
              <w:t>What is the size of the business in terms of FTE employees?</w:t>
            </w:r>
          </w:p>
          <w:p w14:paraId="2289431A" w14:textId="77777777" w:rsidR="003C1C06" w:rsidRPr="0010614C" w:rsidRDefault="003C1C06" w:rsidP="00021EF3">
            <w:pPr>
              <w:spacing w:after="0"/>
              <w:rPr>
                <w:rFonts w:cs="Arial"/>
              </w:rPr>
            </w:pPr>
          </w:p>
          <w:p w14:paraId="06DFFDA3" w14:textId="77777777" w:rsidR="003C1C06" w:rsidRPr="0010614C" w:rsidRDefault="003C1C06" w:rsidP="00021EF3">
            <w:pPr>
              <w:spacing w:after="0"/>
              <w:rPr>
                <w:rFonts w:cs="Arial"/>
              </w:rPr>
            </w:pPr>
            <w:r w:rsidRPr="0010614C">
              <w:rPr>
                <w:rFonts w:cs="Arial"/>
              </w:rPr>
              <w:t>Please answer in relation to the most recent financial or calendar year.</w:t>
            </w:r>
          </w:p>
        </w:tc>
        <w:tc>
          <w:tcPr>
            <w:tcW w:w="576" w:type="pct"/>
          </w:tcPr>
          <w:p w14:paraId="5A120ABD" w14:textId="77777777" w:rsidR="003C1C06" w:rsidRPr="0010614C" w:rsidRDefault="003C1C06" w:rsidP="00021EF3">
            <w:pPr>
              <w:spacing w:after="0"/>
              <w:rPr>
                <w:rFonts w:cs="Arial"/>
              </w:rPr>
            </w:pPr>
            <w:r w:rsidRPr="0010614C">
              <w:rPr>
                <w:rFonts w:cs="Arial"/>
              </w:rPr>
              <w:t>Drop down</w:t>
            </w:r>
          </w:p>
        </w:tc>
        <w:tc>
          <w:tcPr>
            <w:tcW w:w="2055" w:type="pct"/>
          </w:tcPr>
          <w:p w14:paraId="0132DB2B" w14:textId="77777777" w:rsidR="003C1C06" w:rsidRPr="0010614C" w:rsidRDefault="003C1C06" w:rsidP="00021EF3">
            <w:pPr>
              <w:numPr>
                <w:ilvl w:val="0"/>
                <w:numId w:val="47"/>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Sole trader</w:t>
            </w:r>
          </w:p>
          <w:p w14:paraId="170EA052" w14:textId="77777777" w:rsidR="003C1C06" w:rsidRPr="0010614C" w:rsidRDefault="003C1C06" w:rsidP="00021EF3">
            <w:pPr>
              <w:numPr>
                <w:ilvl w:val="0"/>
                <w:numId w:val="47"/>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Small business (1-4 FTE employees)</w:t>
            </w:r>
          </w:p>
          <w:p w14:paraId="272916E6" w14:textId="77777777" w:rsidR="003C1C06" w:rsidRPr="0010614C" w:rsidRDefault="003C1C06" w:rsidP="00021EF3">
            <w:pPr>
              <w:numPr>
                <w:ilvl w:val="0"/>
                <w:numId w:val="47"/>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Small/medium business (5-19 FTE employees)</w:t>
            </w:r>
          </w:p>
          <w:p w14:paraId="6E6041DE" w14:textId="77777777" w:rsidR="003C1C06" w:rsidRPr="0010614C" w:rsidRDefault="003C1C06" w:rsidP="00021EF3">
            <w:pPr>
              <w:numPr>
                <w:ilvl w:val="0"/>
                <w:numId w:val="47"/>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Medium business (20-199 FTE employees)</w:t>
            </w:r>
          </w:p>
          <w:p w14:paraId="7DCBCEB4" w14:textId="77777777" w:rsidR="003C1C06" w:rsidRPr="0010614C" w:rsidRDefault="003C1C06" w:rsidP="00021EF3">
            <w:pPr>
              <w:numPr>
                <w:ilvl w:val="0"/>
                <w:numId w:val="47"/>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Large business (200+ FTE employees)</w:t>
            </w:r>
          </w:p>
          <w:p w14:paraId="0EC5CAF3" w14:textId="77777777" w:rsidR="003C1C06" w:rsidRPr="0010614C" w:rsidRDefault="003C1C06" w:rsidP="00021EF3">
            <w:pPr>
              <w:numPr>
                <w:ilvl w:val="0"/>
                <w:numId w:val="47"/>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Not sure/don’t know</w:t>
            </w:r>
          </w:p>
        </w:tc>
      </w:tr>
      <w:tr w:rsidR="00F16A6E" w:rsidRPr="0010614C" w14:paraId="36A05238" w14:textId="77777777" w:rsidTr="005D6A08">
        <w:trPr>
          <w:trHeight w:val="124"/>
        </w:trPr>
        <w:tc>
          <w:tcPr>
            <w:tcW w:w="457" w:type="pct"/>
          </w:tcPr>
          <w:p w14:paraId="064C06E4" w14:textId="77777777" w:rsidR="003C1C06" w:rsidRPr="0010614C" w:rsidRDefault="003C1C06" w:rsidP="00021EF3">
            <w:pPr>
              <w:spacing w:after="0"/>
              <w:rPr>
                <w:rFonts w:cs="Arial"/>
              </w:rPr>
            </w:pPr>
            <w:r w:rsidRPr="0010614C">
              <w:rPr>
                <w:rFonts w:eastAsia="Times New Roman" w:cs="Arial"/>
                <w:kern w:val="24"/>
                <w:lang w:eastAsia="en-AU"/>
              </w:rPr>
              <w:t>23</w:t>
            </w:r>
          </w:p>
        </w:tc>
        <w:tc>
          <w:tcPr>
            <w:tcW w:w="1912" w:type="pct"/>
          </w:tcPr>
          <w:p w14:paraId="2DB1191E" w14:textId="737B2CB3" w:rsidR="003C1C06" w:rsidRPr="0010614C" w:rsidRDefault="003C1C06" w:rsidP="00021EF3">
            <w:pPr>
              <w:spacing w:after="0"/>
              <w:rPr>
                <w:rFonts w:cs="Arial"/>
              </w:rPr>
            </w:pPr>
            <w:r w:rsidRPr="0010614C">
              <w:rPr>
                <w:rFonts w:eastAsia="Times New Roman" w:cs="Arial"/>
                <w:kern w:val="24"/>
                <w:lang w:eastAsia="en-AU"/>
              </w:rPr>
              <w:t xml:space="preserve">In what postcode is the </w:t>
            </w:r>
            <w:r w:rsidRPr="0034598A">
              <w:rPr>
                <w:rFonts w:eastAsia="Times New Roman" w:cs="Arial"/>
                <w:kern w:val="24"/>
                <w:lang w:eastAsia="en-AU"/>
              </w:rPr>
              <w:t>business primar</w:t>
            </w:r>
            <w:r w:rsidR="00826F07" w:rsidRPr="0034598A">
              <w:rPr>
                <w:rFonts w:eastAsia="Times New Roman" w:cs="Arial"/>
                <w:kern w:val="24"/>
                <w:lang w:eastAsia="en-AU"/>
              </w:rPr>
              <w:t>il</w:t>
            </w:r>
            <w:r w:rsidRPr="0034598A">
              <w:rPr>
                <w:rFonts w:eastAsia="Times New Roman" w:cs="Arial"/>
                <w:kern w:val="24"/>
                <w:lang w:eastAsia="en-AU"/>
              </w:rPr>
              <w:t>y located</w:t>
            </w:r>
            <w:r w:rsidRPr="0010614C">
              <w:rPr>
                <w:rFonts w:eastAsia="Times New Roman" w:cs="Arial"/>
                <w:kern w:val="24"/>
                <w:lang w:eastAsia="en-AU"/>
              </w:rPr>
              <w:t xml:space="preserve"> or headquartered in Victoria?</w:t>
            </w:r>
          </w:p>
        </w:tc>
        <w:tc>
          <w:tcPr>
            <w:tcW w:w="576" w:type="pct"/>
          </w:tcPr>
          <w:p w14:paraId="7E1D67E4" w14:textId="77777777" w:rsidR="003C1C06" w:rsidRPr="0010614C" w:rsidRDefault="003C1C06" w:rsidP="00021EF3">
            <w:pPr>
              <w:spacing w:after="0"/>
              <w:rPr>
                <w:rFonts w:cs="Arial"/>
              </w:rPr>
            </w:pPr>
            <w:r w:rsidRPr="0010614C">
              <w:rPr>
                <w:rFonts w:eastAsia="Times New Roman" w:cs="Arial"/>
                <w:kern w:val="24"/>
                <w:lang w:eastAsia="en-AU"/>
              </w:rPr>
              <w:t>Free numeric</w:t>
            </w:r>
          </w:p>
        </w:tc>
        <w:tc>
          <w:tcPr>
            <w:tcW w:w="2055" w:type="pct"/>
          </w:tcPr>
          <w:p w14:paraId="4927876B" w14:textId="77777777" w:rsidR="003C1C06" w:rsidRPr="0010614C" w:rsidRDefault="003C1C06" w:rsidP="00021EF3">
            <w:pPr>
              <w:numPr>
                <w:ilvl w:val="0"/>
                <w:numId w:val="48"/>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Enter postcode ____ FREE NUMERIC</w:t>
            </w:r>
          </w:p>
          <w:p w14:paraId="0C82FBCD" w14:textId="77777777" w:rsidR="003C1C06" w:rsidRPr="0010614C" w:rsidRDefault="003C1C06" w:rsidP="00021EF3">
            <w:pPr>
              <w:numPr>
                <w:ilvl w:val="0"/>
                <w:numId w:val="48"/>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Prefer not to answer</w:t>
            </w:r>
          </w:p>
        </w:tc>
      </w:tr>
      <w:tr w:rsidR="00F16A6E" w:rsidRPr="0010614C" w14:paraId="577295E0" w14:textId="77777777" w:rsidTr="00CA3CC8">
        <w:trPr>
          <w:trHeight w:val="475"/>
        </w:trPr>
        <w:tc>
          <w:tcPr>
            <w:tcW w:w="457" w:type="pct"/>
          </w:tcPr>
          <w:p w14:paraId="3F7EF646" w14:textId="77777777" w:rsidR="003C1C06" w:rsidRPr="0010614C" w:rsidRDefault="003C1C06" w:rsidP="00021EF3">
            <w:pPr>
              <w:spacing w:after="0"/>
              <w:rPr>
                <w:rFonts w:eastAsia="Times New Roman" w:cs="Arial"/>
                <w:kern w:val="24"/>
                <w:lang w:eastAsia="en-AU"/>
              </w:rPr>
            </w:pPr>
            <w:r w:rsidRPr="0010614C">
              <w:rPr>
                <w:rFonts w:eastAsia="Times New Roman" w:cs="Arial"/>
                <w:kern w:val="24"/>
                <w:lang w:eastAsia="en-AU"/>
              </w:rPr>
              <w:lastRenderedPageBreak/>
              <w:t>24</w:t>
            </w:r>
          </w:p>
        </w:tc>
        <w:tc>
          <w:tcPr>
            <w:tcW w:w="1912" w:type="pct"/>
          </w:tcPr>
          <w:p w14:paraId="04BAC3A9" w14:textId="77777777" w:rsidR="003C1C06" w:rsidRPr="0010614C" w:rsidRDefault="003C1C06" w:rsidP="00021EF3">
            <w:pPr>
              <w:spacing w:after="0"/>
              <w:rPr>
                <w:rFonts w:eastAsia="Times New Roman" w:cs="Arial"/>
                <w:kern w:val="24"/>
                <w:lang w:eastAsia="en-AU"/>
              </w:rPr>
            </w:pPr>
            <w:r w:rsidRPr="0010614C">
              <w:rPr>
                <w:rFonts w:eastAsia="Times New Roman" w:cs="Arial"/>
                <w:kern w:val="24"/>
                <w:lang w:eastAsia="en-AU"/>
              </w:rPr>
              <w:t>Are there any other comments you would like to add? For example, you might like to provide details on your experience in completing the grant application or provide detail on how you or the business was impacted by the grants.</w:t>
            </w:r>
          </w:p>
        </w:tc>
        <w:tc>
          <w:tcPr>
            <w:tcW w:w="576" w:type="pct"/>
          </w:tcPr>
          <w:p w14:paraId="0BF0D0E9" w14:textId="77777777" w:rsidR="003C1C06" w:rsidRPr="0010614C" w:rsidRDefault="003C1C06" w:rsidP="00021EF3">
            <w:pPr>
              <w:spacing w:after="0"/>
              <w:rPr>
                <w:rFonts w:eastAsia="Times New Roman" w:cs="Arial"/>
                <w:kern w:val="24"/>
                <w:lang w:eastAsia="en-AU"/>
              </w:rPr>
            </w:pPr>
            <w:r w:rsidRPr="0010614C">
              <w:rPr>
                <w:rFonts w:eastAsia="Times New Roman" w:cs="Arial"/>
                <w:kern w:val="24"/>
                <w:lang w:eastAsia="en-AU"/>
              </w:rPr>
              <w:t>Free text</w:t>
            </w:r>
          </w:p>
        </w:tc>
        <w:tc>
          <w:tcPr>
            <w:tcW w:w="2055" w:type="pct"/>
          </w:tcPr>
          <w:p w14:paraId="308B3C0F" w14:textId="77777777" w:rsidR="003C1C06" w:rsidRPr="0010614C" w:rsidRDefault="003C1C06" w:rsidP="00021EF3">
            <w:pPr>
              <w:numPr>
                <w:ilvl w:val="0"/>
                <w:numId w:val="51"/>
              </w:numPr>
              <w:spacing w:after="0"/>
              <w:contextualSpacing/>
              <w:rPr>
                <w:rFonts w:eastAsia="Times New Roman" w:cs="Arial"/>
                <w:color w:val="000000" w:themeColor="text1"/>
                <w:kern w:val="24"/>
                <w:lang w:eastAsia="en-AU"/>
              </w:rPr>
            </w:pPr>
            <w:r w:rsidRPr="0010614C">
              <w:rPr>
                <w:rFonts w:eastAsia="Times New Roman" w:cs="Arial"/>
                <w:color w:val="000000" w:themeColor="text1"/>
                <w:kern w:val="24"/>
                <w:lang w:eastAsia="en-AU"/>
              </w:rPr>
              <w:t>____ FREE TEXT</w:t>
            </w:r>
          </w:p>
        </w:tc>
      </w:tr>
    </w:tbl>
    <w:p w14:paraId="5F428667" w14:textId="155E1223" w:rsidR="007D47C7" w:rsidRDefault="0051503D" w:rsidP="00021EF3">
      <w:pPr>
        <w:pStyle w:val="Source"/>
        <w:rPr>
          <w:lang w:eastAsia="en-AU"/>
        </w:rPr>
        <w:sectPr w:rsidR="007D47C7" w:rsidSect="007523C8">
          <w:footnotePr>
            <w:numFmt w:val="chicago"/>
          </w:footnotePr>
          <w:endnotePr>
            <w:numFmt w:val="decimal"/>
          </w:endnotePr>
          <w:pgSz w:w="16838" w:h="11906" w:orient="landscape" w:code="9"/>
          <w:pgMar w:top="1440" w:right="1440" w:bottom="1440" w:left="1440" w:header="680" w:footer="425" w:gutter="0"/>
          <w:cols w:space="284"/>
          <w:noEndnote/>
          <w:docGrid w:linePitch="360"/>
        </w:sectPr>
      </w:pPr>
      <w:r>
        <w:rPr>
          <w:lang w:eastAsia="en-AU"/>
        </w:rPr>
        <w:t>Source: Deloitte Access Economics.</w:t>
      </w:r>
    </w:p>
    <w:p w14:paraId="3F5CDF71" w14:textId="64FED968" w:rsidR="00C90A24" w:rsidRDefault="00C90A24" w:rsidP="00021EF3">
      <w:pPr>
        <w:pStyle w:val="Heading1un-numbered"/>
        <w:rPr>
          <w:lang w:eastAsia="en-AU"/>
        </w:rPr>
      </w:pPr>
      <w:bookmarkStart w:id="693" w:name="_Toc173344982"/>
      <w:bookmarkStart w:id="694" w:name="_Toc176516341"/>
      <w:bookmarkStart w:id="695" w:name="_Toc173244994"/>
      <w:bookmarkStart w:id="696" w:name="_Toc173245897"/>
      <w:r>
        <w:rPr>
          <w:lang w:eastAsia="en-AU"/>
        </w:rPr>
        <w:lastRenderedPageBreak/>
        <w:t>Endnotes</w:t>
      </w:r>
      <w:bookmarkEnd w:id="693"/>
      <w:bookmarkEnd w:id="694"/>
    </w:p>
    <w:p w14:paraId="511C8C1C" w14:textId="77777777" w:rsidR="00C90A24" w:rsidRPr="00C90A24" w:rsidRDefault="00C90A24" w:rsidP="00021EF3">
      <w:pPr>
        <w:rPr>
          <w:lang w:eastAsia="en-AU"/>
        </w:rPr>
      </w:pPr>
    </w:p>
    <w:p w14:paraId="6264B457" w14:textId="77777777" w:rsidR="00C90A24" w:rsidRDefault="00C90A24" w:rsidP="00021EF3">
      <w:pPr>
        <w:rPr>
          <w:rFonts w:cs="Arial"/>
          <w:lang w:eastAsia="en-AU"/>
        </w:rPr>
      </w:pPr>
    </w:p>
    <w:p w14:paraId="1D5767D6" w14:textId="77777777" w:rsidR="00C90A24" w:rsidRDefault="00C90A24" w:rsidP="00021EF3">
      <w:pPr>
        <w:rPr>
          <w:rFonts w:cs="Arial"/>
          <w:lang w:eastAsia="en-AU"/>
        </w:rPr>
        <w:sectPr w:rsidR="00C90A24" w:rsidSect="005F043A">
          <w:footnotePr>
            <w:numFmt w:val="chicago"/>
          </w:footnotePr>
          <w:endnotePr>
            <w:numFmt w:val="decimal"/>
          </w:endnotePr>
          <w:pgSz w:w="11906" w:h="16838" w:code="9"/>
          <w:pgMar w:top="1440" w:right="1440" w:bottom="1440" w:left="1440" w:header="680" w:footer="425" w:gutter="0"/>
          <w:cols w:space="284"/>
          <w:docGrid w:linePitch="360"/>
        </w:sectPr>
      </w:pPr>
    </w:p>
    <w:p w14:paraId="02ADD570" w14:textId="77777777" w:rsidR="005B00B8" w:rsidRPr="00ED1D80" w:rsidRDefault="00BF4216" w:rsidP="00021EF3">
      <w:pPr>
        <w:pStyle w:val="Heading1un-numbered"/>
        <w:rPr>
          <w:rFonts w:cs="Arial"/>
          <w:lang w:eastAsia="en-AU"/>
        </w:rPr>
      </w:pPr>
      <w:bookmarkStart w:id="697" w:name="_Toc173344983"/>
      <w:bookmarkStart w:id="698" w:name="_Toc176516342"/>
      <w:r w:rsidRPr="00ED1D80">
        <w:rPr>
          <w:rFonts w:cs="Arial"/>
          <w:lang w:eastAsia="en-AU"/>
        </w:rPr>
        <w:lastRenderedPageBreak/>
        <w:t>Limitation of our work</w:t>
      </w:r>
      <w:bookmarkEnd w:id="616"/>
      <w:bookmarkEnd w:id="695"/>
      <w:bookmarkEnd w:id="696"/>
      <w:bookmarkEnd w:id="697"/>
      <w:bookmarkEnd w:id="698"/>
    </w:p>
    <w:p w14:paraId="61E1D3A5" w14:textId="77777777" w:rsidR="00BF4216" w:rsidRPr="00ED1D80" w:rsidRDefault="00BF4216" w:rsidP="00021EF3">
      <w:pPr>
        <w:pStyle w:val="Heading2un-numbered"/>
        <w:rPr>
          <w:rFonts w:cs="Arial"/>
        </w:rPr>
      </w:pPr>
      <w:bookmarkStart w:id="699" w:name="_Toc170913994"/>
      <w:bookmarkStart w:id="700" w:name="_Toc173244995"/>
      <w:bookmarkStart w:id="701" w:name="_Toc173245898"/>
      <w:bookmarkStart w:id="702" w:name="_Toc173344984"/>
      <w:bookmarkStart w:id="703" w:name="_Toc174118221"/>
      <w:bookmarkStart w:id="704" w:name="_Toc176516343"/>
      <w:r w:rsidRPr="00ED1D80">
        <w:rPr>
          <w:rFonts w:cs="Arial"/>
        </w:rPr>
        <w:t>General use restriction</w:t>
      </w:r>
      <w:bookmarkEnd w:id="699"/>
      <w:bookmarkEnd w:id="700"/>
      <w:bookmarkEnd w:id="701"/>
      <w:bookmarkEnd w:id="702"/>
      <w:bookmarkEnd w:id="703"/>
      <w:bookmarkEnd w:id="704"/>
    </w:p>
    <w:p w14:paraId="56940BF7" w14:textId="18DC3D88" w:rsidR="00D01239" w:rsidRPr="00ED1D80" w:rsidRDefault="00581B33" w:rsidP="00021EF3">
      <w:pPr>
        <w:rPr>
          <w:rFonts w:cs="Arial"/>
        </w:rPr>
      </w:pPr>
      <w:r w:rsidRPr="009F62CA">
        <w:rPr>
          <w:rFonts w:cs="Arial"/>
        </w:rPr>
        <w:t xml:space="preserve">This report is prepared solely for the internal use of </w:t>
      </w:r>
      <w:r w:rsidR="00660FF6" w:rsidRPr="009F62CA">
        <w:rPr>
          <w:rFonts w:cs="Arial"/>
        </w:rPr>
        <w:t>the De</w:t>
      </w:r>
      <w:r w:rsidR="00EF3AC9" w:rsidRPr="009F62CA">
        <w:rPr>
          <w:rFonts w:cs="Arial"/>
        </w:rPr>
        <w:t xml:space="preserve">partment of </w:t>
      </w:r>
      <w:r w:rsidR="00765BAE" w:rsidRPr="009F62CA">
        <w:rPr>
          <w:rFonts w:cs="Arial"/>
        </w:rPr>
        <w:t>Jobs, Skills Industry and Regions</w:t>
      </w:r>
      <w:r w:rsidR="00EE4210" w:rsidRPr="009F62CA">
        <w:rPr>
          <w:rFonts w:cs="Arial"/>
        </w:rPr>
        <w:t>.</w:t>
      </w:r>
      <w:r w:rsidRPr="009F62CA">
        <w:rPr>
          <w:rFonts w:cs="Arial"/>
        </w:rPr>
        <w:t xml:space="preserve"> This report is not intended to</w:t>
      </w:r>
      <w:r w:rsidR="009E32DB">
        <w:rPr>
          <w:rFonts w:cs="Arial"/>
        </w:rPr>
        <w:t>,</w:t>
      </w:r>
      <w:r w:rsidRPr="009F62CA">
        <w:rPr>
          <w:rFonts w:cs="Arial"/>
        </w:rPr>
        <w:t xml:space="preserve"> and should not</w:t>
      </w:r>
      <w:r w:rsidR="009E32DB">
        <w:rPr>
          <w:rFonts w:cs="Arial"/>
        </w:rPr>
        <w:t>,</w:t>
      </w:r>
      <w:r w:rsidRPr="009F62CA">
        <w:rPr>
          <w:rFonts w:cs="Arial"/>
        </w:rPr>
        <w:t xml:space="preserve"> be used or relied upon by anyone else and we accept no duty of care to any other person or entity. The report has been prepared for the purpose of </w:t>
      </w:r>
      <w:r w:rsidR="006A26F7" w:rsidRPr="009F62CA">
        <w:rPr>
          <w:rFonts w:cs="Arial"/>
        </w:rPr>
        <w:t xml:space="preserve">the </w:t>
      </w:r>
      <w:r w:rsidR="00765BAE" w:rsidRPr="009F62CA">
        <w:rPr>
          <w:rFonts w:cs="Arial"/>
        </w:rPr>
        <w:t xml:space="preserve">independent evaluation of the Victorian COVID-19 Business Support Grants. </w:t>
      </w:r>
      <w:r w:rsidRPr="009F62CA">
        <w:rPr>
          <w:rFonts w:cs="Arial"/>
        </w:rPr>
        <w:t>You should not refer to</w:t>
      </w:r>
      <w:r w:rsidR="009E32DB">
        <w:rPr>
          <w:rFonts w:cs="Arial"/>
        </w:rPr>
        <w:t>,</w:t>
      </w:r>
      <w:r w:rsidRPr="009F62CA">
        <w:rPr>
          <w:rFonts w:cs="Arial"/>
        </w:rPr>
        <w:t xml:space="preserve"> or use</w:t>
      </w:r>
      <w:r w:rsidR="009E32DB">
        <w:rPr>
          <w:rFonts w:cs="Arial"/>
        </w:rPr>
        <w:t>,</w:t>
      </w:r>
      <w:r w:rsidRPr="009F62CA">
        <w:rPr>
          <w:rFonts w:cs="Arial"/>
        </w:rPr>
        <w:t xml:space="preserve"> our name or the advice for any other purpose.</w:t>
      </w:r>
    </w:p>
    <w:p w14:paraId="2A1D5159" w14:textId="77777777" w:rsidR="00983929" w:rsidRPr="00ED1D80" w:rsidRDefault="00983929" w:rsidP="00021EF3">
      <w:pPr>
        <w:pageBreakBefore/>
        <w:rPr>
          <w:rFonts w:cs="Arial"/>
        </w:rPr>
      </w:pPr>
    </w:p>
    <w:p w14:paraId="41C69BF9" w14:textId="77777777" w:rsidR="00D01239" w:rsidRPr="00ED1D80" w:rsidRDefault="00D01239" w:rsidP="00021EF3">
      <w:pPr>
        <w:rPr>
          <w:rFonts w:cs="Arial"/>
        </w:rPr>
      </w:pPr>
    </w:p>
    <w:tbl>
      <w:tblPr>
        <w:tblStyle w:val="TableGrid"/>
        <w:tblpPr w:horzAnchor="margin" w:tblpYSpec="bottom"/>
        <w:tblOverlap w:val="never"/>
        <w:tblW w:w="9185" w:type="dxa"/>
        <w:tblLook w:val="04A0" w:firstRow="1" w:lastRow="0" w:firstColumn="1" w:lastColumn="0" w:noHBand="0" w:noVBand="1"/>
      </w:tblPr>
      <w:tblGrid>
        <w:gridCol w:w="9185"/>
      </w:tblGrid>
      <w:tr w:rsidR="00493AF9" w:rsidRPr="00ED1D80" w14:paraId="611409E4" w14:textId="77777777" w:rsidTr="00CC75FD">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7B5A74B9" w14:textId="77777777" w:rsidR="00493AF9" w:rsidRPr="00ED1D80" w:rsidRDefault="00D31629" w:rsidP="00021EF3">
            <w:pPr>
              <w:pStyle w:val="Legaltext"/>
              <w:rPr>
                <w:rFonts w:cs="Arial"/>
              </w:rPr>
            </w:pPr>
            <w:r w:rsidRPr="00ED1D80">
              <w:rPr>
                <w:rFonts w:cs="Arial"/>
                <w:noProof/>
                <w:lang w:eastAsia="en-AU"/>
              </w:rPr>
              <w:drawing>
                <wp:inline distT="0" distB="0" distL="0" distR="0" wp14:anchorId="7C83B058" wp14:editId="1178249F">
                  <wp:extent cx="2086118" cy="914400"/>
                  <wp:effectExtent l="0" t="0" r="0" b="0"/>
                  <wp:docPr id="266776721" name="Picture 2667767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6776721" name="Picture 266776721">
                            <a:extLst>
                              <a:ext uri="{C183D7F6-B498-43B3-948B-1728B52AA6E4}">
                                <adec:decorative xmlns:adec="http://schemas.microsoft.com/office/drawing/2017/decorative" val="1"/>
                              </a:ext>
                            </a:extLst>
                          </pic:cNvPr>
                          <pic:cNvPicPr/>
                        </pic:nvPicPr>
                        <pic:blipFill>
                          <a:blip r:embed="rId12"/>
                          <a:srcRect/>
                          <a:stretch/>
                        </pic:blipFill>
                        <pic:spPr>
                          <a:xfrm>
                            <a:off x="0" y="0"/>
                            <a:ext cx="2086118" cy="914400"/>
                          </a:xfrm>
                          <a:prstGeom prst="rect">
                            <a:avLst/>
                          </a:prstGeom>
                        </pic:spPr>
                      </pic:pic>
                    </a:graphicData>
                  </a:graphic>
                </wp:inline>
              </w:drawing>
            </w:r>
          </w:p>
          <w:p w14:paraId="583CD22B" w14:textId="77777777" w:rsidR="00206BB8" w:rsidRPr="00ED1D80" w:rsidRDefault="00206BB8" w:rsidP="00021EF3">
            <w:pPr>
              <w:pStyle w:val="Legaltext"/>
              <w:rPr>
                <w:rFonts w:cs="Arial"/>
              </w:rPr>
            </w:pPr>
          </w:p>
          <w:p w14:paraId="7FB6E17F" w14:textId="3BD2A298" w:rsidR="0013686B" w:rsidRPr="00ED1D80" w:rsidRDefault="00AA3D44" w:rsidP="00021EF3">
            <w:pPr>
              <w:pStyle w:val="Legaltext"/>
              <w:rPr>
                <w:rFonts w:cs="Arial"/>
              </w:rPr>
            </w:pPr>
            <w:r w:rsidRPr="00ED1D80">
              <w:rPr>
                <w:rFonts w:cs="Arial"/>
              </w:rPr>
              <w:t>D</w:t>
            </w:r>
            <w:r w:rsidR="0013686B" w:rsidRPr="00ED1D80">
              <w:rPr>
                <w:rFonts w:cs="Arial"/>
              </w:rPr>
              <w:t xml:space="preserve">eloitte Access Economics is Australia’s pre-eminent economics advisory practice and a member of Deloitte's global economics group. For more information, please visit our website: </w:t>
            </w:r>
            <w:hyperlink r:id="rId78" w:history="1">
              <w:r w:rsidR="0013686B" w:rsidRPr="00ED1D80">
                <w:rPr>
                  <w:rStyle w:val="Hyperlink"/>
                  <w:rFonts w:cs="Arial"/>
                </w:rPr>
                <w:t>www.deloitte.com/au/deloitte-access-economics</w:t>
              </w:r>
            </w:hyperlink>
            <w:r w:rsidR="0013686B" w:rsidRPr="00ED1D80">
              <w:rPr>
                <w:rFonts w:cs="Arial"/>
              </w:rPr>
              <w:t xml:space="preserve"> </w:t>
            </w:r>
          </w:p>
          <w:p w14:paraId="25F5AF16" w14:textId="77777777" w:rsidR="0013686B" w:rsidRPr="00ED1D80" w:rsidRDefault="0013686B" w:rsidP="00021EF3">
            <w:pPr>
              <w:pStyle w:val="Legaltext"/>
              <w:rPr>
                <w:rFonts w:cs="Arial"/>
              </w:rPr>
            </w:pPr>
          </w:p>
          <w:p w14:paraId="5D4AB2D6" w14:textId="77777777" w:rsidR="0013686B" w:rsidRPr="00ED1D80" w:rsidRDefault="0013686B" w:rsidP="00021EF3">
            <w:pPr>
              <w:pStyle w:val="Legaltext"/>
              <w:rPr>
                <w:rFonts w:cs="Arial"/>
              </w:rPr>
            </w:pPr>
            <w:r w:rsidRPr="00ED1D80">
              <w:rPr>
                <w:rFonts w:cs="Arial"/>
              </w:rPr>
              <w:t xml:space="preserve">Deloitte refers to one or more of Deloitte </w:t>
            </w:r>
            <w:proofErr w:type="spellStart"/>
            <w:r w:rsidRPr="00ED1D80">
              <w:rPr>
                <w:rFonts w:cs="Arial"/>
              </w:rPr>
              <w:t>Touche</w:t>
            </w:r>
            <w:proofErr w:type="spellEnd"/>
            <w:r w:rsidRPr="00ED1D80">
              <w:rPr>
                <w:rFonts w:cs="Arial"/>
              </w:rPr>
              <w:t xml:space="preserv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15BB9F66" w14:textId="77777777" w:rsidR="0013686B" w:rsidRPr="00ED1D80" w:rsidRDefault="0013686B" w:rsidP="00021EF3">
            <w:pPr>
              <w:pStyle w:val="Legaltext"/>
              <w:rPr>
                <w:rFonts w:cs="Arial"/>
              </w:rPr>
            </w:pPr>
          </w:p>
          <w:p w14:paraId="59DED5DC" w14:textId="77777777" w:rsidR="0013686B" w:rsidRPr="00ED1D80" w:rsidRDefault="0013686B" w:rsidP="00021EF3">
            <w:pPr>
              <w:pStyle w:val="Legaltext"/>
              <w:rPr>
                <w:rFonts w:cs="Arial"/>
              </w:rPr>
            </w:pPr>
            <w:r w:rsidRPr="00ED1D80">
              <w:rPr>
                <w:rFonts w:cs="Arial"/>
              </w:rPr>
              <w:t>Deloitte is a leading global provider of audit and assurance, consulting, financial advisory, risk advisory, tax and related services. Our network of member firms in more than 150 countries and territories serves four out of five Fortune Global 500®companies. Learn how Deloitte’s approximately 286,000 people make an impact that matters at www.deloitte.com.</w:t>
            </w:r>
          </w:p>
          <w:p w14:paraId="54BF2F8A" w14:textId="77777777" w:rsidR="0013686B" w:rsidRPr="00ED1D80" w:rsidRDefault="0013686B" w:rsidP="00021EF3">
            <w:pPr>
              <w:pStyle w:val="Legaltext"/>
              <w:rPr>
                <w:rFonts w:cs="Arial"/>
              </w:rPr>
            </w:pPr>
          </w:p>
          <w:p w14:paraId="458F9A13" w14:textId="77777777" w:rsidR="0013686B" w:rsidRPr="00ED1D80" w:rsidRDefault="0013686B" w:rsidP="00021EF3">
            <w:pPr>
              <w:pStyle w:val="Legaltext"/>
              <w:rPr>
                <w:rFonts w:cs="Arial"/>
                <w:b/>
              </w:rPr>
            </w:pPr>
            <w:r w:rsidRPr="00ED1D80">
              <w:rPr>
                <w:rFonts w:cs="Arial"/>
                <w:b/>
              </w:rPr>
              <w:t xml:space="preserve">Deloitte Asia Pacific </w:t>
            </w:r>
          </w:p>
          <w:p w14:paraId="311695AF" w14:textId="77777777" w:rsidR="0013686B" w:rsidRPr="00ED1D80" w:rsidRDefault="0013686B" w:rsidP="00021EF3">
            <w:pPr>
              <w:pStyle w:val="Legaltext"/>
              <w:rPr>
                <w:rFonts w:cs="Arial"/>
              </w:rPr>
            </w:pPr>
            <w:r w:rsidRPr="00ED1D80">
              <w:rPr>
                <w:rFonts w:cs="Arial"/>
              </w:rP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4A7918B1" w14:textId="77777777" w:rsidR="0013686B" w:rsidRPr="00ED1D80" w:rsidRDefault="0013686B" w:rsidP="00021EF3">
            <w:pPr>
              <w:pStyle w:val="Legaltext"/>
              <w:rPr>
                <w:rFonts w:cs="Arial"/>
              </w:rPr>
            </w:pPr>
          </w:p>
          <w:p w14:paraId="22B50808" w14:textId="77777777" w:rsidR="0013686B" w:rsidRPr="00ED1D80" w:rsidRDefault="0013686B" w:rsidP="00021EF3">
            <w:pPr>
              <w:pStyle w:val="Legaltext"/>
              <w:rPr>
                <w:rFonts w:cs="Arial"/>
                <w:b/>
              </w:rPr>
            </w:pPr>
            <w:r w:rsidRPr="00ED1D80">
              <w:rPr>
                <w:rFonts w:cs="Arial"/>
                <w:b/>
              </w:rPr>
              <w:t>Deloitte Australia</w:t>
            </w:r>
          </w:p>
          <w:p w14:paraId="1601EA8F" w14:textId="77777777" w:rsidR="0013686B" w:rsidRPr="00ED1D80" w:rsidRDefault="0013686B" w:rsidP="00021EF3">
            <w:pPr>
              <w:pStyle w:val="Legaltext"/>
              <w:rPr>
                <w:rFonts w:cs="Arial"/>
              </w:rPr>
            </w:pPr>
            <w:r w:rsidRPr="00ED1D80">
              <w:rPr>
                <w:rFonts w:cs="Arial"/>
              </w:rPr>
              <w:t xml:space="preserve">In Australia, the Deloitte Network member is the Australian partnership of Deloitte </w:t>
            </w:r>
            <w:proofErr w:type="spellStart"/>
            <w:r w:rsidRPr="00ED1D80">
              <w:rPr>
                <w:rFonts w:cs="Arial"/>
              </w:rPr>
              <w:t>Touche</w:t>
            </w:r>
            <w:proofErr w:type="spellEnd"/>
            <w:r w:rsidRPr="00ED1D80">
              <w:rPr>
                <w:rFonts w:cs="Arial"/>
              </w:rPr>
              <w:t xml:space="preserve"> Tohmatsu. As one of Australia’s leading professional services firms. Deloitte </w:t>
            </w:r>
            <w:proofErr w:type="spellStart"/>
            <w:r w:rsidRPr="00ED1D80">
              <w:rPr>
                <w:rFonts w:cs="Arial"/>
              </w:rPr>
              <w:t>Touche</w:t>
            </w:r>
            <w:proofErr w:type="spellEnd"/>
            <w:r w:rsidRPr="00ED1D80">
              <w:rPr>
                <w:rFonts w:cs="Arial"/>
              </w:rPr>
              <w:t xml:space="preserve"> Tohmatsu and its affiliates provide audit, tax, consulting, and financial advisory services through approximately 8000 people across the country. Focused on the creation of value and </w:t>
            </w:r>
            <w:proofErr w:type="gramStart"/>
            <w:r w:rsidRPr="00ED1D80">
              <w:rPr>
                <w:rFonts w:cs="Arial"/>
              </w:rPr>
              <w:t>growth, and</w:t>
            </w:r>
            <w:proofErr w:type="gramEnd"/>
            <w:r w:rsidRPr="00ED1D80">
              <w:rPr>
                <w:rFonts w:cs="Arial"/>
              </w:rPr>
              <w:t xml:space="preserve"> known as an employer of choice for innovative human resources programs, we are dedicated to helping our clients and our people excel. For more information, please visit our web site at https://www2.deloitte.com/au/en.html.</w:t>
            </w:r>
          </w:p>
          <w:p w14:paraId="629026A5" w14:textId="77777777" w:rsidR="0013686B" w:rsidRPr="00ED1D80" w:rsidRDefault="0013686B" w:rsidP="00021EF3">
            <w:pPr>
              <w:pStyle w:val="Legaltext"/>
              <w:rPr>
                <w:rFonts w:cs="Arial"/>
              </w:rPr>
            </w:pPr>
          </w:p>
          <w:p w14:paraId="4F2778B5" w14:textId="77777777" w:rsidR="0013686B" w:rsidRPr="00ED1D80" w:rsidRDefault="0013686B" w:rsidP="00021EF3">
            <w:pPr>
              <w:pStyle w:val="Legaltext"/>
              <w:rPr>
                <w:rFonts w:cs="Arial"/>
              </w:rPr>
            </w:pPr>
            <w:r w:rsidRPr="00ED1D80">
              <w:rPr>
                <w:rFonts w:cs="Arial"/>
              </w:rPr>
              <w:t>Liability limited by a scheme approved under Professional Standards Legislation.</w:t>
            </w:r>
          </w:p>
          <w:p w14:paraId="384E9FC1" w14:textId="77777777" w:rsidR="0013686B" w:rsidRPr="00ED1D80" w:rsidRDefault="0013686B" w:rsidP="00021EF3">
            <w:pPr>
              <w:pStyle w:val="Legaltext"/>
              <w:rPr>
                <w:rFonts w:cs="Arial"/>
              </w:rPr>
            </w:pPr>
            <w:r w:rsidRPr="00ED1D80">
              <w:rPr>
                <w:rFonts w:cs="Arial"/>
              </w:rPr>
              <w:t>Member of Deloitte Asia Pacific Limited and the Deloitte Network.</w:t>
            </w:r>
          </w:p>
          <w:p w14:paraId="3B538D73" w14:textId="77777777" w:rsidR="0013686B" w:rsidRPr="00ED1D80" w:rsidRDefault="0013686B" w:rsidP="00021EF3">
            <w:pPr>
              <w:pStyle w:val="Legaltext"/>
              <w:rPr>
                <w:rFonts w:cs="Arial"/>
              </w:rPr>
            </w:pPr>
          </w:p>
          <w:p w14:paraId="0F66428E" w14:textId="56FCDC74" w:rsidR="00417D85" w:rsidRPr="00ED1D80" w:rsidRDefault="0013686B" w:rsidP="00021EF3">
            <w:pPr>
              <w:pStyle w:val="Legaltext"/>
              <w:spacing w:line="0" w:lineRule="atLeast"/>
              <w:rPr>
                <w:rFonts w:cs="Arial"/>
                <w:sz w:val="2"/>
                <w:szCs w:val="2"/>
              </w:rPr>
            </w:pPr>
            <w:r w:rsidRPr="00ED1D80">
              <w:rPr>
                <w:rFonts w:cs="Arial"/>
              </w:rPr>
              <w:t>©20</w:t>
            </w:r>
            <w:r w:rsidR="00F24B65" w:rsidRPr="00ED1D80">
              <w:rPr>
                <w:rFonts w:cs="Arial"/>
              </w:rPr>
              <w:t>2</w:t>
            </w:r>
            <w:r w:rsidR="00E40F68" w:rsidRPr="00ED1D80">
              <w:rPr>
                <w:rFonts w:cs="Arial"/>
              </w:rPr>
              <w:t>4</w:t>
            </w:r>
            <w:r w:rsidRPr="00ED1D80">
              <w:rPr>
                <w:rFonts w:cs="Arial"/>
              </w:rPr>
              <w:t xml:space="preserve"> Deloitte Access Economics. Deloitte </w:t>
            </w:r>
            <w:proofErr w:type="spellStart"/>
            <w:r w:rsidRPr="00ED1D80">
              <w:rPr>
                <w:rFonts w:cs="Arial"/>
              </w:rPr>
              <w:t>Touche</w:t>
            </w:r>
            <w:proofErr w:type="spellEnd"/>
            <w:r w:rsidRPr="00ED1D80">
              <w:rPr>
                <w:rFonts w:cs="Arial"/>
              </w:rPr>
              <w:t xml:space="preserve"> Tohmatsu</w:t>
            </w:r>
          </w:p>
        </w:tc>
      </w:tr>
    </w:tbl>
    <w:p w14:paraId="58CC5488" w14:textId="60FE10CC" w:rsidR="00BF6F8B" w:rsidRPr="00ED1D80" w:rsidRDefault="00BF6F8B" w:rsidP="00021EF3">
      <w:pPr>
        <w:rPr>
          <w:rFonts w:cs="Arial"/>
        </w:rPr>
      </w:pPr>
    </w:p>
    <w:p w14:paraId="31D3C40B" w14:textId="77777777" w:rsidR="007629C6" w:rsidRPr="00ED1D80" w:rsidRDefault="007629C6" w:rsidP="00021EF3">
      <w:pPr>
        <w:rPr>
          <w:rFonts w:cs="Arial"/>
        </w:rPr>
      </w:pPr>
    </w:p>
    <w:sectPr w:rsidR="007629C6" w:rsidRPr="00ED1D80" w:rsidSect="00782B7E">
      <w:footnotePr>
        <w:numFmt w:val="chicago"/>
      </w:footnotePr>
      <w:endnotePr>
        <w:numFmt w:val="decimal"/>
      </w:endnotePr>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80362" w14:textId="77777777" w:rsidR="005E71EE" w:rsidRDefault="005E71EE" w:rsidP="00C702C7"/>
  </w:endnote>
  <w:endnote w:type="continuationSeparator" w:id="0">
    <w:p w14:paraId="7F9553C9" w14:textId="77777777" w:rsidR="005E71EE" w:rsidRDefault="005E71EE" w:rsidP="00C702C7">
      <w:r>
        <w:continuationSeparator/>
      </w:r>
    </w:p>
  </w:endnote>
  <w:endnote w:type="continuationNotice" w:id="1">
    <w:p w14:paraId="3948FA29" w14:textId="77777777" w:rsidR="005E71EE" w:rsidRDefault="005E71EE">
      <w:pPr>
        <w:spacing w:after="0"/>
      </w:pPr>
    </w:p>
  </w:endnote>
  <w:endnote w:id="2">
    <w:p w14:paraId="7FA98809" w14:textId="77777777" w:rsidR="00E66139" w:rsidRPr="00A8229A" w:rsidRDefault="00E66139" w:rsidP="00E66139">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Cliff, C. K., Robyn, M. S., Dina, M., Romesh, G. A., Katherine, R., Gregory, R. H., Rafael, C. N., Jamie, A. C., Prashanth, S., &amp; Brittany, H. (2021). Covasim: An agent-based model of COVID-19 dynamics and interventions. </w:t>
      </w:r>
      <w:r w:rsidRPr="00A8229A">
        <w:rPr>
          <w:rFonts w:cs="Arial"/>
          <w:i/>
          <w:szCs w:val="18"/>
        </w:rPr>
        <w:t>PLOS Computational Biology</w:t>
      </w:r>
      <w:r w:rsidRPr="00A8229A">
        <w:rPr>
          <w:rFonts w:cs="Arial"/>
          <w:szCs w:val="18"/>
        </w:rPr>
        <w:t>.</w:t>
      </w:r>
    </w:p>
  </w:endnote>
  <w:endnote w:id="3">
    <w:p w14:paraId="67F5921E" w14:textId="77777777" w:rsidR="00C819E4" w:rsidRPr="00A8229A" w:rsidRDefault="00C819E4" w:rsidP="00C819E4">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Macreadie, I</w:t>
      </w:r>
      <w:r>
        <w:rPr>
          <w:rFonts w:cs="Arial"/>
          <w:szCs w:val="18"/>
        </w:rPr>
        <w:t>.</w:t>
      </w:r>
      <w:r w:rsidRPr="00A8229A">
        <w:rPr>
          <w:rFonts w:cs="Arial"/>
          <w:szCs w:val="18"/>
        </w:rPr>
        <w:t xml:space="preserve"> (2022), ‘Reflections from Melbourne, the world’s most locked-down city, through the COVID-19 pandemic and beyond’, </w:t>
      </w:r>
      <w:r w:rsidRPr="00A8229A">
        <w:rPr>
          <w:rFonts w:cs="Arial"/>
          <w:i/>
          <w:szCs w:val="18"/>
        </w:rPr>
        <w:t>Microbiology Australia, 43</w:t>
      </w:r>
      <w:r w:rsidRPr="00A8229A">
        <w:rPr>
          <w:rFonts w:cs="Arial"/>
          <w:szCs w:val="18"/>
        </w:rPr>
        <w:t>(1): 3–4, Retrieved from https://www.publish.csiro.au/ma/pdf/MA22002.</w:t>
      </w:r>
    </w:p>
  </w:endnote>
  <w:endnote w:id="4">
    <w:p w14:paraId="1122205A" w14:textId="77777777" w:rsidR="00443969" w:rsidRPr="00A8229A" w:rsidRDefault="00443969" w:rsidP="00443969">
      <w:pPr>
        <w:pStyle w:val="EndnoteText"/>
        <w:ind w:left="170" w:hanging="170"/>
        <w:rPr>
          <w:rFonts w:cs="Arial"/>
          <w:szCs w:val="18"/>
          <w:lang w:val="en-US"/>
        </w:rPr>
      </w:pPr>
      <w:r w:rsidRPr="00A8229A">
        <w:rPr>
          <w:rStyle w:val="EndnoteReference"/>
          <w:rFonts w:cs="Arial"/>
          <w:szCs w:val="18"/>
        </w:rPr>
        <w:endnoteRef/>
      </w:r>
      <w:r w:rsidRPr="00A8229A">
        <w:rPr>
          <w:rFonts w:cs="Arial"/>
          <w:szCs w:val="18"/>
        </w:rPr>
        <w:t xml:space="preserve">  Business Victoria. (n.d.). </w:t>
      </w:r>
      <w:r w:rsidRPr="00A8229A">
        <w:rPr>
          <w:rStyle w:val="Emphasis"/>
          <w:rFonts w:cs="Arial"/>
          <w:b w:val="0"/>
          <w:i/>
          <w:color w:val="auto"/>
          <w:szCs w:val="18"/>
        </w:rPr>
        <w:t>Business costs assistance program grants and top-up payments</w:t>
      </w:r>
      <w:r w:rsidRPr="00A8229A">
        <w:rPr>
          <w:rFonts w:cs="Arial"/>
          <w:szCs w:val="18"/>
        </w:rPr>
        <w:t>. Retrieved from https://business.vic.gov.au/grants-and-programs/business-costs-assistance-program-grants-and-top-up-payments.</w:t>
      </w:r>
    </w:p>
  </w:endnote>
  <w:endnote w:id="5">
    <w:p w14:paraId="190E1839" w14:textId="77777777" w:rsidR="00EA2A55" w:rsidRPr="00A8229A" w:rsidRDefault="00EA2A55" w:rsidP="00EA2A55">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Victorian Auditor-General’s Office. (2023</w:t>
      </w:r>
      <w:r w:rsidRPr="00A8229A">
        <w:rPr>
          <w:rFonts w:cs="Arial"/>
          <w:i/>
          <w:szCs w:val="18"/>
        </w:rPr>
        <w:t>). Auditor-General’s report: Annual financial report of the State of Victoria 2022-23.</w:t>
      </w:r>
      <w:r w:rsidRPr="00A8229A">
        <w:rPr>
          <w:rFonts w:cs="Arial"/>
          <w:szCs w:val="18"/>
        </w:rPr>
        <w:t xml:space="preserve"> Retrieved from https://www.audit.vic.gov.au/report/auditor-generals-report-annual-financial-report-state-victoria-2022-23?section=.</w:t>
      </w:r>
    </w:p>
  </w:endnote>
  <w:endnote w:id="6">
    <w:p w14:paraId="34849EAB" w14:textId="77777777" w:rsidR="0058676D" w:rsidRPr="00A8229A" w:rsidRDefault="0058676D" w:rsidP="0058676D">
      <w:pPr>
        <w:ind w:left="170" w:hanging="170"/>
        <w:rPr>
          <w:rFonts w:cs="Arial"/>
        </w:rPr>
      </w:pPr>
      <w:r w:rsidRPr="00A8229A">
        <w:rPr>
          <w:rStyle w:val="EndnoteReference"/>
          <w:rFonts w:cs="Arial"/>
        </w:rPr>
        <w:endnoteRef/>
      </w:r>
      <w:r w:rsidRPr="00A8229A">
        <w:rPr>
          <w:rFonts w:cs="Arial"/>
        </w:rPr>
        <w:t xml:space="preserve">  Australian Chamber of Commerce and Industry, &amp; University of South Australia. (November 2020). </w:t>
      </w:r>
      <w:r w:rsidRPr="00A8229A">
        <w:rPr>
          <w:rFonts w:cs="Arial"/>
          <w:i/>
        </w:rPr>
        <w:t>Impact of COVID-19 on Australian business: A joint ACCI-UniSA survey.</w:t>
      </w:r>
      <w:r w:rsidRPr="00A8229A">
        <w:rPr>
          <w:rFonts w:cs="Arial"/>
        </w:rPr>
        <w:t xml:space="preserve"> Retrieved from https://www.australianchamber.com.au/wp-content/uploads/2020/11/Joint-ACCI-UniSA-business-survey-Nov-2020-Published.pdf.</w:t>
      </w:r>
    </w:p>
  </w:endnote>
  <w:endnote w:id="7">
    <w:p w14:paraId="7D63B46F" w14:textId="77777777" w:rsidR="00A50641" w:rsidRPr="00A069BB" w:rsidRDefault="00A50641" w:rsidP="00A50641">
      <w:pPr>
        <w:pStyle w:val="EndnoteText"/>
      </w:pPr>
      <w:r>
        <w:rPr>
          <w:rStyle w:val="EndnoteReference"/>
        </w:rPr>
        <w:endnoteRef/>
      </w:r>
      <w:r>
        <w:t xml:space="preserve"> </w:t>
      </w:r>
      <w:r w:rsidRPr="005E7321">
        <w:t>Emergency Management Victoria</w:t>
      </w:r>
      <w:r>
        <w:t xml:space="preserve"> (2023). </w:t>
      </w:r>
      <w:r w:rsidRPr="00207E57">
        <w:rPr>
          <w:i/>
          <w:iCs/>
        </w:rPr>
        <w:t>Victorian State Emergency Management Plan.</w:t>
      </w:r>
    </w:p>
  </w:endnote>
  <w:endnote w:id="8">
    <w:p w14:paraId="395A260B" w14:textId="77777777" w:rsidR="00650A8D" w:rsidRDefault="00650A8D" w:rsidP="00650A8D">
      <w:pPr>
        <w:pStyle w:val="EndnoteText"/>
        <w:ind w:left="170" w:hanging="170"/>
      </w:pPr>
      <w:r>
        <w:rPr>
          <w:rStyle w:val="EndnoteReference"/>
        </w:rPr>
        <w:endnoteRef/>
      </w:r>
      <w:r>
        <w:t xml:space="preserve"> </w:t>
      </w:r>
      <w:r w:rsidRPr="005B1DD7">
        <w:t xml:space="preserve">Chang, S. E., Brown, C., Handmer, J., Helgeson, J., Kajitani, Y., Keating, A., Noy, I., Watson, M., Derakhshan, S., Kim, J., &amp; Roa-Henriquez, A. (2022). Business recovery from disasters: Lessons from natural hazards and the COVID-19 pandemic. </w:t>
      </w:r>
      <w:r w:rsidRPr="00B54DDA">
        <w:rPr>
          <w:i/>
          <w:iCs/>
        </w:rPr>
        <w:t>International journal of disaster risk reduction</w:t>
      </w:r>
      <w:r>
        <w:t>,</w:t>
      </w:r>
      <w:r w:rsidRPr="005B1DD7">
        <w:t xml:space="preserve"> 80, 103191. </w:t>
      </w:r>
      <w:r>
        <w:t xml:space="preserve">Retrieved from </w:t>
      </w:r>
      <w:r w:rsidRPr="005B1DD7">
        <w:t>https://doi.org/10.1016/j.ijdrr.2022.103191</w:t>
      </w:r>
      <w:r>
        <w:t>.</w:t>
      </w:r>
    </w:p>
  </w:endnote>
  <w:endnote w:id="9">
    <w:p w14:paraId="7F1B0F8F" w14:textId="77777777" w:rsidR="00EA3DE6" w:rsidRPr="00FC6E94" w:rsidRDefault="00EA3DE6" w:rsidP="00EA3DE6">
      <w:pPr>
        <w:pStyle w:val="EndnoteText"/>
        <w:ind w:left="170" w:hanging="170"/>
      </w:pPr>
      <w:r>
        <w:rPr>
          <w:rStyle w:val="EndnoteReference"/>
        </w:rPr>
        <w:endnoteRef/>
      </w:r>
      <w:r>
        <w:t xml:space="preserve"> ‘Victorian Public Sector Data Sharing Policy’, </w:t>
      </w:r>
      <w:r>
        <w:rPr>
          <w:i/>
          <w:iCs/>
        </w:rPr>
        <w:t xml:space="preserve">Victorian Government </w:t>
      </w:r>
      <w:r>
        <w:t xml:space="preserve">(1 May 2024) Retrieved from </w:t>
      </w:r>
      <w:r w:rsidRPr="00666EEE">
        <w:t>https://www.data.vic.gov.au/victorian-public-sector-data-sharing-policy</w:t>
      </w:r>
      <w:r>
        <w:t>.</w:t>
      </w:r>
    </w:p>
  </w:endnote>
  <w:endnote w:id="10">
    <w:p w14:paraId="49ED47BA" w14:textId="7301F1EA" w:rsidR="00E32E71" w:rsidRPr="00A8229A" w:rsidRDefault="00E32E71"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A87FDE" w:rsidRPr="00A8229A">
        <w:rPr>
          <w:rFonts w:cs="Arial"/>
          <w:szCs w:val="18"/>
        </w:rPr>
        <w:t>Cliff, C. K., Robyn, M. S., Dina, M., Romesh, G. A., Katherine, R., Gregory, R. H., Rafael, C. N., Jamie, A. C., Prashanth, S., &amp; Brittany, H. (2021</w:t>
      </w:r>
      <w:r w:rsidR="005D7A72" w:rsidRPr="00A8229A">
        <w:rPr>
          <w:rFonts w:cs="Arial"/>
          <w:szCs w:val="18"/>
        </w:rPr>
        <w:t>).</w:t>
      </w:r>
      <w:r w:rsidR="00A87FDE" w:rsidRPr="00A8229A">
        <w:rPr>
          <w:rFonts w:cs="Arial"/>
          <w:szCs w:val="18"/>
        </w:rPr>
        <w:t xml:space="preserve"> Covasim: An agent-based model of COVID-19 dynamics and interventions. </w:t>
      </w:r>
      <w:r w:rsidR="00A87FDE" w:rsidRPr="00A8229A">
        <w:rPr>
          <w:rFonts w:cs="Arial"/>
          <w:i/>
          <w:szCs w:val="18"/>
        </w:rPr>
        <w:t>PLOS Computational Biology</w:t>
      </w:r>
      <w:r w:rsidR="005D7A72" w:rsidRPr="00A8229A">
        <w:rPr>
          <w:rFonts w:cs="Arial"/>
          <w:szCs w:val="18"/>
        </w:rPr>
        <w:t>.</w:t>
      </w:r>
    </w:p>
  </w:endnote>
  <w:endnote w:id="11">
    <w:p w14:paraId="3D924A3A" w14:textId="28FEEC5A" w:rsidR="00D8146C" w:rsidRPr="00A8229A" w:rsidRDefault="00D8146C"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Doherty Institute. (2020). </w:t>
      </w:r>
      <w:r w:rsidRPr="00A8229A">
        <w:rPr>
          <w:rFonts w:cs="Arial"/>
          <w:i/>
          <w:szCs w:val="18"/>
        </w:rPr>
        <w:t>COVID-19 modelling for Australia.</w:t>
      </w:r>
      <w:r w:rsidR="00764E0F" w:rsidRPr="00A8229A">
        <w:rPr>
          <w:rFonts w:cs="Arial"/>
          <w:i/>
          <w:szCs w:val="18"/>
        </w:rPr>
        <w:t xml:space="preserve"> </w:t>
      </w:r>
    </w:p>
  </w:endnote>
  <w:endnote w:id="12">
    <w:p w14:paraId="4C46ACBB" w14:textId="3DA2A549" w:rsidR="001F55B6" w:rsidRPr="00A8229A" w:rsidRDefault="001F55B6"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Clifford, S., Pearson, C., &amp; Klepac, P. (2020). </w:t>
      </w:r>
      <w:r w:rsidRPr="00A8229A">
        <w:rPr>
          <w:rFonts w:cs="Arial"/>
          <w:i/>
          <w:szCs w:val="18"/>
        </w:rPr>
        <w:t>Impact of interventions on the spread of COVID-19 in Australia</w:t>
      </w:r>
      <w:r w:rsidRPr="00A8229A">
        <w:rPr>
          <w:rFonts w:cs="Arial"/>
          <w:szCs w:val="18"/>
        </w:rPr>
        <w:t>. University of Sydney.</w:t>
      </w:r>
    </w:p>
  </w:endnote>
  <w:endnote w:id="13">
    <w:p w14:paraId="79748D79" w14:textId="5571350C" w:rsidR="001F55B6" w:rsidRPr="00A8229A" w:rsidRDefault="001F55B6"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Australian Government Department of Health. (2020). </w:t>
      </w:r>
      <w:r w:rsidR="003B0541" w:rsidRPr="00A8229A">
        <w:rPr>
          <w:rFonts w:cs="Arial"/>
          <w:i/>
          <w:szCs w:val="18"/>
        </w:rPr>
        <w:t>COVID-19: Australian health sector emergency response plan</w:t>
      </w:r>
      <w:r w:rsidR="003B0541" w:rsidRPr="00A8229A">
        <w:rPr>
          <w:rFonts w:cs="Arial"/>
          <w:szCs w:val="18"/>
        </w:rPr>
        <w:t>.</w:t>
      </w:r>
    </w:p>
  </w:endnote>
  <w:endnote w:id="14">
    <w:p w14:paraId="1B380ABC" w14:textId="0B936DE6" w:rsidR="00F1123A" w:rsidRPr="00A8229A" w:rsidRDefault="00F1123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International Monetary Fund. (</w:t>
      </w:r>
      <w:r w:rsidR="003225C6" w:rsidRPr="00A8229A">
        <w:rPr>
          <w:rFonts w:cs="Arial"/>
          <w:szCs w:val="18"/>
        </w:rPr>
        <w:t xml:space="preserve">July </w:t>
      </w:r>
      <w:r w:rsidRPr="00A8229A">
        <w:rPr>
          <w:rFonts w:cs="Arial"/>
          <w:szCs w:val="18"/>
        </w:rPr>
        <w:t>2021</w:t>
      </w:r>
      <w:r w:rsidR="003225C6" w:rsidRPr="00A8229A">
        <w:rPr>
          <w:rFonts w:cs="Arial"/>
          <w:szCs w:val="18"/>
        </w:rPr>
        <w:t>)</w:t>
      </w:r>
      <w:r w:rsidRPr="00A8229A">
        <w:rPr>
          <w:rFonts w:cs="Arial"/>
          <w:szCs w:val="18"/>
        </w:rPr>
        <w:t xml:space="preserve">. </w:t>
      </w:r>
      <w:r w:rsidR="00694E91" w:rsidRPr="00A8229A">
        <w:rPr>
          <w:rFonts w:cs="Arial"/>
          <w:i/>
          <w:szCs w:val="18"/>
        </w:rPr>
        <w:t>World economic outlook update: Fault lines widen in the global recovery</w:t>
      </w:r>
      <w:r w:rsidR="00694E91" w:rsidRPr="00A8229A">
        <w:rPr>
          <w:rFonts w:cs="Arial"/>
          <w:szCs w:val="18"/>
        </w:rPr>
        <w:t>.</w:t>
      </w:r>
    </w:p>
  </w:endnote>
  <w:endnote w:id="15">
    <w:p w14:paraId="1ACF39FD" w14:textId="04DBB7FE" w:rsidR="009628B3" w:rsidRPr="00A8229A" w:rsidRDefault="009628B3" w:rsidP="006E0D7A">
      <w:pPr>
        <w:pStyle w:val="EndnoteText"/>
        <w:ind w:left="170" w:hanging="170"/>
        <w:rPr>
          <w:rFonts w:cs="Arial"/>
          <w:szCs w:val="18"/>
          <w:lang w:val="en-US"/>
        </w:rPr>
      </w:pPr>
      <w:r w:rsidRPr="00A8229A">
        <w:rPr>
          <w:rStyle w:val="EndnoteReference"/>
          <w:rFonts w:cs="Arial"/>
          <w:szCs w:val="18"/>
        </w:rPr>
        <w:endnoteRef/>
      </w:r>
      <w:r w:rsidR="00870AF0" w:rsidRPr="00A8229A">
        <w:rPr>
          <w:rFonts w:cs="Arial"/>
          <w:szCs w:val="18"/>
        </w:rPr>
        <w:t xml:space="preserve">  Business Victoria</w:t>
      </w:r>
      <w:r w:rsidR="008A4685" w:rsidRPr="00A8229A">
        <w:rPr>
          <w:rFonts w:cs="Arial"/>
          <w:szCs w:val="18"/>
        </w:rPr>
        <w:t>.</w:t>
      </w:r>
      <w:r w:rsidR="0011567C" w:rsidRPr="00A8229A">
        <w:rPr>
          <w:rFonts w:cs="Arial"/>
          <w:szCs w:val="18"/>
        </w:rPr>
        <w:t xml:space="preserve"> </w:t>
      </w:r>
      <w:r w:rsidR="00F11018" w:rsidRPr="00A8229A">
        <w:rPr>
          <w:rFonts w:cs="Arial"/>
          <w:szCs w:val="18"/>
        </w:rPr>
        <w:t>(</w:t>
      </w:r>
      <w:r w:rsidR="0011567C" w:rsidRPr="00A8229A">
        <w:rPr>
          <w:rFonts w:cs="Arial"/>
          <w:szCs w:val="18"/>
        </w:rPr>
        <w:t>n.d</w:t>
      </w:r>
      <w:r w:rsidR="008A4685" w:rsidRPr="00A8229A">
        <w:rPr>
          <w:rFonts w:cs="Arial"/>
          <w:szCs w:val="18"/>
        </w:rPr>
        <w:t>.).</w:t>
      </w:r>
      <w:r w:rsidR="00C56869" w:rsidRPr="00A8229A">
        <w:rPr>
          <w:rFonts w:cs="Arial"/>
          <w:szCs w:val="18"/>
        </w:rPr>
        <w:t xml:space="preserve"> </w:t>
      </w:r>
      <w:r w:rsidR="00C56869" w:rsidRPr="00A8229A">
        <w:rPr>
          <w:rStyle w:val="Emphasis"/>
          <w:rFonts w:cs="Arial"/>
          <w:b w:val="0"/>
          <w:i/>
          <w:color w:val="auto"/>
          <w:szCs w:val="18"/>
        </w:rPr>
        <w:t xml:space="preserve">Business </w:t>
      </w:r>
      <w:r w:rsidR="008A4685" w:rsidRPr="00A8229A">
        <w:rPr>
          <w:rStyle w:val="Emphasis"/>
          <w:rFonts w:cs="Arial"/>
          <w:b w:val="0"/>
          <w:i/>
          <w:color w:val="auto"/>
          <w:szCs w:val="18"/>
        </w:rPr>
        <w:t>costs assistance program</w:t>
      </w:r>
      <w:r w:rsidR="00C56869" w:rsidRPr="00A8229A">
        <w:rPr>
          <w:rStyle w:val="Emphasis"/>
          <w:rFonts w:cs="Arial"/>
          <w:b w:val="0"/>
          <w:i/>
          <w:color w:val="auto"/>
          <w:szCs w:val="18"/>
        </w:rPr>
        <w:t xml:space="preserve"> grants and top-up payments</w:t>
      </w:r>
      <w:r w:rsidR="008A4685" w:rsidRPr="00A8229A">
        <w:rPr>
          <w:rFonts w:cs="Arial"/>
          <w:szCs w:val="18"/>
        </w:rPr>
        <w:t>. Retrieved from</w:t>
      </w:r>
      <w:r w:rsidR="00870AF0" w:rsidRPr="00A8229A">
        <w:rPr>
          <w:rFonts w:cs="Arial"/>
          <w:szCs w:val="18"/>
        </w:rPr>
        <w:t xml:space="preserve"> </w:t>
      </w:r>
      <w:r w:rsidRPr="00A8229A">
        <w:rPr>
          <w:rFonts w:cs="Arial"/>
          <w:szCs w:val="18"/>
        </w:rPr>
        <w:t>https://business.vic.gov.au/grants-and-programs/business-costs-assistance-program-grants-and-top-up-payments</w:t>
      </w:r>
      <w:r w:rsidR="00BA132C" w:rsidRPr="00A8229A">
        <w:rPr>
          <w:rFonts w:cs="Arial"/>
          <w:szCs w:val="18"/>
        </w:rPr>
        <w:t>.</w:t>
      </w:r>
    </w:p>
  </w:endnote>
  <w:endnote w:id="16">
    <w:p w14:paraId="116BAAD7" w14:textId="41301BA5" w:rsidR="00245866" w:rsidRPr="00A8229A" w:rsidRDefault="00245866"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546EFD" w:rsidRPr="00A8229A">
        <w:rPr>
          <w:rFonts w:cs="Arial"/>
          <w:szCs w:val="18"/>
        </w:rPr>
        <w:t>Victorian Auditor-General’s Office. (2023</w:t>
      </w:r>
      <w:r w:rsidR="00546EFD" w:rsidRPr="00A8229A">
        <w:rPr>
          <w:rFonts w:cs="Arial"/>
          <w:i/>
          <w:szCs w:val="18"/>
        </w:rPr>
        <w:t>). Auditor-General’s report: Annual financial report of the State of Victoria 2022-23.</w:t>
      </w:r>
      <w:r w:rsidR="00546EFD" w:rsidRPr="00A8229A">
        <w:rPr>
          <w:rFonts w:cs="Arial"/>
          <w:szCs w:val="18"/>
        </w:rPr>
        <w:t xml:space="preserve"> Retrieved from</w:t>
      </w:r>
      <w:r w:rsidRPr="00A8229A">
        <w:rPr>
          <w:rFonts w:cs="Arial"/>
          <w:szCs w:val="18"/>
        </w:rPr>
        <w:t xml:space="preserve"> </w:t>
      </w:r>
      <w:r w:rsidR="00FE1435" w:rsidRPr="00A8229A">
        <w:rPr>
          <w:rFonts w:cs="Arial"/>
          <w:szCs w:val="18"/>
        </w:rPr>
        <w:t>https://www.audit.vic.gov.au/report/auditor-generals-report-annual-financial-report-state-victoria-2022-23?section=</w:t>
      </w:r>
      <w:r w:rsidR="00BA132C" w:rsidRPr="00A8229A">
        <w:rPr>
          <w:rFonts w:cs="Arial"/>
          <w:szCs w:val="18"/>
        </w:rPr>
        <w:t>.</w:t>
      </w:r>
    </w:p>
  </w:endnote>
  <w:endnote w:id="17">
    <w:p w14:paraId="3CF257D8" w14:textId="04B21DC3" w:rsidR="004D7009" w:rsidRPr="00A8229A" w:rsidRDefault="004D7009" w:rsidP="006E0D7A">
      <w:pPr>
        <w:ind w:left="170" w:hanging="170"/>
        <w:rPr>
          <w:rFonts w:cs="Arial"/>
        </w:rPr>
      </w:pPr>
      <w:r w:rsidRPr="00A8229A">
        <w:rPr>
          <w:rStyle w:val="EndnoteReference"/>
          <w:rFonts w:cs="Arial"/>
        </w:rPr>
        <w:endnoteRef/>
      </w:r>
      <w:r w:rsidRPr="00A8229A">
        <w:rPr>
          <w:rFonts w:cs="Arial"/>
        </w:rPr>
        <w:t xml:space="preserve">  Australian Chamber of Commerce and Industry</w:t>
      </w:r>
      <w:r w:rsidR="0082196E" w:rsidRPr="00A8229A">
        <w:rPr>
          <w:rFonts w:cs="Arial"/>
        </w:rPr>
        <w:t>, &amp;</w:t>
      </w:r>
      <w:r w:rsidRPr="00A8229A">
        <w:rPr>
          <w:rFonts w:cs="Arial"/>
        </w:rPr>
        <w:t xml:space="preserve"> University of South Australia</w:t>
      </w:r>
      <w:r w:rsidR="0082196E" w:rsidRPr="00A8229A">
        <w:rPr>
          <w:rFonts w:cs="Arial"/>
        </w:rPr>
        <w:t>. (November</w:t>
      </w:r>
      <w:r w:rsidR="003225C6" w:rsidRPr="00A8229A">
        <w:rPr>
          <w:rFonts w:cs="Arial"/>
        </w:rPr>
        <w:t xml:space="preserve"> 2020</w:t>
      </w:r>
      <w:r w:rsidR="0082196E" w:rsidRPr="00A8229A">
        <w:rPr>
          <w:rFonts w:cs="Arial"/>
        </w:rPr>
        <w:t>).</w:t>
      </w:r>
      <w:r w:rsidRPr="00A8229A">
        <w:rPr>
          <w:rFonts w:cs="Arial"/>
        </w:rPr>
        <w:t xml:space="preserve"> </w:t>
      </w:r>
      <w:r w:rsidRPr="00A8229A">
        <w:rPr>
          <w:rFonts w:cs="Arial"/>
          <w:i/>
        </w:rPr>
        <w:t xml:space="preserve">Impact of COVID-19 on Australian business: A joint ACCI-UniSA </w:t>
      </w:r>
      <w:r w:rsidR="0082196E" w:rsidRPr="00A8229A">
        <w:rPr>
          <w:rFonts w:cs="Arial"/>
          <w:i/>
        </w:rPr>
        <w:t>survey.</w:t>
      </w:r>
      <w:r w:rsidR="0082196E" w:rsidRPr="00A8229A">
        <w:rPr>
          <w:rFonts w:cs="Arial"/>
        </w:rPr>
        <w:t xml:space="preserve"> Retrieved from </w:t>
      </w:r>
      <w:r w:rsidRPr="00A8229A">
        <w:rPr>
          <w:rFonts w:cs="Arial"/>
        </w:rPr>
        <w:t>https://www.australianchamber.com.au/wp-content/uploads/2020/11/Joint-ACCI-UniSA-business-survey-Nov-2020-Published.pdf</w:t>
      </w:r>
      <w:r w:rsidR="00BA132C" w:rsidRPr="00A8229A">
        <w:rPr>
          <w:rFonts w:cs="Arial"/>
        </w:rPr>
        <w:t>.</w:t>
      </w:r>
    </w:p>
  </w:endnote>
  <w:endnote w:id="18">
    <w:p w14:paraId="3820CC44" w14:textId="2C32CC8D" w:rsidR="004D7009" w:rsidRPr="00A8229A" w:rsidRDefault="004D7009" w:rsidP="006E0D7A">
      <w:pPr>
        <w:ind w:left="170" w:hanging="170"/>
        <w:rPr>
          <w:rFonts w:cs="Arial"/>
        </w:rPr>
      </w:pPr>
      <w:r w:rsidRPr="00A8229A">
        <w:rPr>
          <w:rStyle w:val="EndnoteReference"/>
          <w:rFonts w:cs="Arial"/>
        </w:rPr>
        <w:endnoteRef/>
      </w:r>
      <w:r w:rsidRPr="00A8229A">
        <w:rPr>
          <w:rFonts w:cs="Arial"/>
        </w:rPr>
        <w:t xml:space="preserve">  National Australia Bank</w:t>
      </w:r>
      <w:r w:rsidR="00B570AC" w:rsidRPr="00A8229A">
        <w:rPr>
          <w:rFonts w:cs="Arial"/>
        </w:rPr>
        <w:t>. (2020, July).</w:t>
      </w:r>
      <w:r w:rsidRPr="00A8229A">
        <w:rPr>
          <w:rFonts w:cs="Arial"/>
        </w:rPr>
        <w:t xml:space="preserve"> </w:t>
      </w:r>
      <w:r w:rsidRPr="00A8229A">
        <w:rPr>
          <w:rFonts w:cs="Arial"/>
          <w:i/>
        </w:rPr>
        <w:t xml:space="preserve">NAB </w:t>
      </w:r>
      <w:r w:rsidR="00B570AC" w:rsidRPr="00A8229A">
        <w:rPr>
          <w:rFonts w:cs="Arial"/>
          <w:i/>
        </w:rPr>
        <w:t>quarterly business survey</w:t>
      </w:r>
      <w:r w:rsidRPr="00A8229A">
        <w:rPr>
          <w:rFonts w:cs="Arial"/>
          <w:i/>
        </w:rPr>
        <w:t xml:space="preserve"> 2020 Q2</w:t>
      </w:r>
      <w:r w:rsidR="00B570AC" w:rsidRPr="00A8229A">
        <w:rPr>
          <w:rFonts w:cs="Arial"/>
          <w:i/>
        </w:rPr>
        <w:t xml:space="preserve">. </w:t>
      </w:r>
      <w:r w:rsidR="00B570AC" w:rsidRPr="00A8229A">
        <w:rPr>
          <w:rFonts w:cs="Arial"/>
        </w:rPr>
        <w:t xml:space="preserve">Retrieved from </w:t>
      </w:r>
      <w:r w:rsidRPr="00A8229A">
        <w:rPr>
          <w:rFonts w:cs="Arial"/>
        </w:rPr>
        <w:t>https://business.nab.com.au/wp-content/uploads/2020/07/nab-quarterly-business-survey-q2-2020.pdf</w:t>
      </w:r>
      <w:r w:rsidR="00BA132C" w:rsidRPr="00A8229A">
        <w:rPr>
          <w:rFonts w:cs="Arial"/>
        </w:rPr>
        <w:t>.</w:t>
      </w:r>
    </w:p>
  </w:endnote>
  <w:endnote w:id="19">
    <w:p w14:paraId="5D491B87" w14:textId="606957F7" w:rsidR="004D7009" w:rsidRPr="00A8229A" w:rsidRDefault="004D7009" w:rsidP="006E0D7A">
      <w:pPr>
        <w:pStyle w:val="EndnoteText"/>
        <w:ind w:left="170" w:hanging="170"/>
        <w:rPr>
          <w:rFonts w:cs="Arial"/>
          <w:szCs w:val="18"/>
          <w:highlight w:val="yellow"/>
        </w:rPr>
      </w:pPr>
      <w:r w:rsidRPr="00A8229A">
        <w:rPr>
          <w:rStyle w:val="EndnoteReference"/>
          <w:rFonts w:cs="Arial"/>
          <w:szCs w:val="18"/>
        </w:rPr>
        <w:endnoteRef/>
      </w:r>
      <w:r w:rsidRPr="00A8229A">
        <w:rPr>
          <w:rFonts w:cs="Arial"/>
          <w:szCs w:val="18"/>
        </w:rPr>
        <w:t xml:space="preserve"> Dolamore, </w:t>
      </w:r>
      <w:r w:rsidR="00B8296D" w:rsidRPr="00A8229A">
        <w:rPr>
          <w:rFonts w:cs="Arial"/>
          <w:szCs w:val="18"/>
        </w:rPr>
        <w:t>R. (n.d.).</w:t>
      </w:r>
      <w:r w:rsidRPr="00A8229A">
        <w:rPr>
          <w:rStyle w:val="Emphasis"/>
          <w:rFonts w:cs="Arial"/>
          <w:b w:val="0"/>
          <w:i/>
          <w:color w:val="auto"/>
          <w:szCs w:val="18"/>
        </w:rPr>
        <w:t xml:space="preserve">The tools of macroeconomic policy – a short </w:t>
      </w:r>
      <w:r w:rsidR="00B8296D" w:rsidRPr="00A8229A">
        <w:rPr>
          <w:rStyle w:val="Emphasis"/>
          <w:rFonts w:cs="Arial"/>
          <w:b w:val="0"/>
          <w:i/>
          <w:color w:val="auto"/>
          <w:szCs w:val="18"/>
        </w:rPr>
        <w:t>primer</w:t>
      </w:r>
      <w:r w:rsidR="00B8296D" w:rsidRPr="00A8229A">
        <w:rPr>
          <w:rFonts w:cs="Arial"/>
          <w:szCs w:val="18"/>
        </w:rPr>
        <w:t>.</w:t>
      </w:r>
      <w:r w:rsidRPr="00A8229A">
        <w:rPr>
          <w:rFonts w:cs="Arial"/>
          <w:szCs w:val="18"/>
        </w:rPr>
        <w:t xml:space="preserve"> Parliament of Australia</w:t>
      </w:r>
      <w:r w:rsidR="00B8296D" w:rsidRPr="00A8229A">
        <w:rPr>
          <w:rFonts w:cs="Arial"/>
          <w:szCs w:val="18"/>
        </w:rPr>
        <w:t xml:space="preserve">. Retrieved from </w:t>
      </w:r>
      <w:r w:rsidRPr="00A8229A">
        <w:rPr>
          <w:rFonts w:cs="Arial"/>
          <w:szCs w:val="18"/>
        </w:rPr>
        <w:t>https://www.aph.gov.au/About_Parliament/Parliamentary_departments/Parliamentary_Library/pubs/BriefingBook44p/MacroeconomicPolicy</w:t>
      </w:r>
      <w:r w:rsidR="00BA132C" w:rsidRPr="00A8229A">
        <w:rPr>
          <w:rFonts w:cs="Arial"/>
          <w:szCs w:val="18"/>
        </w:rPr>
        <w:t>.</w:t>
      </w:r>
    </w:p>
  </w:endnote>
  <w:endnote w:id="20">
    <w:p w14:paraId="58B1E72D" w14:textId="234ED721" w:rsidR="004D7009" w:rsidRPr="00A8229A" w:rsidRDefault="004D7009"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Ting, </w:t>
      </w:r>
      <w:r w:rsidR="006A113C" w:rsidRPr="00A8229A">
        <w:rPr>
          <w:rFonts w:cs="Arial"/>
          <w:szCs w:val="18"/>
        </w:rPr>
        <w:t>I.,</w:t>
      </w:r>
      <w:r w:rsidRPr="00A8229A">
        <w:rPr>
          <w:rFonts w:cs="Arial"/>
          <w:szCs w:val="18"/>
        </w:rPr>
        <w:t xml:space="preserve"> Shatoba, </w:t>
      </w:r>
      <w:r w:rsidR="006A113C" w:rsidRPr="00A8229A">
        <w:rPr>
          <w:rFonts w:cs="Arial"/>
          <w:szCs w:val="18"/>
        </w:rPr>
        <w:t>K., &amp;</w:t>
      </w:r>
      <w:r w:rsidRPr="00A8229A">
        <w:rPr>
          <w:rFonts w:cs="Arial"/>
          <w:szCs w:val="18"/>
        </w:rPr>
        <w:t xml:space="preserve"> Palmer, </w:t>
      </w:r>
      <w:r w:rsidR="006A113C" w:rsidRPr="00A8229A">
        <w:rPr>
          <w:rFonts w:cs="Arial"/>
          <w:szCs w:val="18"/>
        </w:rPr>
        <w:t>A. (January 14</w:t>
      </w:r>
      <w:r w:rsidR="003225C6" w:rsidRPr="00A8229A">
        <w:rPr>
          <w:rFonts w:cs="Arial"/>
          <w:szCs w:val="18"/>
        </w:rPr>
        <w:t xml:space="preserve"> 2022</w:t>
      </w:r>
      <w:r w:rsidR="006A113C" w:rsidRPr="00A8229A">
        <w:rPr>
          <w:rFonts w:cs="Arial"/>
          <w:szCs w:val="18"/>
        </w:rPr>
        <w:t xml:space="preserve">). </w:t>
      </w:r>
      <w:r w:rsidRPr="00A8229A">
        <w:rPr>
          <w:rStyle w:val="Emphasis"/>
          <w:rFonts w:cs="Arial"/>
          <w:b w:val="0"/>
          <w:i/>
          <w:color w:val="auto"/>
          <w:szCs w:val="18"/>
        </w:rPr>
        <w:t xml:space="preserve">Charting Australia’s COVID-19 vaccine </w:t>
      </w:r>
      <w:r w:rsidR="006A113C" w:rsidRPr="00A8229A">
        <w:rPr>
          <w:rStyle w:val="Emphasis"/>
          <w:rFonts w:cs="Arial"/>
          <w:b w:val="0"/>
          <w:i/>
          <w:color w:val="auto"/>
          <w:szCs w:val="18"/>
        </w:rPr>
        <w:t>rollout</w:t>
      </w:r>
      <w:r w:rsidR="006A113C" w:rsidRPr="00A8229A">
        <w:rPr>
          <w:rFonts w:cs="Arial"/>
          <w:b/>
          <w:i/>
          <w:szCs w:val="18"/>
        </w:rPr>
        <w:t>.</w:t>
      </w:r>
      <w:r w:rsidRPr="00A8229A">
        <w:rPr>
          <w:rFonts w:cs="Arial"/>
          <w:szCs w:val="18"/>
        </w:rPr>
        <w:t xml:space="preserve"> ABC News</w:t>
      </w:r>
      <w:r w:rsidR="006A113C" w:rsidRPr="00A8229A">
        <w:rPr>
          <w:rFonts w:cs="Arial"/>
          <w:szCs w:val="18"/>
        </w:rPr>
        <w:t xml:space="preserve">. Retrieved from </w:t>
      </w:r>
      <w:r w:rsidRPr="00A8229A">
        <w:rPr>
          <w:rFonts w:cs="Arial"/>
          <w:szCs w:val="18"/>
        </w:rPr>
        <w:t>https://www.abc.net.au/news/2021-03-02/charting-australias-covid-vaccine-rollout/13197518</w:t>
      </w:r>
      <w:r w:rsidR="00BA132C" w:rsidRPr="00A8229A">
        <w:rPr>
          <w:rFonts w:cs="Arial"/>
          <w:szCs w:val="18"/>
        </w:rPr>
        <w:t>.</w:t>
      </w:r>
    </w:p>
  </w:endnote>
  <w:endnote w:id="21">
    <w:p w14:paraId="0BCEC7B3" w14:textId="3F1F4910" w:rsidR="0095464F" w:rsidRPr="00DE5368" w:rsidRDefault="0095464F" w:rsidP="00893EB3">
      <w:pPr>
        <w:pStyle w:val="EndnoteText"/>
        <w:ind w:left="170" w:hanging="170"/>
      </w:pPr>
      <w:r>
        <w:rPr>
          <w:rStyle w:val="EndnoteReference"/>
        </w:rPr>
        <w:endnoteRef/>
      </w:r>
      <w:r>
        <w:t xml:space="preserve"> </w:t>
      </w:r>
      <w:r w:rsidR="002C4373">
        <w:t>Hamilton, S</w:t>
      </w:r>
      <w:r w:rsidR="00065EC9">
        <w:t>. (2020)</w:t>
      </w:r>
      <w:r w:rsidR="00DE5368">
        <w:t xml:space="preserve">. </w:t>
      </w:r>
      <w:r w:rsidR="00DE5368" w:rsidRPr="00893EB3">
        <w:t>A tale of two wage subsidies: the American and Australian fiscal responses to COVID-19</w:t>
      </w:r>
      <w:r w:rsidR="002111EE" w:rsidRPr="00482070">
        <w:t>.</w:t>
      </w:r>
      <w:r w:rsidR="002111EE">
        <w:t xml:space="preserve"> National</w:t>
      </w:r>
      <w:r w:rsidR="00AA7A5F">
        <w:t xml:space="preserve"> Tax Journal</w:t>
      </w:r>
      <w:r w:rsidR="004C7621">
        <w:t xml:space="preserve">. Retrieved from </w:t>
      </w:r>
      <w:r w:rsidR="004C7621" w:rsidRPr="004C7621">
        <w:t>https://www.journals.uchicago.edu/doi/abs/10.17310/ntj.2020.3.09</w:t>
      </w:r>
      <w:r w:rsidR="004C7621">
        <w:t>.</w:t>
      </w:r>
    </w:p>
  </w:endnote>
  <w:endnote w:id="22">
    <w:p w14:paraId="74434644" w14:textId="77777777" w:rsidR="00D37950" w:rsidRDefault="00456E2C" w:rsidP="00D37950">
      <w:pPr>
        <w:pStyle w:val="EndnoteText"/>
        <w:ind w:left="170" w:hanging="170"/>
        <w:rPr>
          <w:rFonts w:cs="Arial"/>
          <w:i/>
          <w:szCs w:val="18"/>
        </w:rPr>
      </w:pPr>
      <w:r>
        <w:rPr>
          <w:rStyle w:val="EndnoteReference"/>
        </w:rPr>
        <w:endnoteRef/>
      </w:r>
      <w:r>
        <w:t xml:space="preserve"> </w:t>
      </w:r>
      <w:r w:rsidR="00D37950" w:rsidRPr="00A8229A">
        <w:rPr>
          <w:rFonts w:cs="Arial"/>
          <w:szCs w:val="18"/>
        </w:rPr>
        <w:t xml:space="preserve">Cassells, R., &amp; Duncan, A. (2020). JobKeeper: The efficacy of Australia’s first short-time wage subsidy. </w:t>
      </w:r>
      <w:r w:rsidR="00D37950" w:rsidRPr="00A8229A">
        <w:rPr>
          <w:rFonts w:cs="Arial"/>
          <w:i/>
          <w:szCs w:val="18"/>
        </w:rPr>
        <w:t>Australian Journal of Labour Economics</w:t>
      </w:r>
      <w:r w:rsidR="00D37950">
        <w:rPr>
          <w:rFonts w:cs="Arial"/>
          <w:i/>
          <w:szCs w:val="18"/>
        </w:rPr>
        <w:t>;</w:t>
      </w:r>
    </w:p>
    <w:p w14:paraId="5DA254D4" w14:textId="01ECCB63" w:rsidR="00456E2C" w:rsidRPr="00893EB3" w:rsidRDefault="00AE168F" w:rsidP="00893EB3">
      <w:pPr>
        <w:pStyle w:val="EndnoteText"/>
        <w:ind w:left="170"/>
        <w:rPr>
          <w:rFonts w:cs="Arial"/>
          <w:i/>
          <w:szCs w:val="18"/>
        </w:rPr>
      </w:pPr>
      <w:r>
        <w:t>Ma, J., Pitchford, R., &amp; Tourky, R. (29 March 2020)</w:t>
      </w:r>
      <w:r w:rsidR="00985B44">
        <w:t xml:space="preserve">. </w:t>
      </w:r>
      <w:r w:rsidR="00985B44">
        <w:rPr>
          <w:i/>
          <w:iCs/>
        </w:rPr>
        <w:t>Wage subsidies during COVID-19 are a bad idea.</w:t>
      </w:r>
      <w:r w:rsidR="00985B44">
        <w:t xml:space="preserve"> Australian National </w:t>
      </w:r>
      <w:r w:rsidR="00457502">
        <w:t xml:space="preserve">University. Retrieved from </w:t>
      </w:r>
      <w:r w:rsidR="00456E2C" w:rsidRPr="00456E2C">
        <w:t>https://cbe.anu.edu.au/news/2020/wage-subsidies-during-covid-19-are-bad-idea-0</w:t>
      </w:r>
      <w:r w:rsidR="00457502">
        <w:t>.</w:t>
      </w:r>
    </w:p>
  </w:endnote>
  <w:endnote w:id="23">
    <w:p w14:paraId="60C14B63" w14:textId="119BB88C" w:rsidR="006E5E4A" w:rsidRDefault="006E5E4A" w:rsidP="008E64A4">
      <w:pPr>
        <w:pStyle w:val="EndnoteText"/>
        <w:ind w:left="170" w:hanging="170"/>
      </w:pPr>
      <w:r>
        <w:rPr>
          <w:rStyle w:val="EndnoteReference"/>
        </w:rPr>
        <w:endnoteRef/>
      </w:r>
      <w:r w:rsidRPr="003D0859">
        <w:t xml:space="preserve"> </w:t>
      </w:r>
      <w:r w:rsidRPr="00F77F1E">
        <w:t>Murakozy, B., Telegdy, A.</w:t>
      </w:r>
      <w:r w:rsidR="00AA7D68" w:rsidRPr="00F77F1E">
        <w:t xml:space="preserve"> (2023).</w:t>
      </w:r>
      <w:r w:rsidR="003D0859" w:rsidRPr="00F77F1E">
        <w:t xml:space="preserve"> </w:t>
      </w:r>
      <w:r w:rsidR="00A23D2D">
        <w:t>‘</w:t>
      </w:r>
      <w:r w:rsidR="003D0859" w:rsidRPr="00F77F1E">
        <w:t>The effects of EU-funded enterprise grants on firms and workers</w:t>
      </w:r>
      <w:r w:rsidR="00C40415">
        <w:t>’</w:t>
      </w:r>
      <w:r w:rsidR="00E017B1">
        <w:t xml:space="preserve">, </w:t>
      </w:r>
      <w:r w:rsidR="00E017B1">
        <w:rPr>
          <w:i/>
          <w:iCs/>
        </w:rPr>
        <w:t>Journal of Comparative Economics</w:t>
      </w:r>
      <w:r w:rsidR="00E017B1">
        <w:t xml:space="preserve">, </w:t>
      </w:r>
      <w:r w:rsidR="00E017B1">
        <w:rPr>
          <w:i/>
        </w:rPr>
        <w:t>51</w:t>
      </w:r>
      <w:r w:rsidR="002B3A0E">
        <w:t>(1): 216–234.</w:t>
      </w:r>
    </w:p>
    <w:p w14:paraId="6EB4C183" w14:textId="5AA267B3" w:rsidR="006E5E4A" w:rsidRPr="007B511E" w:rsidRDefault="002D6F70" w:rsidP="00F77F1E">
      <w:pPr>
        <w:pStyle w:val="EndnoteText"/>
        <w:ind w:left="170"/>
      </w:pPr>
      <w:r>
        <w:t>Kavourakis, J., Tanewski, G., &amp; Zaman, M. (2024). ‘Efficacy of Commonwealth Government Business Grants’. The IPA-Deakin SME Research Centre, Deakin University</w:t>
      </w:r>
    </w:p>
  </w:endnote>
  <w:endnote w:id="24">
    <w:p w14:paraId="21EC24AA" w14:textId="088D265E" w:rsidR="00A60F71" w:rsidRPr="0015039B" w:rsidRDefault="00A60F71" w:rsidP="00893EB3">
      <w:pPr>
        <w:pStyle w:val="EndnoteText"/>
        <w:ind w:left="170" w:hanging="170"/>
      </w:pPr>
      <w:r>
        <w:rPr>
          <w:rStyle w:val="EndnoteReference"/>
        </w:rPr>
        <w:endnoteRef/>
      </w:r>
      <w:r w:rsidRPr="008144D0">
        <w:t xml:space="preserve"> Linden, J., O’Donoghue, C., Sologon</w:t>
      </w:r>
      <w:r w:rsidR="0015039B" w:rsidRPr="008144D0">
        <w:t>, D. M. (</w:t>
      </w:r>
      <w:r w:rsidR="002066C3" w:rsidRPr="008144D0">
        <w:t xml:space="preserve">9 August </w:t>
      </w:r>
      <w:r w:rsidR="0015039B" w:rsidRPr="008144D0">
        <w:t xml:space="preserve">2021). </w:t>
      </w:r>
      <w:r w:rsidR="0015039B" w:rsidRPr="00893EB3">
        <w:rPr>
          <w:i/>
        </w:rPr>
        <w:t>The Structure and Incentives of a COVID related Emergency Wage Subsidy</w:t>
      </w:r>
      <w:r w:rsidR="0015039B">
        <w:t xml:space="preserve">. </w:t>
      </w:r>
      <w:r w:rsidR="00177AA5">
        <w:t xml:space="preserve">arXiv. Retrieved from </w:t>
      </w:r>
      <w:r w:rsidR="002066C3" w:rsidRPr="002066C3">
        <w:t>https://arxiv.org/abs/2108.04198</w:t>
      </w:r>
      <w:r w:rsidR="002066C3">
        <w:t>.</w:t>
      </w:r>
    </w:p>
  </w:endnote>
  <w:endnote w:id="25">
    <w:p w14:paraId="55AF070C" w14:textId="01386A07" w:rsidR="004169DE" w:rsidRPr="00A8229A" w:rsidRDefault="004169DE"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Department of </w:t>
      </w:r>
      <w:r w:rsidR="006E0A79" w:rsidRPr="00A8229A">
        <w:rPr>
          <w:rFonts w:cs="Arial"/>
          <w:szCs w:val="18"/>
        </w:rPr>
        <w:t>Infrastructure</w:t>
      </w:r>
      <w:r w:rsidRPr="00A8229A">
        <w:rPr>
          <w:rFonts w:cs="Arial"/>
          <w:szCs w:val="18"/>
        </w:rPr>
        <w:t>, Transport, Regional Development, Communications and the Arts</w:t>
      </w:r>
      <w:r w:rsidR="005741E8" w:rsidRPr="00A8229A">
        <w:rPr>
          <w:rFonts w:cs="Arial"/>
          <w:szCs w:val="18"/>
        </w:rPr>
        <w:t>. (2024, May 7).</w:t>
      </w:r>
      <w:r w:rsidRPr="00A8229A">
        <w:rPr>
          <w:rFonts w:cs="Arial"/>
          <w:szCs w:val="18"/>
        </w:rPr>
        <w:t xml:space="preserve"> </w:t>
      </w:r>
      <w:r w:rsidR="006E0A79" w:rsidRPr="00A8229A">
        <w:rPr>
          <w:rStyle w:val="Emphasis"/>
          <w:rFonts w:cs="Arial"/>
          <w:b w:val="0"/>
          <w:i/>
          <w:color w:val="auto"/>
          <w:szCs w:val="18"/>
        </w:rPr>
        <w:t xml:space="preserve">Experimental </w:t>
      </w:r>
      <w:r w:rsidR="005741E8" w:rsidRPr="00A8229A">
        <w:rPr>
          <w:rStyle w:val="Emphasis"/>
          <w:rFonts w:cs="Arial"/>
          <w:b w:val="0"/>
          <w:i/>
          <w:color w:val="auto"/>
          <w:szCs w:val="18"/>
        </w:rPr>
        <w:t>gross regional product</w:t>
      </w:r>
      <w:r w:rsidR="006E0A79" w:rsidRPr="00A8229A">
        <w:rPr>
          <w:rStyle w:val="Emphasis"/>
          <w:rFonts w:cs="Arial"/>
          <w:b w:val="0"/>
          <w:i/>
          <w:color w:val="auto"/>
          <w:szCs w:val="18"/>
        </w:rPr>
        <w:t xml:space="preserve"> estimates</w:t>
      </w:r>
      <w:r w:rsidR="005741E8" w:rsidRPr="00A8229A">
        <w:rPr>
          <w:rFonts w:cs="Arial"/>
          <w:b/>
          <w:i/>
          <w:szCs w:val="18"/>
        </w:rPr>
        <w:t>.</w:t>
      </w:r>
      <w:r w:rsidR="005741E8" w:rsidRPr="00A8229A">
        <w:rPr>
          <w:rFonts w:cs="Arial"/>
          <w:szCs w:val="18"/>
        </w:rPr>
        <w:t xml:space="preserve"> Retrieved from</w:t>
      </w:r>
      <w:r w:rsidR="00E26812" w:rsidRPr="00A8229A">
        <w:rPr>
          <w:rFonts w:cs="Arial"/>
          <w:szCs w:val="18"/>
        </w:rPr>
        <w:t xml:space="preserve"> https://www.infrastructure.gov.au/department/media/publications/experimental-gross-regional-product-estimates</w:t>
      </w:r>
      <w:r w:rsidR="00BA132C" w:rsidRPr="00A8229A">
        <w:rPr>
          <w:rFonts w:cs="Arial"/>
          <w:szCs w:val="18"/>
        </w:rPr>
        <w:t>.</w:t>
      </w:r>
    </w:p>
  </w:endnote>
  <w:endnote w:id="26">
    <w:p w14:paraId="2B418796" w14:textId="77777777" w:rsidR="00B56308" w:rsidRPr="00A8229A" w:rsidRDefault="00B56308"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Schumpeter, J. A. (1942). </w:t>
      </w:r>
      <w:r w:rsidRPr="00A8229A">
        <w:rPr>
          <w:rFonts w:cs="Arial"/>
          <w:i/>
          <w:iCs/>
          <w:szCs w:val="18"/>
        </w:rPr>
        <w:t>Capitalism, socialism and democracy</w:t>
      </w:r>
      <w:r w:rsidRPr="00A8229A">
        <w:rPr>
          <w:rFonts w:cs="Arial"/>
          <w:szCs w:val="18"/>
        </w:rPr>
        <w:t>. Harper &amp; Brothers.</w:t>
      </w:r>
    </w:p>
  </w:endnote>
  <w:endnote w:id="27">
    <w:p w14:paraId="31087DAB" w14:textId="77777777" w:rsidR="002155B2" w:rsidRPr="00A8229A" w:rsidRDefault="002155B2" w:rsidP="002155B2">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Andrews, D., Deutscher, N., Hambur, J., &amp; Hansell, D. (2020). The career effects of labour market conditions at entry. </w:t>
      </w:r>
      <w:r w:rsidRPr="00A8229A">
        <w:rPr>
          <w:rFonts w:cs="Arial"/>
          <w:i/>
          <w:szCs w:val="18"/>
        </w:rPr>
        <w:t>Australian Treasury Working Paper No. 2020-01.</w:t>
      </w:r>
      <w:r w:rsidRPr="00A8229A">
        <w:rPr>
          <w:rFonts w:cs="Arial"/>
          <w:szCs w:val="18"/>
        </w:rPr>
        <w:t xml:space="preserve"> Retrieved from https://treasury.gov.au/publication/p2020-85098.</w:t>
      </w:r>
    </w:p>
  </w:endnote>
  <w:endnote w:id="28">
    <w:p w14:paraId="2DC9D8EC" w14:textId="77777777" w:rsidR="002155B2" w:rsidRPr="00A8229A" w:rsidRDefault="002155B2" w:rsidP="002155B2">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Murphy, C. (2023). ‘Fiscal policy in the COVID-19 era’. </w:t>
      </w:r>
      <w:r w:rsidRPr="00A8229A">
        <w:rPr>
          <w:rFonts w:cs="Arial"/>
          <w:i/>
          <w:szCs w:val="18"/>
        </w:rPr>
        <w:t>Journal of Economic Policy, 42</w:t>
      </w:r>
      <w:r w:rsidRPr="00A8229A">
        <w:rPr>
          <w:rFonts w:cs="Arial"/>
          <w:szCs w:val="18"/>
        </w:rPr>
        <w:t>(2), 107.</w:t>
      </w:r>
    </w:p>
  </w:endnote>
  <w:endnote w:id="29">
    <w:p w14:paraId="33939A5F" w14:textId="77777777" w:rsidR="002155B2" w:rsidRPr="00A8229A" w:rsidRDefault="002155B2" w:rsidP="002155B2">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Cassells, R., &amp; Duncan, A. (2020). JobKeeper: The efficacy of Australia’s first short-time wage subsidy. </w:t>
      </w:r>
      <w:r w:rsidRPr="00A8229A">
        <w:rPr>
          <w:rFonts w:cs="Arial"/>
          <w:i/>
          <w:szCs w:val="18"/>
        </w:rPr>
        <w:t>Australian Journal of Labour Economics.</w:t>
      </w:r>
    </w:p>
  </w:endnote>
  <w:endnote w:id="30">
    <w:p w14:paraId="237FC805" w14:textId="77777777" w:rsidR="002155B2" w:rsidRPr="00A8229A" w:rsidRDefault="002155B2" w:rsidP="002155B2">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Murphy, C. (2023). ‘Fiscal policy in the COVID-19 era’. </w:t>
      </w:r>
      <w:r w:rsidRPr="00A8229A">
        <w:rPr>
          <w:rFonts w:cs="Arial"/>
          <w:i/>
          <w:szCs w:val="18"/>
        </w:rPr>
        <w:t>Journal of Economic Policy, 42</w:t>
      </w:r>
      <w:r w:rsidRPr="00A8229A">
        <w:rPr>
          <w:rFonts w:cs="Arial"/>
          <w:szCs w:val="18"/>
        </w:rPr>
        <w:t>(2), 107.</w:t>
      </w:r>
    </w:p>
  </w:endnote>
  <w:endnote w:id="31">
    <w:p w14:paraId="5819677A" w14:textId="58520DA0" w:rsidR="00E86729" w:rsidRPr="00F77F1E" w:rsidRDefault="00E86729">
      <w:pPr>
        <w:pStyle w:val="EndnoteText"/>
        <w:rPr>
          <w:i/>
          <w:lang w:val="en-US"/>
        </w:rPr>
      </w:pPr>
      <w:r>
        <w:rPr>
          <w:rStyle w:val="EndnoteReference"/>
        </w:rPr>
        <w:endnoteRef/>
      </w:r>
      <w:r>
        <w:t xml:space="preserve"> </w:t>
      </w:r>
      <w:r w:rsidRPr="00E86729">
        <w:t xml:space="preserve">Department of Treasury and Finance. (2013). </w:t>
      </w:r>
      <w:r w:rsidRPr="002526CE">
        <w:rPr>
          <w:iCs/>
        </w:rPr>
        <w:t>Economic Evaluation for Business Cases Technical Guidelines</w:t>
      </w:r>
      <w:r w:rsidR="001804F9">
        <w:rPr>
          <w:iCs/>
        </w:rPr>
        <w:t>.</w:t>
      </w:r>
    </w:p>
  </w:endnote>
  <w:endnote w:id="32">
    <w:p w14:paraId="047A88D3" w14:textId="08DBAC6D" w:rsidR="000D2659" w:rsidRPr="00051913" w:rsidRDefault="0079461A" w:rsidP="00732BB3">
      <w:pPr>
        <w:pStyle w:val="EndnoteText"/>
        <w:rPr>
          <w:i/>
          <w:iCs/>
        </w:rPr>
      </w:pPr>
      <w:r>
        <w:rPr>
          <w:rStyle w:val="EndnoteReference"/>
        </w:rPr>
        <w:endnoteRef/>
      </w:r>
      <w:r>
        <w:t xml:space="preserve"> </w:t>
      </w:r>
      <w:r w:rsidR="000D2659" w:rsidRPr="000D2659">
        <w:rPr>
          <w:rFonts w:cs="Arial"/>
          <w:szCs w:val="18"/>
        </w:rPr>
        <w:t xml:space="preserve">KPMG Econtech for Commonwealth Treasury </w:t>
      </w:r>
      <w:r w:rsidR="000D2659">
        <w:rPr>
          <w:rFonts w:cs="Arial"/>
          <w:szCs w:val="18"/>
        </w:rPr>
        <w:t>(</w:t>
      </w:r>
      <w:r w:rsidR="000D2659" w:rsidRPr="000D2659">
        <w:rPr>
          <w:rFonts w:cs="Arial"/>
          <w:szCs w:val="18"/>
        </w:rPr>
        <w:t>2010</w:t>
      </w:r>
      <w:r w:rsidR="000D2659">
        <w:rPr>
          <w:rFonts w:cs="Arial"/>
          <w:szCs w:val="18"/>
        </w:rPr>
        <w:t>).</w:t>
      </w:r>
      <w:r w:rsidR="000D2659" w:rsidRPr="000D2659">
        <w:rPr>
          <w:rFonts w:cs="Arial"/>
          <w:szCs w:val="18"/>
        </w:rPr>
        <w:t xml:space="preserve"> </w:t>
      </w:r>
      <w:r w:rsidR="000D2659" w:rsidRPr="00DA4B30">
        <w:t>CGE Analysis of the current Australian tax system </w:t>
      </w:r>
      <w:r w:rsidR="00DA4B30" w:rsidRPr="00051913">
        <w:t>-</w:t>
      </w:r>
      <w:r w:rsidR="000D2659" w:rsidRPr="00846A5E">
        <w:t xml:space="preserve"> </w:t>
      </w:r>
      <w:r w:rsidR="000D2659" w:rsidRPr="00DA4B30">
        <w:t>Final Report</w:t>
      </w:r>
      <w:r w:rsidR="005814FA" w:rsidRPr="00DA4B30">
        <w:t>.</w:t>
      </w:r>
    </w:p>
  </w:endnote>
  <w:endnote w:id="33">
    <w:p w14:paraId="511767F3" w14:textId="486CC653" w:rsidR="00A71C94" w:rsidRPr="002526CE" w:rsidRDefault="00A71C94">
      <w:pPr>
        <w:pStyle w:val="EndnoteText"/>
        <w:rPr>
          <w:iCs/>
          <w:lang w:val="en-US"/>
        </w:rPr>
      </w:pPr>
      <w:r>
        <w:rPr>
          <w:rStyle w:val="EndnoteReference"/>
        </w:rPr>
        <w:endnoteRef/>
      </w:r>
      <w:r>
        <w:t xml:space="preserve"> </w:t>
      </w:r>
      <w:r w:rsidR="00E6236E">
        <w:t xml:space="preserve">Victorian </w:t>
      </w:r>
      <w:r w:rsidR="00384294">
        <w:t>Government</w:t>
      </w:r>
      <w:r w:rsidR="00C462D0">
        <w:t>.</w:t>
      </w:r>
      <w:r w:rsidR="00E6236E">
        <w:t xml:space="preserve"> </w:t>
      </w:r>
      <w:r w:rsidR="00384294">
        <w:t>(2023)</w:t>
      </w:r>
      <w:r w:rsidR="00C462D0">
        <w:t>.</w:t>
      </w:r>
      <w:r>
        <w:t xml:space="preserve"> </w:t>
      </w:r>
      <w:r w:rsidR="00E6236E" w:rsidRPr="002526CE">
        <w:rPr>
          <w:iCs/>
        </w:rPr>
        <w:t>Victorian Budget 2023/24 Doing What Matters COVID Debt Repayment Pla</w:t>
      </w:r>
      <w:r w:rsidR="00384294" w:rsidRPr="002526CE">
        <w:rPr>
          <w:iCs/>
        </w:rPr>
        <w:t>n</w:t>
      </w:r>
      <w:r w:rsidR="00C462D0" w:rsidRPr="002526CE">
        <w:rPr>
          <w:iCs/>
        </w:rPr>
        <w:t>.</w:t>
      </w:r>
    </w:p>
  </w:endnote>
  <w:endnote w:id="34">
    <w:p w14:paraId="07A5594F" w14:textId="31A76C65" w:rsidR="00CA2D4E" w:rsidRPr="00F77F1E" w:rsidRDefault="00CA2D4E">
      <w:pPr>
        <w:pStyle w:val="EndnoteText"/>
        <w:rPr>
          <w:lang w:val="en-US"/>
        </w:rPr>
      </w:pPr>
      <w:r>
        <w:rPr>
          <w:rStyle w:val="EndnoteReference"/>
        </w:rPr>
        <w:endnoteRef/>
      </w:r>
      <w:r>
        <w:t xml:space="preserve"> </w:t>
      </w:r>
      <w:r w:rsidR="004C0A64" w:rsidRPr="002D6F00">
        <w:t>Campbell, H</w:t>
      </w:r>
      <w:r w:rsidR="004C0A64">
        <w:t>.</w:t>
      </w:r>
      <w:r w:rsidR="004C0A64" w:rsidRPr="002D6F00">
        <w:t xml:space="preserve"> 1997</w:t>
      </w:r>
      <w:r w:rsidR="004C0A64">
        <w:t>.</w:t>
      </w:r>
      <w:r w:rsidR="004C0A64" w:rsidRPr="002D6F00">
        <w:t xml:space="preserve"> </w:t>
      </w:r>
      <w:r w:rsidR="004C0A64" w:rsidRPr="00F77F1E">
        <w:rPr>
          <w:i/>
        </w:rPr>
        <w:t>Deadweight loss and the cost of public funds in Australia, Agenda</w:t>
      </w:r>
      <w:r w:rsidR="004C0A64" w:rsidRPr="002D6F00">
        <w:t xml:space="preserve"> </w:t>
      </w:r>
      <w:hyperlink r:id="rId1" w:history="1">
        <w:r w:rsidR="004C0A64" w:rsidRPr="002D6F00">
          <w:t>http://epress.anu.edu.au/wp-content/uploads/2011/06/4-2-NT-3.pdf</w:t>
        </w:r>
      </w:hyperlink>
    </w:p>
  </w:endnote>
  <w:endnote w:id="35">
    <w:p w14:paraId="2519C262" w14:textId="4B034180" w:rsidR="00152D89" w:rsidRPr="002526CE" w:rsidRDefault="00152D89" w:rsidP="00C554ED">
      <w:pPr>
        <w:pStyle w:val="EndnoteText"/>
        <w:rPr>
          <w:lang w:val="en-US"/>
        </w:rPr>
      </w:pPr>
      <w:r>
        <w:rPr>
          <w:rStyle w:val="EndnoteReference"/>
        </w:rPr>
        <w:endnoteRef/>
      </w:r>
      <w:r>
        <w:t xml:space="preserve"> </w:t>
      </w:r>
      <w:r w:rsidR="00D73703">
        <w:rPr>
          <w:lang w:val="en-US"/>
        </w:rPr>
        <w:t>New South Wales Treasury (2023).</w:t>
      </w:r>
      <w:r w:rsidR="00C554ED">
        <w:rPr>
          <w:lang w:val="en-US"/>
        </w:rPr>
        <w:t xml:space="preserve"> </w:t>
      </w:r>
      <w:r w:rsidR="00C554ED" w:rsidRPr="00C554ED">
        <w:rPr>
          <w:lang w:val="en-US"/>
        </w:rPr>
        <w:t>NSW Government Guide to</w:t>
      </w:r>
      <w:r w:rsidR="00C554ED">
        <w:rPr>
          <w:lang w:val="en-US"/>
        </w:rPr>
        <w:t xml:space="preserve"> </w:t>
      </w:r>
      <w:r w:rsidR="00C554ED" w:rsidRPr="00C554ED">
        <w:rPr>
          <w:lang w:val="en-US"/>
        </w:rPr>
        <w:t>Cost-Benefit Analysis</w:t>
      </w:r>
      <w:r w:rsidR="006B3B49">
        <w:rPr>
          <w:lang w:val="en-US"/>
        </w:rPr>
        <w:t>.</w:t>
      </w:r>
    </w:p>
  </w:endnote>
  <w:endnote w:id="36">
    <w:p w14:paraId="27265F35" w14:textId="4BC991DF" w:rsidR="00087420" w:rsidRDefault="00087420" w:rsidP="00893EB3">
      <w:pPr>
        <w:pStyle w:val="EndnoteText"/>
        <w:ind w:left="170" w:hanging="170"/>
      </w:pPr>
      <w:r>
        <w:rPr>
          <w:rStyle w:val="EndnoteReference"/>
        </w:rPr>
        <w:endnoteRef/>
      </w:r>
      <w:r>
        <w:t xml:space="preserve"> Australian Bureau of Statistics</w:t>
      </w:r>
      <w:r w:rsidR="00065EC9">
        <w:t>.</w:t>
      </w:r>
      <w:r>
        <w:t xml:space="preserve"> (</w:t>
      </w:r>
      <w:r w:rsidR="003649E9">
        <w:t>16 February 2020)</w:t>
      </w:r>
      <w:r w:rsidR="006B3B40">
        <w:t xml:space="preserve">. </w:t>
      </w:r>
      <w:r w:rsidR="006B3B40">
        <w:rPr>
          <w:i/>
          <w:iCs/>
        </w:rPr>
        <w:t>Counts of Australian businesses, including entries and exits.</w:t>
      </w:r>
      <w:r w:rsidR="006B3B40">
        <w:t xml:space="preserve"> Retrieved from </w:t>
      </w:r>
      <w:r w:rsidR="006B3B40" w:rsidRPr="006B3B40">
        <w:t>https://www.abs.gov.au/statistics/economy/business-indicators/counts-australian-businesses-including-entries-and-exits/jul2016-jun2020#data-downloads</w:t>
      </w:r>
      <w:r w:rsidR="006B3B40">
        <w:t>.</w:t>
      </w:r>
    </w:p>
  </w:endnote>
  <w:endnote w:id="37">
    <w:p w14:paraId="1C9B18E8" w14:textId="4F4774B4" w:rsidR="00590B25" w:rsidRPr="00A8229A" w:rsidRDefault="00590B25"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Macreadie, I</w:t>
      </w:r>
      <w:r w:rsidR="00065EC9">
        <w:rPr>
          <w:rFonts w:cs="Arial"/>
          <w:szCs w:val="18"/>
        </w:rPr>
        <w:t>.</w:t>
      </w:r>
      <w:r w:rsidRPr="00A8229A">
        <w:rPr>
          <w:rFonts w:cs="Arial"/>
          <w:szCs w:val="18"/>
        </w:rPr>
        <w:t xml:space="preserve"> (2022), ‘Reflections from Melbourne, the world’s most locked-down city, through the COVID-19 pandemic and beyond’, </w:t>
      </w:r>
      <w:r w:rsidRPr="00A8229A">
        <w:rPr>
          <w:rFonts w:cs="Arial"/>
          <w:i/>
          <w:szCs w:val="18"/>
        </w:rPr>
        <w:t>Microbiology Australia, 43</w:t>
      </w:r>
      <w:r w:rsidRPr="00A8229A">
        <w:rPr>
          <w:rFonts w:cs="Arial"/>
          <w:szCs w:val="18"/>
        </w:rPr>
        <w:t xml:space="preserve">(1): 3–4, </w:t>
      </w:r>
      <w:r w:rsidR="003D70E1" w:rsidRPr="00A8229A">
        <w:rPr>
          <w:rFonts w:cs="Arial"/>
          <w:szCs w:val="18"/>
        </w:rPr>
        <w:t xml:space="preserve">Retrieved from </w:t>
      </w:r>
      <w:r w:rsidRPr="00A8229A">
        <w:rPr>
          <w:rFonts w:cs="Arial"/>
          <w:szCs w:val="18"/>
        </w:rPr>
        <w:t>https://www.publish.csiro.au/ma/pdf/MA22002</w:t>
      </w:r>
      <w:r w:rsidR="003D70E1" w:rsidRPr="00A8229A">
        <w:rPr>
          <w:rFonts w:cs="Arial"/>
          <w:szCs w:val="18"/>
        </w:rPr>
        <w:t>.</w:t>
      </w:r>
    </w:p>
  </w:endnote>
  <w:endnote w:id="38">
    <w:p w14:paraId="1BE07ACC" w14:textId="7B796235" w:rsidR="00DC1A73" w:rsidRPr="00A8229A" w:rsidRDefault="00DC1A73"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5A7217" w:rsidRPr="00A8229A">
        <w:rPr>
          <w:rFonts w:cs="Arial"/>
          <w:szCs w:val="18"/>
        </w:rPr>
        <w:t>Australian Bureau of Statistics. (</w:t>
      </w:r>
      <w:r w:rsidR="003225C6" w:rsidRPr="00A8229A">
        <w:rPr>
          <w:rFonts w:cs="Arial"/>
          <w:szCs w:val="18"/>
        </w:rPr>
        <w:t>1</w:t>
      </w:r>
      <w:r w:rsidR="005A7217" w:rsidRPr="00A8229A">
        <w:rPr>
          <w:rFonts w:cs="Arial"/>
          <w:szCs w:val="18"/>
        </w:rPr>
        <w:t xml:space="preserve"> December </w:t>
      </w:r>
      <w:r w:rsidR="003225C6" w:rsidRPr="00A8229A">
        <w:rPr>
          <w:rFonts w:cs="Arial"/>
          <w:szCs w:val="18"/>
        </w:rPr>
        <w:t>2021</w:t>
      </w:r>
      <w:r w:rsidR="005A7217" w:rsidRPr="00A8229A">
        <w:rPr>
          <w:rFonts w:cs="Arial"/>
          <w:i/>
          <w:szCs w:val="18"/>
        </w:rPr>
        <w:t xml:space="preserve">). </w:t>
      </w:r>
      <w:r w:rsidRPr="00A8229A">
        <w:rPr>
          <w:rFonts w:cs="Arial"/>
          <w:i/>
          <w:szCs w:val="18"/>
        </w:rPr>
        <w:t>Impact of lockdowns on household consumption</w:t>
      </w:r>
      <w:r w:rsidR="005A7217" w:rsidRPr="00A8229A">
        <w:rPr>
          <w:rFonts w:cs="Arial"/>
          <w:i/>
          <w:szCs w:val="18"/>
        </w:rPr>
        <w:t>: Insights</w:t>
      </w:r>
      <w:r w:rsidR="00B07E22" w:rsidRPr="00A8229A">
        <w:rPr>
          <w:rFonts w:cs="Arial"/>
          <w:i/>
          <w:szCs w:val="18"/>
        </w:rPr>
        <w:t xml:space="preserve"> from alternative data </w:t>
      </w:r>
      <w:r w:rsidR="005A7217" w:rsidRPr="00A8229A">
        <w:rPr>
          <w:rFonts w:cs="Arial"/>
          <w:i/>
          <w:szCs w:val="18"/>
        </w:rPr>
        <w:t>sources.</w:t>
      </w:r>
      <w:r w:rsidR="003D70E1" w:rsidRPr="00A8229A">
        <w:rPr>
          <w:rFonts w:cs="Arial"/>
          <w:szCs w:val="18"/>
        </w:rPr>
        <w:t xml:space="preserve"> </w:t>
      </w:r>
      <w:r w:rsidR="00353692" w:rsidRPr="00A8229A">
        <w:rPr>
          <w:rFonts w:cs="Arial"/>
          <w:szCs w:val="18"/>
        </w:rPr>
        <w:t xml:space="preserve">Retrieved from </w:t>
      </w:r>
      <w:r w:rsidR="00261D22" w:rsidRPr="00A8229A">
        <w:rPr>
          <w:rFonts w:cs="Arial"/>
          <w:szCs w:val="18"/>
        </w:rPr>
        <w:t>https://www.abs.gov.au/articles/impact-lockdowns-household-consumption-insights-alternative-data-sources</w:t>
      </w:r>
      <w:r w:rsidR="00BA132C" w:rsidRPr="00A8229A">
        <w:rPr>
          <w:rFonts w:cs="Arial"/>
          <w:szCs w:val="18"/>
        </w:rPr>
        <w:t>.</w:t>
      </w:r>
    </w:p>
  </w:endnote>
  <w:endnote w:id="39">
    <w:p w14:paraId="717094A2" w14:textId="53578F90" w:rsidR="002E63C4" w:rsidRPr="00A069BB" w:rsidRDefault="002E63C4" w:rsidP="00A069BB">
      <w:pPr>
        <w:pStyle w:val="EndnoteText"/>
      </w:pPr>
      <w:r>
        <w:rPr>
          <w:rStyle w:val="EndnoteReference"/>
        </w:rPr>
        <w:endnoteRef/>
      </w:r>
      <w:r>
        <w:t xml:space="preserve"> </w:t>
      </w:r>
      <w:r w:rsidR="005E7321" w:rsidRPr="005E7321">
        <w:t>Emergency Management Victoria</w:t>
      </w:r>
      <w:r w:rsidR="005E7321">
        <w:t xml:space="preserve"> (2023). </w:t>
      </w:r>
      <w:r w:rsidR="00A069BB" w:rsidRPr="00051913">
        <w:rPr>
          <w:i/>
          <w:iCs/>
        </w:rPr>
        <w:t>Victorian State Emergency Management Plan.</w:t>
      </w:r>
    </w:p>
  </w:endnote>
  <w:endnote w:id="40">
    <w:p w14:paraId="702EF680" w14:textId="7183F070" w:rsidR="005B1DD7" w:rsidRDefault="005B1DD7" w:rsidP="00F77F1E">
      <w:pPr>
        <w:pStyle w:val="EndnoteText"/>
        <w:ind w:left="170" w:hanging="170"/>
      </w:pPr>
      <w:r>
        <w:rPr>
          <w:rStyle w:val="EndnoteReference"/>
        </w:rPr>
        <w:endnoteRef/>
      </w:r>
      <w:r>
        <w:t xml:space="preserve"> </w:t>
      </w:r>
      <w:r w:rsidRPr="005B1DD7">
        <w:t xml:space="preserve">Chang, S. E., Brown, C., Handmer, J., Helgeson, J., Kajitani, Y., Keating, A., Noy, I., Watson, M., Derakhshan, S., Kim, J., &amp; Roa-Henriquez, A. (2022). Business recovery from disasters: Lessons from natural hazards and the COVID-19 pandemic. </w:t>
      </w:r>
      <w:r w:rsidRPr="00F77F1E">
        <w:rPr>
          <w:i/>
        </w:rPr>
        <w:t>International journal of disaster risk reduction</w:t>
      </w:r>
      <w:r>
        <w:t>,</w:t>
      </w:r>
      <w:r w:rsidRPr="005B1DD7">
        <w:t xml:space="preserve"> 80, 103191. </w:t>
      </w:r>
      <w:r>
        <w:t>Retrieved from</w:t>
      </w:r>
      <w:r w:rsidR="00910AE7">
        <w:t xml:space="preserve"> </w:t>
      </w:r>
      <w:r w:rsidRPr="005B1DD7">
        <w:t>https://doi.org/10.1016/j.ijdrr.2022.103191</w:t>
      </w:r>
      <w:r w:rsidR="00910AE7">
        <w:t>.</w:t>
      </w:r>
    </w:p>
  </w:endnote>
  <w:endnote w:id="41">
    <w:p w14:paraId="28FFAD78" w14:textId="62FAC6EE" w:rsidR="00A00CF9" w:rsidRDefault="00A00CF9" w:rsidP="00F77F1E">
      <w:pPr>
        <w:pStyle w:val="EndnoteText"/>
        <w:ind w:left="170" w:hanging="170"/>
      </w:pPr>
      <w:r>
        <w:rPr>
          <w:rStyle w:val="EndnoteReference"/>
        </w:rPr>
        <w:endnoteRef/>
      </w:r>
      <w:r>
        <w:t xml:space="preserve"> </w:t>
      </w:r>
      <w:r w:rsidR="00C05151">
        <w:t>‘Victorian Public Sector Data Sharing Policy’</w:t>
      </w:r>
      <w:r w:rsidR="00FC6E94">
        <w:t xml:space="preserve">, </w:t>
      </w:r>
      <w:r w:rsidR="00FC6E94">
        <w:rPr>
          <w:i/>
          <w:iCs/>
        </w:rPr>
        <w:t xml:space="preserve">Victorian Government </w:t>
      </w:r>
      <w:r w:rsidR="00FC6E94">
        <w:t>(</w:t>
      </w:r>
      <w:r w:rsidR="00635FC3">
        <w:t>1 May 2024)</w:t>
      </w:r>
      <w:r w:rsidR="00666EEE">
        <w:t xml:space="preserve"> Retrieved from </w:t>
      </w:r>
      <w:r w:rsidR="00666EEE" w:rsidRPr="00666EEE">
        <w:t>https://www.data.vic.gov.au/victorian-public-sector-data-sharing-policy</w:t>
      </w:r>
      <w:r w:rsidR="00666EEE">
        <w:t>.</w:t>
      </w:r>
    </w:p>
  </w:endnote>
  <w:endnote w:id="42">
    <w:p w14:paraId="023717A5" w14:textId="5842F17E" w:rsidR="00152269" w:rsidRDefault="00152269" w:rsidP="00893EB3">
      <w:pPr>
        <w:pStyle w:val="EndnoteText"/>
        <w:ind w:left="170" w:hanging="170"/>
      </w:pPr>
      <w:r>
        <w:rPr>
          <w:rStyle w:val="EndnoteReference"/>
        </w:rPr>
        <w:endnoteRef/>
      </w:r>
      <w:r>
        <w:t xml:space="preserve"> </w:t>
      </w:r>
      <w:r w:rsidR="006B3B40" w:rsidRPr="006B3B40">
        <w:t>New South Wales Treasury. (2022).</w:t>
      </w:r>
      <w:r>
        <w:t xml:space="preserve"> </w:t>
      </w:r>
      <w:r w:rsidRPr="006B3B40">
        <w:t xml:space="preserve">Economic and outcomes evaluation of 2020 NSW Government COVID-19 </w:t>
      </w:r>
      <w:r w:rsidR="006B3B40" w:rsidRPr="006B3B40">
        <w:t>small business grants. Retrieved from https://www.treasury.nsw.gov.au/sites/default/files/2022-12/20221215-economic-and-outcomes-evaluation-of-2020-nsw-government-covid19-small-business-grants.pdf</w:t>
      </w:r>
      <w:r w:rsidR="006B3B40">
        <w:t>.</w:t>
      </w:r>
    </w:p>
  </w:endnote>
  <w:endnote w:id="43">
    <w:p w14:paraId="1AE047C4" w14:textId="7E6FD6DA" w:rsidR="00DC2E20" w:rsidRPr="00314283" w:rsidRDefault="00DC2E20" w:rsidP="00F77F1E">
      <w:pPr>
        <w:pStyle w:val="EndnoteText"/>
        <w:ind w:left="170" w:hanging="170"/>
      </w:pPr>
      <w:r>
        <w:rPr>
          <w:rStyle w:val="EndnoteReference"/>
        </w:rPr>
        <w:endnoteRef/>
      </w:r>
      <w:r>
        <w:t xml:space="preserve"> </w:t>
      </w:r>
      <w:r w:rsidR="00D54E36">
        <w:t>Andrews</w:t>
      </w:r>
      <w:r w:rsidR="00254B0A">
        <w:t>, D., Bahar, E., Hambur, J. (</w:t>
      </w:r>
      <w:r w:rsidR="00F929F7">
        <w:t>2023), ‘The effects of COVID-19 and JobKeeper on Productivity-Enhancing Reallocation in Australia</w:t>
      </w:r>
      <w:r w:rsidR="001F5FC5">
        <w:t xml:space="preserve"> – CAMA Working Paper’</w:t>
      </w:r>
      <w:r w:rsidR="00E50C0D">
        <w:t xml:space="preserve">, </w:t>
      </w:r>
      <w:r w:rsidR="00314283">
        <w:rPr>
          <w:i/>
          <w:iCs/>
        </w:rPr>
        <w:t>Centre of Applied Macroeconomic Analysis</w:t>
      </w:r>
      <w:r w:rsidR="00B02D5C">
        <w:t>, 29/2023</w:t>
      </w:r>
      <w:r w:rsidR="00817AD9">
        <w:t xml:space="preserve">, Retrieved from </w:t>
      </w:r>
      <w:r w:rsidR="00817AD9" w:rsidRPr="00817AD9">
        <w:t>https://crawford.anu.edu.au/sites/default/files/publication/cama_crawford_anu_edu_au/2023-07/29_2023_andrews_bahar_hambur.pdf</w:t>
      </w:r>
      <w:r w:rsidR="00817AD9">
        <w:t>.</w:t>
      </w:r>
    </w:p>
  </w:endnote>
  <w:endnote w:id="44">
    <w:p w14:paraId="1692BF81" w14:textId="33E95533" w:rsidR="00152269" w:rsidRDefault="00152269" w:rsidP="00893EB3">
      <w:pPr>
        <w:pStyle w:val="EndnoteText"/>
        <w:ind w:left="170" w:hanging="170"/>
      </w:pPr>
      <w:r>
        <w:rPr>
          <w:rStyle w:val="EndnoteReference"/>
        </w:rPr>
        <w:endnoteRef/>
      </w:r>
      <w:r>
        <w:t xml:space="preserve"> </w:t>
      </w:r>
      <w:r w:rsidR="00F64553">
        <w:t xml:space="preserve">Australian Bureau of Statistics (13 August </w:t>
      </w:r>
      <w:r w:rsidR="00F64553" w:rsidRPr="00FB57AD">
        <w:t>202</w:t>
      </w:r>
      <w:r w:rsidR="00FB57AD" w:rsidRPr="00FB57AD">
        <w:t xml:space="preserve">0). </w:t>
      </w:r>
      <w:r w:rsidRPr="00893EB3">
        <w:t xml:space="preserve">Understanding unemployment and the loss of work during the COVID-19 period: An Australian and </w:t>
      </w:r>
      <w:r w:rsidR="00FB57AD" w:rsidRPr="00893EB3">
        <w:t>i</w:t>
      </w:r>
      <w:r w:rsidRPr="00893EB3">
        <w:t>nternational</w:t>
      </w:r>
      <w:r w:rsidR="00FB57AD" w:rsidRPr="00FB57AD">
        <w:t xml:space="preserve"> perspective</w:t>
      </w:r>
      <w:r w:rsidR="00FB57AD">
        <w:t xml:space="preserve">. Retrieved from </w:t>
      </w:r>
      <w:r w:rsidR="00E7467A">
        <w:t>h</w:t>
      </w:r>
      <w:r w:rsidR="00E7467A" w:rsidRPr="00893EB3">
        <w:rPr>
          <w:rStyle w:val="ui-provider"/>
        </w:rPr>
        <w:t>ttps://www.abs.gov.au/articles/understanding-unemployment-and-loss-work-during-covid-19-period-australian-and-international-perspective</w:t>
      </w:r>
      <w:r w:rsidR="00E7467A">
        <w:rPr>
          <w:rStyle w:val="ui-provider"/>
        </w:rPr>
        <w:t>.</w:t>
      </w:r>
    </w:p>
  </w:endnote>
  <w:endnote w:id="45">
    <w:p w14:paraId="1357F738" w14:textId="6345A6B0" w:rsidR="009F39B0" w:rsidRPr="00A8229A" w:rsidRDefault="009F39B0"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OECD, </w:t>
      </w:r>
      <w:r w:rsidRPr="00A8229A">
        <w:rPr>
          <w:rFonts w:cs="Arial"/>
          <w:i/>
          <w:szCs w:val="18"/>
        </w:rPr>
        <w:t xml:space="preserve">First lessons from government evaluations of COVID-19 responses: A </w:t>
      </w:r>
      <w:r w:rsidRPr="00A8229A">
        <w:rPr>
          <w:rFonts w:cs="Arial"/>
          <w:szCs w:val="18"/>
        </w:rPr>
        <w:t xml:space="preserve">synthesis (21 January 2022) </w:t>
      </w:r>
      <w:r w:rsidR="003D70E1" w:rsidRPr="00A8229A">
        <w:rPr>
          <w:rFonts w:cs="Arial"/>
          <w:szCs w:val="18"/>
        </w:rPr>
        <w:t xml:space="preserve">Retrieved from </w:t>
      </w:r>
      <w:r w:rsidRPr="00A8229A">
        <w:rPr>
          <w:rFonts w:cs="Arial"/>
          <w:szCs w:val="18"/>
        </w:rPr>
        <w:t>https://www.oecd-ilibrary.org/fr/governance/first-lessons-from-government-evaluations-of-covid-19-responses-a-synthesis_483507d6-en.</w:t>
      </w:r>
    </w:p>
  </w:endnote>
  <w:endnote w:id="46">
    <w:p w14:paraId="2C39AC59" w14:textId="2571A21D" w:rsidR="003B310A"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Australian Government, </w:t>
      </w:r>
      <w:r w:rsidRPr="00A8229A">
        <w:rPr>
          <w:rFonts w:cs="Arial"/>
          <w:i/>
          <w:szCs w:val="18"/>
        </w:rPr>
        <w:t>Independent evaluation of the JobKeeper payment: Consultation paper</w:t>
      </w:r>
      <w:r w:rsidRPr="00A8229A">
        <w:rPr>
          <w:rFonts w:cs="Arial"/>
          <w:szCs w:val="18"/>
        </w:rPr>
        <w:t xml:space="preserve"> (16 June 2023)</w:t>
      </w:r>
      <w:r w:rsidR="00365CA4" w:rsidRPr="00A8229A">
        <w:rPr>
          <w:rFonts w:cs="Arial"/>
          <w:szCs w:val="18"/>
        </w:rPr>
        <w:t>.</w:t>
      </w:r>
      <w:r w:rsidRPr="00A8229A">
        <w:rPr>
          <w:rFonts w:cs="Arial"/>
          <w:szCs w:val="18"/>
        </w:rPr>
        <w:t xml:space="preserve"> </w:t>
      </w:r>
      <w:r w:rsidR="003D70E1" w:rsidRPr="00A8229A">
        <w:rPr>
          <w:rFonts w:cs="Arial"/>
          <w:szCs w:val="18"/>
        </w:rPr>
        <w:t xml:space="preserve">Retrieved from </w:t>
      </w:r>
      <w:r w:rsidRPr="00A8229A">
        <w:rPr>
          <w:rFonts w:cs="Arial"/>
          <w:szCs w:val="18"/>
        </w:rPr>
        <w:t>https://treasury.gov.au/sites/default/files/2023-06/c2023-407908.pdf.</w:t>
      </w:r>
    </w:p>
  </w:endnote>
  <w:endnote w:id="47">
    <w:p w14:paraId="3B95A368" w14:textId="655462B3" w:rsidR="003B310A"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‘Eligibility for cash flow boosts’, </w:t>
      </w:r>
      <w:r w:rsidRPr="00A8229A">
        <w:rPr>
          <w:rFonts w:cs="Arial"/>
          <w:i/>
          <w:szCs w:val="18"/>
        </w:rPr>
        <w:t>Australian Government: Australian Taxation Office</w:t>
      </w:r>
      <w:r w:rsidRPr="00A8229A">
        <w:rPr>
          <w:rFonts w:cs="Arial"/>
          <w:szCs w:val="18"/>
        </w:rPr>
        <w:t xml:space="preserve"> (13 February 2023) </w:t>
      </w:r>
      <w:r w:rsidR="003D70E1" w:rsidRPr="00A8229A">
        <w:rPr>
          <w:rFonts w:cs="Arial"/>
          <w:szCs w:val="18"/>
        </w:rPr>
        <w:t xml:space="preserve">Retrieved from </w:t>
      </w:r>
      <w:r w:rsidRPr="00A8229A">
        <w:rPr>
          <w:rFonts w:cs="Arial"/>
          <w:szCs w:val="18"/>
        </w:rPr>
        <w:t>https://www.ato.gov.au/businesses-and-organisations/preparing-lodging-and-paying/business-activity-statements-bas/in-detail/boosting-cash-flow-for-employers/eligibility-for-cash-flow-boosts.</w:t>
      </w:r>
    </w:p>
  </w:endnote>
  <w:endnote w:id="48">
    <w:p w14:paraId="5A1A40E0" w14:textId="42E74D7D" w:rsidR="003225C6"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Australian Government, </w:t>
      </w:r>
      <w:r w:rsidRPr="00A8229A">
        <w:rPr>
          <w:rFonts w:cs="Arial"/>
          <w:i/>
          <w:szCs w:val="18"/>
        </w:rPr>
        <w:t>Economic recovery plan for Australia: Budget 2020-21</w:t>
      </w:r>
      <w:r w:rsidRPr="00A8229A">
        <w:rPr>
          <w:rFonts w:cs="Arial"/>
          <w:szCs w:val="18"/>
        </w:rPr>
        <w:t xml:space="preserve"> (May 2020)</w:t>
      </w:r>
      <w:r w:rsidR="00EC7503" w:rsidRPr="00A8229A">
        <w:rPr>
          <w:rFonts w:cs="Arial"/>
          <w:szCs w:val="18"/>
        </w:rPr>
        <w:t>.</w:t>
      </w:r>
      <w:r w:rsidRPr="00A8229A">
        <w:rPr>
          <w:rFonts w:cs="Arial"/>
          <w:szCs w:val="18"/>
        </w:rPr>
        <w:t xml:space="preserve"> </w:t>
      </w:r>
      <w:r w:rsidR="00EC7503" w:rsidRPr="00A8229A">
        <w:rPr>
          <w:rFonts w:cs="Arial"/>
          <w:szCs w:val="18"/>
        </w:rPr>
        <w:t>Retrieved from</w:t>
      </w:r>
      <w:r w:rsidR="00EC7503" w:rsidRPr="00A8229A">
        <w:rPr>
          <w:rFonts w:cs="Arial"/>
          <w:i/>
          <w:szCs w:val="18"/>
        </w:rPr>
        <w:t xml:space="preserve"> </w:t>
      </w:r>
      <w:r w:rsidRPr="00A8229A">
        <w:rPr>
          <w:rFonts w:cs="Arial"/>
          <w:szCs w:val="18"/>
        </w:rPr>
        <w:t>https://archive.budget.gov.au/2020-21/download/glossy_covid_19.pdf;</w:t>
      </w:r>
    </w:p>
    <w:p w14:paraId="76AA94C9" w14:textId="4B8C22A7" w:rsidR="003B310A" w:rsidRPr="00A8229A" w:rsidRDefault="003B310A" w:rsidP="006E0D7A">
      <w:pPr>
        <w:pStyle w:val="EndnoteText"/>
        <w:ind w:left="170"/>
        <w:rPr>
          <w:rFonts w:cs="Arial"/>
          <w:szCs w:val="18"/>
        </w:rPr>
      </w:pPr>
      <w:r w:rsidRPr="00A8229A">
        <w:rPr>
          <w:rFonts w:cs="Arial"/>
          <w:szCs w:val="18"/>
        </w:rPr>
        <w:t xml:space="preserve">‘Supporting apprentices and trainees’, </w:t>
      </w:r>
      <w:r w:rsidRPr="00A8229A">
        <w:rPr>
          <w:rFonts w:cs="Arial"/>
          <w:i/>
          <w:szCs w:val="18"/>
        </w:rPr>
        <w:t>Australian Government: Department of Education, Skills and Employment</w:t>
      </w:r>
      <w:r w:rsidRPr="00A8229A">
        <w:rPr>
          <w:rFonts w:cs="Arial"/>
          <w:szCs w:val="18"/>
        </w:rPr>
        <w:t xml:space="preserve"> (18 December 2020)</w:t>
      </w:r>
      <w:r w:rsidR="00365CA4" w:rsidRPr="00A8229A">
        <w:rPr>
          <w:rFonts w:cs="Arial"/>
          <w:szCs w:val="18"/>
        </w:rPr>
        <w:t>.</w:t>
      </w:r>
      <w:r w:rsidRPr="00A8229A">
        <w:rPr>
          <w:rFonts w:cs="Arial"/>
          <w:szCs w:val="18"/>
        </w:rPr>
        <w:t xml:space="preserve"> </w:t>
      </w:r>
      <w:r w:rsidR="003D70E1" w:rsidRPr="00A8229A">
        <w:rPr>
          <w:rFonts w:cs="Arial"/>
          <w:szCs w:val="18"/>
        </w:rPr>
        <w:t xml:space="preserve">Retrieved from </w:t>
      </w:r>
      <w:r w:rsidRPr="00A8229A">
        <w:rPr>
          <w:rFonts w:cs="Arial"/>
          <w:szCs w:val="18"/>
        </w:rPr>
        <w:t>https://web.archive.org/web/20210228081531/https:/www.dese.gov.au/supporting-apprentices-and-trainees.</w:t>
      </w:r>
    </w:p>
  </w:endnote>
  <w:endnote w:id="49">
    <w:p w14:paraId="091AD237" w14:textId="7459AD24" w:rsidR="003B310A"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‘SME recovery loan scheme’, </w:t>
      </w:r>
      <w:r w:rsidRPr="00A8229A">
        <w:rPr>
          <w:rFonts w:cs="Arial"/>
          <w:i/>
          <w:szCs w:val="18"/>
        </w:rPr>
        <w:t>Australian Government: The Treasury</w:t>
      </w:r>
      <w:r w:rsidRPr="00A8229A">
        <w:rPr>
          <w:rFonts w:cs="Arial"/>
          <w:szCs w:val="18"/>
        </w:rPr>
        <w:t xml:space="preserve"> (30 June 2022) </w:t>
      </w:r>
      <w:r w:rsidR="003D70E1" w:rsidRPr="00A8229A">
        <w:rPr>
          <w:rFonts w:cs="Arial"/>
          <w:szCs w:val="18"/>
        </w:rPr>
        <w:t xml:space="preserve">Retrieved from </w:t>
      </w:r>
      <w:r w:rsidRPr="00A8229A">
        <w:rPr>
          <w:rFonts w:cs="Arial"/>
          <w:szCs w:val="18"/>
        </w:rPr>
        <w:t>https://treasury.gov.au/coronavirus/sme-recovery-loan-scheme.</w:t>
      </w:r>
    </w:p>
  </w:endnote>
  <w:endnote w:id="50">
    <w:p w14:paraId="64FF50BC" w14:textId="586F2F95" w:rsidR="003B310A"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The Auditor-General, </w:t>
      </w:r>
      <w:r w:rsidRPr="00A8229A">
        <w:rPr>
          <w:rFonts w:cs="Arial"/>
          <w:i/>
          <w:szCs w:val="18"/>
        </w:rPr>
        <w:t>Administration of the JobKeeper Scheme</w:t>
      </w:r>
      <w:r w:rsidRPr="00A8229A">
        <w:rPr>
          <w:rFonts w:cs="Arial"/>
          <w:szCs w:val="18"/>
        </w:rPr>
        <w:t xml:space="preserve"> (Auditor-General Report No. 22 2021-22, 4 April 2022)</w:t>
      </w:r>
      <w:r w:rsidR="00365CA4" w:rsidRPr="00A8229A">
        <w:rPr>
          <w:rFonts w:cs="Arial"/>
          <w:szCs w:val="18"/>
        </w:rPr>
        <w:t>.</w:t>
      </w:r>
      <w:r w:rsidRPr="00A8229A">
        <w:rPr>
          <w:rFonts w:cs="Arial"/>
          <w:szCs w:val="18"/>
        </w:rPr>
        <w:t xml:space="preserve"> </w:t>
      </w:r>
      <w:r w:rsidR="00326C66" w:rsidRPr="00A8229A">
        <w:rPr>
          <w:rFonts w:cs="Arial"/>
          <w:szCs w:val="18"/>
        </w:rPr>
        <w:t xml:space="preserve">Retrieved from </w:t>
      </w:r>
      <w:r w:rsidRPr="00A8229A">
        <w:rPr>
          <w:rFonts w:cs="Arial"/>
          <w:szCs w:val="18"/>
        </w:rPr>
        <w:t>https://www.anao.gov.au/sites/default/files/Auditor-General_Report_2021-22_22.pdf.</w:t>
      </w:r>
    </w:p>
  </w:endnote>
  <w:endnote w:id="51">
    <w:p w14:paraId="55598288" w14:textId="3FEC2C6D" w:rsidR="003225C6"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Martin Jenkins, </w:t>
      </w:r>
      <w:r w:rsidRPr="00A8229A">
        <w:rPr>
          <w:rFonts w:cs="Arial"/>
          <w:i/>
          <w:szCs w:val="18"/>
        </w:rPr>
        <w:t>COVID-19 Wage subsidy evaluation: Synthesis report</w:t>
      </w:r>
      <w:r w:rsidRPr="00A8229A">
        <w:rPr>
          <w:rFonts w:cs="Arial"/>
          <w:szCs w:val="18"/>
        </w:rPr>
        <w:t xml:space="preserve"> (March 2023) </w:t>
      </w:r>
      <w:r w:rsidR="00326C66" w:rsidRPr="00A8229A">
        <w:rPr>
          <w:rFonts w:cs="Arial"/>
          <w:szCs w:val="18"/>
        </w:rPr>
        <w:t xml:space="preserve">Retrieved from </w:t>
      </w:r>
      <w:r w:rsidRPr="00A8229A">
        <w:rPr>
          <w:rFonts w:cs="Arial"/>
          <w:szCs w:val="18"/>
        </w:rPr>
        <w:t>https://www.msd.govt.nz/documents/about-msd-and-our-work/publications-resources/statistics/covid-19/wage-subsidy-evaluation-reports/covid19-wage-subsidy-synthesis-final-report-march-2023.pdf;</w:t>
      </w:r>
    </w:p>
    <w:p w14:paraId="31C92473" w14:textId="5A68F492" w:rsidR="003B310A" w:rsidRPr="00A8229A" w:rsidRDefault="003B310A" w:rsidP="006E0D7A">
      <w:pPr>
        <w:pStyle w:val="EndnoteText"/>
        <w:ind w:left="170"/>
        <w:rPr>
          <w:rFonts w:cs="Arial"/>
          <w:szCs w:val="18"/>
        </w:rPr>
      </w:pPr>
      <w:r w:rsidRPr="00A8229A">
        <w:rPr>
          <w:rFonts w:cs="Arial"/>
          <w:szCs w:val="18"/>
        </w:rPr>
        <w:t xml:space="preserve">Motu economic &amp; public policy research – Hyslop DR, Mare DC, Minehan S, </w:t>
      </w:r>
      <w:r w:rsidRPr="00A8229A">
        <w:rPr>
          <w:rFonts w:cs="Arial"/>
          <w:i/>
          <w:szCs w:val="18"/>
        </w:rPr>
        <w:t>COVID-19 wage subsidy: Outcome evaluation</w:t>
      </w:r>
      <w:r w:rsidRPr="00A8229A">
        <w:rPr>
          <w:rFonts w:cs="Arial"/>
          <w:szCs w:val="18"/>
        </w:rPr>
        <w:t xml:space="preserve"> (July 2023)</w:t>
      </w:r>
      <w:r w:rsidRPr="00A8229A">
        <w:rPr>
          <w:rFonts w:cs="Arial"/>
          <w:i/>
          <w:szCs w:val="18"/>
        </w:rPr>
        <w:t xml:space="preserve"> </w:t>
      </w:r>
      <w:r w:rsidR="00326C66" w:rsidRPr="00A8229A">
        <w:rPr>
          <w:rFonts w:cs="Arial"/>
          <w:szCs w:val="18"/>
        </w:rPr>
        <w:t>Retrieved from</w:t>
      </w:r>
      <w:r w:rsidR="00326C66" w:rsidRPr="00A8229A">
        <w:rPr>
          <w:rFonts w:cs="Arial"/>
          <w:i/>
          <w:szCs w:val="18"/>
        </w:rPr>
        <w:t xml:space="preserve"> </w:t>
      </w:r>
      <w:r w:rsidRPr="00A8229A">
        <w:rPr>
          <w:rFonts w:cs="Arial"/>
          <w:szCs w:val="18"/>
        </w:rPr>
        <w:t>https://www.msd.govt.nz/documents/about-msd-and-our-work/publications-resources/statistics/covid-19/wage-subsidy-evaluation-reports/wage-subsidy-scheme-outcomes-evaluation.pdf</w:t>
      </w:r>
      <w:r w:rsidR="00E54F8E" w:rsidRPr="00A8229A">
        <w:rPr>
          <w:rFonts w:cs="Arial"/>
          <w:szCs w:val="18"/>
        </w:rPr>
        <w:t xml:space="preserve"> https://www.ilo.org/publications/job-retention-schemes-during-covid-19-review-policy-responses</w:t>
      </w:r>
      <w:r w:rsidRPr="00A8229A">
        <w:rPr>
          <w:rFonts w:cs="Arial"/>
          <w:szCs w:val="18"/>
        </w:rPr>
        <w:t>.</w:t>
      </w:r>
    </w:p>
  </w:endnote>
  <w:endnote w:id="52">
    <w:p w14:paraId="0E66C5E8" w14:textId="1332C1BB" w:rsidR="003225C6"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2B5FDF" w:rsidRPr="00A8229A">
        <w:rPr>
          <w:rFonts w:cs="Arial"/>
          <w:szCs w:val="18"/>
        </w:rPr>
        <w:t xml:space="preserve">Government of Canada, </w:t>
      </w:r>
      <w:r w:rsidR="002B5FDF" w:rsidRPr="00A8229A">
        <w:rPr>
          <w:rFonts w:cs="Arial"/>
          <w:i/>
          <w:szCs w:val="18"/>
        </w:rPr>
        <w:t>COVID-19 Subsidy Initiatives for Business Entities</w:t>
      </w:r>
      <w:r w:rsidR="002B5FDF" w:rsidRPr="00A8229A">
        <w:rPr>
          <w:rFonts w:cs="Arial"/>
          <w:szCs w:val="18"/>
        </w:rPr>
        <w:t xml:space="preserve"> (15 May 2024)</w:t>
      </w:r>
      <w:r w:rsidR="00BF645B" w:rsidRPr="00A8229A">
        <w:rPr>
          <w:rFonts w:cs="Arial"/>
          <w:szCs w:val="18"/>
        </w:rPr>
        <w:t xml:space="preserve"> https://www.canada.ca/en/revenue-agency/services/about-canada-revenue-agency-cra/protecting-your-privacy/privacy-impact-assessment/covid-19-subsidy-initiatives-business-entities.html</w:t>
      </w:r>
      <w:r w:rsidRPr="00A8229A">
        <w:rPr>
          <w:rFonts w:cs="Arial"/>
          <w:szCs w:val="18"/>
        </w:rPr>
        <w:t>;</w:t>
      </w:r>
    </w:p>
    <w:p w14:paraId="0C8815B0" w14:textId="06AF4E98" w:rsidR="003B310A" w:rsidRPr="00A8229A" w:rsidRDefault="00FD474C" w:rsidP="006E0D7A">
      <w:pPr>
        <w:pStyle w:val="EndnoteText"/>
        <w:ind w:left="170"/>
        <w:rPr>
          <w:rFonts w:cs="Arial"/>
          <w:szCs w:val="18"/>
        </w:rPr>
      </w:pPr>
      <w:r w:rsidRPr="00A8229A">
        <w:rPr>
          <w:rFonts w:cs="Arial"/>
          <w:szCs w:val="18"/>
        </w:rPr>
        <w:t xml:space="preserve">Grant Thornton. (2020). </w:t>
      </w:r>
      <w:r w:rsidRPr="00A8229A">
        <w:rPr>
          <w:rStyle w:val="Emphasis"/>
          <w:rFonts w:cs="Arial"/>
          <w:b w:val="0"/>
          <w:i/>
          <w:color w:val="auto"/>
          <w:szCs w:val="18"/>
        </w:rPr>
        <w:t>Canada Emergency Wage Subsidy (CEWS): Final report</w:t>
      </w:r>
      <w:r w:rsidRPr="00A8229A">
        <w:rPr>
          <w:rFonts w:cs="Arial"/>
          <w:b/>
          <w:i/>
          <w:szCs w:val="18"/>
        </w:rPr>
        <w:t>.</w:t>
      </w:r>
      <w:r w:rsidRPr="00A8229A">
        <w:rPr>
          <w:rFonts w:cs="Arial"/>
          <w:szCs w:val="18"/>
        </w:rPr>
        <w:t xml:space="preserve"> Retrieved from </w:t>
      </w:r>
      <w:r w:rsidR="003B310A" w:rsidRPr="00A8229A">
        <w:rPr>
          <w:rFonts w:cs="Arial"/>
          <w:szCs w:val="18"/>
        </w:rPr>
        <w:t>https://www.grantthornton.ca/globalassets/1.-member-firms/canada/insights/gt-20-154-cews-final.pdf</w:t>
      </w:r>
      <w:r w:rsidR="00353692" w:rsidRPr="00A8229A">
        <w:rPr>
          <w:rFonts w:cs="Arial"/>
          <w:szCs w:val="18"/>
        </w:rPr>
        <w:t>.</w:t>
      </w:r>
    </w:p>
  </w:endnote>
  <w:endnote w:id="53">
    <w:p w14:paraId="401C0BDE" w14:textId="77777777" w:rsidR="003225C6"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1E619C" w:rsidRPr="00A8229A">
        <w:rPr>
          <w:rFonts w:cs="Arial"/>
          <w:szCs w:val="18"/>
        </w:rPr>
        <w:t xml:space="preserve">Government of Canada. (n.d.). </w:t>
      </w:r>
      <w:r w:rsidR="001E619C" w:rsidRPr="00A8229A">
        <w:rPr>
          <w:rStyle w:val="Emphasis"/>
          <w:rFonts w:cs="Arial"/>
          <w:b w:val="0"/>
          <w:i/>
          <w:color w:val="auto"/>
          <w:szCs w:val="18"/>
        </w:rPr>
        <w:t>Privacy impact assessment: COVID-19 subsidy initiatives for business entities</w:t>
      </w:r>
      <w:r w:rsidR="001E619C" w:rsidRPr="00A8229A">
        <w:rPr>
          <w:rFonts w:cs="Arial"/>
          <w:b/>
          <w:i/>
          <w:szCs w:val="18"/>
        </w:rPr>
        <w:t>.</w:t>
      </w:r>
      <w:r w:rsidR="001E619C" w:rsidRPr="00A8229A">
        <w:rPr>
          <w:rFonts w:cs="Arial"/>
          <w:szCs w:val="18"/>
        </w:rPr>
        <w:t xml:space="preserve"> Retrieved from https://www.canada.ca/en/revenue-agency/services/about-canada-revenue-agency-cra/protecting-your-privacy/privacy-impact-assessment/covid-19-subsidy-initiatives-business-entities.html;</w:t>
      </w:r>
    </w:p>
    <w:p w14:paraId="5BB4C678" w14:textId="3C5FBE80" w:rsidR="003B310A" w:rsidRPr="00A8229A" w:rsidRDefault="00B14471" w:rsidP="006E0D7A">
      <w:pPr>
        <w:pStyle w:val="EndnoteText"/>
        <w:ind w:left="170"/>
        <w:rPr>
          <w:rFonts w:cs="Arial"/>
          <w:szCs w:val="18"/>
        </w:rPr>
      </w:pPr>
      <w:r w:rsidRPr="00A8229A">
        <w:rPr>
          <w:rFonts w:cs="Arial"/>
          <w:szCs w:val="18"/>
        </w:rPr>
        <w:t xml:space="preserve">Parliamentary Budget Officer. (2022). </w:t>
      </w:r>
      <w:r w:rsidRPr="00A8229A">
        <w:rPr>
          <w:rStyle w:val="Emphasis"/>
          <w:rFonts w:cs="Arial"/>
          <w:b w:val="0"/>
          <w:i/>
          <w:color w:val="auto"/>
          <w:szCs w:val="18"/>
        </w:rPr>
        <w:t>Canada Recovery Hiring Program (CRHP) as extended: Bill C-2</w:t>
      </w:r>
      <w:r w:rsidRPr="00A8229A">
        <w:rPr>
          <w:rFonts w:cs="Arial"/>
          <w:b/>
          <w:i/>
          <w:szCs w:val="18"/>
        </w:rPr>
        <w:t>.</w:t>
      </w:r>
      <w:r w:rsidRPr="00A8229A">
        <w:rPr>
          <w:rFonts w:cs="Arial"/>
          <w:szCs w:val="18"/>
        </w:rPr>
        <w:t xml:space="preserve"> Retrieved from </w:t>
      </w:r>
      <w:r w:rsidR="003B310A" w:rsidRPr="00A8229A">
        <w:rPr>
          <w:rFonts w:cs="Arial"/>
          <w:szCs w:val="18"/>
        </w:rPr>
        <w:t>https://www.pbo-dpb.ca/en/publications/LEG-2122-029-S--canada-recovery-hiring-program-crhp-as-extended-bill-c-2--programme-embauche-relance-economique-canada-perec-tel-qu-il-ete-prolonge-projet-loi-c-2</w:t>
      </w:r>
      <w:r w:rsidR="00353692" w:rsidRPr="00A8229A">
        <w:rPr>
          <w:rFonts w:cs="Arial"/>
          <w:szCs w:val="18"/>
        </w:rPr>
        <w:t>.</w:t>
      </w:r>
    </w:p>
  </w:endnote>
  <w:endnote w:id="54">
    <w:p w14:paraId="3E70409F" w14:textId="77777777" w:rsidR="003225C6"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04767F" w:rsidRPr="00A8229A">
        <w:rPr>
          <w:rFonts w:cs="Arial"/>
          <w:szCs w:val="18"/>
        </w:rPr>
        <w:t xml:space="preserve">European Commission. (2021). </w:t>
      </w:r>
      <w:r w:rsidR="0004767F" w:rsidRPr="00A8229A">
        <w:rPr>
          <w:rStyle w:val="Emphasis"/>
          <w:rFonts w:cs="Arial"/>
          <w:b w:val="0"/>
          <w:i/>
          <w:color w:val="auto"/>
          <w:szCs w:val="18"/>
        </w:rPr>
        <w:t>EU Commission approves €1.2 billion scheme for France to support companies affected by the COVID-19 pandemic</w:t>
      </w:r>
      <w:r w:rsidR="0004767F" w:rsidRPr="00A8229A">
        <w:rPr>
          <w:rFonts w:cs="Arial"/>
          <w:b/>
          <w:i/>
          <w:szCs w:val="18"/>
        </w:rPr>
        <w:t>.</w:t>
      </w:r>
      <w:r w:rsidR="0004767F" w:rsidRPr="00A8229A">
        <w:rPr>
          <w:rFonts w:cs="Arial"/>
          <w:b/>
          <w:szCs w:val="18"/>
        </w:rPr>
        <w:t xml:space="preserve"> </w:t>
      </w:r>
      <w:r w:rsidR="0004767F" w:rsidRPr="00A8229A">
        <w:rPr>
          <w:rFonts w:cs="Arial"/>
          <w:szCs w:val="18"/>
        </w:rPr>
        <w:t>Retrieved from https://ec.europa.eu/commission/presscorner/detail/en/mex_21_3942;</w:t>
      </w:r>
    </w:p>
    <w:p w14:paraId="412ED903" w14:textId="63C6030F" w:rsidR="003B310A" w:rsidRPr="00A8229A" w:rsidRDefault="00D42FC6" w:rsidP="006E0D7A">
      <w:pPr>
        <w:pStyle w:val="EndnoteText"/>
        <w:ind w:left="170"/>
        <w:rPr>
          <w:rFonts w:cs="Arial"/>
          <w:szCs w:val="18"/>
        </w:rPr>
      </w:pPr>
      <w:r w:rsidRPr="00A8229A">
        <w:rPr>
          <w:rFonts w:cs="Arial"/>
          <w:szCs w:val="18"/>
        </w:rPr>
        <w:t xml:space="preserve">Practical Law. (2021). </w:t>
      </w:r>
      <w:r w:rsidRPr="00A8229A">
        <w:rPr>
          <w:rFonts w:cs="Arial"/>
          <w:i/>
          <w:szCs w:val="18"/>
        </w:rPr>
        <w:t>COVID-19: Commission approves French wage subsidy scheme to support SMEs in the context of coronavirus outbreak.</w:t>
      </w:r>
      <w:r w:rsidRPr="00A8229A">
        <w:rPr>
          <w:rFonts w:cs="Arial"/>
          <w:szCs w:val="18"/>
        </w:rPr>
        <w:t xml:space="preserve"> Retrieved from https://content.next.westlaw.com/practical-law/document/Ie8b627a8ef7e11ebbea4f0dc9fb69570/COVID-19-Commission-approves-French-wage-subsidy-scheme-to-support-SMEs-in-the-context-of-coronavirus-outbreak</w:t>
      </w:r>
      <w:r w:rsidR="00353692" w:rsidRPr="00A8229A">
        <w:rPr>
          <w:rFonts w:cs="Arial"/>
          <w:szCs w:val="18"/>
        </w:rPr>
        <w:t>.</w:t>
      </w:r>
    </w:p>
  </w:endnote>
  <w:endnote w:id="55">
    <w:p w14:paraId="3D4825C0" w14:textId="30D592A8" w:rsidR="003B310A"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D74589" w:rsidRPr="00A8229A">
        <w:rPr>
          <w:rFonts w:cs="Arial"/>
          <w:szCs w:val="18"/>
        </w:rPr>
        <w:t>Eichhorst. W., Marx. P., Rinne. U</w:t>
      </w:r>
      <w:r w:rsidR="00357F37" w:rsidRPr="00A8229A">
        <w:rPr>
          <w:rFonts w:cs="Arial"/>
          <w:szCs w:val="18"/>
        </w:rPr>
        <w:t>., Brunner. J.</w:t>
      </w:r>
      <w:r w:rsidR="00D74589" w:rsidRPr="00A8229A">
        <w:rPr>
          <w:rFonts w:cs="Arial"/>
          <w:szCs w:val="18"/>
        </w:rPr>
        <w:t xml:space="preserve"> (</w:t>
      </w:r>
      <w:r w:rsidR="00357F37" w:rsidRPr="00A8229A">
        <w:rPr>
          <w:rFonts w:cs="Arial"/>
          <w:szCs w:val="18"/>
        </w:rPr>
        <w:t>2022</w:t>
      </w:r>
      <w:r w:rsidR="00D74589" w:rsidRPr="00A8229A">
        <w:rPr>
          <w:rFonts w:cs="Arial"/>
          <w:szCs w:val="18"/>
        </w:rPr>
        <w:t xml:space="preserve">). </w:t>
      </w:r>
      <w:r w:rsidR="00357F37" w:rsidRPr="00A8229A">
        <w:rPr>
          <w:rFonts w:cs="Arial"/>
          <w:i/>
          <w:szCs w:val="18"/>
        </w:rPr>
        <w:t>Job retention schemes during COIVD-19: A review of policy responses. International Labour Organization</w:t>
      </w:r>
      <w:r w:rsidR="00D74589" w:rsidRPr="00A8229A">
        <w:rPr>
          <w:rFonts w:cs="Arial"/>
          <w:szCs w:val="18"/>
        </w:rPr>
        <w:t>.</w:t>
      </w:r>
      <w:r w:rsidRPr="00A8229A">
        <w:rPr>
          <w:rFonts w:cs="Arial"/>
          <w:szCs w:val="18"/>
        </w:rPr>
        <w:t xml:space="preserve"> </w:t>
      </w:r>
      <w:r w:rsidR="006C0FEA" w:rsidRPr="00A8229A">
        <w:rPr>
          <w:rFonts w:cs="Arial"/>
          <w:szCs w:val="18"/>
        </w:rPr>
        <w:t xml:space="preserve">Retrieved from </w:t>
      </w:r>
      <w:r w:rsidR="00F81989" w:rsidRPr="00A8229A">
        <w:rPr>
          <w:rFonts w:cs="Arial"/>
          <w:szCs w:val="18"/>
        </w:rPr>
        <w:t>https://www.ilo.org/publications/job-retention-schemes-during-covid-19-review-policy-responses.</w:t>
      </w:r>
    </w:p>
  </w:endnote>
  <w:endnote w:id="56">
    <w:p w14:paraId="13DD128A" w14:textId="3B6D3A2F" w:rsidR="003B310A"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EA79B2" w:rsidRPr="00A8229A">
        <w:rPr>
          <w:rFonts w:cs="Arial"/>
          <w:szCs w:val="18"/>
        </w:rPr>
        <w:t xml:space="preserve">European Commission. (n.d.). </w:t>
      </w:r>
      <w:r w:rsidR="00EA79B2" w:rsidRPr="00A8229A">
        <w:rPr>
          <w:rFonts w:cs="Arial"/>
          <w:i/>
          <w:iCs/>
          <w:szCs w:val="18"/>
        </w:rPr>
        <w:t>State aid cases: France</w:t>
      </w:r>
      <w:r w:rsidR="00EA79B2" w:rsidRPr="00A8229A">
        <w:rPr>
          <w:rFonts w:cs="Arial"/>
          <w:szCs w:val="18"/>
        </w:rPr>
        <w:t>. Retrieved from</w:t>
      </w:r>
      <w:r w:rsidRPr="00A8229A">
        <w:rPr>
          <w:rFonts w:cs="Arial"/>
          <w:szCs w:val="18"/>
        </w:rPr>
        <w:t xml:space="preserve"> https://commission.europa.eu/strategy-and-policy/coronavirus-response/supporting-jobs-and-economy-during-coronavirus-pandemic/state-aid-cases/france_en</w:t>
      </w:r>
      <w:r w:rsidR="00353692" w:rsidRPr="00A8229A">
        <w:rPr>
          <w:rFonts w:cs="Arial"/>
          <w:szCs w:val="18"/>
        </w:rPr>
        <w:t>.</w:t>
      </w:r>
    </w:p>
  </w:endnote>
  <w:endnote w:id="57">
    <w:p w14:paraId="68294EF5" w14:textId="4B351257" w:rsidR="003225C6"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0D448E" w:rsidRPr="00A8229A">
        <w:rPr>
          <w:rFonts w:cs="Arial"/>
          <w:szCs w:val="18"/>
        </w:rPr>
        <w:t xml:space="preserve">National Audit Office. (2021). </w:t>
      </w:r>
      <w:r w:rsidR="000D448E" w:rsidRPr="00A8229A">
        <w:rPr>
          <w:rStyle w:val="Emphasis"/>
          <w:rFonts w:cs="Arial"/>
          <w:b w:val="0"/>
          <w:i/>
          <w:color w:val="auto"/>
          <w:szCs w:val="18"/>
        </w:rPr>
        <w:t>Implementing employment support schemes in response to the COVID-19 pandemic</w:t>
      </w:r>
      <w:r w:rsidR="000D448E" w:rsidRPr="00A8229A">
        <w:rPr>
          <w:rFonts w:cs="Arial"/>
          <w:b/>
          <w:i/>
          <w:szCs w:val="18"/>
        </w:rPr>
        <w:t xml:space="preserve">. </w:t>
      </w:r>
      <w:r w:rsidR="000D448E" w:rsidRPr="00A8229A">
        <w:rPr>
          <w:rFonts w:cs="Arial"/>
          <w:szCs w:val="18"/>
        </w:rPr>
        <w:t>Retrieved from https://www.nao.org.uk/reports/implementing-employment-support-schemes-in-response-to-the-covid-19-pandemic/;</w:t>
      </w:r>
    </w:p>
    <w:p w14:paraId="231CFF2B" w14:textId="64889E2F" w:rsidR="003B310A" w:rsidRPr="00A8229A" w:rsidRDefault="00714341" w:rsidP="006E0D7A">
      <w:pPr>
        <w:pStyle w:val="EndnoteText"/>
        <w:ind w:left="170"/>
        <w:rPr>
          <w:rFonts w:cs="Arial"/>
          <w:szCs w:val="18"/>
        </w:rPr>
      </w:pPr>
      <w:r w:rsidRPr="00A8229A">
        <w:rPr>
          <w:rFonts w:cs="Arial"/>
          <w:szCs w:val="18"/>
        </w:rPr>
        <w:t xml:space="preserve">UK Government. (2021). </w:t>
      </w:r>
      <w:r w:rsidRPr="00A8229A">
        <w:rPr>
          <w:rStyle w:val="Emphasis"/>
          <w:rFonts w:cs="Arial"/>
          <w:b w:val="0"/>
          <w:i/>
          <w:color w:val="auto"/>
          <w:szCs w:val="18"/>
        </w:rPr>
        <w:t>The Coronavirus Job Retention Scheme: Final evaluation</w:t>
      </w:r>
      <w:r w:rsidRPr="00A8229A">
        <w:rPr>
          <w:rFonts w:cs="Arial"/>
          <w:b/>
          <w:i/>
          <w:szCs w:val="18"/>
        </w:rPr>
        <w:t>.</w:t>
      </w:r>
      <w:r w:rsidRPr="00A8229A">
        <w:rPr>
          <w:rFonts w:cs="Arial"/>
          <w:szCs w:val="18"/>
        </w:rPr>
        <w:t xml:space="preserve"> Retrieved from </w:t>
      </w:r>
      <w:r w:rsidR="003B310A" w:rsidRPr="00A8229A">
        <w:rPr>
          <w:rFonts w:cs="Arial"/>
          <w:szCs w:val="18"/>
        </w:rPr>
        <w:t>https://www.gov.uk/government/publications/the-coronavirus-job-retention-scheme-final-evaluation/the-coronavirus-job-retention-scheme-final-evaluation#chapter-1-introduction</w:t>
      </w:r>
      <w:r w:rsidR="00353692" w:rsidRPr="00A8229A">
        <w:rPr>
          <w:rFonts w:cs="Arial"/>
          <w:szCs w:val="18"/>
        </w:rPr>
        <w:t>.</w:t>
      </w:r>
    </w:p>
  </w:endnote>
  <w:endnote w:id="58">
    <w:p w14:paraId="2A75CF97" w14:textId="6FB02A95" w:rsidR="003B310A"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341F83" w:rsidRPr="00A8229A">
        <w:rPr>
          <w:rFonts w:cs="Arial"/>
          <w:szCs w:val="18"/>
        </w:rPr>
        <w:t xml:space="preserve">Government of Canada. (n.d.). </w:t>
      </w:r>
      <w:r w:rsidR="00341F83" w:rsidRPr="00A8229A">
        <w:rPr>
          <w:rStyle w:val="Emphasis"/>
          <w:rFonts w:cs="Arial"/>
          <w:b w:val="0"/>
          <w:i/>
          <w:color w:val="auto"/>
          <w:szCs w:val="18"/>
        </w:rPr>
        <w:t>COVID-19: Canada Emergency Rent Subsidy (CERS) covered infographic</w:t>
      </w:r>
      <w:r w:rsidR="00341F83" w:rsidRPr="00A8229A">
        <w:rPr>
          <w:rFonts w:cs="Arial"/>
          <w:b/>
          <w:i/>
          <w:szCs w:val="18"/>
        </w:rPr>
        <w:t>.</w:t>
      </w:r>
      <w:r w:rsidR="00341F83" w:rsidRPr="00A8229A">
        <w:rPr>
          <w:rFonts w:cs="Arial"/>
          <w:szCs w:val="18"/>
        </w:rPr>
        <w:t xml:space="preserve"> Retrieved from</w:t>
      </w:r>
      <w:r w:rsidRPr="00A8229A">
        <w:rPr>
          <w:rFonts w:cs="Arial"/>
          <w:szCs w:val="18"/>
        </w:rPr>
        <w:t xml:space="preserve"> https://www.canada.ca/content/dam/cra-arc/camp-promo/covid-cers-covered-infographic-en.pdf</w:t>
      </w:r>
      <w:r w:rsidR="00353692" w:rsidRPr="00A8229A">
        <w:rPr>
          <w:rFonts w:cs="Arial"/>
          <w:szCs w:val="18"/>
        </w:rPr>
        <w:t>.</w:t>
      </w:r>
    </w:p>
  </w:endnote>
  <w:endnote w:id="59">
    <w:p w14:paraId="04A9ABD3" w14:textId="27D61772" w:rsidR="003B310A"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D5526E" w:rsidRPr="00A8229A">
        <w:rPr>
          <w:rFonts w:cs="Arial"/>
          <w:szCs w:val="18"/>
        </w:rPr>
        <w:t xml:space="preserve">Government of Canada. (n.d.). </w:t>
      </w:r>
      <w:r w:rsidR="00D5526E" w:rsidRPr="00A8229A">
        <w:rPr>
          <w:rStyle w:val="Emphasis"/>
          <w:rFonts w:cs="Arial"/>
          <w:b w:val="0"/>
          <w:i/>
          <w:color w:val="auto"/>
          <w:szCs w:val="18"/>
        </w:rPr>
        <w:t>CERS statistics</w:t>
      </w:r>
      <w:r w:rsidR="00D5526E" w:rsidRPr="00A8229A">
        <w:rPr>
          <w:rFonts w:cs="Arial"/>
          <w:b/>
          <w:i/>
          <w:szCs w:val="18"/>
        </w:rPr>
        <w:t>.</w:t>
      </w:r>
      <w:r w:rsidR="00D5526E" w:rsidRPr="00A8229A">
        <w:rPr>
          <w:rFonts w:cs="Arial"/>
          <w:szCs w:val="18"/>
        </w:rPr>
        <w:t xml:space="preserve"> Retrieved from</w:t>
      </w:r>
      <w:r w:rsidRPr="00A8229A">
        <w:rPr>
          <w:rFonts w:cs="Arial"/>
          <w:szCs w:val="18"/>
        </w:rPr>
        <w:t xml:space="preserve"> https://www.canada.ca/en/revenue-agency/services/wage-rent-subsidies/cers-statistics.html</w:t>
      </w:r>
      <w:r w:rsidR="00353692" w:rsidRPr="00A8229A">
        <w:rPr>
          <w:rFonts w:cs="Arial"/>
          <w:szCs w:val="18"/>
        </w:rPr>
        <w:t>.</w:t>
      </w:r>
    </w:p>
  </w:endnote>
  <w:endnote w:id="60">
    <w:p w14:paraId="7C317A91" w14:textId="79BC7925" w:rsidR="003B310A"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976AF0" w:rsidRPr="00A8229A">
        <w:rPr>
          <w:rFonts w:cs="Arial"/>
          <w:szCs w:val="18"/>
        </w:rPr>
        <w:t xml:space="preserve">European Commission. (2021). </w:t>
      </w:r>
      <w:r w:rsidR="00976AF0" w:rsidRPr="00A8229A">
        <w:rPr>
          <w:rStyle w:val="Emphasis"/>
          <w:rFonts w:cs="Arial"/>
          <w:b w:val="0"/>
          <w:i/>
          <w:color w:val="auto"/>
          <w:szCs w:val="18"/>
        </w:rPr>
        <w:t>COVID-19: State aid: Commission approves €1.2 billion Italian scheme to support companies affected by the coronavirus outbreak</w:t>
      </w:r>
      <w:r w:rsidR="00976AF0" w:rsidRPr="00A8229A">
        <w:rPr>
          <w:rFonts w:cs="Arial"/>
          <w:b/>
          <w:i/>
          <w:szCs w:val="18"/>
        </w:rPr>
        <w:t>.</w:t>
      </w:r>
      <w:r w:rsidR="00976AF0" w:rsidRPr="00A8229A">
        <w:rPr>
          <w:rFonts w:cs="Arial"/>
          <w:szCs w:val="18"/>
        </w:rPr>
        <w:t xml:space="preserve"> Retrieved from</w:t>
      </w:r>
      <w:r w:rsidRPr="00A8229A">
        <w:rPr>
          <w:rFonts w:cs="Arial"/>
          <w:szCs w:val="18"/>
        </w:rPr>
        <w:t xml:space="preserve"> https://ec.europa.eu/commission/presscorner/detail/en/IP_21_815</w:t>
      </w:r>
      <w:r w:rsidR="00353692" w:rsidRPr="00A8229A">
        <w:rPr>
          <w:rFonts w:cs="Arial"/>
          <w:szCs w:val="18"/>
        </w:rPr>
        <w:t>.</w:t>
      </w:r>
    </w:p>
  </w:endnote>
  <w:endnote w:id="61">
    <w:p w14:paraId="739426F0" w14:textId="77777777" w:rsidR="003225C6"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DB0910" w:rsidRPr="00A8229A">
        <w:rPr>
          <w:rFonts w:cs="Arial"/>
          <w:szCs w:val="18"/>
        </w:rPr>
        <w:t xml:space="preserve">Government of Canada. (2021, October). </w:t>
      </w:r>
      <w:r w:rsidR="00DB0910" w:rsidRPr="00A8229A">
        <w:rPr>
          <w:rStyle w:val="Emphasis"/>
          <w:rFonts w:cs="Arial"/>
          <w:b w:val="0"/>
          <w:i/>
          <w:color w:val="auto"/>
          <w:szCs w:val="18"/>
        </w:rPr>
        <w:t>Targeting COVID-19 support measures</w:t>
      </w:r>
      <w:r w:rsidR="00DB0910" w:rsidRPr="00A8229A">
        <w:rPr>
          <w:rFonts w:cs="Arial"/>
          <w:b/>
          <w:i/>
          <w:szCs w:val="18"/>
        </w:rPr>
        <w:t>.</w:t>
      </w:r>
      <w:r w:rsidR="00DB0910" w:rsidRPr="00A8229A">
        <w:rPr>
          <w:rFonts w:cs="Arial"/>
          <w:szCs w:val="18"/>
        </w:rPr>
        <w:t xml:space="preserve"> Retrieved from https://www.canada.ca/en/department-finance/news/2021/10/targeting-covid-19-support-measures.html;</w:t>
      </w:r>
    </w:p>
    <w:p w14:paraId="1138005E" w14:textId="57062CC2" w:rsidR="003B310A" w:rsidRPr="00A8229A" w:rsidRDefault="008730F0" w:rsidP="00893EB3">
      <w:pPr>
        <w:pStyle w:val="EndnoteText"/>
        <w:ind w:left="170"/>
        <w:rPr>
          <w:rFonts w:cs="Arial"/>
          <w:szCs w:val="18"/>
        </w:rPr>
      </w:pPr>
      <w:r w:rsidRPr="00A8229A">
        <w:rPr>
          <w:rFonts w:cs="Arial"/>
          <w:szCs w:val="18"/>
        </w:rPr>
        <w:t xml:space="preserve">Government of Canada. (n.d.). </w:t>
      </w:r>
      <w:r w:rsidRPr="00A8229A">
        <w:rPr>
          <w:rStyle w:val="Emphasis"/>
          <w:rFonts w:cs="Arial"/>
          <w:b w:val="0"/>
          <w:i/>
          <w:color w:val="auto"/>
          <w:szCs w:val="18"/>
        </w:rPr>
        <w:t>Privacy impact assessment: COVID-19 subsidy initiatives for business entities</w:t>
      </w:r>
      <w:r w:rsidRPr="00A8229A">
        <w:rPr>
          <w:rFonts w:cs="Arial"/>
          <w:b/>
          <w:i/>
          <w:szCs w:val="18"/>
        </w:rPr>
        <w:t>.</w:t>
      </w:r>
      <w:r w:rsidRPr="00A8229A">
        <w:rPr>
          <w:rFonts w:cs="Arial"/>
          <w:szCs w:val="18"/>
        </w:rPr>
        <w:t xml:space="preserve"> Retrieved from</w:t>
      </w:r>
      <w:r w:rsidR="003B310A" w:rsidRPr="00A8229A">
        <w:rPr>
          <w:rFonts w:cs="Arial"/>
          <w:szCs w:val="18"/>
        </w:rPr>
        <w:t xml:space="preserve"> https://www.canada.ca/en/revenue-agency/services/about-canada-revenue-agency-cra/protecting-your-privacy/privacy-impact-assessment/covid-19-subsidy-initiatives-business-entities.html</w:t>
      </w:r>
      <w:r w:rsidR="00353692" w:rsidRPr="00A8229A">
        <w:rPr>
          <w:rFonts w:cs="Arial"/>
          <w:szCs w:val="18"/>
        </w:rPr>
        <w:t>.</w:t>
      </w:r>
    </w:p>
  </w:endnote>
  <w:endnote w:id="62">
    <w:p w14:paraId="2C72DB02" w14:textId="60D5DBC7" w:rsidR="003B310A" w:rsidRPr="00A8229A" w:rsidRDefault="003B310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AC69D2" w:rsidRPr="00A8229A">
        <w:rPr>
          <w:rFonts w:cs="Arial"/>
          <w:szCs w:val="18"/>
        </w:rPr>
        <w:t xml:space="preserve">Government of Canada. (2021, October). </w:t>
      </w:r>
      <w:r w:rsidR="00AC69D2" w:rsidRPr="00A8229A">
        <w:rPr>
          <w:rStyle w:val="Emphasis"/>
          <w:rFonts w:cs="Arial"/>
          <w:b w:val="0"/>
          <w:i/>
          <w:color w:val="auto"/>
          <w:szCs w:val="18"/>
        </w:rPr>
        <w:t>Targeting COVID-19 support measures</w:t>
      </w:r>
      <w:r w:rsidR="00AC69D2" w:rsidRPr="00A8229A">
        <w:rPr>
          <w:rFonts w:cs="Arial"/>
          <w:b/>
          <w:i/>
          <w:szCs w:val="18"/>
        </w:rPr>
        <w:t xml:space="preserve">. </w:t>
      </w:r>
      <w:r w:rsidR="00AC69D2" w:rsidRPr="00A8229A">
        <w:rPr>
          <w:rFonts w:cs="Arial"/>
          <w:szCs w:val="18"/>
        </w:rPr>
        <w:t>Retrieved from</w:t>
      </w:r>
      <w:r w:rsidRPr="00A8229A">
        <w:rPr>
          <w:rFonts w:cs="Arial"/>
          <w:szCs w:val="18"/>
        </w:rPr>
        <w:t xml:space="preserve"> https://www.canada.ca/en/department-finance/news/2021/10/targeting-covid-19-support-measures.html</w:t>
      </w:r>
      <w:r w:rsidR="00353692" w:rsidRPr="00A8229A">
        <w:rPr>
          <w:rFonts w:cs="Arial"/>
          <w:szCs w:val="18"/>
        </w:rPr>
        <w:t>.</w:t>
      </w:r>
    </w:p>
  </w:endnote>
  <w:endnote w:id="63">
    <w:p w14:paraId="4F94A956" w14:textId="77777777" w:rsidR="00F012B6" w:rsidRPr="00A8229A" w:rsidRDefault="0031529E"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F012B6" w:rsidRPr="00A8229A">
        <w:rPr>
          <w:rFonts w:cs="Arial"/>
          <w:szCs w:val="18"/>
        </w:rPr>
        <w:t xml:space="preserve">Canada Revenue Agency. (n.d.). </w:t>
      </w:r>
      <w:r w:rsidR="00F012B6" w:rsidRPr="00A8229A">
        <w:rPr>
          <w:rFonts w:cs="Arial"/>
          <w:i/>
          <w:szCs w:val="18"/>
        </w:rPr>
        <w:t xml:space="preserve">COVID-19 subsidy initiatives for business entities: Privacy impact assessment. </w:t>
      </w:r>
      <w:r w:rsidR="00F012B6" w:rsidRPr="00A8229A">
        <w:rPr>
          <w:rFonts w:cs="Arial"/>
          <w:szCs w:val="18"/>
        </w:rPr>
        <w:t>Retrieved from</w:t>
      </w:r>
      <w:r w:rsidR="00F012B6" w:rsidRPr="00A8229A">
        <w:rPr>
          <w:rFonts w:cs="Arial"/>
          <w:i/>
          <w:iCs/>
          <w:szCs w:val="18"/>
        </w:rPr>
        <w:t xml:space="preserve"> </w:t>
      </w:r>
      <w:r w:rsidR="00F012B6" w:rsidRPr="00A8229A">
        <w:rPr>
          <w:rFonts w:cs="Arial"/>
          <w:szCs w:val="18"/>
        </w:rPr>
        <w:t xml:space="preserve">https://www.canada.ca/en/revenue-agency/services/about-canada-revenue-agency-cra/protecting-your-privacy/privacy-impact-assessment/covid-19-subsidy-initiatives-business-entities.html; </w:t>
      </w:r>
    </w:p>
    <w:p w14:paraId="4F76F637" w14:textId="77777777" w:rsidR="00E05E13" w:rsidRPr="00A8229A" w:rsidRDefault="00E05E13" w:rsidP="006E0D7A">
      <w:pPr>
        <w:pStyle w:val="EndnoteText"/>
        <w:ind w:left="170"/>
        <w:rPr>
          <w:rFonts w:cs="Arial"/>
          <w:szCs w:val="18"/>
        </w:rPr>
      </w:pPr>
      <w:r w:rsidRPr="00A8229A">
        <w:rPr>
          <w:rFonts w:cs="Arial"/>
          <w:szCs w:val="18"/>
        </w:rPr>
        <w:t xml:space="preserve">Canada Revenue Agency. (n.d.). </w:t>
      </w:r>
      <w:r w:rsidRPr="00A8229A">
        <w:rPr>
          <w:rFonts w:cs="Arial"/>
          <w:i/>
          <w:szCs w:val="18"/>
        </w:rPr>
        <w:t>COVID-19 emergency rent subsidy: Covered infographic.</w:t>
      </w:r>
      <w:r w:rsidRPr="00A8229A">
        <w:rPr>
          <w:rFonts w:cs="Arial"/>
          <w:szCs w:val="18"/>
        </w:rPr>
        <w:t xml:space="preserve"> Retrieved from https://www.canada.ca/content/dam/cra-arc/camp-promo/covid-cers-covered-infographic-en.pdf; Canada Revenue Agency. (n.d.). </w:t>
      </w:r>
      <w:r w:rsidRPr="00A8229A">
        <w:rPr>
          <w:rFonts w:cs="Arial"/>
          <w:i/>
          <w:szCs w:val="18"/>
        </w:rPr>
        <w:t>CERS statistics</w:t>
      </w:r>
      <w:r w:rsidRPr="00A8229A">
        <w:rPr>
          <w:rFonts w:cs="Arial"/>
          <w:szCs w:val="18"/>
        </w:rPr>
        <w:t>. Retrieved from</w:t>
      </w:r>
      <w:r w:rsidRPr="00A8229A">
        <w:rPr>
          <w:rFonts w:cs="Arial"/>
          <w:i/>
          <w:iCs/>
          <w:szCs w:val="18"/>
        </w:rPr>
        <w:t xml:space="preserve"> </w:t>
      </w:r>
      <w:r w:rsidRPr="00A8229A">
        <w:rPr>
          <w:rFonts w:cs="Arial"/>
          <w:szCs w:val="18"/>
        </w:rPr>
        <w:t xml:space="preserve">https://www.canada.ca/en/revenue-agency/services/wage-rent-subsidies/cers-statistics.html; European Commission. (2021). </w:t>
      </w:r>
    </w:p>
    <w:p w14:paraId="1531247B" w14:textId="77777777" w:rsidR="00F012B6" w:rsidRPr="00A8229A" w:rsidRDefault="00F012B6" w:rsidP="006E0D7A">
      <w:pPr>
        <w:pStyle w:val="EndnoteText"/>
        <w:ind w:left="170"/>
        <w:rPr>
          <w:rFonts w:cs="Arial"/>
          <w:szCs w:val="18"/>
        </w:rPr>
      </w:pPr>
      <w:r w:rsidRPr="00A8229A">
        <w:rPr>
          <w:rFonts w:cs="Arial"/>
          <w:szCs w:val="18"/>
        </w:rPr>
        <w:t xml:space="preserve">Grant Thornton. (n.d.). </w:t>
      </w:r>
      <w:r w:rsidRPr="00A8229A">
        <w:rPr>
          <w:rFonts w:cs="Arial"/>
          <w:i/>
          <w:szCs w:val="18"/>
        </w:rPr>
        <w:t>CEWS: Canadian emergency wage subsidy final report</w:t>
      </w:r>
      <w:r w:rsidRPr="00A8229A">
        <w:rPr>
          <w:rFonts w:cs="Arial"/>
          <w:szCs w:val="18"/>
        </w:rPr>
        <w:t xml:space="preserve">. Retrieved from https://www.grantthornton.ca/globalassets/1.-member-firms/canada/insights/gt-20-154-cews-final.pdf; </w:t>
      </w:r>
    </w:p>
    <w:p w14:paraId="2354DFA7" w14:textId="17DDA24A" w:rsidR="00F012B6" w:rsidRPr="00A8229A" w:rsidRDefault="00F012B6" w:rsidP="006E0D7A">
      <w:pPr>
        <w:pStyle w:val="EndnoteText"/>
        <w:ind w:left="170"/>
        <w:rPr>
          <w:rFonts w:cs="Arial"/>
          <w:szCs w:val="18"/>
        </w:rPr>
      </w:pPr>
      <w:r w:rsidRPr="00A8229A">
        <w:rPr>
          <w:rFonts w:cs="Arial"/>
          <w:szCs w:val="18"/>
        </w:rPr>
        <w:t>European Commission. (2021</w:t>
      </w:r>
      <w:r w:rsidRPr="00A8229A">
        <w:rPr>
          <w:rFonts w:cs="Arial"/>
          <w:i/>
          <w:szCs w:val="18"/>
        </w:rPr>
        <w:t>). Commission daily news: 5 July 2021</w:t>
      </w:r>
      <w:r w:rsidRPr="00A8229A">
        <w:rPr>
          <w:rFonts w:cs="Arial"/>
          <w:szCs w:val="18"/>
        </w:rPr>
        <w:t xml:space="preserve">. Retrieved from https://ec.europa.eu/commission/presscorner/detail/en/mex_21_3942; </w:t>
      </w:r>
    </w:p>
    <w:p w14:paraId="1C06780F" w14:textId="77777777" w:rsidR="00F012B6" w:rsidRPr="00A8229A" w:rsidRDefault="00F012B6" w:rsidP="006E0D7A">
      <w:pPr>
        <w:pStyle w:val="EndnoteText"/>
        <w:ind w:left="170"/>
        <w:rPr>
          <w:rFonts w:cs="Arial"/>
          <w:szCs w:val="18"/>
        </w:rPr>
      </w:pPr>
      <w:r w:rsidRPr="00A8229A">
        <w:rPr>
          <w:rFonts w:cs="Arial"/>
          <w:szCs w:val="18"/>
        </w:rPr>
        <w:t xml:space="preserve">European Commission. (n.d.). </w:t>
      </w:r>
      <w:r w:rsidRPr="00A8229A">
        <w:rPr>
          <w:rFonts w:cs="Arial"/>
          <w:i/>
          <w:szCs w:val="18"/>
        </w:rPr>
        <w:t>State aid: France</w:t>
      </w:r>
      <w:r w:rsidRPr="00A8229A">
        <w:rPr>
          <w:rFonts w:cs="Arial"/>
          <w:szCs w:val="18"/>
        </w:rPr>
        <w:t xml:space="preserve">. Retrieved from https://commission.europa.eu/strategy-and-policy/coronavirus-response/supporting-jobs-and-economy-during-coronavirus-pandemic/state-aid-cases/france_en; </w:t>
      </w:r>
    </w:p>
    <w:p w14:paraId="35B83656" w14:textId="77777777" w:rsidR="00F012B6" w:rsidRPr="00A8229A" w:rsidRDefault="00F012B6" w:rsidP="006E0D7A">
      <w:pPr>
        <w:pStyle w:val="EndnoteText"/>
        <w:ind w:left="170"/>
        <w:rPr>
          <w:rFonts w:cs="Arial"/>
          <w:szCs w:val="18"/>
        </w:rPr>
      </w:pPr>
      <w:r w:rsidRPr="00A8229A">
        <w:rPr>
          <w:rFonts w:cs="Arial"/>
          <w:i/>
          <w:szCs w:val="18"/>
        </w:rPr>
        <w:t>Eurofound.</w:t>
      </w:r>
      <w:r w:rsidRPr="00A8229A">
        <w:rPr>
          <w:rFonts w:cs="Arial"/>
          <w:szCs w:val="18"/>
        </w:rPr>
        <w:t xml:space="preserve"> (2020). Case FR-2020-14/536: </w:t>
      </w:r>
      <w:r w:rsidRPr="00A8229A">
        <w:rPr>
          <w:rFonts w:cs="Arial"/>
          <w:i/>
          <w:szCs w:val="18"/>
        </w:rPr>
        <w:t>French wage subsidy scheme in response to COVID-19.</w:t>
      </w:r>
      <w:r w:rsidRPr="00A8229A">
        <w:rPr>
          <w:rFonts w:cs="Arial"/>
          <w:szCs w:val="18"/>
        </w:rPr>
        <w:t xml:space="preserve"> Retrieved from https://static.eurofound.europa.eu/covid19db/cases/FR-2020-14_536.html#:~:text=Over%20%E2%82%AC21%2C370%20million%20have,Ministry%20of%20the%20Economy's%20scoreboard; </w:t>
      </w:r>
    </w:p>
    <w:p w14:paraId="1BEAFC35" w14:textId="19514D2A" w:rsidR="00600723" w:rsidRPr="00A8229A" w:rsidRDefault="00CC5B9A" w:rsidP="006E0D7A">
      <w:pPr>
        <w:pStyle w:val="EndnoteText"/>
        <w:ind w:left="170"/>
        <w:rPr>
          <w:rFonts w:cs="Arial"/>
          <w:szCs w:val="18"/>
        </w:rPr>
      </w:pPr>
      <w:r w:rsidRPr="00A8229A">
        <w:rPr>
          <w:rFonts w:cs="Arial"/>
          <w:szCs w:val="18"/>
        </w:rPr>
        <w:t>Ministry of Social Development New Zealand. (2023, March</w:t>
      </w:r>
      <w:r w:rsidRPr="00A8229A">
        <w:rPr>
          <w:rFonts w:cs="Arial"/>
          <w:i/>
          <w:szCs w:val="18"/>
        </w:rPr>
        <w:t>). COVID-19 wage subsidy synthesis report.</w:t>
      </w:r>
      <w:r w:rsidRPr="00A8229A">
        <w:rPr>
          <w:rFonts w:cs="Arial"/>
          <w:szCs w:val="18"/>
        </w:rPr>
        <w:t xml:space="preserve"> </w:t>
      </w:r>
      <w:r w:rsidR="00FC0AD8" w:rsidRPr="00A8229A">
        <w:rPr>
          <w:rFonts w:cs="Arial"/>
          <w:szCs w:val="18"/>
        </w:rPr>
        <w:t xml:space="preserve">Retrieved from </w:t>
      </w:r>
      <w:r w:rsidR="00070186" w:rsidRPr="00A8229A">
        <w:rPr>
          <w:rFonts w:cs="Arial"/>
          <w:szCs w:val="18"/>
        </w:rPr>
        <w:t>https://www.msd.govt.nz/documents/about-msd-and-our-work/publications-resources/statistics/covid-19/wage-subsidy-evaluation-reports/covid19-wage-subsidy-synthesis-final-report-march-2023.pdf</w:t>
      </w:r>
      <w:r w:rsidR="003225C6" w:rsidRPr="00A8229A">
        <w:rPr>
          <w:rFonts w:cs="Arial"/>
          <w:szCs w:val="18"/>
        </w:rPr>
        <w:t>;</w:t>
      </w:r>
    </w:p>
    <w:p w14:paraId="3AC8AAFE" w14:textId="77777777" w:rsidR="00E05E13" w:rsidRPr="00A8229A" w:rsidRDefault="00E05E13" w:rsidP="006E0D7A">
      <w:pPr>
        <w:pStyle w:val="EndnoteText"/>
        <w:ind w:left="170"/>
        <w:rPr>
          <w:rFonts w:cs="Arial"/>
          <w:szCs w:val="18"/>
        </w:rPr>
      </w:pPr>
      <w:r w:rsidRPr="00A8229A">
        <w:rPr>
          <w:rFonts w:cs="Arial"/>
          <w:szCs w:val="18"/>
        </w:rPr>
        <w:t xml:space="preserve">National Audit Office (UK). (n.d.). </w:t>
      </w:r>
      <w:r w:rsidRPr="00A8229A">
        <w:rPr>
          <w:rFonts w:cs="Arial"/>
          <w:i/>
          <w:szCs w:val="18"/>
        </w:rPr>
        <w:t xml:space="preserve">Implementing employment support schemes in response to the COVID-19 pandemic. </w:t>
      </w:r>
      <w:r w:rsidRPr="00A8229A">
        <w:rPr>
          <w:rFonts w:cs="Arial"/>
          <w:szCs w:val="18"/>
        </w:rPr>
        <w:t>Retrieved from</w:t>
      </w:r>
      <w:r w:rsidRPr="00A8229A">
        <w:rPr>
          <w:rFonts w:cs="Arial"/>
          <w:i/>
          <w:iCs/>
          <w:szCs w:val="18"/>
        </w:rPr>
        <w:t xml:space="preserve"> </w:t>
      </w:r>
      <w:r w:rsidRPr="00A8229A">
        <w:rPr>
          <w:rFonts w:cs="Arial"/>
          <w:szCs w:val="18"/>
        </w:rPr>
        <w:t xml:space="preserve">https://www.nao.org.uk/reports/implementing-employment-support-schemes-in-response-to-the-covid-19-pandemic/; UK Government. (n.d.). </w:t>
      </w:r>
      <w:r w:rsidRPr="00A8229A">
        <w:rPr>
          <w:rFonts w:cs="Arial"/>
          <w:i/>
          <w:szCs w:val="18"/>
        </w:rPr>
        <w:t>The coronavirus job retention scheme: Final evaluation</w:t>
      </w:r>
      <w:r w:rsidRPr="00A8229A">
        <w:rPr>
          <w:rFonts w:cs="Arial"/>
          <w:szCs w:val="18"/>
        </w:rPr>
        <w:t>. Retrieved from</w:t>
      </w:r>
      <w:r w:rsidRPr="00A8229A">
        <w:rPr>
          <w:rFonts w:cs="Arial"/>
          <w:i/>
          <w:iCs/>
          <w:szCs w:val="18"/>
        </w:rPr>
        <w:t xml:space="preserve"> </w:t>
      </w:r>
      <w:r w:rsidRPr="00A8229A">
        <w:rPr>
          <w:rFonts w:cs="Arial"/>
          <w:szCs w:val="18"/>
        </w:rPr>
        <w:t xml:space="preserve">https://www.gov.uk/government/publications/the-coronavirus-job-retention-scheme-final-evaluation/the-coronavirus-job-retention-scheme-final-evaluation#chapter-1-introduction; </w:t>
      </w:r>
    </w:p>
    <w:p w14:paraId="6B89EE45" w14:textId="77777777" w:rsidR="00F012B6" w:rsidRPr="00A8229A" w:rsidRDefault="00F012B6" w:rsidP="006E0D7A">
      <w:pPr>
        <w:pStyle w:val="EndnoteText"/>
        <w:ind w:left="170"/>
        <w:rPr>
          <w:rFonts w:cs="Arial"/>
          <w:szCs w:val="18"/>
        </w:rPr>
      </w:pPr>
      <w:r w:rsidRPr="00A8229A">
        <w:rPr>
          <w:rFonts w:cs="Arial"/>
          <w:szCs w:val="18"/>
        </w:rPr>
        <w:t xml:space="preserve">Office of the Parliamentary Budget Officer. </w:t>
      </w:r>
      <w:r w:rsidR="00CC5B9A" w:rsidRPr="00A8229A">
        <w:rPr>
          <w:rFonts w:cs="Arial"/>
          <w:szCs w:val="18"/>
        </w:rPr>
        <w:t xml:space="preserve">(2021). </w:t>
      </w:r>
      <w:r w:rsidR="00CC5B9A" w:rsidRPr="00A8229A">
        <w:rPr>
          <w:rFonts w:cs="Arial"/>
          <w:i/>
          <w:szCs w:val="18"/>
        </w:rPr>
        <w:t>Canada recovery hiring program (CRHP) as extended by Bill C-2</w:t>
      </w:r>
      <w:r w:rsidR="00CC5B9A" w:rsidRPr="00A8229A">
        <w:rPr>
          <w:rFonts w:cs="Arial"/>
          <w:szCs w:val="18"/>
        </w:rPr>
        <w:t xml:space="preserve">. </w:t>
      </w:r>
      <w:r w:rsidR="00FC0AD8" w:rsidRPr="00A8229A">
        <w:rPr>
          <w:rFonts w:cs="Arial"/>
          <w:szCs w:val="18"/>
        </w:rPr>
        <w:t xml:space="preserve">Retrieved from </w:t>
      </w:r>
      <w:r w:rsidR="00063DD2" w:rsidRPr="00A8229A">
        <w:rPr>
          <w:rFonts w:cs="Arial"/>
          <w:szCs w:val="18"/>
        </w:rPr>
        <w:t xml:space="preserve">https://www.pbo-dpb.ca/en/publications/LEG-2122-029-S--canada-recovery-hiring-program-crhp-as-extended-bill-c-2--programme-embauche-relance-economique-canada-perec-tel-qu-il-ete-prolonge-projet-loi-c-2; </w:t>
      </w:r>
    </w:p>
    <w:p w14:paraId="7FC9D581" w14:textId="77777777" w:rsidR="00F012B6" w:rsidRPr="00A8229A" w:rsidRDefault="00F012B6" w:rsidP="006E0D7A">
      <w:pPr>
        <w:pStyle w:val="EndnoteText"/>
        <w:ind w:left="170"/>
        <w:rPr>
          <w:rFonts w:cs="Arial"/>
          <w:i/>
          <w:szCs w:val="18"/>
        </w:rPr>
      </w:pPr>
      <w:r w:rsidRPr="00A8229A">
        <w:rPr>
          <w:rFonts w:cs="Arial"/>
          <w:szCs w:val="18"/>
        </w:rPr>
        <w:t>Practical Law.</w:t>
      </w:r>
      <w:r w:rsidR="00CC5B9A" w:rsidRPr="00A8229A">
        <w:rPr>
          <w:rFonts w:cs="Arial"/>
          <w:szCs w:val="18"/>
        </w:rPr>
        <w:t xml:space="preserve"> (2021). </w:t>
      </w:r>
      <w:r w:rsidR="00CC5B9A" w:rsidRPr="00A8229A">
        <w:rPr>
          <w:rFonts w:cs="Arial"/>
          <w:i/>
          <w:szCs w:val="18"/>
        </w:rPr>
        <w:t>COVID-19: Commission approves French wage subsidy scheme to support SMEs in the context of the coronavirus outbreak</w:t>
      </w:r>
      <w:r w:rsidR="00CC5B9A" w:rsidRPr="00A8229A">
        <w:rPr>
          <w:rFonts w:cs="Arial"/>
          <w:szCs w:val="18"/>
        </w:rPr>
        <w:t xml:space="preserve">. </w:t>
      </w:r>
      <w:r w:rsidR="00FC0AD8" w:rsidRPr="00A8229A">
        <w:rPr>
          <w:rFonts w:cs="Arial"/>
          <w:szCs w:val="18"/>
        </w:rPr>
        <w:t xml:space="preserve">Retrieved from </w:t>
      </w:r>
      <w:r w:rsidR="00063DD2" w:rsidRPr="00A8229A">
        <w:rPr>
          <w:rFonts w:cs="Arial"/>
          <w:szCs w:val="18"/>
        </w:rPr>
        <w:t>https://content.next.westlaw.com/practical-law/document/Ie8b627a8ef7e11ebbea4f0dc9fb69570/COVID-19-</w:t>
      </w:r>
      <w:r w:rsidR="00063DD2" w:rsidRPr="00A8229A">
        <w:rPr>
          <w:rFonts w:cs="Arial"/>
          <w:i/>
          <w:szCs w:val="18"/>
        </w:rPr>
        <w:t xml:space="preserve">Commission-approves-French-wage-subsidy-scheme-to-support-SMEs-in-the-context-of-coronavirus-outbreak; </w:t>
      </w:r>
    </w:p>
    <w:p w14:paraId="1DDBB29C" w14:textId="7FABE771" w:rsidR="00E05E13" w:rsidRPr="00A8229A" w:rsidRDefault="00CC5B9A" w:rsidP="006E0D7A">
      <w:pPr>
        <w:pStyle w:val="EndnoteText"/>
        <w:ind w:left="170"/>
        <w:rPr>
          <w:rFonts w:cs="Arial"/>
          <w:szCs w:val="18"/>
        </w:rPr>
      </w:pPr>
      <w:r w:rsidRPr="00A8229A">
        <w:rPr>
          <w:rFonts w:cs="Arial"/>
          <w:i/>
          <w:szCs w:val="18"/>
        </w:rPr>
        <w:t>State aid: Commission approves €10 billion Dutch scheme to support companies affected by the coronavirus outbreak</w:t>
      </w:r>
      <w:r w:rsidRPr="00A8229A">
        <w:rPr>
          <w:rFonts w:cs="Arial"/>
          <w:szCs w:val="18"/>
        </w:rPr>
        <w:t xml:space="preserve">. </w:t>
      </w:r>
      <w:r w:rsidR="00BC7B54" w:rsidRPr="00A8229A">
        <w:rPr>
          <w:rFonts w:cs="Arial"/>
          <w:szCs w:val="18"/>
        </w:rPr>
        <w:t>Retrieved from</w:t>
      </w:r>
      <w:r w:rsidR="00BC7B54" w:rsidRPr="00A8229A">
        <w:rPr>
          <w:rFonts w:cs="Arial"/>
          <w:i/>
          <w:szCs w:val="18"/>
        </w:rPr>
        <w:t xml:space="preserve"> </w:t>
      </w:r>
      <w:r w:rsidRPr="00A8229A">
        <w:rPr>
          <w:rFonts w:cs="Arial"/>
          <w:szCs w:val="18"/>
        </w:rPr>
        <w:t xml:space="preserve">https://ec.europa.eu/commission/presscorner/detail/en/IP_21_815; Canadian Department of Finance. (2021, October). </w:t>
      </w:r>
      <w:r w:rsidRPr="00A8229A">
        <w:rPr>
          <w:rFonts w:cs="Arial"/>
          <w:i/>
          <w:szCs w:val="18"/>
        </w:rPr>
        <w:t>Targeting COVID-19 support measures</w:t>
      </w:r>
      <w:r w:rsidRPr="00A8229A">
        <w:rPr>
          <w:rFonts w:cs="Arial"/>
          <w:szCs w:val="18"/>
        </w:rPr>
        <w:t xml:space="preserve">. </w:t>
      </w:r>
      <w:r w:rsidR="00BC7B54" w:rsidRPr="00A8229A">
        <w:rPr>
          <w:rFonts w:cs="Arial"/>
          <w:szCs w:val="18"/>
        </w:rPr>
        <w:t>Retrieved from</w:t>
      </w:r>
      <w:r w:rsidR="00BC7B54" w:rsidRPr="00A8229A">
        <w:rPr>
          <w:rFonts w:cs="Arial"/>
          <w:i/>
          <w:szCs w:val="18"/>
        </w:rPr>
        <w:t xml:space="preserve"> </w:t>
      </w:r>
      <w:r w:rsidRPr="00A8229A">
        <w:rPr>
          <w:rFonts w:cs="Arial"/>
          <w:szCs w:val="18"/>
        </w:rPr>
        <w:t>https://www.canada.ca/en/department-finance/news/2021/10/targeting-covid-19-support-measures.html</w:t>
      </w:r>
      <w:r w:rsidR="000713A3" w:rsidRPr="00A8229A">
        <w:rPr>
          <w:rFonts w:cs="Arial"/>
          <w:szCs w:val="18"/>
        </w:rPr>
        <w:t>;</w:t>
      </w:r>
    </w:p>
    <w:p w14:paraId="2FF55D53" w14:textId="2AAA4ABD" w:rsidR="0031529E" w:rsidRPr="00A8229A" w:rsidRDefault="00CC5B9A" w:rsidP="006E0D7A">
      <w:pPr>
        <w:pStyle w:val="EndnoteText"/>
        <w:ind w:left="170"/>
        <w:rPr>
          <w:rFonts w:cs="Arial"/>
          <w:szCs w:val="18"/>
        </w:rPr>
      </w:pPr>
      <w:r w:rsidRPr="00A8229A">
        <w:rPr>
          <w:rFonts w:cs="Arial"/>
          <w:i/>
          <w:szCs w:val="18"/>
        </w:rPr>
        <w:t>Wage subsidy scheme outcomes evaluation.</w:t>
      </w:r>
      <w:r w:rsidRPr="00A8229A">
        <w:rPr>
          <w:rFonts w:cs="Arial"/>
          <w:szCs w:val="18"/>
        </w:rPr>
        <w:t xml:space="preserve"> </w:t>
      </w:r>
      <w:r w:rsidR="00FC0AD8" w:rsidRPr="00A8229A">
        <w:rPr>
          <w:rFonts w:cs="Arial"/>
          <w:szCs w:val="18"/>
        </w:rPr>
        <w:t>Retrieved from</w:t>
      </w:r>
      <w:r w:rsidR="00FC0AD8" w:rsidRPr="00A8229A">
        <w:rPr>
          <w:rFonts w:cs="Arial"/>
          <w:i/>
          <w:iCs/>
          <w:szCs w:val="18"/>
        </w:rPr>
        <w:t xml:space="preserve"> </w:t>
      </w:r>
      <w:r w:rsidRPr="00A8229A">
        <w:rPr>
          <w:rFonts w:cs="Arial"/>
          <w:szCs w:val="18"/>
        </w:rPr>
        <w:t>https://www.msd.govt.nz/documents/about-msd-and-our-work/publications-resources/statistics/covid-19/wage-subsidy-evaluation-reports/wage-subsidy-scheme-outcomes-evaluation.pdf</w:t>
      </w:r>
      <w:r w:rsidR="000713A3" w:rsidRPr="00A8229A">
        <w:rPr>
          <w:rFonts w:cs="Arial"/>
          <w:szCs w:val="18"/>
        </w:rPr>
        <w:t>.</w:t>
      </w:r>
    </w:p>
  </w:endnote>
  <w:endnote w:id="64">
    <w:p w14:paraId="1DDDD652" w14:textId="77777777" w:rsidR="006D5674" w:rsidRPr="00A8229A" w:rsidRDefault="006D5674" w:rsidP="006D5674">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Canada Revenue Agency. (n.d.). </w:t>
      </w:r>
      <w:r w:rsidRPr="00A8229A">
        <w:rPr>
          <w:rFonts w:cs="Arial"/>
          <w:i/>
          <w:szCs w:val="18"/>
        </w:rPr>
        <w:t xml:space="preserve">COVID-19 subsidy initiatives for business entities: Privacy impact assessment. </w:t>
      </w:r>
      <w:r w:rsidRPr="00A8229A">
        <w:rPr>
          <w:rFonts w:cs="Arial"/>
          <w:szCs w:val="18"/>
        </w:rPr>
        <w:t>Retrieved from</w:t>
      </w:r>
      <w:r w:rsidRPr="00A8229A">
        <w:rPr>
          <w:rFonts w:cs="Arial"/>
          <w:i/>
          <w:iCs/>
          <w:szCs w:val="18"/>
        </w:rPr>
        <w:t xml:space="preserve"> </w:t>
      </w:r>
      <w:r w:rsidRPr="00A8229A">
        <w:rPr>
          <w:rFonts w:cs="Arial"/>
          <w:szCs w:val="18"/>
        </w:rPr>
        <w:t xml:space="preserve">https://www.canada.ca/en/revenue-agency/services/about-canada-revenue-agency-cra/protecting-your-privacy/privacy-impact-assessment/covid-19-subsidy-initiatives-business-entities.html; </w:t>
      </w:r>
    </w:p>
    <w:p w14:paraId="6273C394" w14:textId="77777777" w:rsidR="006D5674" w:rsidRPr="00A8229A" w:rsidRDefault="006D5674" w:rsidP="006D5674">
      <w:pPr>
        <w:pStyle w:val="EndnoteText"/>
        <w:ind w:left="170"/>
        <w:rPr>
          <w:rFonts w:cs="Arial"/>
          <w:szCs w:val="18"/>
        </w:rPr>
      </w:pPr>
      <w:r w:rsidRPr="00A8229A">
        <w:rPr>
          <w:rFonts w:cs="Arial"/>
          <w:szCs w:val="18"/>
        </w:rPr>
        <w:t xml:space="preserve">Canada Revenue Agency. (n.d.). </w:t>
      </w:r>
      <w:r w:rsidRPr="00A8229A">
        <w:rPr>
          <w:rFonts w:cs="Arial"/>
          <w:i/>
          <w:szCs w:val="18"/>
        </w:rPr>
        <w:t>COVID-19 emergency rent subsidy: Covered infographic.</w:t>
      </w:r>
      <w:r w:rsidRPr="00A8229A">
        <w:rPr>
          <w:rFonts w:cs="Arial"/>
          <w:szCs w:val="18"/>
        </w:rPr>
        <w:t xml:space="preserve"> Retrieved from https://www.canada.ca/content/dam/cra-arc/camp-promo/covid-cers-covered-infographic-en.pdf; Canada Revenue Agency. (n.d.). </w:t>
      </w:r>
      <w:r w:rsidRPr="00A8229A">
        <w:rPr>
          <w:rFonts w:cs="Arial"/>
          <w:i/>
          <w:szCs w:val="18"/>
        </w:rPr>
        <w:t>CERS statistics</w:t>
      </w:r>
      <w:r w:rsidRPr="00A8229A">
        <w:rPr>
          <w:rFonts w:cs="Arial"/>
          <w:szCs w:val="18"/>
        </w:rPr>
        <w:t>. Retrieved from</w:t>
      </w:r>
      <w:r w:rsidRPr="00A8229A">
        <w:rPr>
          <w:rFonts w:cs="Arial"/>
          <w:i/>
          <w:iCs/>
          <w:szCs w:val="18"/>
        </w:rPr>
        <w:t xml:space="preserve"> </w:t>
      </w:r>
      <w:r w:rsidRPr="00A8229A">
        <w:rPr>
          <w:rFonts w:cs="Arial"/>
          <w:szCs w:val="18"/>
        </w:rPr>
        <w:t xml:space="preserve">https://www.canada.ca/en/revenue-agency/services/wage-rent-subsidies/cers-statistics.html; European Commission. (2021). </w:t>
      </w:r>
    </w:p>
    <w:p w14:paraId="0E230306" w14:textId="77777777" w:rsidR="006D5674" w:rsidRPr="00A8229A" w:rsidRDefault="006D5674" w:rsidP="006D5674">
      <w:pPr>
        <w:pStyle w:val="EndnoteText"/>
        <w:ind w:left="170"/>
        <w:rPr>
          <w:rFonts w:cs="Arial"/>
          <w:szCs w:val="18"/>
        </w:rPr>
      </w:pPr>
      <w:r w:rsidRPr="00A8229A">
        <w:rPr>
          <w:rFonts w:cs="Arial"/>
          <w:szCs w:val="18"/>
        </w:rPr>
        <w:t xml:space="preserve">Grant Thornton. (n.d.). </w:t>
      </w:r>
      <w:r w:rsidRPr="00A8229A">
        <w:rPr>
          <w:rFonts w:cs="Arial"/>
          <w:i/>
          <w:szCs w:val="18"/>
        </w:rPr>
        <w:t>CEWS: Canadian emergency wage subsidy final report</w:t>
      </w:r>
      <w:r w:rsidRPr="00A8229A">
        <w:rPr>
          <w:rFonts w:cs="Arial"/>
          <w:szCs w:val="18"/>
        </w:rPr>
        <w:t xml:space="preserve">. Retrieved from https://www.grantthornton.ca/globalassets/1.-member-firms/canada/insights/gt-20-154-cews-final.pdf; </w:t>
      </w:r>
    </w:p>
    <w:p w14:paraId="7037B320" w14:textId="77777777" w:rsidR="006D5674" w:rsidRPr="00A8229A" w:rsidRDefault="006D5674" w:rsidP="006D5674">
      <w:pPr>
        <w:pStyle w:val="EndnoteText"/>
        <w:ind w:left="170"/>
        <w:rPr>
          <w:rFonts w:cs="Arial"/>
          <w:szCs w:val="18"/>
        </w:rPr>
      </w:pPr>
      <w:r w:rsidRPr="00A8229A">
        <w:rPr>
          <w:rFonts w:cs="Arial"/>
          <w:szCs w:val="18"/>
        </w:rPr>
        <w:t>European Commission. (2021</w:t>
      </w:r>
      <w:r w:rsidRPr="00A8229A">
        <w:rPr>
          <w:rFonts w:cs="Arial"/>
          <w:i/>
          <w:szCs w:val="18"/>
        </w:rPr>
        <w:t>). Commission daily news: 5 July 2021</w:t>
      </w:r>
      <w:r w:rsidRPr="00A8229A">
        <w:rPr>
          <w:rFonts w:cs="Arial"/>
          <w:szCs w:val="18"/>
        </w:rPr>
        <w:t xml:space="preserve">. Retrieved from https://ec.europa.eu/commission/presscorner/detail/en/mex_21_3942; </w:t>
      </w:r>
    </w:p>
    <w:p w14:paraId="23DFCA70" w14:textId="77777777" w:rsidR="006D5674" w:rsidRPr="00A8229A" w:rsidRDefault="006D5674" w:rsidP="006D5674">
      <w:pPr>
        <w:pStyle w:val="EndnoteText"/>
        <w:ind w:left="170"/>
        <w:rPr>
          <w:rFonts w:cs="Arial"/>
          <w:szCs w:val="18"/>
        </w:rPr>
      </w:pPr>
      <w:r w:rsidRPr="00A8229A">
        <w:rPr>
          <w:rFonts w:cs="Arial"/>
          <w:szCs w:val="18"/>
        </w:rPr>
        <w:t xml:space="preserve">European Commission. (n.d.). </w:t>
      </w:r>
      <w:r w:rsidRPr="00A8229A">
        <w:rPr>
          <w:rFonts w:cs="Arial"/>
          <w:i/>
          <w:szCs w:val="18"/>
        </w:rPr>
        <w:t>State aid: France</w:t>
      </w:r>
      <w:r w:rsidRPr="00A8229A">
        <w:rPr>
          <w:rFonts w:cs="Arial"/>
          <w:szCs w:val="18"/>
        </w:rPr>
        <w:t xml:space="preserve">. Retrieved from https://commission.europa.eu/strategy-and-policy/coronavirus-response/supporting-jobs-and-economy-during-coronavirus-pandemic/state-aid-cases/france_en; </w:t>
      </w:r>
    </w:p>
    <w:p w14:paraId="5B65EF3F" w14:textId="77777777" w:rsidR="006D5674" w:rsidRPr="00A8229A" w:rsidRDefault="006D5674" w:rsidP="006D5674">
      <w:pPr>
        <w:pStyle w:val="EndnoteText"/>
        <w:ind w:left="170"/>
        <w:rPr>
          <w:rFonts w:cs="Arial"/>
          <w:szCs w:val="18"/>
        </w:rPr>
      </w:pPr>
      <w:r w:rsidRPr="00A8229A">
        <w:rPr>
          <w:rFonts w:cs="Arial"/>
          <w:i/>
          <w:szCs w:val="18"/>
        </w:rPr>
        <w:t>Eurofound.</w:t>
      </w:r>
      <w:r w:rsidRPr="00A8229A">
        <w:rPr>
          <w:rFonts w:cs="Arial"/>
          <w:szCs w:val="18"/>
        </w:rPr>
        <w:t xml:space="preserve"> (2020). Case FR-2020-14/536: </w:t>
      </w:r>
      <w:r w:rsidRPr="00A8229A">
        <w:rPr>
          <w:rFonts w:cs="Arial"/>
          <w:i/>
          <w:szCs w:val="18"/>
        </w:rPr>
        <w:t>French wage subsidy scheme in response to COVID-19.</w:t>
      </w:r>
      <w:r w:rsidRPr="00A8229A">
        <w:rPr>
          <w:rFonts w:cs="Arial"/>
          <w:szCs w:val="18"/>
        </w:rPr>
        <w:t xml:space="preserve"> Retrieved from https://static.eurofound.europa.eu/covid19db/cases/FR-2020-14_536.html#:~:text=Over%20%E2%82%AC21%2C370%20million%20have,Ministry%20of%20the%20Economy's%20scoreboard; </w:t>
      </w:r>
    </w:p>
    <w:p w14:paraId="70982571" w14:textId="77777777" w:rsidR="006D5674" w:rsidRPr="00A8229A" w:rsidRDefault="006D5674" w:rsidP="006D5674">
      <w:pPr>
        <w:pStyle w:val="EndnoteText"/>
        <w:ind w:left="170"/>
        <w:rPr>
          <w:rFonts w:cs="Arial"/>
          <w:szCs w:val="18"/>
        </w:rPr>
      </w:pPr>
      <w:r w:rsidRPr="00A8229A">
        <w:rPr>
          <w:rFonts w:cs="Arial"/>
          <w:szCs w:val="18"/>
        </w:rPr>
        <w:t>Ministry of Social Development New Zealand. (2023, March</w:t>
      </w:r>
      <w:r w:rsidRPr="00A8229A">
        <w:rPr>
          <w:rFonts w:cs="Arial"/>
          <w:i/>
          <w:szCs w:val="18"/>
        </w:rPr>
        <w:t>). COVID-19 wage subsidy synthesis report.</w:t>
      </w:r>
      <w:r w:rsidRPr="00A8229A">
        <w:rPr>
          <w:rFonts w:cs="Arial"/>
          <w:szCs w:val="18"/>
        </w:rPr>
        <w:t xml:space="preserve"> Retrieved from https://www.msd.govt.nz/documents/about-msd-and-our-work/publications-resources/statistics/covid-19/wage-subsidy-evaluation-reports/covid19-wage-subsidy-synthesis-final-report-march-2023.pdf;</w:t>
      </w:r>
    </w:p>
    <w:p w14:paraId="17E14CED" w14:textId="77777777" w:rsidR="006D5674" w:rsidRPr="00A8229A" w:rsidRDefault="006D5674" w:rsidP="006D5674">
      <w:pPr>
        <w:pStyle w:val="EndnoteText"/>
        <w:ind w:left="170"/>
        <w:rPr>
          <w:rFonts w:cs="Arial"/>
          <w:szCs w:val="18"/>
        </w:rPr>
      </w:pPr>
      <w:r w:rsidRPr="00A8229A">
        <w:rPr>
          <w:rFonts w:cs="Arial"/>
          <w:szCs w:val="18"/>
        </w:rPr>
        <w:t xml:space="preserve">National Audit Office (UK). (n.d.). </w:t>
      </w:r>
      <w:r w:rsidRPr="00A8229A">
        <w:rPr>
          <w:rFonts w:cs="Arial"/>
          <w:i/>
          <w:szCs w:val="18"/>
        </w:rPr>
        <w:t xml:space="preserve">Implementing employment support schemes in response to the COVID-19 pandemic. </w:t>
      </w:r>
      <w:r w:rsidRPr="00A8229A">
        <w:rPr>
          <w:rFonts w:cs="Arial"/>
          <w:szCs w:val="18"/>
        </w:rPr>
        <w:t>Retrieved from</w:t>
      </w:r>
      <w:r w:rsidRPr="00A8229A">
        <w:rPr>
          <w:rFonts w:cs="Arial"/>
          <w:i/>
          <w:iCs/>
          <w:szCs w:val="18"/>
        </w:rPr>
        <w:t xml:space="preserve"> </w:t>
      </w:r>
      <w:r w:rsidRPr="00A8229A">
        <w:rPr>
          <w:rFonts w:cs="Arial"/>
          <w:szCs w:val="18"/>
        </w:rPr>
        <w:t xml:space="preserve">https://www.nao.org.uk/reports/implementing-employment-support-schemes-in-response-to-the-covid-19-pandemic/; UK Government. (n.d.). </w:t>
      </w:r>
      <w:r w:rsidRPr="00A8229A">
        <w:rPr>
          <w:rFonts w:cs="Arial"/>
          <w:i/>
          <w:szCs w:val="18"/>
        </w:rPr>
        <w:t>The coronavirus job retention scheme: Final evaluation</w:t>
      </w:r>
      <w:r w:rsidRPr="00A8229A">
        <w:rPr>
          <w:rFonts w:cs="Arial"/>
          <w:szCs w:val="18"/>
        </w:rPr>
        <w:t>. Retrieved from</w:t>
      </w:r>
      <w:r w:rsidRPr="00A8229A">
        <w:rPr>
          <w:rFonts w:cs="Arial"/>
          <w:i/>
          <w:iCs/>
          <w:szCs w:val="18"/>
        </w:rPr>
        <w:t xml:space="preserve"> </w:t>
      </w:r>
      <w:r w:rsidRPr="00A8229A">
        <w:rPr>
          <w:rFonts w:cs="Arial"/>
          <w:szCs w:val="18"/>
        </w:rPr>
        <w:t xml:space="preserve">https://www.gov.uk/government/publications/the-coronavirus-job-retention-scheme-final-evaluation/the-coronavirus-job-retention-scheme-final-evaluation#chapter-1-introduction; </w:t>
      </w:r>
    </w:p>
    <w:p w14:paraId="3950D0BA" w14:textId="77777777" w:rsidR="006D5674" w:rsidRPr="00A8229A" w:rsidRDefault="006D5674" w:rsidP="006D5674">
      <w:pPr>
        <w:pStyle w:val="EndnoteText"/>
        <w:ind w:left="170"/>
        <w:rPr>
          <w:rFonts w:cs="Arial"/>
          <w:szCs w:val="18"/>
        </w:rPr>
      </w:pPr>
      <w:r w:rsidRPr="00A8229A">
        <w:rPr>
          <w:rFonts w:cs="Arial"/>
          <w:szCs w:val="18"/>
        </w:rPr>
        <w:t xml:space="preserve">Office of the Parliamentary Budget Officer. (2021). </w:t>
      </w:r>
      <w:r w:rsidRPr="00A8229A">
        <w:rPr>
          <w:rFonts w:cs="Arial"/>
          <w:i/>
          <w:szCs w:val="18"/>
        </w:rPr>
        <w:t>Canada recovery hiring program (CRHP) as extended by Bill C-2</w:t>
      </w:r>
      <w:r w:rsidRPr="00A8229A">
        <w:rPr>
          <w:rFonts w:cs="Arial"/>
          <w:szCs w:val="18"/>
        </w:rPr>
        <w:t xml:space="preserve">. Retrieved from https://www.pbo-dpb.ca/en/publications/LEG-2122-029-S--canada-recovery-hiring-program-crhp-as-extended-bill-c-2--programme-embauche-relance-economique-canada-perec-tel-qu-il-ete-prolonge-projet-loi-c-2; </w:t>
      </w:r>
    </w:p>
    <w:p w14:paraId="6C6444FC" w14:textId="77777777" w:rsidR="006D5674" w:rsidRPr="00A8229A" w:rsidRDefault="006D5674" w:rsidP="006D5674">
      <w:pPr>
        <w:pStyle w:val="EndnoteText"/>
        <w:ind w:left="170"/>
        <w:rPr>
          <w:rFonts w:cs="Arial"/>
          <w:i/>
          <w:szCs w:val="18"/>
        </w:rPr>
      </w:pPr>
      <w:r w:rsidRPr="00A8229A">
        <w:rPr>
          <w:rFonts w:cs="Arial"/>
          <w:szCs w:val="18"/>
        </w:rPr>
        <w:t xml:space="preserve">Practical Law. (2021). </w:t>
      </w:r>
      <w:r w:rsidRPr="00A8229A">
        <w:rPr>
          <w:rFonts w:cs="Arial"/>
          <w:i/>
          <w:szCs w:val="18"/>
        </w:rPr>
        <w:t>COVID-19: Commission approves French wage subsidy scheme to support SMEs in the context of the coronavirus outbreak</w:t>
      </w:r>
      <w:r w:rsidRPr="00A8229A">
        <w:rPr>
          <w:rFonts w:cs="Arial"/>
          <w:szCs w:val="18"/>
        </w:rPr>
        <w:t>. Retrieved from https://content.next.westlaw.com/practical-law/document/Ie8b627a8ef7e11ebbea4f0dc9fb69570/COVID-19-</w:t>
      </w:r>
      <w:r w:rsidRPr="00A8229A">
        <w:rPr>
          <w:rFonts w:cs="Arial"/>
          <w:i/>
          <w:szCs w:val="18"/>
        </w:rPr>
        <w:t xml:space="preserve">Commission-approves-French-wage-subsidy-scheme-to-support-SMEs-in-the-context-of-coronavirus-outbreak; </w:t>
      </w:r>
    </w:p>
    <w:p w14:paraId="5DB77A72" w14:textId="77777777" w:rsidR="006D5674" w:rsidRPr="00A8229A" w:rsidRDefault="006D5674" w:rsidP="006D5674">
      <w:pPr>
        <w:pStyle w:val="EndnoteText"/>
        <w:ind w:left="170"/>
        <w:rPr>
          <w:rFonts w:cs="Arial"/>
          <w:szCs w:val="18"/>
        </w:rPr>
      </w:pPr>
      <w:r w:rsidRPr="00A8229A">
        <w:rPr>
          <w:rFonts w:cs="Arial"/>
          <w:i/>
          <w:szCs w:val="18"/>
        </w:rPr>
        <w:t>State aid: Commission approves €10 billion Dutch scheme to support companies affected by the coronavirus outbreak</w:t>
      </w:r>
      <w:r w:rsidRPr="00A8229A">
        <w:rPr>
          <w:rFonts w:cs="Arial"/>
          <w:szCs w:val="18"/>
        </w:rPr>
        <w:t>. Retrieved from</w:t>
      </w:r>
      <w:r w:rsidRPr="00A8229A">
        <w:rPr>
          <w:rFonts w:cs="Arial"/>
          <w:i/>
          <w:szCs w:val="18"/>
        </w:rPr>
        <w:t xml:space="preserve"> </w:t>
      </w:r>
      <w:r w:rsidRPr="00A8229A">
        <w:rPr>
          <w:rFonts w:cs="Arial"/>
          <w:szCs w:val="18"/>
        </w:rPr>
        <w:t xml:space="preserve">https://ec.europa.eu/commission/presscorner/detail/en/IP_21_815; Canadian Department of Finance. (2021, October). </w:t>
      </w:r>
      <w:r w:rsidRPr="00A8229A">
        <w:rPr>
          <w:rFonts w:cs="Arial"/>
          <w:i/>
          <w:szCs w:val="18"/>
        </w:rPr>
        <w:t>Targeting COVID-19 support measures</w:t>
      </w:r>
      <w:r w:rsidRPr="00A8229A">
        <w:rPr>
          <w:rFonts w:cs="Arial"/>
          <w:szCs w:val="18"/>
        </w:rPr>
        <w:t>. Retrieved from</w:t>
      </w:r>
      <w:r w:rsidRPr="00A8229A">
        <w:rPr>
          <w:rFonts w:cs="Arial"/>
          <w:i/>
          <w:szCs w:val="18"/>
        </w:rPr>
        <w:t xml:space="preserve"> </w:t>
      </w:r>
      <w:r w:rsidRPr="00A8229A">
        <w:rPr>
          <w:rFonts w:cs="Arial"/>
          <w:szCs w:val="18"/>
        </w:rPr>
        <w:t>https://www.canada.ca/en/department-finance/news/2021/10/targeting-covid-19-support-measures.html;</w:t>
      </w:r>
    </w:p>
    <w:p w14:paraId="62E14DD7" w14:textId="77777777" w:rsidR="006D5674" w:rsidRPr="00A8229A" w:rsidRDefault="006D5674" w:rsidP="006D5674">
      <w:pPr>
        <w:pStyle w:val="EndnoteText"/>
        <w:ind w:left="170"/>
        <w:rPr>
          <w:rFonts w:cs="Arial"/>
          <w:szCs w:val="18"/>
        </w:rPr>
      </w:pPr>
      <w:r w:rsidRPr="00A8229A">
        <w:rPr>
          <w:rFonts w:cs="Arial"/>
          <w:i/>
          <w:szCs w:val="18"/>
        </w:rPr>
        <w:t>Wage subsidy scheme outcomes evaluation.</w:t>
      </w:r>
      <w:r w:rsidRPr="00A8229A">
        <w:rPr>
          <w:rFonts w:cs="Arial"/>
          <w:szCs w:val="18"/>
        </w:rPr>
        <w:t xml:space="preserve"> Retrieved from</w:t>
      </w:r>
      <w:r w:rsidRPr="00A8229A">
        <w:rPr>
          <w:rFonts w:cs="Arial"/>
          <w:i/>
          <w:iCs/>
          <w:szCs w:val="18"/>
        </w:rPr>
        <w:t xml:space="preserve"> </w:t>
      </w:r>
      <w:r w:rsidRPr="00A8229A">
        <w:rPr>
          <w:rFonts w:cs="Arial"/>
          <w:szCs w:val="18"/>
        </w:rPr>
        <w:t>https://www.msd.govt.nz/documents/about-msd-and-our-work/publications-resources/statistics/covid-19/wage-subsidy-evaluation-reports/wage-subsidy-scheme-outcomes-evaluation.pdf.</w:t>
      </w:r>
    </w:p>
  </w:endnote>
  <w:endnote w:id="65">
    <w:p w14:paraId="3ED385F7" w14:textId="09463062" w:rsidR="000713A3" w:rsidRPr="00A8229A" w:rsidRDefault="00CC5CA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0713A3" w:rsidRPr="00A8229A">
        <w:rPr>
          <w:rFonts w:cs="Arial"/>
          <w:szCs w:val="18"/>
        </w:rPr>
        <w:t xml:space="preserve">Inland Revenue Department (IRD). (n.d.). </w:t>
      </w:r>
      <w:r w:rsidR="000713A3" w:rsidRPr="00A8229A">
        <w:rPr>
          <w:rFonts w:cs="Arial"/>
          <w:i/>
          <w:szCs w:val="18"/>
        </w:rPr>
        <w:t>Resurgence support payment statistics</w:t>
      </w:r>
      <w:r w:rsidR="000713A3" w:rsidRPr="00A8229A">
        <w:rPr>
          <w:rFonts w:cs="Arial"/>
          <w:szCs w:val="18"/>
        </w:rPr>
        <w:t>. Retrieved from</w:t>
      </w:r>
      <w:r w:rsidR="000713A3" w:rsidRPr="00A8229A">
        <w:rPr>
          <w:rFonts w:cs="Arial"/>
          <w:i/>
          <w:iCs/>
          <w:szCs w:val="18"/>
        </w:rPr>
        <w:t xml:space="preserve"> </w:t>
      </w:r>
      <w:r w:rsidR="000713A3" w:rsidRPr="00A8229A">
        <w:rPr>
          <w:rFonts w:cs="Arial"/>
          <w:szCs w:val="18"/>
        </w:rPr>
        <w:t>https://www.ird.govt.nz/about-us/tax-statistics/resurgence-support-payment-statistics;</w:t>
      </w:r>
    </w:p>
    <w:p w14:paraId="648059E5" w14:textId="2CF72F85" w:rsidR="00CC5CAA" w:rsidRPr="00A8229A" w:rsidRDefault="00E352F7" w:rsidP="006E0D7A">
      <w:pPr>
        <w:pStyle w:val="EndnoteText"/>
        <w:ind w:left="170"/>
        <w:rPr>
          <w:rFonts w:cs="Arial"/>
          <w:szCs w:val="18"/>
        </w:rPr>
      </w:pPr>
      <w:r w:rsidRPr="00A8229A">
        <w:rPr>
          <w:rFonts w:cs="Arial"/>
          <w:szCs w:val="18"/>
        </w:rPr>
        <w:t>New Zealand Treasury. (n.d</w:t>
      </w:r>
      <w:r w:rsidRPr="00A8229A">
        <w:rPr>
          <w:rFonts w:cs="Arial"/>
          <w:i/>
          <w:szCs w:val="18"/>
        </w:rPr>
        <w:t>.). COVID-19 response and recovery: What has been achieved.</w:t>
      </w:r>
      <w:r w:rsidRPr="00A8229A">
        <w:rPr>
          <w:rFonts w:cs="Arial"/>
          <w:szCs w:val="18"/>
        </w:rPr>
        <w:t xml:space="preserve"> </w:t>
      </w:r>
      <w:r w:rsidR="00BC7B54" w:rsidRPr="00A8229A">
        <w:rPr>
          <w:rFonts w:cs="Arial"/>
          <w:szCs w:val="18"/>
        </w:rPr>
        <w:t>Retrieved from</w:t>
      </w:r>
      <w:r w:rsidR="00BC7B54" w:rsidRPr="00A8229A">
        <w:rPr>
          <w:rFonts w:cs="Arial"/>
          <w:i/>
          <w:szCs w:val="18"/>
        </w:rPr>
        <w:t xml:space="preserve"> </w:t>
      </w:r>
      <w:r w:rsidRPr="00A8229A">
        <w:rPr>
          <w:rFonts w:cs="Arial"/>
          <w:szCs w:val="18"/>
        </w:rPr>
        <w:t>https://www.treasury.govt.nz/information-and-services/nz-economy/covid-19-economic-response/overview-covid-19-response-and-recovery-fund-crrf/covid-19-response-and-recovery-what-has-been-achieved</w:t>
      </w:r>
      <w:r w:rsidR="000713A3" w:rsidRPr="00A8229A">
        <w:rPr>
          <w:rFonts w:cs="Arial"/>
          <w:szCs w:val="18"/>
        </w:rPr>
        <w:t>.</w:t>
      </w:r>
    </w:p>
  </w:endnote>
  <w:endnote w:id="66">
    <w:p w14:paraId="2B058401" w14:textId="593CCF93" w:rsidR="00CC5CAA" w:rsidRPr="00A8229A" w:rsidRDefault="00CC5CA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E77F22" w:rsidRPr="00A8229A">
        <w:rPr>
          <w:rFonts w:cs="Arial"/>
          <w:szCs w:val="18"/>
        </w:rPr>
        <w:t xml:space="preserve">New Zealand Treasury. (2021, March 3). </w:t>
      </w:r>
      <w:r w:rsidR="00E77F22" w:rsidRPr="00A8229A">
        <w:rPr>
          <w:rFonts w:cs="Arial"/>
          <w:i/>
          <w:szCs w:val="18"/>
        </w:rPr>
        <w:t>Government support for businesses</w:t>
      </w:r>
      <w:r w:rsidR="00E77F22" w:rsidRPr="00A8229A">
        <w:rPr>
          <w:rFonts w:cs="Arial"/>
          <w:szCs w:val="18"/>
        </w:rPr>
        <w:t xml:space="preserve">: COVID-19 guide. </w:t>
      </w:r>
      <w:r w:rsidR="006A778C" w:rsidRPr="00A8229A">
        <w:rPr>
          <w:rFonts w:cs="Arial"/>
          <w:szCs w:val="18"/>
        </w:rPr>
        <w:t>Retrieved from</w:t>
      </w:r>
      <w:r w:rsidR="006A778C" w:rsidRPr="00A8229A">
        <w:rPr>
          <w:rFonts w:cs="Arial"/>
          <w:i/>
          <w:szCs w:val="18"/>
        </w:rPr>
        <w:t xml:space="preserve"> </w:t>
      </w:r>
      <w:r w:rsidR="00E77F22" w:rsidRPr="00A8229A">
        <w:rPr>
          <w:rFonts w:cs="Arial"/>
          <w:szCs w:val="18"/>
        </w:rPr>
        <w:t>https://www.treasury.govt.nz/sites/default/files/2021-03/guide-govt-support-businesses-covid19-3mar.pdf</w:t>
      </w:r>
      <w:r w:rsidR="000713A3" w:rsidRPr="00A8229A">
        <w:rPr>
          <w:rFonts w:cs="Arial"/>
          <w:szCs w:val="18"/>
        </w:rPr>
        <w:t>.</w:t>
      </w:r>
    </w:p>
  </w:endnote>
  <w:endnote w:id="67">
    <w:p w14:paraId="7855CB79" w14:textId="77777777" w:rsidR="000713A3" w:rsidRPr="00A8229A" w:rsidRDefault="00CC5CA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194CAD" w:rsidRPr="00A8229A">
        <w:rPr>
          <w:rFonts w:cs="Arial"/>
          <w:szCs w:val="18"/>
        </w:rPr>
        <w:t xml:space="preserve">Australian Government Treasury. (2020). </w:t>
      </w:r>
      <w:r w:rsidR="00194CAD" w:rsidRPr="00A8229A">
        <w:rPr>
          <w:rFonts w:cs="Arial"/>
          <w:i/>
          <w:szCs w:val="18"/>
        </w:rPr>
        <w:t>Boosting cash flow for employers: Fact sheet.</w:t>
      </w:r>
      <w:r w:rsidR="00194CAD" w:rsidRPr="00A8229A">
        <w:rPr>
          <w:rFonts w:cs="Arial"/>
          <w:szCs w:val="18"/>
        </w:rPr>
        <w:t xml:space="preserve"> </w:t>
      </w:r>
      <w:r w:rsidR="006A778C" w:rsidRPr="00A8229A">
        <w:rPr>
          <w:rFonts w:cs="Arial"/>
          <w:szCs w:val="18"/>
        </w:rPr>
        <w:t>Retrieved from</w:t>
      </w:r>
      <w:r w:rsidR="006A778C" w:rsidRPr="00A8229A">
        <w:rPr>
          <w:rFonts w:cs="Arial"/>
          <w:i/>
          <w:szCs w:val="18"/>
        </w:rPr>
        <w:t xml:space="preserve"> </w:t>
      </w:r>
      <w:r w:rsidR="00194CAD" w:rsidRPr="00A8229A">
        <w:rPr>
          <w:rFonts w:cs="Arial"/>
          <w:szCs w:val="18"/>
        </w:rPr>
        <w:t xml:space="preserve">https://treasury.gov.au/sites/default/files/2020-04/fact_sheet-boosting_cash_flow_for_employers.pdf; </w:t>
      </w:r>
    </w:p>
    <w:p w14:paraId="0DA5DDBA" w14:textId="0E6BD0FA" w:rsidR="00CC5CAA" w:rsidRPr="00A8229A" w:rsidRDefault="00194CAD" w:rsidP="006E0D7A">
      <w:pPr>
        <w:pStyle w:val="EndnoteText"/>
        <w:ind w:left="170"/>
        <w:rPr>
          <w:rFonts w:cs="Arial"/>
          <w:szCs w:val="18"/>
        </w:rPr>
      </w:pPr>
      <w:r w:rsidRPr="00A8229A">
        <w:rPr>
          <w:rFonts w:cs="Arial"/>
          <w:szCs w:val="18"/>
        </w:rPr>
        <w:t xml:space="preserve">Dixon, R., &amp; Nassios, J. (2021). </w:t>
      </w:r>
      <w:r w:rsidR="00A237A2" w:rsidRPr="00A8229A">
        <w:rPr>
          <w:rFonts w:cs="Arial"/>
          <w:szCs w:val="18"/>
        </w:rPr>
        <w:t>‘</w:t>
      </w:r>
      <w:r w:rsidRPr="00A8229A">
        <w:rPr>
          <w:rFonts w:cs="Arial"/>
          <w:szCs w:val="18"/>
        </w:rPr>
        <w:t>The impact of COVID-19 on the Australian economy and the effectiveness of government policy responses</w:t>
      </w:r>
      <w:r w:rsidR="00A237A2" w:rsidRPr="00A8229A">
        <w:rPr>
          <w:rFonts w:cs="Arial"/>
          <w:szCs w:val="18"/>
        </w:rPr>
        <w:t>’</w:t>
      </w:r>
      <w:r w:rsidRPr="00A8229A">
        <w:rPr>
          <w:rFonts w:cs="Arial"/>
          <w:szCs w:val="18"/>
        </w:rPr>
        <w:t xml:space="preserve">. </w:t>
      </w:r>
      <w:r w:rsidRPr="00A8229A">
        <w:rPr>
          <w:rFonts w:cs="Arial"/>
          <w:i/>
          <w:szCs w:val="18"/>
        </w:rPr>
        <w:t>The Australian Economic Review</w:t>
      </w:r>
      <w:r w:rsidRPr="00A8229A">
        <w:rPr>
          <w:rFonts w:cs="Arial"/>
          <w:szCs w:val="18"/>
        </w:rPr>
        <w:t>, 54(4), 389-408. https://doi.org/10.1111/1467-8462.12504</w:t>
      </w:r>
      <w:r w:rsidR="000713A3" w:rsidRPr="00A8229A">
        <w:rPr>
          <w:rFonts w:cs="Arial"/>
          <w:szCs w:val="18"/>
        </w:rPr>
        <w:t>.</w:t>
      </w:r>
    </w:p>
  </w:endnote>
  <w:endnote w:id="68">
    <w:p w14:paraId="2F37E75D" w14:textId="36B7D99E" w:rsidR="00CC5CAA" w:rsidRPr="00A8229A" w:rsidRDefault="00CC5CA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817B0C" w:rsidRPr="00A8229A">
        <w:rPr>
          <w:rFonts w:cs="Arial"/>
          <w:szCs w:val="18"/>
        </w:rPr>
        <w:t xml:space="preserve">UK Government. (2022, August). </w:t>
      </w:r>
      <w:r w:rsidR="00817B0C" w:rsidRPr="00A8229A">
        <w:rPr>
          <w:rFonts w:cs="Arial"/>
          <w:i/>
          <w:szCs w:val="18"/>
        </w:rPr>
        <w:t>COVID-19 business grants schemes: Insights August 2022.</w:t>
      </w:r>
      <w:r w:rsidR="00817B0C" w:rsidRPr="00A8229A">
        <w:rPr>
          <w:rFonts w:cs="Arial"/>
          <w:szCs w:val="18"/>
        </w:rPr>
        <w:t xml:space="preserve"> </w:t>
      </w:r>
      <w:r w:rsidR="006A778C" w:rsidRPr="00A8229A">
        <w:rPr>
          <w:rFonts w:cs="Arial"/>
          <w:szCs w:val="18"/>
        </w:rPr>
        <w:t>Retrieved from</w:t>
      </w:r>
      <w:r w:rsidR="006A778C" w:rsidRPr="00A8229A">
        <w:rPr>
          <w:rFonts w:cs="Arial"/>
          <w:i/>
          <w:szCs w:val="18"/>
        </w:rPr>
        <w:t xml:space="preserve"> </w:t>
      </w:r>
      <w:r w:rsidR="00817B0C" w:rsidRPr="00A8229A">
        <w:rPr>
          <w:rFonts w:cs="Arial"/>
          <w:szCs w:val="18"/>
        </w:rPr>
        <w:t>https://www.gov.uk/government/publications/coronavirus-grant-funding-local-authority-payments-to-small-and-medium-businesses/covid-19-business-grants-schemes-insights-august-2022</w:t>
      </w:r>
      <w:r w:rsidR="000713A3" w:rsidRPr="00A8229A">
        <w:rPr>
          <w:rFonts w:cs="Arial"/>
          <w:szCs w:val="18"/>
        </w:rPr>
        <w:t>.</w:t>
      </w:r>
    </w:p>
  </w:endnote>
  <w:endnote w:id="69">
    <w:p w14:paraId="0EB39682" w14:textId="2A771D9D" w:rsidR="00CC5CAA" w:rsidRPr="00A8229A" w:rsidRDefault="00CC5CA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0713A3" w:rsidRPr="00A8229A">
        <w:rPr>
          <w:rFonts w:cs="Arial"/>
          <w:szCs w:val="18"/>
        </w:rPr>
        <w:t>I</w:t>
      </w:r>
      <w:r w:rsidR="00817B0C" w:rsidRPr="00A8229A">
        <w:rPr>
          <w:rFonts w:cs="Arial"/>
          <w:szCs w:val="18"/>
        </w:rPr>
        <w:t>bid</w:t>
      </w:r>
      <w:r w:rsidR="000713A3" w:rsidRPr="00A8229A">
        <w:rPr>
          <w:rFonts w:cs="Arial"/>
          <w:szCs w:val="18"/>
        </w:rPr>
        <w:t>.</w:t>
      </w:r>
    </w:p>
  </w:endnote>
  <w:endnote w:id="70">
    <w:p w14:paraId="2C7E8CBA" w14:textId="77777777" w:rsidR="000713A3" w:rsidRPr="00A8229A" w:rsidRDefault="00CC5CA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F4643B" w:rsidRPr="00A8229A">
        <w:rPr>
          <w:rFonts w:cs="Arial"/>
          <w:szCs w:val="18"/>
        </w:rPr>
        <w:t xml:space="preserve">European Commission. (2020, April 14). </w:t>
      </w:r>
      <w:r w:rsidR="00F4643B" w:rsidRPr="00A8229A">
        <w:rPr>
          <w:rFonts w:cs="Arial"/>
          <w:i/>
          <w:szCs w:val="18"/>
        </w:rPr>
        <w:t>State aid: Commission approves French scheme to support economy in Coronavirus outbreak; approves modification to German scheme. European Commission</w:t>
      </w:r>
      <w:r w:rsidR="00F4643B" w:rsidRPr="00A8229A">
        <w:rPr>
          <w:rFonts w:cs="Arial"/>
          <w:szCs w:val="18"/>
        </w:rPr>
        <w:t xml:space="preserve">. </w:t>
      </w:r>
      <w:r w:rsidR="006A778C" w:rsidRPr="00A8229A">
        <w:rPr>
          <w:rFonts w:cs="Arial"/>
          <w:szCs w:val="18"/>
        </w:rPr>
        <w:t>Retrieved from</w:t>
      </w:r>
      <w:r w:rsidR="006A778C" w:rsidRPr="00A8229A">
        <w:rPr>
          <w:rFonts w:cs="Arial"/>
          <w:i/>
          <w:szCs w:val="18"/>
        </w:rPr>
        <w:t xml:space="preserve"> </w:t>
      </w:r>
      <w:r w:rsidR="00F4643B" w:rsidRPr="00A8229A">
        <w:rPr>
          <w:rFonts w:cs="Arial"/>
          <w:szCs w:val="18"/>
        </w:rPr>
        <w:t xml:space="preserve">https://ec.europa.eu/commission/presscorner/detail/en/ip_20_665; </w:t>
      </w:r>
    </w:p>
    <w:p w14:paraId="1AA1A3CA" w14:textId="0CAEB8C9" w:rsidR="00CC5CAA" w:rsidRPr="00A8229A" w:rsidRDefault="00F4643B" w:rsidP="006E0D7A">
      <w:pPr>
        <w:pStyle w:val="EndnoteText"/>
        <w:ind w:left="170"/>
        <w:rPr>
          <w:rFonts w:cs="Arial"/>
          <w:szCs w:val="18"/>
        </w:rPr>
      </w:pPr>
      <w:r w:rsidRPr="00A8229A">
        <w:rPr>
          <w:rFonts w:cs="Arial"/>
          <w:szCs w:val="18"/>
        </w:rPr>
        <w:t xml:space="preserve">Simmons &amp; Simmons. (2020). </w:t>
      </w:r>
      <w:r w:rsidRPr="00A8229A">
        <w:rPr>
          <w:rFonts w:cs="Arial"/>
          <w:i/>
          <w:szCs w:val="18"/>
        </w:rPr>
        <w:t>French SME solidarity fund.</w:t>
      </w:r>
      <w:r w:rsidRPr="00A8229A">
        <w:rPr>
          <w:rFonts w:cs="Arial"/>
          <w:szCs w:val="18"/>
        </w:rPr>
        <w:t xml:space="preserve"> </w:t>
      </w:r>
      <w:r w:rsidR="00156A34" w:rsidRPr="00A8229A">
        <w:rPr>
          <w:rFonts w:cs="Arial"/>
          <w:szCs w:val="18"/>
        </w:rPr>
        <w:t>Retrieved from</w:t>
      </w:r>
      <w:r w:rsidR="00156A34" w:rsidRPr="00A8229A">
        <w:rPr>
          <w:rFonts w:cs="Arial"/>
          <w:i/>
          <w:szCs w:val="18"/>
        </w:rPr>
        <w:t xml:space="preserve"> </w:t>
      </w:r>
      <w:r w:rsidRPr="00A8229A">
        <w:rPr>
          <w:rFonts w:cs="Arial"/>
          <w:szCs w:val="18"/>
        </w:rPr>
        <w:t>https://www.simmons-simmons.com/en/publications/ck9a6ustu13kr0982vumb5w6j/french-sme-solidarity-fund</w:t>
      </w:r>
      <w:r w:rsidR="000713A3" w:rsidRPr="00A8229A">
        <w:rPr>
          <w:rFonts w:cs="Arial"/>
          <w:szCs w:val="18"/>
        </w:rPr>
        <w:t>.</w:t>
      </w:r>
    </w:p>
  </w:endnote>
  <w:endnote w:id="71">
    <w:p w14:paraId="46153674" w14:textId="53F07C02" w:rsidR="00CC5CAA" w:rsidRPr="00A8229A" w:rsidRDefault="00CC5CA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5E738E" w:rsidRPr="00A8229A">
        <w:rPr>
          <w:rFonts w:cs="Arial"/>
          <w:szCs w:val="18"/>
        </w:rPr>
        <w:t xml:space="preserve">Gide Loyrette Nouel. (n.d.). </w:t>
      </w:r>
      <w:r w:rsidR="005E738E" w:rsidRPr="00A8229A">
        <w:rPr>
          <w:rStyle w:val="Strong"/>
          <w:rFonts w:cs="Arial"/>
          <w:b w:val="0"/>
          <w:i/>
          <w:szCs w:val="18"/>
        </w:rPr>
        <w:t>COVID-19: Creating a solidarity fund</w:t>
      </w:r>
      <w:r w:rsidR="005E738E" w:rsidRPr="00A8229A">
        <w:rPr>
          <w:rFonts w:cs="Arial"/>
          <w:szCs w:val="18"/>
        </w:rPr>
        <w:t>.</w:t>
      </w:r>
      <w:r w:rsidR="006A778C" w:rsidRPr="00A8229A">
        <w:rPr>
          <w:rFonts w:cs="Arial"/>
          <w:szCs w:val="18"/>
        </w:rPr>
        <w:t xml:space="preserve"> Retrieved from </w:t>
      </w:r>
      <w:r w:rsidR="00F4643B" w:rsidRPr="00A8229A">
        <w:rPr>
          <w:rFonts w:cs="Arial"/>
          <w:szCs w:val="18"/>
        </w:rPr>
        <w:t>https://www.gide.com/en/news/covid-19-creating-a-solidarity-fund</w:t>
      </w:r>
      <w:r w:rsidR="000713A3" w:rsidRPr="00A8229A">
        <w:rPr>
          <w:rFonts w:cs="Arial"/>
          <w:szCs w:val="18"/>
        </w:rPr>
        <w:t>.</w:t>
      </w:r>
    </w:p>
  </w:endnote>
  <w:endnote w:id="72">
    <w:p w14:paraId="36D6D137" w14:textId="25F3BAC2" w:rsidR="00CC5CAA" w:rsidRPr="00A8229A" w:rsidRDefault="00CC5CA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482844" w:rsidRPr="00A8229A">
        <w:rPr>
          <w:rFonts w:cs="Arial"/>
          <w:szCs w:val="18"/>
        </w:rPr>
        <w:t xml:space="preserve">European Commission. (2020, April 27). </w:t>
      </w:r>
      <w:r w:rsidR="00482844" w:rsidRPr="00A8229A">
        <w:rPr>
          <w:rStyle w:val="Strong"/>
          <w:rFonts w:cs="Arial"/>
          <w:b w:val="0"/>
          <w:i/>
          <w:szCs w:val="18"/>
        </w:rPr>
        <w:t xml:space="preserve">Coronavirus: Commission launches discussion on the best ways to reinforce the EU’s crisis </w:t>
      </w:r>
      <w:r w:rsidR="001E0126" w:rsidRPr="00A8229A">
        <w:rPr>
          <w:rStyle w:val="Strong"/>
          <w:rFonts w:cs="Arial"/>
          <w:b w:val="0"/>
          <w:i/>
          <w:szCs w:val="18"/>
        </w:rPr>
        <w:t>response</w:t>
      </w:r>
      <w:r w:rsidR="001E0126" w:rsidRPr="00A8229A">
        <w:rPr>
          <w:rFonts w:cs="Arial"/>
          <w:szCs w:val="18"/>
        </w:rPr>
        <w:t>.</w:t>
      </w:r>
      <w:r w:rsidR="00482844" w:rsidRPr="00A8229A">
        <w:rPr>
          <w:rFonts w:cs="Arial"/>
          <w:szCs w:val="18"/>
        </w:rPr>
        <w:t xml:space="preserve"> European Commission. </w:t>
      </w:r>
      <w:r w:rsidR="006A778C" w:rsidRPr="00A8229A">
        <w:rPr>
          <w:rFonts w:cs="Arial"/>
          <w:szCs w:val="18"/>
        </w:rPr>
        <w:t>Retrieved from</w:t>
      </w:r>
      <w:r w:rsidR="006A778C" w:rsidRPr="00A8229A">
        <w:rPr>
          <w:rFonts w:cs="Arial"/>
          <w:i/>
          <w:szCs w:val="18"/>
        </w:rPr>
        <w:t xml:space="preserve"> </w:t>
      </w:r>
      <w:r w:rsidR="001E0126" w:rsidRPr="00A8229A">
        <w:rPr>
          <w:rFonts w:cs="Arial"/>
          <w:szCs w:val="18"/>
        </w:rPr>
        <w:t>https://ec.europa.eu/commission/presscorner/detail/en/IP_20_701</w:t>
      </w:r>
      <w:r w:rsidR="000713A3" w:rsidRPr="00A8229A">
        <w:rPr>
          <w:rFonts w:cs="Arial"/>
          <w:szCs w:val="18"/>
        </w:rPr>
        <w:t>.</w:t>
      </w:r>
    </w:p>
  </w:endnote>
  <w:endnote w:id="73">
    <w:p w14:paraId="6A24F2FC" w14:textId="2586CE5F" w:rsidR="00CC5CAA" w:rsidRPr="00A8229A" w:rsidRDefault="00CC5CA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192DE7" w:rsidRPr="00A8229A">
        <w:rPr>
          <w:rFonts w:cs="Arial"/>
          <w:szCs w:val="18"/>
        </w:rPr>
        <w:t xml:space="preserve">European Commission. (2021, September 16). </w:t>
      </w:r>
      <w:r w:rsidR="00192DE7" w:rsidRPr="00A8229A">
        <w:rPr>
          <w:rStyle w:val="Strong"/>
          <w:rFonts w:cs="Arial"/>
          <w:b w:val="0"/>
          <w:i/>
          <w:szCs w:val="18"/>
        </w:rPr>
        <w:t>State aid: Commission approves €30 billion German umbrella scheme to support companies affected by the coronavirus outbreak</w:t>
      </w:r>
      <w:r w:rsidR="00192DE7" w:rsidRPr="00A8229A">
        <w:rPr>
          <w:rFonts w:cs="Arial"/>
          <w:szCs w:val="18"/>
        </w:rPr>
        <w:t xml:space="preserve">. European Commission. </w:t>
      </w:r>
      <w:r w:rsidR="00156A34" w:rsidRPr="00A8229A">
        <w:rPr>
          <w:rFonts w:cs="Arial"/>
          <w:szCs w:val="18"/>
        </w:rPr>
        <w:t>Retrieved from</w:t>
      </w:r>
      <w:r w:rsidR="00156A34" w:rsidRPr="00A8229A">
        <w:rPr>
          <w:rFonts w:cs="Arial"/>
          <w:i/>
          <w:szCs w:val="18"/>
        </w:rPr>
        <w:t xml:space="preserve"> </w:t>
      </w:r>
      <w:r w:rsidR="00192DE7" w:rsidRPr="00A8229A">
        <w:rPr>
          <w:rFonts w:cs="Arial"/>
          <w:szCs w:val="18"/>
        </w:rPr>
        <w:t>https://ec.europa.eu/commission/presscorner/detail/en/ip_21_5261</w:t>
      </w:r>
      <w:r w:rsidR="00353692" w:rsidRPr="00A8229A">
        <w:rPr>
          <w:rFonts w:cs="Arial"/>
          <w:szCs w:val="18"/>
        </w:rPr>
        <w:t>.</w:t>
      </w:r>
    </w:p>
  </w:endnote>
  <w:endnote w:id="74">
    <w:p w14:paraId="268A9CBE" w14:textId="17F650B0" w:rsidR="00CC5CAA" w:rsidRPr="00A8229A" w:rsidRDefault="00CC5CAA"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2510A9" w:rsidRPr="00A8229A">
        <w:rPr>
          <w:rFonts w:cs="Arial"/>
          <w:szCs w:val="18"/>
        </w:rPr>
        <w:t>Ibid.</w:t>
      </w:r>
    </w:p>
  </w:endnote>
  <w:endnote w:id="75">
    <w:p w14:paraId="056D3A79" w14:textId="56671B50" w:rsidR="00AA3FE8" w:rsidRPr="00A8229A" w:rsidRDefault="00AA3FE8"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396111" w:rsidRPr="00A8229A">
        <w:rPr>
          <w:rFonts w:cs="Arial"/>
          <w:szCs w:val="18"/>
        </w:rPr>
        <w:t xml:space="preserve">Office of the Auditor General of Ontario. (2021). </w:t>
      </w:r>
      <w:r w:rsidR="00396111" w:rsidRPr="00A8229A">
        <w:rPr>
          <w:rStyle w:val="Strong"/>
          <w:rFonts w:cs="Arial"/>
          <w:b w:val="0"/>
          <w:i/>
          <w:szCs w:val="18"/>
        </w:rPr>
        <w:t>COVID-19 economic response and recovery</w:t>
      </w:r>
      <w:r w:rsidR="00396111" w:rsidRPr="00A8229A">
        <w:rPr>
          <w:rFonts w:cs="Arial"/>
          <w:b/>
          <w:i/>
          <w:szCs w:val="18"/>
        </w:rPr>
        <w:t xml:space="preserve">. </w:t>
      </w:r>
      <w:r w:rsidR="00396111" w:rsidRPr="00A8229A">
        <w:rPr>
          <w:rFonts w:cs="Arial"/>
          <w:i/>
          <w:szCs w:val="18"/>
        </w:rPr>
        <w:t>In</w:t>
      </w:r>
      <w:r w:rsidR="00396111" w:rsidRPr="00A8229A">
        <w:rPr>
          <w:rFonts w:cs="Arial"/>
          <w:b/>
          <w:i/>
          <w:szCs w:val="18"/>
        </w:rPr>
        <w:t xml:space="preserve"> </w:t>
      </w:r>
      <w:r w:rsidR="00396111" w:rsidRPr="00A8229A">
        <w:rPr>
          <w:rStyle w:val="Emphasis"/>
          <w:rFonts w:cs="Arial"/>
          <w:b w:val="0"/>
          <w:i/>
          <w:szCs w:val="18"/>
        </w:rPr>
        <w:t>2021 annual report</w:t>
      </w:r>
      <w:r w:rsidR="00396111" w:rsidRPr="00A8229A">
        <w:rPr>
          <w:rFonts w:cs="Arial"/>
          <w:b/>
          <w:i/>
          <w:szCs w:val="18"/>
        </w:rPr>
        <w:t xml:space="preserve"> </w:t>
      </w:r>
      <w:r w:rsidR="00396111" w:rsidRPr="00A8229A">
        <w:rPr>
          <w:rFonts w:cs="Arial"/>
          <w:szCs w:val="18"/>
        </w:rPr>
        <w:t xml:space="preserve">(pp. 1-30). </w:t>
      </w:r>
      <w:r w:rsidR="00156A34" w:rsidRPr="00A8229A">
        <w:rPr>
          <w:rFonts w:cs="Arial"/>
          <w:szCs w:val="18"/>
        </w:rPr>
        <w:t>Retrieved from</w:t>
      </w:r>
      <w:r w:rsidR="00156A34" w:rsidRPr="00A8229A">
        <w:rPr>
          <w:rFonts w:cs="Arial"/>
          <w:i/>
          <w:szCs w:val="18"/>
        </w:rPr>
        <w:t xml:space="preserve">  </w:t>
      </w:r>
      <w:r w:rsidR="00396111" w:rsidRPr="00A8229A">
        <w:rPr>
          <w:rFonts w:cs="Arial"/>
          <w:szCs w:val="18"/>
        </w:rPr>
        <w:t>https://www.auditor.on.ca/en/content/annualreports/arreports/en21/AR_COV-Economic_en21.pdf</w:t>
      </w:r>
      <w:r w:rsidR="00353692" w:rsidRPr="00A8229A">
        <w:rPr>
          <w:rFonts w:cs="Arial"/>
          <w:szCs w:val="18"/>
        </w:rPr>
        <w:t>.</w:t>
      </w:r>
    </w:p>
  </w:endnote>
  <w:endnote w:id="76">
    <w:p w14:paraId="4A68F020" w14:textId="5FA111B5" w:rsidR="00AA3FE8" w:rsidRPr="00A8229A" w:rsidRDefault="00AA3FE8"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AA0B09" w:rsidRPr="00A8229A">
        <w:rPr>
          <w:rFonts w:cs="Arial"/>
          <w:szCs w:val="18"/>
        </w:rPr>
        <w:t xml:space="preserve">UK Government. (2022, August). </w:t>
      </w:r>
      <w:r w:rsidR="00AA0B09" w:rsidRPr="00A8229A">
        <w:rPr>
          <w:rStyle w:val="Strong"/>
          <w:rFonts w:cs="Arial"/>
          <w:b w:val="0"/>
          <w:i/>
          <w:szCs w:val="18"/>
        </w:rPr>
        <w:t>COVID-19 business grants schemes: Insights August 2022</w:t>
      </w:r>
      <w:r w:rsidR="00AA0B09" w:rsidRPr="00A8229A">
        <w:rPr>
          <w:rFonts w:cs="Arial"/>
          <w:b/>
          <w:i/>
          <w:szCs w:val="18"/>
        </w:rPr>
        <w:t>.</w:t>
      </w:r>
      <w:r w:rsidRPr="00A8229A">
        <w:rPr>
          <w:rFonts w:cs="Arial"/>
          <w:szCs w:val="18"/>
        </w:rPr>
        <w:t xml:space="preserve"> </w:t>
      </w:r>
      <w:r w:rsidR="002323E8" w:rsidRPr="00A8229A">
        <w:rPr>
          <w:rFonts w:cs="Arial"/>
          <w:szCs w:val="18"/>
        </w:rPr>
        <w:t>Retrieved from</w:t>
      </w:r>
      <w:r w:rsidR="002323E8" w:rsidRPr="00A8229A">
        <w:rPr>
          <w:rFonts w:cs="Arial"/>
          <w:i/>
          <w:szCs w:val="18"/>
        </w:rPr>
        <w:t xml:space="preserve"> </w:t>
      </w:r>
      <w:r w:rsidRPr="00A8229A">
        <w:rPr>
          <w:rFonts w:cs="Arial"/>
          <w:szCs w:val="18"/>
        </w:rPr>
        <w:t>https://www.gov.uk/government/publications/coronavirus-grant-funding-local-authority-payments-to-small-and-medium-businesses/covid-19-business-grants-schemes-insights-august-2022#grant-schemes-</w:t>
      </w:r>
      <w:r w:rsidR="00AA0B09" w:rsidRPr="00A8229A">
        <w:rPr>
          <w:rFonts w:cs="Arial"/>
          <w:szCs w:val="18"/>
        </w:rPr>
        <w:t>overview</w:t>
      </w:r>
      <w:r w:rsidR="00353692" w:rsidRPr="00A8229A">
        <w:rPr>
          <w:rFonts w:cs="Arial"/>
          <w:szCs w:val="18"/>
        </w:rPr>
        <w:t>.</w:t>
      </w:r>
    </w:p>
  </w:endnote>
  <w:endnote w:id="77">
    <w:p w14:paraId="36D0CFFF" w14:textId="08E90B94" w:rsidR="00AA3FE8" w:rsidRPr="00A8229A" w:rsidRDefault="00AA3FE8"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353692" w:rsidRPr="00A8229A">
        <w:rPr>
          <w:rFonts w:cs="Arial"/>
          <w:szCs w:val="18"/>
        </w:rPr>
        <w:t>I</w:t>
      </w:r>
      <w:r w:rsidR="00F32D3F" w:rsidRPr="00A8229A">
        <w:rPr>
          <w:rFonts w:cs="Arial"/>
          <w:szCs w:val="18"/>
        </w:rPr>
        <w:t>bid</w:t>
      </w:r>
      <w:r w:rsidR="00353692" w:rsidRPr="00A8229A">
        <w:rPr>
          <w:rFonts w:cs="Arial"/>
          <w:szCs w:val="18"/>
        </w:rPr>
        <w:t>.</w:t>
      </w:r>
    </w:p>
  </w:endnote>
  <w:endnote w:id="78">
    <w:p w14:paraId="03C83159" w14:textId="54C273C4" w:rsidR="00AA3FE8" w:rsidRPr="00A8229A" w:rsidRDefault="00AA3FE8"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B611FC" w:rsidRPr="00A8229A">
        <w:rPr>
          <w:rFonts w:cs="Arial"/>
          <w:szCs w:val="18"/>
        </w:rPr>
        <w:t xml:space="preserve">Queensland Government. (2021). </w:t>
      </w:r>
      <w:r w:rsidR="00B611FC" w:rsidRPr="00A8229A">
        <w:rPr>
          <w:rStyle w:val="Strong"/>
          <w:rFonts w:cs="Arial"/>
          <w:b w:val="0"/>
          <w:i/>
          <w:szCs w:val="18"/>
        </w:rPr>
        <w:t>COVID-19 business support grant amended guidelines: Border business zone hardship grants</w:t>
      </w:r>
      <w:r w:rsidR="00B611FC" w:rsidRPr="00A8229A">
        <w:rPr>
          <w:rFonts w:cs="Arial"/>
          <w:szCs w:val="18"/>
        </w:rPr>
        <w:t xml:space="preserve">. </w:t>
      </w:r>
      <w:r w:rsidR="001309D6" w:rsidRPr="00A8229A">
        <w:rPr>
          <w:rFonts w:cs="Arial"/>
          <w:szCs w:val="18"/>
        </w:rPr>
        <w:t xml:space="preserve">Retrieved from </w:t>
      </w:r>
      <w:r w:rsidR="00AA5708" w:rsidRPr="00A8229A">
        <w:rPr>
          <w:rFonts w:cs="Arial"/>
          <w:szCs w:val="18"/>
        </w:rPr>
        <w:t>https://www.publications.qld.gov.au/ckan-publications-attachments-prod/resources/a682b095-dead-46ff-ae07-da8c33c55911/2021-covid-19-business-support-grant-amended-guidelines-border-business-zone-hardship-grants.pdf</w:t>
      </w:r>
      <w:r w:rsidR="00353692" w:rsidRPr="00A8229A">
        <w:rPr>
          <w:rFonts w:cs="Arial"/>
          <w:szCs w:val="18"/>
        </w:rPr>
        <w:t>.</w:t>
      </w:r>
    </w:p>
  </w:endnote>
  <w:endnote w:id="79">
    <w:p w14:paraId="3219D04A" w14:textId="629D47C4" w:rsidR="00AA3FE8" w:rsidRPr="00A8229A" w:rsidRDefault="00AA3FE8" w:rsidP="006E0D7A">
      <w:pPr>
        <w:pStyle w:val="EndnoteText"/>
        <w:ind w:left="170" w:hanging="170"/>
        <w:rPr>
          <w:rFonts w:cs="Arial"/>
          <w:szCs w:val="18"/>
        </w:rPr>
      </w:pPr>
      <w:r w:rsidRPr="00A8229A">
        <w:rPr>
          <w:rStyle w:val="EndnoteReference"/>
          <w:rFonts w:cs="Arial"/>
          <w:szCs w:val="18"/>
        </w:rPr>
        <w:endnoteRef/>
      </w:r>
      <w:r w:rsidR="00777284" w:rsidRPr="00A8229A">
        <w:rPr>
          <w:rFonts w:cs="Arial"/>
          <w:szCs w:val="18"/>
        </w:rPr>
        <w:t>Service NSW. (2021</w:t>
      </w:r>
      <w:r w:rsidR="00777284" w:rsidRPr="00A8229A">
        <w:rPr>
          <w:rFonts w:cs="Arial"/>
          <w:b/>
          <w:i/>
          <w:szCs w:val="18"/>
        </w:rPr>
        <w:t xml:space="preserve">). </w:t>
      </w:r>
      <w:r w:rsidR="00777284" w:rsidRPr="00A8229A">
        <w:rPr>
          <w:rStyle w:val="Strong"/>
          <w:rFonts w:cs="Arial"/>
          <w:b w:val="0"/>
          <w:i/>
          <w:szCs w:val="18"/>
        </w:rPr>
        <w:t>2021 COVID-19 business grant: Terms and conditions</w:t>
      </w:r>
      <w:r w:rsidR="00777284" w:rsidRPr="00A8229A">
        <w:rPr>
          <w:rFonts w:cs="Arial"/>
          <w:szCs w:val="18"/>
        </w:rPr>
        <w:t xml:space="preserve">. </w:t>
      </w:r>
      <w:r w:rsidR="001309D6" w:rsidRPr="00A8229A">
        <w:rPr>
          <w:rFonts w:cs="Arial"/>
          <w:szCs w:val="18"/>
        </w:rPr>
        <w:t xml:space="preserve">Retrieved from </w:t>
      </w:r>
      <w:r w:rsidRPr="00A8229A" w:rsidDel="00777284">
        <w:rPr>
          <w:rFonts w:cs="Arial"/>
          <w:szCs w:val="18"/>
        </w:rPr>
        <w:t>https://www.service.nsw.gov.au/terms-and-conditions/2021-covid-19-business-grant</w:t>
      </w:r>
      <w:r w:rsidR="00353692" w:rsidRPr="00A8229A">
        <w:rPr>
          <w:rFonts w:cs="Arial"/>
          <w:szCs w:val="18"/>
        </w:rPr>
        <w:t>.</w:t>
      </w:r>
    </w:p>
  </w:endnote>
  <w:endnote w:id="80">
    <w:p w14:paraId="23588020" w14:textId="5F3E86BA" w:rsidR="00AA3FE8" w:rsidRPr="00A8229A" w:rsidRDefault="00AA3FE8"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AA5708" w:rsidRPr="00A8229A">
        <w:rPr>
          <w:rFonts w:cs="Arial"/>
          <w:szCs w:val="18"/>
        </w:rPr>
        <w:t xml:space="preserve">Northern Territory Government. (n.d.). </w:t>
      </w:r>
      <w:r w:rsidR="00AA5708" w:rsidRPr="00A8229A">
        <w:rPr>
          <w:rStyle w:val="Strong"/>
          <w:rFonts w:cs="Arial"/>
          <w:b w:val="0"/>
          <w:i/>
          <w:szCs w:val="18"/>
        </w:rPr>
        <w:t>COVID-19 lockdown payment program: Terms and conditions</w:t>
      </w:r>
      <w:r w:rsidR="00AA5708" w:rsidRPr="00A8229A">
        <w:rPr>
          <w:rFonts w:cs="Arial"/>
          <w:szCs w:val="18"/>
        </w:rPr>
        <w:t>.</w:t>
      </w:r>
      <w:r w:rsidRPr="00A8229A">
        <w:rPr>
          <w:rFonts w:cs="Arial"/>
          <w:szCs w:val="18"/>
        </w:rPr>
        <w:t xml:space="preserve"> </w:t>
      </w:r>
      <w:r w:rsidR="001309D6" w:rsidRPr="00A8229A">
        <w:rPr>
          <w:rFonts w:cs="Arial"/>
          <w:szCs w:val="18"/>
        </w:rPr>
        <w:t xml:space="preserve">Retrieved from </w:t>
      </w:r>
      <w:r w:rsidRPr="00A8229A">
        <w:rPr>
          <w:rFonts w:cs="Arial"/>
          <w:szCs w:val="18"/>
        </w:rPr>
        <w:t>https://nt.gov.au/data/assets/pdf_file/0006/1072158/COVID-19-lockdown-payment-program-terms-conditions.pdf</w:t>
      </w:r>
      <w:r w:rsidR="00353692" w:rsidRPr="00A8229A">
        <w:rPr>
          <w:rFonts w:cs="Arial"/>
          <w:szCs w:val="18"/>
        </w:rPr>
        <w:t>.</w:t>
      </w:r>
    </w:p>
  </w:endnote>
  <w:endnote w:id="81">
    <w:p w14:paraId="15380BEB" w14:textId="00DAA6D2" w:rsidR="00AA3FE8" w:rsidRPr="00A8229A" w:rsidRDefault="00AA3FE8"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E54405" w:rsidRPr="00A8229A">
        <w:rPr>
          <w:rFonts w:cs="Arial"/>
          <w:szCs w:val="18"/>
        </w:rPr>
        <w:t xml:space="preserve">Victorian Auditor-General's Office. (2023). </w:t>
      </w:r>
      <w:r w:rsidR="00E54405" w:rsidRPr="00A8229A">
        <w:rPr>
          <w:rStyle w:val="Strong"/>
          <w:rFonts w:cs="Arial"/>
          <w:b w:val="0"/>
          <w:i/>
          <w:szCs w:val="18"/>
        </w:rPr>
        <w:t>Auditor-General's report on the annual financial report of the State of Victoria: 2022–23</w:t>
      </w:r>
      <w:r w:rsidR="00E54405" w:rsidRPr="00A8229A">
        <w:rPr>
          <w:rFonts w:cs="Arial"/>
          <w:szCs w:val="18"/>
        </w:rPr>
        <w:t>.</w:t>
      </w:r>
      <w:r w:rsidRPr="00A8229A">
        <w:rPr>
          <w:rFonts w:cs="Arial"/>
          <w:szCs w:val="18"/>
        </w:rPr>
        <w:t xml:space="preserve"> </w:t>
      </w:r>
      <w:r w:rsidR="001309D6" w:rsidRPr="00A8229A">
        <w:rPr>
          <w:rFonts w:cs="Arial"/>
          <w:szCs w:val="18"/>
        </w:rPr>
        <w:t xml:space="preserve">Retrieved from </w:t>
      </w:r>
      <w:r w:rsidRPr="00A8229A">
        <w:rPr>
          <w:rFonts w:cs="Arial"/>
          <w:szCs w:val="18"/>
        </w:rPr>
        <w:t>https://www.audit.vic.gov.au/report/auditor-generals-report-annual-financial-report-state-victoria-2022-23?section=</w:t>
      </w:r>
      <w:r w:rsidR="00353692" w:rsidRPr="00A8229A">
        <w:rPr>
          <w:rFonts w:cs="Arial"/>
          <w:szCs w:val="18"/>
        </w:rPr>
        <w:t>.</w:t>
      </w:r>
    </w:p>
  </w:endnote>
  <w:endnote w:id="82">
    <w:p w14:paraId="0466BD0A" w14:textId="316BBAF6" w:rsidR="002510A9" w:rsidRPr="00A8229A" w:rsidRDefault="006F67DD" w:rsidP="006E0D7A">
      <w:pPr>
        <w:pStyle w:val="EndnoteText"/>
        <w:ind w:left="170" w:hanging="170"/>
        <w:rPr>
          <w:rFonts w:cs="Arial"/>
          <w:szCs w:val="18"/>
        </w:rPr>
      </w:pPr>
      <w:r w:rsidRPr="00A8229A">
        <w:rPr>
          <w:rStyle w:val="EndnoteReference"/>
          <w:rFonts w:cs="Arial"/>
          <w:szCs w:val="18"/>
        </w:rPr>
        <w:endnoteRef/>
      </w:r>
      <w:r w:rsidR="0064702C" w:rsidRPr="00A8229A">
        <w:rPr>
          <w:rFonts w:cs="Arial"/>
          <w:szCs w:val="18"/>
        </w:rPr>
        <w:t xml:space="preserve"> </w:t>
      </w:r>
      <w:r w:rsidR="003C5C63" w:rsidRPr="00A8229A">
        <w:rPr>
          <w:rFonts w:cs="Arial"/>
          <w:szCs w:val="18"/>
        </w:rPr>
        <w:t xml:space="preserve">ACT Government. </w:t>
      </w:r>
      <w:r w:rsidR="00C8594E" w:rsidRPr="00A8229A">
        <w:rPr>
          <w:rFonts w:cs="Arial"/>
          <w:szCs w:val="18"/>
        </w:rPr>
        <w:t xml:space="preserve">(n.d.). </w:t>
      </w:r>
      <w:r w:rsidR="00C8594E" w:rsidRPr="00A8229A">
        <w:rPr>
          <w:rFonts w:cs="Arial"/>
          <w:i/>
          <w:szCs w:val="18"/>
        </w:rPr>
        <w:t>COVID business support grants: Employing businesses guidelines</w:t>
      </w:r>
      <w:r w:rsidR="00C8594E" w:rsidRPr="00A8229A">
        <w:rPr>
          <w:rFonts w:cs="Arial"/>
          <w:szCs w:val="18"/>
        </w:rPr>
        <w:t xml:space="preserve">. </w:t>
      </w:r>
      <w:r w:rsidR="002973BE" w:rsidRPr="00A8229A">
        <w:rPr>
          <w:rFonts w:cs="Arial"/>
          <w:szCs w:val="18"/>
        </w:rPr>
        <w:t xml:space="preserve">Retrieved from </w:t>
      </w:r>
      <w:r w:rsidR="003C5C63" w:rsidRPr="00A8229A">
        <w:rPr>
          <w:rFonts w:cs="Arial"/>
          <w:szCs w:val="18"/>
        </w:rPr>
        <w:t xml:space="preserve">https://www.act.gov.au/__data/assets/pdf_file/0010/2235898/COVID-Business-Support-Grants-Employing-Businesses-Guidelines.pdf; </w:t>
      </w:r>
    </w:p>
    <w:p w14:paraId="2EAB543B" w14:textId="77777777" w:rsidR="002510A9" w:rsidRPr="00A8229A" w:rsidRDefault="003C5C63" w:rsidP="006E0D7A">
      <w:pPr>
        <w:pStyle w:val="EndnoteText"/>
        <w:ind w:left="170"/>
        <w:rPr>
          <w:rFonts w:cs="Arial"/>
          <w:szCs w:val="18"/>
        </w:rPr>
      </w:pPr>
      <w:r w:rsidRPr="00A8229A">
        <w:rPr>
          <w:rFonts w:cs="Arial"/>
          <w:szCs w:val="18"/>
        </w:rPr>
        <w:t xml:space="preserve">ACT Government. </w:t>
      </w:r>
      <w:r w:rsidR="00C8594E" w:rsidRPr="00A8229A">
        <w:rPr>
          <w:rFonts w:cs="Arial"/>
          <w:szCs w:val="18"/>
        </w:rPr>
        <w:t xml:space="preserve">(n.d.). </w:t>
      </w:r>
      <w:r w:rsidR="00C8594E" w:rsidRPr="00A8229A">
        <w:rPr>
          <w:rFonts w:cs="Arial"/>
          <w:i/>
          <w:szCs w:val="18"/>
        </w:rPr>
        <w:t>COVID business support grants: Non-employing businesses guidelines</w:t>
      </w:r>
      <w:r w:rsidR="00C8594E" w:rsidRPr="00A8229A">
        <w:rPr>
          <w:rFonts w:cs="Arial"/>
          <w:szCs w:val="18"/>
        </w:rPr>
        <w:t xml:space="preserve">. </w:t>
      </w:r>
      <w:r w:rsidR="002973BE" w:rsidRPr="00A8229A">
        <w:rPr>
          <w:rFonts w:cs="Arial"/>
          <w:szCs w:val="18"/>
        </w:rPr>
        <w:t xml:space="preserve">Retrieved from </w:t>
      </w:r>
      <w:r w:rsidRPr="00A8229A">
        <w:rPr>
          <w:rFonts w:cs="Arial"/>
          <w:szCs w:val="18"/>
        </w:rPr>
        <w:t xml:space="preserve">https://www.act.gov.au/__data/assets/pdf_file/0008/2235896/COVID-Business-Support-Grants-Non-Employing-Businesses-Guidelines.pdf; </w:t>
      </w:r>
    </w:p>
    <w:p w14:paraId="708036E6" w14:textId="77777777" w:rsidR="002510A9" w:rsidRPr="00A8229A" w:rsidRDefault="003C5C63" w:rsidP="006E0D7A">
      <w:pPr>
        <w:pStyle w:val="EndnoteText"/>
        <w:ind w:left="170"/>
        <w:rPr>
          <w:rFonts w:cs="Arial"/>
          <w:szCs w:val="18"/>
        </w:rPr>
      </w:pPr>
      <w:r w:rsidRPr="00A8229A">
        <w:rPr>
          <w:rFonts w:cs="Arial"/>
          <w:szCs w:val="18"/>
        </w:rPr>
        <w:t xml:space="preserve">ACT Government. </w:t>
      </w:r>
      <w:r w:rsidR="008944D2" w:rsidRPr="00A8229A">
        <w:rPr>
          <w:rFonts w:cs="Arial"/>
          <w:szCs w:val="18"/>
        </w:rPr>
        <w:t>(n.d</w:t>
      </w:r>
      <w:r w:rsidR="008944D2" w:rsidRPr="00A8229A">
        <w:rPr>
          <w:rFonts w:cs="Arial"/>
          <w:i/>
          <w:szCs w:val="18"/>
        </w:rPr>
        <w:t>.). COVID-19 small business hardship scheme guidelines</w:t>
      </w:r>
      <w:r w:rsidR="008944D2" w:rsidRPr="00A8229A">
        <w:rPr>
          <w:rFonts w:cs="Arial"/>
          <w:szCs w:val="18"/>
        </w:rPr>
        <w:t xml:space="preserve">. </w:t>
      </w:r>
      <w:r w:rsidR="002973BE" w:rsidRPr="00A8229A">
        <w:rPr>
          <w:rFonts w:cs="Arial"/>
          <w:szCs w:val="18"/>
        </w:rPr>
        <w:t xml:space="preserve">Retrieved from </w:t>
      </w:r>
      <w:r w:rsidRPr="00A8229A">
        <w:rPr>
          <w:rFonts w:cs="Arial"/>
          <w:szCs w:val="18"/>
        </w:rPr>
        <w:t xml:space="preserve">https://www.act.gov.au/__data/assets/pdf_file/0011/2235899/COVID-19-Small-Business-Hardship-Scheme-Guidelines.pdf; </w:t>
      </w:r>
    </w:p>
    <w:p w14:paraId="2FB64B18" w14:textId="77777777" w:rsidR="002510A9" w:rsidRPr="00A8229A" w:rsidRDefault="002510A9" w:rsidP="006E0D7A">
      <w:pPr>
        <w:pStyle w:val="EndnoteText"/>
        <w:ind w:left="170"/>
        <w:rPr>
          <w:rFonts w:cs="Arial"/>
          <w:szCs w:val="18"/>
        </w:rPr>
      </w:pPr>
      <w:r w:rsidRPr="00A8229A">
        <w:rPr>
          <w:rFonts w:cs="Arial"/>
          <w:szCs w:val="18"/>
        </w:rPr>
        <w:t xml:space="preserve">Aston Accountants. (n.d.). </w:t>
      </w:r>
      <w:r w:rsidRPr="00A8229A">
        <w:rPr>
          <w:rFonts w:cs="Arial"/>
          <w:i/>
          <w:szCs w:val="18"/>
        </w:rPr>
        <w:t>WA small business grants</w:t>
      </w:r>
      <w:r w:rsidRPr="00A8229A">
        <w:rPr>
          <w:rFonts w:cs="Arial"/>
          <w:szCs w:val="18"/>
        </w:rPr>
        <w:t xml:space="preserve">. Retrieved from https://www.astonaccountants.com.au/wa-small-business-grants/; </w:t>
      </w:r>
    </w:p>
    <w:p w14:paraId="224203FA" w14:textId="77777777" w:rsidR="002510A9" w:rsidRPr="00A8229A" w:rsidRDefault="002510A9" w:rsidP="006E0D7A">
      <w:pPr>
        <w:pStyle w:val="EndnoteText"/>
        <w:ind w:left="170"/>
        <w:rPr>
          <w:rFonts w:cs="Arial"/>
          <w:szCs w:val="18"/>
        </w:rPr>
      </w:pPr>
      <w:r w:rsidRPr="00A8229A">
        <w:rPr>
          <w:rFonts w:cs="Arial"/>
          <w:szCs w:val="18"/>
        </w:rPr>
        <w:t xml:space="preserve">Australian Government. (n.d.). </w:t>
      </w:r>
      <w:r w:rsidRPr="00A8229A">
        <w:rPr>
          <w:rFonts w:cs="Arial"/>
          <w:i/>
          <w:szCs w:val="18"/>
        </w:rPr>
        <w:t>Business support payments - Northern Territory.</w:t>
      </w:r>
      <w:r w:rsidRPr="00A8229A">
        <w:rPr>
          <w:rFonts w:cs="Arial"/>
          <w:szCs w:val="18"/>
        </w:rPr>
        <w:t xml:space="preserve"> Retrieved from https://federalfinancialrelations.gov.au/agreements/business-support-payments-northern-territory; </w:t>
      </w:r>
    </w:p>
    <w:p w14:paraId="70607407" w14:textId="77777777" w:rsidR="002510A9" w:rsidRPr="00A8229A" w:rsidRDefault="002510A9" w:rsidP="006E0D7A">
      <w:pPr>
        <w:pStyle w:val="EndnoteText"/>
        <w:ind w:left="170"/>
        <w:rPr>
          <w:rFonts w:cs="Arial"/>
          <w:szCs w:val="18"/>
        </w:rPr>
      </w:pPr>
      <w:r w:rsidRPr="00A8229A">
        <w:rPr>
          <w:rFonts w:cs="Arial"/>
          <w:szCs w:val="18"/>
        </w:rPr>
        <w:t xml:space="preserve">Business Victoria. (n.d.). </w:t>
      </w:r>
      <w:r w:rsidRPr="00A8229A">
        <w:rPr>
          <w:rFonts w:cs="Arial"/>
          <w:i/>
          <w:szCs w:val="18"/>
        </w:rPr>
        <w:t>Business support fund guidelines.</w:t>
      </w:r>
      <w:r w:rsidRPr="00A8229A">
        <w:rPr>
          <w:rFonts w:cs="Arial"/>
          <w:szCs w:val="18"/>
        </w:rPr>
        <w:t xml:space="preserve"> Retrieved from https://business.vic.gov.au/__data/assets/pdf_file/0004/1992676/Business-Support-Fund-guidelines.pdf; </w:t>
      </w:r>
    </w:p>
    <w:p w14:paraId="599F5560" w14:textId="77777777" w:rsidR="002510A9" w:rsidRPr="00A8229A" w:rsidRDefault="002510A9" w:rsidP="006E0D7A">
      <w:pPr>
        <w:pStyle w:val="EndnoteText"/>
        <w:ind w:left="170"/>
        <w:rPr>
          <w:rFonts w:cs="Arial"/>
          <w:szCs w:val="18"/>
        </w:rPr>
      </w:pPr>
      <w:r w:rsidRPr="00A8229A">
        <w:rPr>
          <w:rFonts w:cs="Arial"/>
          <w:szCs w:val="18"/>
        </w:rPr>
        <w:t xml:space="preserve">Business Victoria. (n.d.). </w:t>
      </w:r>
      <w:r w:rsidRPr="00A8229A">
        <w:rPr>
          <w:rFonts w:cs="Arial"/>
          <w:i/>
          <w:szCs w:val="18"/>
        </w:rPr>
        <w:t xml:space="preserve">Small business COVID hardship fund guidelines. </w:t>
      </w:r>
      <w:r w:rsidRPr="00A8229A">
        <w:rPr>
          <w:rFonts w:cs="Arial"/>
          <w:szCs w:val="18"/>
        </w:rPr>
        <w:t xml:space="preserve">Retrieved from https://business.vic.gov.au/__data/assets/pdf_file/0016/2031208/Small-Business-COVID-Hardship-Fund-guidelines.pdf; </w:t>
      </w:r>
    </w:p>
    <w:p w14:paraId="7185CFB4" w14:textId="77777777" w:rsidR="002510A9" w:rsidRPr="00A8229A" w:rsidRDefault="002510A9" w:rsidP="006E0D7A">
      <w:pPr>
        <w:pStyle w:val="EndnoteText"/>
        <w:ind w:left="170"/>
        <w:rPr>
          <w:rFonts w:cs="Arial"/>
          <w:szCs w:val="18"/>
        </w:rPr>
      </w:pPr>
      <w:r w:rsidRPr="00A8229A">
        <w:rPr>
          <w:rFonts w:cs="Arial"/>
          <w:szCs w:val="18"/>
        </w:rPr>
        <w:t xml:space="preserve">Chief Minister, Treasury and Economic Development Directorate, ACT Government. (n.d.). </w:t>
      </w:r>
      <w:r w:rsidRPr="00A8229A">
        <w:rPr>
          <w:rFonts w:cs="Arial"/>
          <w:i/>
          <w:szCs w:val="18"/>
        </w:rPr>
        <w:t>Independent evaluation of the COVID-19 business support grant and small business hardship scheme: Final report</w:t>
      </w:r>
      <w:r w:rsidRPr="00A8229A">
        <w:rPr>
          <w:rFonts w:cs="Arial"/>
          <w:szCs w:val="18"/>
        </w:rPr>
        <w:t>. Retrieved from https://www.cmtedd.act.gov.au/__data/assets/pdf_file/0010/2253979/Independent-Evaluation-of-the-</w:t>
      </w:r>
      <w:r w:rsidRPr="00A8229A">
        <w:rPr>
          <w:rFonts w:cs="Arial"/>
          <w:i/>
          <w:szCs w:val="18"/>
        </w:rPr>
        <w:t>COVID-19-Business-Support-Grant-and-Small-Business-Hardship-Scheme-Final-Report</w:t>
      </w:r>
      <w:r w:rsidRPr="00A8229A">
        <w:rPr>
          <w:rFonts w:cs="Arial"/>
          <w:szCs w:val="18"/>
        </w:rPr>
        <w:t xml:space="preserve">.PDF; </w:t>
      </w:r>
    </w:p>
    <w:p w14:paraId="509B2F9F" w14:textId="77777777" w:rsidR="002510A9" w:rsidRPr="00A8229A" w:rsidRDefault="002510A9" w:rsidP="006E0D7A">
      <w:pPr>
        <w:pStyle w:val="EndnoteText"/>
        <w:ind w:left="170"/>
        <w:rPr>
          <w:rFonts w:cs="Arial"/>
          <w:szCs w:val="18"/>
        </w:rPr>
      </w:pPr>
      <w:r w:rsidRPr="00A8229A">
        <w:rPr>
          <w:rFonts w:cs="Arial"/>
          <w:szCs w:val="18"/>
        </w:rPr>
        <w:t xml:space="preserve">Mair Mansfield. (n.d.). </w:t>
      </w:r>
      <w:r w:rsidRPr="00A8229A">
        <w:rPr>
          <w:rFonts w:cs="Arial"/>
          <w:i/>
          <w:szCs w:val="18"/>
        </w:rPr>
        <w:t>Northern beaches small business hardship grant.</w:t>
      </w:r>
      <w:r w:rsidRPr="00A8229A">
        <w:rPr>
          <w:rFonts w:cs="Arial"/>
          <w:szCs w:val="18"/>
        </w:rPr>
        <w:t xml:space="preserve"> Retrieved from https://www.mairmansfield.com.au/blog/northern-beaches-small-business-hardship-grant; </w:t>
      </w:r>
    </w:p>
    <w:p w14:paraId="0A0941E7" w14:textId="77777777" w:rsidR="002510A9" w:rsidRPr="00A8229A" w:rsidRDefault="002510A9" w:rsidP="006E0D7A">
      <w:pPr>
        <w:pStyle w:val="EndnoteText"/>
        <w:ind w:left="170"/>
        <w:rPr>
          <w:rFonts w:cs="Arial"/>
          <w:szCs w:val="18"/>
        </w:rPr>
      </w:pPr>
      <w:r w:rsidRPr="00A8229A">
        <w:rPr>
          <w:rFonts w:cs="Arial"/>
          <w:szCs w:val="18"/>
        </w:rPr>
        <w:t xml:space="preserve">New South Wales Treasury. (2024). 2021-22 </w:t>
      </w:r>
      <w:r w:rsidRPr="00A8229A">
        <w:rPr>
          <w:rFonts w:cs="Arial"/>
          <w:i/>
          <w:szCs w:val="18"/>
        </w:rPr>
        <w:t>COVID-19 business support program evaluation background</w:t>
      </w:r>
      <w:r w:rsidRPr="00A8229A">
        <w:rPr>
          <w:rFonts w:cs="Arial"/>
          <w:szCs w:val="18"/>
        </w:rPr>
        <w:t xml:space="preserve">. Retrieved from https://www.treasury.nsw.gov.au/sites/default/files/2024-03/20240318_2021-22-COVID19-business-support-program-evaluation-background.pdf; </w:t>
      </w:r>
    </w:p>
    <w:p w14:paraId="1AAC2331" w14:textId="77777777" w:rsidR="006B3B40" w:rsidRDefault="003C5C63" w:rsidP="006E0D7A">
      <w:pPr>
        <w:pStyle w:val="EndnoteText"/>
        <w:ind w:left="170"/>
        <w:rPr>
          <w:rFonts w:cs="Arial"/>
          <w:szCs w:val="18"/>
        </w:rPr>
      </w:pPr>
      <w:r w:rsidRPr="00A8229A">
        <w:rPr>
          <w:rFonts w:cs="Arial"/>
          <w:szCs w:val="18"/>
        </w:rPr>
        <w:t xml:space="preserve">New South Wales Treasury. (2022). </w:t>
      </w:r>
      <w:r w:rsidRPr="00A8229A">
        <w:rPr>
          <w:rFonts w:cs="Arial"/>
          <w:i/>
          <w:szCs w:val="18"/>
        </w:rPr>
        <w:t>Economic and outcomes evaluation of 2020 NSW Government COVID-19 small business grants</w:t>
      </w:r>
      <w:r w:rsidRPr="00A8229A">
        <w:rPr>
          <w:rFonts w:cs="Arial"/>
          <w:szCs w:val="18"/>
        </w:rPr>
        <w:t xml:space="preserve">. </w:t>
      </w:r>
      <w:r w:rsidR="00E3385D" w:rsidRPr="00A8229A">
        <w:rPr>
          <w:rFonts w:cs="Arial"/>
          <w:szCs w:val="18"/>
        </w:rPr>
        <w:t xml:space="preserve">Retrieved from </w:t>
      </w:r>
      <w:r w:rsidR="00614BB9" w:rsidRPr="00A8229A">
        <w:rPr>
          <w:rFonts w:cs="Arial"/>
          <w:szCs w:val="18"/>
        </w:rPr>
        <w:t>https://www.treasury.nsw.gov.au/sites/default/files/2022-12/20221215-economic-and-outcomes-evaluation-of-2020-nsw-government-covid19-small-business-grants.pdf;</w:t>
      </w:r>
    </w:p>
    <w:p w14:paraId="11532DC2" w14:textId="69EB30B6" w:rsidR="002510A9" w:rsidRPr="00A8229A" w:rsidRDefault="002510A9" w:rsidP="006E0D7A">
      <w:pPr>
        <w:pStyle w:val="EndnoteText"/>
        <w:ind w:left="170"/>
        <w:rPr>
          <w:rFonts w:cs="Arial"/>
          <w:szCs w:val="18"/>
        </w:rPr>
      </w:pPr>
      <w:r w:rsidRPr="00A8229A">
        <w:rPr>
          <w:rFonts w:cs="Arial"/>
          <w:szCs w:val="18"/>
        </w:rPr>
        <w:t xml:space="preserve">Northern Territory Government. (n.d.). </w:t>
      </w:r>
      <w:r w:rsidRPr="00A8229A">
        <w:rPr>
          <w:rFonts w:cs="Arial"/>
          <w:i/>
          <w:szCs w:val="18"/>
        </w:rPr>
        <w:t>COVID-19 lockdown payment program: Terms and conditions</w:t>
      </w:r>
      <w:r w:rsidRPr="00A8229A">
        <w:rPr>
          <w:rFonts w:cs="Arial"/>
          <w:szCs w:val="18"/>
        </w:rPr>
        <w:t xml:space="preserve">. Retrieved from https://nt.gov.au/__data/assets/pdf_file/0006/1072158/COVID-19-lockdown-payment-program-terms-conditions.pdf; </w:t>
      </w:r>
    </w:p>
    <w:p w14:paraId="349434CC" w14:textId="77777777" w:rsidR="002510A9" w:rsidRPr="00A8229A" w:rsidRDefault="003C5C63" w:rsidP="006E0D7A">
      <w:pPr>
        <w:pStyle w:val="EndnoteText"/>
        <w:ind w:left="170"/>
        <w:rPr>
          <w:rFonts w:cs="Arial"/>
          <w:szCs w:val="18"/>
        </w:rPr>
      </w:pPr>
      <w:r w:rsidRPr="00A8229A">
        <w:rPr>
          <w:rFonts w:cs="Arial"/>
          <w:szCs w:val="18"/>
        </w:rPr>
        <w:t xml:space="preserve">Queensland Government. (2021). </w:t>
      </w:r>
      <w:r w:rsidRPr="00A8229A">
        <w:rPr>
          <w:rFonts w:cs="Arial"/>
          <w:i/>
          <w:szCs w:val="18"/>
        </w:rPr>
        <w:t>COVID-19 business support grant amended guidelines: Border business zone hardship grants</w:t>
      </w:r>
      <w:r w:rsidRPr="00A8229A">
        <w:rPr>
          <w:rFonts w:cs="Arial"/>
          <w:szCs w:val="18"/>
        </w:rPr>
        <w:t>.</w:t>
      </w:r>
      <w:r w:rsidR="0064702C" w:rsidRPr="00A8229A">
        <w:rPr>
          <w:rFonts w:cs="Arial"/>
          <w:szCs w:val="18"/>
        </w:rPr>
        <w:t xml:space="preserve"> </w:t>
      </w:r>
      <w:r w:rsidR="00E3385D" w:rsidRPr="00A8229A">
        <w:rPr>
          <w:rFonts w:cs="Arial"/>
          <w:szCs w:val="18"/>
        </w:rPr>
        <w:t>Retrieved from</w:t>
      </w:r>
      <w:r w:rsidRPr="00A8229A">
        <w:rPr>
          <w:rFonts w:cs="Arial"/>
          <w:szCs w:val="18"/>
        </w:rPr>
        <w:t xml:space="preserve"> </w:t>
      </w:r>
      <w:r w:rsidR="00614BB9" w:rsidRPr="00A8229A">
        <w:rPr>
          <w:rFonts w:cs="Arial"/>
          <w:szCs w:val="18"/>
        </w:rPr>
        <w:t xml:space="preserve">https://www.publications.qld.gov.au/ckan-publications-attachments-prod/resources/a682b095-dead-46ff-ae07-da8c33c55911/2021-covid-19-business-support-grant-amended-guidelines-border-business-zone-hardship-grants.pdf; </w:t>
      </w:r>
    </w:p>
    <w:p w14:paraId="5D6EFFC1" w14:textId="77777777" w:rsidR="002510A9" w:rsidRPr="00A8229A" w:rsidRDefault="002510A9" w:rsidP="006E0D7A">
      <w:pPr>
        <w:pStyle w:val="EndnoteText"/>
        <w:ind w:left="170"/>
        <w:rPr>
          <w:rFonts w:cs="Arial"/>
          <w:szCs w:val="18"/>
        </w:rPr>
      </w:pPr>
      <w:r w:rsidRPr="00A8229A">
        <w:rPr>
          <w:rFonts w:cs="Arial"/>
          <w:szCs w:val="18"/>
        </w:rPr>
        <w:t xml:space="preserve">Queensland Department of Tourism, Innovation and Sport. (n.d.). </w:t>
      </w:r>
      <w:r w:rsidRPr="00A8229A">
        <w:rPr>
          <w:rFonts w:cs="Arial"/>
          <w:i/>
          <w:szCs w:val="18"/>
        </w:rPr>
        <w:t xml:space="preserve">Major tourism experiences hardship guidelines. </w:t>
      </w:r>
      <w:r w:rsidRPr="00A8229A">
        <w:rPr>
          <w:rFonts w:cs="Arial"/>
          <w:szCs w:val="18"/>
        </w:rPr>
        <w:t xml:space="preserve">Retrieved from https://www.dtis.qld.gov.au/__data/assets/pdf_file/0008/1582154/major-tourism-experiences-hardship-guidelines.pdf; </w:t>
      </w:r>
    </w:p>
    <w:p w14:paraId="065677CB" w14:textId="77777777" w:rsidR="002510A9" w:rsidRPr="00A8229A" w:rsidRDefault="002510A9" w:rsidP="006E0D7A">
      <w:pPr>
        <w:pStyle w:val="EndnoteText"/>
        <w:ind w:left="170"/>
        <w:rPr>
          <w:rFonts w:cs="Arial"/>
          <w:szCs w:val="18"/>
        </w:rPr>
      </w:pPr>
      <w:r w:rsidRPr="00A8229A">
        <w:rPr>
          <w:rFonts w:cs="Arial"/>
          <w:szCs w:val="18"/>
        </w:rPr>
        <w:t xml:space="preserve">Queensland Department of Tourism, Innovation and Sport. </w:t>
      </w:r>
      <w:r w:rsidR="003C5C63" w:rsidRPr="00A8229A">
        <w:rPr>
          <w:rFonts w:cs="Arial"/>
          <w:szCs w:val="18"/>
        </w:rPr>
        <w:t xml:space="preserve">(n.d.). </w:t>
      </w:r>
      <w:r w:rsidR="003C5C63" w:rsidRPr="00A8229A">
        <w:rPr>
          <w:rFonts w:cs="Arial"/>
          <w:i/>
          <w:szCs w:val="18"/>
        </w:rPr>
        <w:t>Tourism and hospitality sector hardship guidelines</w:t>
      </w:r>
      <w:r w:rsidR="003C5C63" w:rsidRPr="00A8229A">
        <w:rPr>
          <w:rFonts w:cs="Arial"/>
          <w:szCs w:val="18"/>
        </w:rPr>
        <w:t>.</w:t>
      </w:r>
      <w:r w:rsidR="008944D2" w:rsidRPr="00A8229A">
        <w:rPr>
          <w:rFonts w:cs="Arial"/>
          <w:szCs w:val="18"/>
        </w:rPr>
        <w:t xml:space="preserve"> </w:t>
      </w:r>
      <w:r w:rsidR="002973BE" w:rsidRPr="00A8229A">
        <w:rPr>
          <w:rFonts w:cs="Arial"/>
          <w:szCs w:val="18"/>
        </w:rPr>
        <w:t>Retrieved from</w:t>
      </w:r>
      <w:r w:rsidR="003C5C63" w:rsidRPr="00A8229A">
        <w:rPr>
          <w:rFonts w:cs="Arial"/>
          <w:szCs w:val="18"/>
        </w:rPr>
        <w:t xml:space="preserve"> https://www.dtis.qld.gov.au/__data/assets/pdf_file/0003/1582149/tourism-hospitality-sector-hardship-guidelines.pdf; </w:t>
      </w:r>
    </w:p>
    <w:p w14:paraId="3E3E50B5" w14:textId="77777777" w:rsidR="002510A9" w:rsidRPr="00A8229A" w:rsidRDefault="003C5C63" w:rsidP="006E0D7A">
      <w:pPr>
        <w:pStyle w:val="EndnoteText"/>
        <w:ind w:left="170"/>
        <w:rPr>
          <w:rFonts w:cs="Arial"/>
          <w:szCs w:val="18"/>
        </w:rPr>
      </w:pPr>
      <w:r w:rsidRPr="00A8229A">
        <w:rPr>
          <w:rFonts w:cs="Arial"/>
          <w:szCs w:val="18"/>
        </w:rPr>
        <w:t xml:space="preserve">Queensland Rural and Industry Development Authority. (2023). </w:t>
      </w:r>
      <w:r w:rsidRPr="00A8229A">
        <w:rPr>
          <w:rFonts w:cs="Arial"/>
          <w:i/>
          <w:szCs w:val="18"/>
        </w:rPr>
        <w:t>Annual report 2022-23: Organisational performance summary</w:t>
      </w:r>
      <w:r w:rsidRPr="00A8229A">
        <w:rPr>
          <w:rFonts w:cs="Arial"/>
          <w:szCs w:val="18"/>
        </w:rPr>
        <w:t xml:space="preserve">. </w:t>
      </w:r>
      <w:r w:rsidR="003145B5" w:rsidRPr="00A8229A">
        <w:rPr>
          <w:rFonts w:cs="Arial"/>
          <w:szCs w:val="18"/>
        </w:rPr>
        <w:t xml:space="preserve">Retrieved from  </w:t>
      </w:r>
      <w:r w:rsidRPr="00A8229A">
        <w:rPr>
          <w:rFonts w:cs="Arial"/>
          <w:szCs w:val="18"/>
        </w:rPr>
        <w:t xml:space="preserve">https://www.qrida.qld.gov.au/sites/default/files/2023-09/QRIDA%20annual%20report%2022-23%20v1%20Organisational%20performance%20summary.pdf; </w:t>
      </w:r>
    </w:p>
    <w:p w14:paraId="0D018F6A" w14:textId="77777777" w:rsidR="002510A9" w:rsidRPr="00A8229A" w:rsidRDefault="002510A9" w:rsidP="006E0D7A">
      <w:pPr>
        <w:pStyle w:val="EndnoteText"/>
        <w:ind w:left="170"/>
        <w:rPr>
          <w:rFonts w:cs="Arial"/>
          <w:szCs w:val="18"/>
        </w:rPr>
      </w:pPr>
      <w:r w:rsidRPr="00A8229A">
        <w:rPr>
          <w:rFonts w:cs="Arial"/>
          <w:szCs w:val="18"/>
        </w:rPr>
        <w:t>Service NSW. (n.d.).</w:t>
      </w:r>
      <w:r w:rsidRPr="00A8229A">
        <w:rPr>
          <w:rFonts w:cs="Arial"/>
          <w:i/>
          <w:szCs w:val="18"/>
        </w:rPr>
        <w:t xml:space="preserve"> Closed programs statistics. </w:t>
      </w:r>
      <w:r w:rsidRPr="00A8229A">
        <w:rPr>
          <w:rFonts w:cs="Arial"/>
          <w:szCs w:val="18"/>
        </w:rPr>
        <w:t>https://www.service.nsw.gov.au/performance-dashboard/closed-programs-statistics;</w:t>
      </w:r>
    </w:p>
    <w:p w14:paraId="685C7A03" w14:textId="77777777" w:rsidR="002510A9" w:rsidRPr="00A8229A" w:rsidRDefault="002510A9" w:rsidP="006E0D7A">
      <w:pPr>
        <w:pStyle w:val="EndnoteText"/>
        <w:ind w:left="170"/>
        <w:rPr>
          <w:rFonts w:cs="Arial"/>
          <w:szCs w:val="18"/>
        </w:rPr>
      </w:pPr>
      <w:r w:rsidRPr="00A8229A">
        <w:rPr>
          <w:rFonts w:cs="Arial"/>
          <w:szCs w:val="18"/>
        </w:rPr>
        <w:t xml:space="preserve">South Australian Department of Treasury and Finance. (2021). </w:t>
      </w:r>
      <w:r w:rsidRPr="00A8229A">
        <w:rPr>
          <w:rFonts w:cs="Arial"/>
          <w:i/>
          <w:szCs w:val="18"/>
        </w:rPr>
        <w:t>Business</w:t>
      </w:r>
      <w:r w:rsidR="003C5C63" w:rsidRPr="00A8229A">
        <w:rPr>
          <w:rFonts w:cs="Arial"/>
          <w:i/>
          <w:szCs w:val="18"/>
        </w:rPr>
        <w:t xml:space="preserve"> hardship </w:t>
      </w:r>
      <w:r w:rsidRPr="00A8229A">
        <w:rPr>
          <w:rFonts w:cs="Arial"/>
          <w:i/>
          <w:szCs w:val="18"/>
        </w:rPr>
        <w:t xml:space="preserve">grant </w:t>
      </w:r>
      <w:r w:rsidR="003C5C63" w:rsidRPr="00A8229A">
        <w:rPr>
          <w:rFonts w:cs="Arial"/>
          <w:i/>
          <w:szCs w:val="18"/>
        </w:rPr>
        <w:t>guidelines</w:t>
      </w:r>
      <w:r w:rsidR="003C5C63" w:rsidRPr="00A8229A">
        <w:rPr>
          <w:rFonts w:cs="Arial"/>
          <w:szCs w:val="18"/>
        </w:rPr>
        <w:t>.</w:t>
      </w:r>
      <w:r w:rsidR="008944D2" w:rsidRPr="00A8229A">
        <w:rPr>
          <w:rFonts w:cs="Arial"/>
          <w:szCs w:val="18"/>
        </w:rPr>
        <w:t xml:space="preserve"> </w:t>
      </w:r>
      <w:r w:rsidR="003145B5" w:rsidRPr="00A8229A">
        <w:rPr>
          <w:rFonts w:cs="Arial"/>
          <w:szCs w:val="18"/>
        </w:rPr>
        <w:t>Retrieved from</w:t>
      </w:r>
      <w:r w:rsidR="003C5C63" w:rsidRPr="00A8229A">
        <w:rPr>
          <w:rFonts w:cs="Arial"/>
          <w:szCs w:val="18"/>
        </w:rPr>
        <w:t xml:space="preserve"> https://www.</w:t>
      </w:r>
      <w:r w:rsidRPr="00A8229A">
        <w:rPr>
          <w:rFonts w:cs="Arial"/>
          <w:szCs w:val="18"/>
        </w:rPr>
        <w:t>treasury.sa.gov.au/Growing-South-Australia/COVID-19/december-2021/business</w:t>
      </w:r>
      <w:r w:rsidR="003C5C63" w:rsidRPr="00A8229A">
        <w:rPr>
          <w:rFonts w:cs="Arial"/>
          <w:szCs w:val="18"/>
        </w:rPr>
        <w:t>-hardship-</w:t>
      </w:r>
      <w:r w:rsidRPr="00A8229A">
        <w:rPr>
          <w:rFonts w:cs="Arial"/>
          <w:szCs w:val="18"/>
        </w:rPr>
        <w:t>grant/</w:t>
      </w:r>
      <w:r w:rsidR="003C5C63" w:rsidRPr="00A8229A">
        <w:rPr>
          <w:rFonts w:cs="Arial"/>
          <w:szCs w:val="18"/>
        </w:rPr>
        <w:t>guidelines</w:t>
      </w:r>
      <w:r w:rsidRPr="00A8229A">
        <w:rPr>
          <w:rFonts w:cs="Arial"/>
          <w:szCs w:val="18"/>
        </w:rPr>
        <w:t xml:space="preserve">; </w:t>
      </w:r>
    </w:p>
    <w:p w14:paraId="0DC1F64F" w14:textId="77777777" w:rsidR="002510A9" w:rsidRPr="00A8229A" w:rsidRDefault="003C5C63" w:rsidP="006E0D7A">
      <w:pPr>
        <w:pStyle w:val="EndnoteText"/>
        <w:ind w:left="170"/>
        <w:rPr>
          <w:rFonts w:cs="Arial"/>
          <w:szCs w:val="18"/>
        </w:rPr>
      </w:pPr>
      <w:r w:rsidRPr="00A8229A">
        <w:rPr>
          <w:rFonts w:cs="Arial"/>
          <w:szCs w:val="18"/>
        </w:rPr>
        <w:t xml:space="preserve">South Australian Department of Treasury and Finance. (n.d.). </w:t>
      </w:r>
      <w:r w:rsidRPr="00A8229A">
        <w:rPr>
          <w:rFonts w:cs="Arial"/>
          <w:i/>
          <w:szCs w:val="18"/>
        </w:rPr>
        <w:t>COVID-19 business support grant guidelines.</w:t>
      </w:r>
      <w:r w:rsidRPr="00A8229A">
        <w:rPr>
          <w:rFonts w:cs="Arial"/>
          <w:szCs w:val="18"/>
        </w:rPr>
        <w:t xml:space="preserve"> </w:t>
      </w:r>
      <w:r w:rsidR="003145B5" w:rsidRPr="00A8229A">
        <w:rPr>
          <w:rFonts w:cs="Arial"/>
          <w:szCs w:val="18"/>
        </w:rPr>
        <w:t xml:space="preserve">Retrieved from </w:t>
      </w:r>
      <w:r w:rsidRPr="00A8229A">
        <w:rPr>
          <w:rFonts w:cs="Arial"/>
          <w:szCs w:val="18"/>
        </w:rPr>
        <w:t xml:space="preserve">https://www.treasury.sa.gov.au/Growing-South-Australia/COVID-19/supporting-businesses/COVID-19-Business-Support-Grant-guidelines; </w:t>
      </w:r>
    </w:p>
    <w:p w14:paraId="6512FAC1" w14:textId="77777777" w:rsidR="002510A9" w:rsidRPr="00A8229A" w:rsidRDefault="002510A9" w:rsidP="006E0D7A">
      <w:pPr>
        <w:pStyle w:val="EndnoteText"/>
        <w:ind w:left="170"/>
        <w:rPr>
          <w:rFonts w:cs="Arial"/>
          <w:szCs w:val="18"/>
        </w:rPr>
      </w:pPr>
      <w:r w:rsidRPr="00A8229A">
        <w:rPr>
          <w:rFonts w:cs="Arial"/>
          <w:szCs w:val="18"/>
        </w:rPr>
        <w:t xml:space="preserve">South Australian Department of Treasury and Finance. (n.d.). </w:t>
      </w:r>
      <w:r w:rsidRPr="00A8229A">
        <w:rPr>
          <w:rFonts w:cs="Arial"/>
          <w:i/>
          <w:szCs w:val="18"/>
        </w:rPr>
        <w:t>COVID-19 support fund.</w:t>
      </w:r>
      <w:r w:rsidRPr="00A8229A">
        <w:rPr>
          <w:rFonts w:cs="Arial"/>
          <w:szCs w:val="18"/>
        </w:rPr>
        <w:t xml:space="preserve"> Retrieved from https://www.treasury.sa.gov.au/Growing-South-Australia/COVID-19/COVID-19-Support-Fund; </w:t>
      </w:r>
    </w:p>
    <w:p w14:paraId="78F04B07" w14:textId="25B2EC9A" w:rsidR="002510A9" w:rsidRPr="00A8229A" w:rsidRDefault="002510A9" w:rsidP="006E0D7A">
      <w:pPr>
        <w:pStyle w:val="EndnoteText"/>
        <w:ind w:left="170"/>
        <w:rPr>
          <w:rFonts w:cs="Arial"/>
          <w:szCs w:val="18"/>
        </w:rPr>
      </w:pPr>
      <w:r w:rsidRPr="00A8229A">
        <w:rPr>
          <w:rFonts w:cs="Arial"/>
          <w:szCs w:val="18"/>
        </w:rPr>
        <w:t>Tasmanian Parliament Public Accounts Committee. (18</w:t>
      </w:r>
      <w:r w:rsidR="003C5C63" w:rsidRPr="00A8229A">
        <w:rPr>
          <w:rFonts w:cs="Arial"/>
          <w:szCs w:val="18"/>
        </w:rPr>
        <w:t xml:space="preserve"> October </w:t>
      </w:r>
      <w:r w:rsidRPr="00A8229A">
        <w:rPr>
          <w:rFonts w:cs="Arial"/>
          <w:szCs w:val="18"/>
        </w:rPr>
        <w:t>2023</w:t>
      </w:r>
      <w:r w:rsidR="003C5C63" w:rsidRPr="00A8229A">
        <w:rPr>
          <w:rFonts w:cs="Arial"/>
          <w:i/>
          <w:szCs w:val="18"/>
        </w:rPr>
        <w:t>). Inquiry into the Tasmanian Government's continuing response to the COVID-19 pandemic: Business support and COVID-19 app</w:t>
      </w:r>
      <w:r w:rsidR="003C5C63" w:rsidRPr="00A8229A">
        <w:rPr>
          <w:rFonts w:cs="Arial"/>
          <w:szCs w:val="18"/>
        </w:rPr>
        <w:t xml:space="preserve">. </w:t>
      </w:r>
      <w:r w:rsidR="00CF0588" w:rsidRPr="00A8229A">
        <w:rPr>
          <w:rFonts w:cs="Arial"/>
          <w:szCs w:val="18"/>
        </w:rPr>
        <w:t xml:space="preserve">Retrieved from </w:t>
      </w:r>
      <w:r w:rsidR="003C5C63" w:rsidRPr="00A8229A">
        <w:rPr>
          <w:rFonts w:cs="Arial"/>
          <w:szCs w:val="18"/>
        </w:rPr>
        <w:t>https://www.parliament.tas.gov.au/__data/assets/pdf_file/0030/75486/FINAL-PAC-Report-18-October-2023-Inquiry-into-the-Tasmanian-Governments-Continuing-Response-to-the-COVID-19-Pandemic-Business-Support-and-COVID-19-App.pdf</w:t>
      </w:r>
      <w:r w:rsidRPr="00A8229A">
        <w:rPr>
          <w:rFonts w:cs="Arial"/>
          <w:szCs w:val="18"/>
        </w:rPr>
        <w:t>;</w:t>
      </w:r>
    </w:p>
    <w:p w14:paraId="5999FBDA" w14:textId="40AE9E38" w:rsidR="006F67DD" w:rsidRPr="00A8229A" w:rsidRDefault="003C5C63" w:rsidP="006E0D7A">
      <w:pPr>
        <w:pStyle w:val="EndnoteText"/>
        <w:ind w:left="170"/>
        <w:rPr>
          <w:rFonts w:cs="Arial"/>
          <w:szCs w:val="18"/>
        </w:rPr>
      </w:pPr>
      <w:r w:rsidRPr="00A8229A">
        <w:rPr>
          <w:rFonts w:cs="Arial"/>
          <w:szCs w:val="18"/>
        </w:rPr>
        <w:t xml:space="preserve">Victorian Auditor-General's Office. </w:t>
      </w:r>
      <w:r w:rsidR="008944D2" w:rsidRPr="00A8229A">
        <w:rPr>
          <w:rFonts w:cs="Arial"/>
          <w:szCs w:val="18"/>
        </w:rPr>
        <w:t xml:space="preserve">(2023). </w:t>
      </w:r>
      <w:r w:rsidR="008944D2" w:rsidRPr="00A8229A">
        <w:rPr>
          <w:rFonts w:cs="Arial"/>
          <w:i/>
          <w:szCs w:val="18"/>
        </w:rPr>
        <w:t>Auditor-General's report on the annual financial report of the State of Victoria: 2022-23 - COVID-19 business grant support programs</w:t>
      </w:r>
      <w:r w:rsidR="008944D2" w:rsidRPr="00A8229A">
        <w:rPr>
          <w:rFonts w:cs="Arial"/>
          <w:szCs w:val="18"/>
        </w:rPr>
        <w:t xml:space="preserve">. </w:t>
      </w:r>
      <w:r w:rsidR="00CF0588" w:rsidRPr="00A8229A">
        <w:rPr>
          <w:rFonts w:cs="Arial"/>
          <w:szCs w:val="18"/>
        </w:rPr>
        <w:t xml:space="preserve">Retrieved from </w:t>
      </w:r>
      <w:r w:rsidRPr="00A8229A">
        <w:rPr>
          <w:rFonts w:cs="Arial"/>
          <w:szCs w:val="18"/>
        </w:rPr>
        <w:t>https://www.audit.vic.gov.au/report/auditor-generals-report-annual-financial-report-state-victoria-2022-23?section=#34531--4-covid-19-business-grant-support-programs</w:t>
      </w:r>
      <w:r w:rsidR="002510A9" w:rsidRPr="00A8229A">
        <w:rPr>
          <w:rFonts w:cs="Arial"/>
          <w:szCs w:val="18"/>
        </w:rPr>
        <w:t>.</w:t>
      </w:r>
    </w:p>
  </w:endnote>
  <w:endnote w:id="83">
    <w:p w14:paraId="326A0AC9" w14:textId="77777777" w:rsidR="002510A9"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C55A2B" w:rsidRPr="00A8229A">
        <w:rPr>
          <w:rFonts w:cs="Arial"/>
          <w:szCs w:val="18"/>
        </w:rPr>
        <w:t>New South Wales Treasury. (2022). Economic and outcomes evaluation of 2020 NSW Government COVID-19 small business grants. Retrieved from https://www.treasury.nsw.gov.au/sites/default/files/2022-12/20221215-economic-and-outcomes-evaluation-of-2020-nsw-government-covid19-small-business-grants.pdf;</w:t>
      </w:r>
      <w:r w:rsidR="00F47CA6" w:rsidRPr="00A8229A">
        <w:rPr>
          <w:rFonts w:cs="Arial"/>
          <w:szCs w:val="18"/>
        </w:rPr>
        <w:t xml:space="preserve"> </w:t>
      </w:r>
    </w:p>
    <w:p w14:paraId="08DF782A" w14:textId="5710967D" w:rsidR="002F6D6D" w:rsidRPr="00A8229A" w:rsidRDefault="00FD6C8C" w:rsidP="006E0D7A">
      <w:pPr>
        <w:pStyle w:val="EndnoteText"/>
        <w:ind w:left="170"/>
        <w:rPr>
          <w:rFonts w:cs="Arial"/>
          <w:szCs w:val="18"/>
        </w:rPr>
      </w:pPr>
      <w:r w:rsidRPr="00A8229A">
        <w:rPr>
          <w:rFonts w:cs="Arial"/>
          <w:szCs w:val="18"/>
        </w:rPr>
        <w:t xml:space="preserve">New Zealand Treasury. (2021). </w:t>
      </w:r>
      <w:r w:rsidRPr="00A8229A">
        <w:rPr>
          <w:rStyle w:val="Emphasis"/>
          <w:rFonts w:cs="Arial"/>
          <w:b w:val="0"/>
          <w:i/>
          <w:color w:val="auto"/>
          <w:szCs w:val="18"/>
        </w:rPr>
        <w:t>A guide to government support for businesses during COVID-19</w:t>
      </w:r>
      <w:r w:rsidRPr="00A8229A">
        <w:rPr>
          <w:rFonts w:cs="Arial"/>
          <w:szCs w:val="18"/>
        </w:rPr>
        <w:t xml:space="preserve">. Retrieved from </w:t>
      </w:r>
      <w:r w:rsidR="002F6D6D" w:rsidRPr="00A8229A">
        <w:rPr>
          <w:rFonts w:cs="Arial"/>
          <w:szCs w:val="18"/>
        </w:rPr>
        <w:t>https://www.treasury.govt.nz/sites/default/files/2021-03/guide-govt-support-businesses-covid19-3mar.pdf</w:t>
      </w:r>
      <w:r w:rsidR="00353692" w:rsidRPr="00A8229A">
        <w:rPr>
          <w:rFonts w:cs="Arial"/>
          <w:szCs w:val="18"/>
        </w:rPr>
        <w:t>.</w:t>
      </w:r>
    </w:p>
  </w:endnote>
  <w:endnote w:id="84">
    <w:p w14:paraId="2C698BA6" w14:textId="77777777" w:rsidR="002510A9"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197723" w:rsidRPr="00A8229A">
        <w:rPr>
          <w:rFonts w:cs="Arial"/>
          <w:szCs w:val="18"/>
        </w:rPr>
        <w:t xml:space="preserve">Aston Accountants. (n.d.). </w:t>
      </w:r>
      <w:r w:rsidR="00197723" w:rsidRPr="00A8229A">
        <w:rPr>
          <w:rFonts w:cs="Arial"/>
          <w:i/>
          <w:szCs w:val="18"/>
        </w:rPr>
        <w:t>WA small business grants.</w:t>
      </w:r>
      <w:r w:rsidR="00197723" w:rsidRPr="00A8229A">
        <w:rPr>
          <w:rFonts w:cs="Arial"/>
          <w:szCs w:val="18"/>
        </w:rPr>
        <w:t xml:space="preserve"> Retrieved from </w:t>
      </w:r>
      <w:r w:rsidR="00F47CA6" w:rsidRPr="00A8229A">
        <w:rPr>
          <w:rFonts w:cs="Arial"/>
          <w:szCs w:val="18"/>
        </w:rPr>
        <w:t>https://www.astonaccountants.com.au/wa-small-business-grants/</w:t>
      </w:r>
      <w:r w:rsidR="00197723" w:rsidRPr="00A8229A">
        <w:rPr>
          <w:rFonts w:cs="Arial"/>
          <w:szCs w:val="18"/>
        </w:rPr>
        <w:t>;</w:t>
      </w:r>
      <w:r w:rsidR="00F47CA6" w:rsidRPr="00A8229A">
        <w:rPr>
          <w:rFonts w:cs="Arial"/>
          <w:szCs w:val="18"/>
        </w:rPr>
        <w:t xml:space="preserve"> </w:t>
      </w:r>
    </w:p>
    <w:p w14:paraId="061020B6" w14:textId="77777777" w:rsidR="002510A9" w:rsidRPr="00A8229A" w:rsidRDefault="00F63C97" w:rsidP="006E0D7A">
      <w:pPr>
        <w:pStyle w:val="EndnoteText"/>
        <w:ind w:left="170"/>
        <w:rPr>
          <w:rFonts w:cs="Arial"/>
          <w:szCs w:val="18"/>
        </w:rPr>
      </w:pPr>
      <w:r w:rsidRPr="00A8229A">
        <w:rPr>
          <w:rFonts w:cs="Arial"/>
          <w:szCs w:val="18"/>
        </w:rPr>
        <w:t xml:space="preserve">Chief Minister, Treasury and Economic Development Directorate. (2022). </w:t>
      </w:r>
      <w:r w:rsidRPr="00A8229A">
        <w:rPr>
          <w:rFonts w:cs="Arial"/>
          <w:i/>
          <w:szCs w:val="18"/>
        </w:rPr>
        <w:t>Independent evaluation of the COVID-19 business support grant and small business hardship scheme: Final report</w:t>
      </w:r>
      <w:r w:rsidRPr="00A8229A">
        <w:rPr>
          <w:rFonts w:cs="Arial"/>
          <w:szCs w:val="18"/>
        </w:rPr>
        <w:t xml:space="preserve">. Retrieved from https://www.cmtedd.act.gov.au/__data/assets/pdf_file/0010/2253979/Independent-Evaluation-of-the-COVID-19-Business-Support-Grant-and-Small-Business-Hardship-Scheme-Final-Report.PDF; </w:t>
      </w:r>
    </w:p>
    <w:p w14:paraId="73CDF808" w14:textId="77777777" w:rsidR="002510A9" w:rsidRPr="00A8229A" w:rsidRDefault="00F63C97" w:rsidP="006E0D7A">
      <w:pPr>
        <w:pStyle w:val="EndnoteText"/>
        <w:ind w:left="170"/>
        <w:rPr>
          <w:rFonts w:cs="Arial"/>
          <w:szCs w:val="18"/>
        </w:rPr>
      </w:pPr>
      <w:r w:rsidRPr="00A8229A">
        <w:rPr>
          <w:rFonts w:cs="Arial"/>
          <w:szCs w:val="18"/>
        </w:rPr>
        <w:t xml:space="preserve">European Commission. (2020). </w:t>
      </w:r>
      <w:r w:rsidRPr="00A8229A">
        <w:rPr>
          <w:rFonts w:cs="Arial"/>
          <w:i/>
          <w:szCs w:val="18"/>
        </w:rPr>
        <w:t>COVID-19: EU mobilizes €37 billion to support member states and regions.</w:t>
      </w:r>
      <w:r w:rsidRPr="00A8229A">
        <w:rPr>
          <w:rFonts w:cs="Arial"/>
          <w:szCs w:val="18"/>
        </w:rPr>
        <w:t xml:space="preserve"> Retrieved from https://ec.europa.eu/commission/presscorner/detail/en/ip_20_665; </w:t>
      </w:r>
    </w:p>
    <w:p w14:paraId="0A66FFB7" w14:textId="77777777" w:rsidR="002510A9" w:rsidRPr="00A8229A" w:rsidRDefault="00F63C97" w:rsidP="006E0D7A">
      <w:pPr>
        <w:pStyle w:val="EndnoteText"/>
        <w:ind w:left="170"/>
        <w:rPr>
          <w:rFonts w:cs="Arial"/>
          <w:szCs w:val="18"/>
        </w:rPr>
      </w:pPr>
      <w:r w:rsidRPr="00A8229A">
        <w:rPr>
          <w:rFonts w:cs="Arial"/>
          <w:szCs w:val="18"/>
        </w:rPr>
        <w:t xml:space="preserve">New South Wales Treasury. (2024). </w:t>
      </w:r>
      <w:r w:rsidRPr="00A8229A">
        <w:rPr>
          <w:rStyle w:val="Emphasis"/>
          <w:rFonts w:cs="Arial"/>
          <w:b w:val="0"/>
          <w:i/>
          <w:color w:val="auto"/>
          <w:szCs w:val="18"/>
        </w:rPr>
        <w:t>2021-22 COVID-19 business support program evaluation background</w:t>
      </w:r>
      <w:r w:rsidRPr="00A8229A">
        <w:rPr>
          <w:rFonts w:cs="Arial"/>
          <w:b/>
          <w:i/>
          <w:szCs w:val="18"/>
        </w:rPr>
        <w:t xml:space="preserve">. </w:t>
      </w:r>
      <w:r w:rsidRPr="00A8229A">
        <w:rPr>
          <w:rFonts w:cs="Arial"/>
          <w:szCs w:val="18"/>
        </w:rPr>
        <w:t xml:space="preserve">Retrieved from https://www.treasury.nsw.gov.au/sites/default/files/2024-03/20240318_2021-22-COVID19-business-support-program-evaluation-background.pdf; </w:t>
      </w:r>
    </w:p>
    <w:p w14:paraId="61D975AF" w14:textId="77777777" w:rsidR="002510A9" w:rsidRPr="00A8229A" w:rsidRDefault="003B1993" w:rsidP="006E0D7A">
      <w:pPr>
        <w:pStyle w:val="EndnoteText"/>
        <w:ind w:left="170"/>
        <w:rPr>
          <w:rFonts w:cs="Arial"/>
          <w:szCs w:val="18"/>
        </w:rPr>
      </w:pPr>
      <w:r w:rsidRPr="00A8229A">
        <w:rPr>
          <w:rFonts w:cs="Arial"/>
          <w:szCs w:val="18"/>
        </w:rPr>
        <w:t xml:space="preserve">Office of the Auditor General of Ontario. (2021). </w:t>
      </w:r>
      <w:r w:rsidRPr="00A8229A">
        <w:rPr>
          <w:rFonts w:cs="Arial"/>
          <w:i/>
          <w:szCs w:val="18"/>
        </w:rPr>
        <w:t>COVID-19: Economic and fiscal update</w:t>
      </w:r>
      <w:r w:rsidRPr="00A8229A">
        <w:rPr>
          <w:rFonts w:cs="Arial"/>
          <w:szCs w:val="18"/>
        </w:rPr>
        <w:t xml:space="preserve">. Retrieved from </w:t>
      </w:r>
      <w:r w:rsidR="00433EE4" w:rsidRPr="00A8229A">
        <w:rPr>
          <w:rFonts w:cs="Arial"/>
          <w:szCs w:val="18"/>
        </w:rPr>
        <w:t>https://www.auditor.on.ca/en/content/annualreports/arreports/en21/AR_COV-Economic_en21.pdf</w:t>
      </w:r>
      <w:r w:rsidRPr="00A8229A">
        <w:rPr>
          <w:rFonts w:cs="Arial"/>
          <w:szCs w:val="18"/>
        </w:rPr>
        <w:t>;</w:t>
      </w:r>
      <w:r w:rsidR="00433EE4" w:rsidRPr="00A8229A">
        <w:rPr>
          <w:rFonts w:cs="Arial"/>
          <w:szCs w:val="18"/>
        </w:rPr>
        <w:t xml:space="preserve"> </w:t>
      </w:r>
    </w:p>
    <w:p w14:paraId="001379D2" w14:textId="3B5934D0" w:rsidR="002510A9" w:rsidRPr="00A8229A" w:rsidRDefault="002510A9" w:rsidP="006E0D7A">
      <w:pPr>
        <w:pStyle w:val="EndnoteText"/>
        <w:ind w:left="170"/>
        <w:rPr>
          <w:rFonts w:cs="Arial"/>
          <w:szCs w:val="18"/>
        </w:rPr>
      </w:pPr>
      <w:r w:rsidRPr="00A8229A">
        <w:rPr>
          <w:rFonts w:cs="Arial"/>
          <w:szCs w:val="18"/>
        </w:rPr>
        <w:t>Queensland Government.</w:t>
      </w:r>
      <w:r w:rsidR="00F63C97" w:rsidRPr="00A8229A">
        <w:rPr>
          <w:rFonts w:cs="Arial"/>
          <w:szCs w:val="18"/>
        </w:rPr>
        <w:t xml:space="preserve"> (2021). </w:t>
      </w:r>
      <w:r w:rsidR="00F63C97" w:rsidRPr="00A8229A">
        <w:rPr>
          <w:rFonts w:cs="Arial"/>
          <w:i/>
          <w:szCs w:val="18"/>
        </w:rPr>
        <w:t>COVID-19 business support grant: Amended guidelines for border business zone hardship grants.</w:t>
      </w:r>
      <w:r w:rsidR="00F63C97" w:rsidRPr="00A8229A">
        <w:rPr>
          <w:rFonts w:cs="Arial"/>
          <w:szCs w:val="18"/>
        </w:rPr>
        <w:t xml:space="preserve"> Retrieved from https://www.publications.qld.gov.au/ckan-publications-attachments-prod/resources/a682b095-dead-46ff-ae07-da8c33c55911/2021-covid-19-business-support-grant-amended-guidelines-border-business-zone-hardship-grants.pdf?ETag=a7cf1631f8f3dd61d5aea404e0664d3f</w:t>
      </w:r>
      <w:r w:rsidRPr="00A8229A">
        <w:rPr>
          <w:rFonts w:cs="Arial"/>
          <w:szCs w:val="18"/>
        </w:rPr>
        <w:t>;</w:t>
      </w:r>
    </w:p>
    <w:p w14:paraId="0E9839DA" w14:textId="7869D298" w:rsidR="002F6D6D" w:rsidRPr="00A8229A" w:rsidRDefault="005C5F2C" w:rsidP="006E0D7A">
      <w:pPr>
        <w:pStyle w:val="EndnoteText"/>
        <w:ind w:left="170"/>
        <w:rPr>
          <w:rFonts w:cs="Arial"/>
          <w:szCs w:val="18"/>
        </w:rPr>
      </w:pPr>
      <w:r w:rsidRPr="00A8229A">
        <w:rPr>
          <w:rFonts w:cs="Arial"/>
          <w:szCs w:val="18"/>
        </w:rPr>
        <w:t xml:space="preserve">Simmons &amp; Simmons. (2021). </w:t>
      </w:r>
      <w:r w:rsidRPr="00A8229A">
        <w:rPr>
          <w:rStyle w:val="Emphasis"/>
          <w:rFonts w:cs="Arial"/>
          <w:b w:val="0"/>
          <w:bCs/>
          <w:i/>
          <w:iCs w:val="0"/>
          <w:color w:val="auto"/>
          <w:szCs w:val="18"/>
        </w:rPr>
        <w:t>French SME solidarity fund</w:t>
      </w:r>
      <w:r w:rsidRPr="00A8229A">
        <w:rPr>
          <w:rFonts w:cs="Arial"/>
          <w:szCs w:val="18"/>
        </w:rPr>
        <w:t>. Retrieved from</w:t>
      </w:r>
      <w:r w:rsidR="002F6D6D" w:rsidRPr="00A8229A">
        <w:rPr>
          <w:rFonts w:cs="Arial"/>
          <w:szCs w:val="18"/>
        </w:rPr>
        <w:t xml:space="preserve"> </w:t>
      </w:r>
      <w:r w:rsidR="00F63C97" w:rsidRPr="00A8229A">
        <w:rPr>
          <w:rFonts w:cs="Arial"/>
          <w:szCs w:val="18"/>
        </w:rPr>
        <w:t>https://www.simmons-simmons.com/en/publications/ck9a6ustu13kr0982vumb5w6j/french-sme-solidarity-fund</w:t>
      </w:r>
      <w:r w:rsidR="002510A9" w:rsidRPr="00A8229A">
        <w:rPr>
          <w:rFonts w:cs="Arial"/>
          <w:szCs w:val="18"/>
        </w:rPr>
        <w:t>.</w:t>
      </w:r>
    </w:p>
  </w:endnote>
  <w:endnote w:id="85">
    <w:p w14:paraId="3C57ECE9" w14:textId="7A572887" w:rsidR="002F6D6D"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6C5DF8" w:rsidRPr="00A8229A">
        <w:rPr>
          <w:rFonts w:cs="Arial"/>
          <w:szCs w:val="18"/>
        </w:rPr>
        <w:t xml:space="preserve">Australian Taxation Office. (n.d.). </w:t>
      </w:r>
      <w:r w:rsidR="006C5DF8" w:rsidRPr="00A8229A">
        <w:rPr>
          <w:rStyle w:val="Emphasis"/>
          <w:rFonts w:cs="Arial"/>
          <w:b w:val="0"/>
          <w:i/>
          <w:color w:val="auto"/>
          <w:szCs w:val="18"/>
        </w:rPr>
        <w:t>Eligibility for cash flow boosts</w:t>
      </w:r>
      <w:r w:rsidR="006C5DF8" w:rsidRPr="00A8229A">
        <w:rPr>
          <w:rFonts w:cs="Arial"/>
          <w:i/>
          <w:szCs w:val="18"/>
        </w:rPr>
        <w:t>.</w:t>
      </w:r>
      <w:r w:rsidR="006C5DF8" w:rsidRPr="00A8229A">
        <w:rPr>
          <w:rFonts w:cs="Arial"/>
          <w:szCs w:val="18"/>
        </w:rPr>
        <w:t xml:space="preserve"> Retrieved from </w:t>
      </w:r>
      <w:r w:rsidR="0006162E" w:rsidRPr="00A8229A">
        <w:rPr>
          <w:rFonts w:cs="Arial"/>
          <w:szCs w:val="18"/>
        </w:rPr>
        <w:t>https://www.ato.gov.au/businesses-and-organisations/preparing-lodging-and-paying/business-activity-statements-bas/in-detail/boosting-cash-flow-for-employers/eligibility-for-cash-flow-boosts</w:t>
      </w:r>
      <w:r w:rsidR="00353692" w:rsidRPr="00A8229A">
        <w:rPr>
          <w:rFonts w:cs="Arial"/>
          <w:szCs w:val="18"/>
        </w:rPr>
        <w:t>.</w:t>
      </w:r>
    </w:p>
  </w:endnote>
  <w:endnote w:id="86">
    <w:p w14:paraId="142882D0" w14:textId="7C7ED0D4" w:rsidR="002F6D6D"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EB70A6" w:rsidRPr="00A8229A">
        <w:rPr>
          <w:rFonts w:cs="Arial"/>
          <w:szCs w:val="18"/>
        </w:rPr>
        <w:t xml:space="preserve">Inland Revenue Department. (n.d.). </w:t>
      </w:r>
      <w:r w:rsidR="00EB70A6" w:rsidRPr="00A8229A">
        <w:rPr>
          <w:rFonts w:cs="Arial"/>
          <w:i/>
          <w:szCs w:val="18"/>
        </w:rPr>
        <w:t>Resurgence support payment: Eligibility</w:t>
      </w:r>
      <w:r w:rsidR="00EB70A6" w:rsidRPr="00A8229A">
        <w:rPr>
          <w:rFonts w:cs="Arial"/>
          <w:szCs w:val="18"/>
        </w:rPr>
        <w:t>. Retrieved from</w:t>
      </w:r>
      <w:r w:rsidRPr="00A8229A">
        <w:rPr>
          <w:rFonts w:cs="Arial"/>
          <w:szCs w:val="18"/>
        </w:rPr>
        <w:t xml:space="preserve"> https://www.ird.govt.nz/covid-19/business-and-organisations/resurgence-support-payment/eligibility</w:t>
      </w:r>
      <w:r w:rsidR="00353692" w:rsidRPr="00A8229A">
        <w:rPr>
          <w:rFonts w:cs="Arial"/>
          <w:szCs w:val="18"/>
        </w:rPr>
        <w:t>.</w:t>
      </w:r>
    </w:p>
  </w:endnote>
  <w:endnote w:id="87">
    <w:p w14:paraId="712F1058" w14:textId="0AAD7A6D" w:rsidR="002F6D6D"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4F715F" w:rsidRPr="00A8229A">
        <w:rPr>
          <w:rFonts w:cs="Arial"/>
          <w:szCs w:val="18"/>
        </w:rPr>
        <w:t>South Australian Government. (December</w:t>
      </w:r>
      <w:r w:rsidR="008E4780" w:rsidRPr="00A8229A">
        <w:rPr>
          <w:rFonts w:cs="Arial"/>
          <w:szCs w:val="18"/>
        </w:rPr>
        <w:t xml:space="preserve"> </w:t>
      </w:r>
      <w:r w:rsidR="004F715F" w:rsidRPr="00A8229A">
        <w:rPr>
          <w:rFonts w:cs="Arial"/>
          <w:szCs w:val="18"/>
        </w:rPr>
        <w:t xml:space="preserve">2021). </w:t>
      </w:r>
      <w:r w:rsidR="004F715F" w:rsidRPr="00A8229A">
        <w:rPr>
          <w:rFonts w:cs="Arial"/>
          <w:i/>
          <w:szCs w:val="18"/>
        </w:rPr>
        <w:t>Business hardship grant: Guidelines</w:t>
      </w:r>
      <w:r w:rsidR="004F715F" w:rsidRPr="00A8229A">
        <w:rPr>
          <w:rFonts w:cs="Arial"/>
          <w:szCs w:val="18"/>
        </w:rPr>
        <w:t xml:space="preserve">. </w:t>
      </w:r>
      <w:r w:rsidR="00F15297" w:rsidRPr="00A8229A">
        <w:rPr>
          <w:rFonts w:cs="Arial"/>
          <w:szCs w:val="18"/>
        </w:rPr>
        <w:t xml:space="preserve">Retrieved from </w:t>
      </w:r>
      <w:r w:rsidR="004F715F" w:rsidRPr="00A8229A">
        <w:rPr>
          <w:rFonts w:cs="Arial"/>
          <w:szCs w:val="18"/>
        </w:rPr>
        <w:t xml:space="preserve">https://www.treasury.sa.gov.au/Growing-South-Australia/COVID-19/december-2021/business-hardship-grant/guidelines; </w:t>
      </w:r>
      <w:r w:rsidR="00685C10" w:rsidRPr="00A8229A">
        <w:rPr>
          <w:rFonts w:cs="Arial"/>
          <w:szCs w:val="18"/>
        </w:rPr>
        <w:t xml:space="preserve">Independent Commissioner Against Corruption (ICAC). (n.d.). </w:t>
      </w:r>
      <w:r w:rsidR="00685C10" w:rsidRPr="00A8229A">
        <w:rPr>
          <w:rFonts w:cs="Arial"/>
          <w:i/>
          <w:szCs w:val="18"/>
        </w:rPr>
        <w:t>Evaluation of grants administration</w:t>
      </w:r>
      <w:r w:rsidR="00685C10" w:rsidRPr="00A8229A">
        <w:rPr>
          <w:rFonts w:cs="Arial"/>
          <w:szCs w:val="18"/>
        </w:rPr>
        <w:t xml:space="preserve">. </w:t>
      </w:r>
      <w:r w:rsidR="00F15297" w:rsidRPr="00A8229A">
        <w:rPr>
          <w:rFonts w:cs="Arial"/>
          <w:szCs w:val="18"/>
        </w:rPr>
        <w:t xml:space="preserve">Retrieved from </w:t>
      </w:r>
      <w:r w:rsidR="00685C10" w:rsidRPr="00A8229A">
        <w:rPr>
          <w:rFonts w:cs="Arial"/>
          <w:szCs w:val="18"/>
        </w:rPr>
        <w:t>https://www.icac.sa.gov.au/evaluations-and-reviews/evaluation-of-grants-administration</w:t>
      </w:r>
      <w:r w:rsidR="002510A9" w:rsidRPr="00A8229A">
        <w:rPr>
          <w:rFonts w:cs="Arial"/>
          <w:szCs w:val="18"/>
        </w:rPr>
        <w:t>.</w:t>
      </w:r>
    </w:p>
  </w:endnote>
  <w:endnote w:id="88">
    <w:p w14:paraId="3592F54F" w14:textId="2A2975D2" w:rsidR="002F6D6D"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3E3513" w:rsidRPr="00A8229A">
        <w:rPr>
          <w:rFonts w:cs="Arial"/>
          <w:szCs w:val="18"/>
        </w:rPr>
        <w:t>NSW Treasury. (</w:t>
      </w:r>
      <w:r w:rsidR="008E4780" w:rsidRPr="00A8229A">
        <w:rPr>
          <w:rFonts w:cs="Arial"/>
          <w:szCs w:val="18"/>
        </w:rPr>
        <w:t>18</w:t>
      </w:r>
      <w:r w:rsidR="003E3513" w:rsidRPr="00A8229A">
        <w:rPr>
          <w:rFonts w:cs="Arial"/>
          <w:szCs w:val="18"/>
        </w:rPr>
        <w:t xml:space="preserve"> March </w:t>
      </w:r>
      <w:r w:rsidR="008E4780" w:rsidRPr="00A8229A">
        <w:rPr>
          <w:rFonts w:cs="Arial"/>
          <w:szCs w:val="18"/>
        </w:rPr>
        <w:t>2024</w:t>
      </w:r>
      <w:r w:rsidR="003E3513" w:rsidRPr="00A8229A">
        <w:rPr>
          <w:rFonts w:cs="Arial"/>
          <w:szCs w:val="18"/>
        </w:rPr>
        <w:t xml:space="preserve">). 2021-22 </w:t>
      </w:r>
      <w:r w:rsidR="003E3513" w:rsidRPr="00A8229A">
        <w:rPr>
          <w:rFonts w:cs="Arial"/>
          <w:i/>
          <w:szCs w:val="18"/>
        </w:rPr>
        <w:t>COVID-19 business support program evaluation: Background</w:t>
      </w:r>
      <w:r w:rsidR="003E3513" w:rsidRPr="00A8229A">
        <w:rPr>
          <w:rFonts w:cs="Arial"/>
          <w:szCs w:val="18"/>
        </w:rPr>
        <w:t>.</w:t>
      </w:r>
      <w:r w:rsidRPr="00A8229A">
        <w:rPr>
          <w:rFonts w:cs="Arial"/>
          <w:szCs w:val="18"/>
        </w:rPr>
        <w:t xml:space="preserve"> </w:t>
      </w:r>
      <w:r w:rsidR="00F15297" w:rsidRPr="00A8229A">
        <w:rPr>
          <w:rFonts w:cs="Arial"/>
          <w:szCs w:val="18"/>
        </w:rPr>
        <w:t xml:space="preserve">Retrieved from </w:t>
      </w:r>
      <w:r w:rsidRPr="00A8229A">
        <w:rPr>
          <w:rFonts w:cs="Arial"/>
          <w:szCs w:val="18"/>
        </w:rPr>
        <w:t>https://www.treasury.nsw.gov.au/sites/default/files/2024-03/20240318_2021-22-COVID19-business-support-program-evaluation-background.pdf</w:t>
      </w:r>
      <w:r w:rsidR="002510A9" w:rsidRPr="00A8229A">
        <w:rPr>
          <w:rFonts w:cs="Arial"/>
          <w:szCs w:val="18"/>
        </w:rPr>
        <w:t>.</w:t>
      </w:r>
    </w:p>
  </w:endnote>
  <w:endnote w:id="89">
    <w:p w14:paraId="61D99C8E" w14:textId="62DE4CC7" w:rsidR="002F6D6D" w:rsidRPr="00A8229A" w:rsidRDefault="002F6D6D" w:rsidP="006E0D7A">
      <w:pPr>
        <w:pStyle w:val="EndnoteText"/>
        <w:ind w:left="170" w:hanging="170"/>
        <w:rPr>
          <w:rFonts w:cs="Arial"/>
          <w:szCs w:val="18"/>
        </w:rPr>
      </w:pPr>
      <w:r w:rsidRPr="00A8229A">
        <w:rPr>
          <w:rStyle w:val="EndnoteReference"/>
          <w:rFonts w:cs="Arial"/>
          <w:szCs w:val="18"/>
        </w:rPr>
        <w:endnoteRef/>
      </w:r>
      <w:r w:rsidR="006E0D7A">
        <w:rPr>
          <w:rFonts w:cs="Arial"/>
          <w:szCs w:val="18"/>
        </w:rPr>
        <w:t xml:space="preserve"> </w:t>
      </w:r>
      <w:r w:rsidR="007D5CBD" w:rsidRPr="00A8229A">
        <w:rPr>
          <w:rFonts w:cs="Arial"/>
          <w:szCs w:val="18"/>
        </w:rPr>
        <w:t xml:space="preserve">CMTEDD. (2021). </w:t>
      </w:r>
      <w:r w:rsidR="007D5CBD" w:rsidRPr="00A8229A">
        <w:rPr>
          <w:rFonts w:cs="Arial"/>
          <w:i/>
          <w:szCs w:val="18"/>
        </w:rPr>
        <w:t>Independent evaluation of the COVID-19 business support grant and small business hardship scheme: Final report.</w:t>
      </w:r>
      <w:r w:rsidR="00F15297" w:rsidRPr="00A8229A">
        <w:rPr>
          <w:rFonts w:cs="Arial"/>
          <w:i/>
          <w:szCs w:val="18"/>
        </w:rPr>
        <w:t xml:space="preserve"> </w:t>
      </w:r>
      <w:r w:rsidR="00F15297" w:rsidRPr="00A8229A">
        <w:rPr>
          <w:rFonts w:cs="Arial"/>
          <w:szCs w:val="18"/>
        </w:rPr>
        <w:t xml:space="preserve">Retrieved from </w:t>
      </w:r>
      <w:r w:rsidR="006C5DF8" w:rsidRPr="00A8229A">
        <w:rPr>
          <w:rFonts w:cs="Arial"/>
          <w:szCs w:val="18"/>
        </w:rPr>
        <w:t>https://www.cmtedd.act.gov.au/__data/assets/pdf_file/0010/2253979/Independent-Evaluation-of-the-COVID-19-Business-Support-Grant-and-Small-Business-Hardship-Scheme-Final-Report.PDF</w:t>
      </w:r>
      <w:r w:rsidR="002510A9" w:rsidRPr="00A8229A">
        <w:rPr>
          <w:rFonts w:cs="Arial"/>
          <w:szCs w:val="18"/>
        </w:rPr>
        <w:t>.</w:t>
      </w:r>
    </w:p>
  </w:endnote>
  <w:endnote w:id="90">
    <w:p w14:paraId="105990FC" w14:textId="672F3857" w:rsidR="002510A9"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6829F1" w:rsidRPr="00A8229A">
        <w:rPr>
          <w:rFonts w:cs="Arial"/>
          <w:szCs w:val="18"/>
        </w:rPr>
        <w:t>European Commission. (</w:t>
      </w:r>
      <w:r w:rsidR="002B1937" w:rsidRPr="00A8229A">
        <w:rPr>
          <w:rFonts w:cs="Arial"/>
          <w:szCs w:val="18"/>
        </w:rPr>
        <w:t>21</w:t>
      </w:r>
      <w:r w:rsidR="006829F1" w:rsidRPr="00A8229A">
        <w:rPr>
          <w:rFonts w:cs="Arial"/>
          <w:szCs w:val="18"/>
        </w:rPr>
        <w:t xml:space="preserve"> July </w:t>
      </w:r>
      <w:r w:rsidR="002B1937" w:rsidRPr="00A8229A">
        <w:rPr>
          <w:rFonts w:cs="Arial"/>
          <w:szCs w:val="18"/>
        </w:rPr>
        <w:t>2020</w:t>
      </w:r>
      <w:r w:rsidR="006829F1" w:rsidRPr="00A8229A">
        <w:rPr>
          <w:rFonts w:cs="Arial"/>
          <w:i/>
          <w:szCs w:val="18"/>
        </w:rPr>
        <w:t>). Coronavirus: European Commission adopts new state aid framework to support the economy</w:t>
      </w:r>
      <w:r w:rsidR="006829F1" w:rsidRPr="00A8229A">
        <w:rPr>
          <w:rFonts w:cs="Arial"/>
          <w:szCs w:val="18"/>
        </w:rPr>
        <w:t>.</w:t>
      </w:r>
      <w:r w:rsidRPr="00A8229A">
        <w:rPr>
          <w:rFonts w:cs="Arial"/>
          <w:szCs w:val="18"/>
        </w:rPr>
        <w:t xml:space="preserve"> https://ec.europa.eu/commission/presscorner/detail/en/ip_20_665</w:t>
      </w:r>
      <w:r w:rsidR="006829F1" w:rsidRPr="00A8229A">
        <w:rPr>
          <w:rFonts w:cs="Arial"/>
          <w:szCs w:val="18"/>
        </w:rPr>
        <w:t xml:space="preserve">; </w:t>
      </w:r>
    </w:p>
    <w:p w14:paraId="6CC602D6" w14:textId="2BF16B7E" w:rsidR="002F6D6D" w:rsidRPr="00A8229A" w:rsidRDefault="00A21BBE" w:rsidP="006E0D7A">
      <w:pPr>
        <w:pStyle w:val="EndnoteText"/>
        <w:ind w:left="170"/>
        <w:rPr>
          <w:rFonts w:cs="Arial"/>
          <w:szCs w:val="18"/>
        </w:rPr>
      </w:pPr>
      <w:r w:rsidRPr="00A8229A">
        <w:rPr>
          <w:rFonts w:cs="Arial"/>
          <w:szCs w:val="18"/>
        </w:rPr>
        <w:t>Simmons &amp; Simmons. (</w:t>
      </w:r>
      <w:r w:rsidR="002B1937" w:rsidRPr="00A8229A">
        <w:rPr>
          <w:rFonts w:cs="Arial"/>
          <w:szCs w:val="18"/>
        </w:rPr>
        <w:t>30</w:t>
      </w:r>
      <w:r w:rsidRPr="00A8229A">
        <w:rPr>
          <w:rFonts w:cs="Arial"/>
          <w:szCs w:val="18"/>
        </w:rPr>
        <w:t xml:space="preserve"> January </w:t>
      </w:r>
      <w:r w:rsidR="002B1937" w:rsidRPr="00A8229A">
        <w:rPr>
          <w:rFonts w:cs="Arial"/>
          <w:szCs w:val="18"/>
        </w:rPr>
        <w:t>2023</w:t>
      </w:r>
      <w:r w:rsidRPr="00A8229A">
        <w:rPr>
          <w:rFonts w:cs="Arial"/>
          <w:szCs w:val="18"/>
        </w:rPr>
        <w:t xml:space="preserve">). </w:t>
      </w:r>
      <w:r w:rsidR="00F15297" w:rsidRPr="00A8229A">
        <w:rPr>
          <w:rFonts w:cs="Arial"/>
          <w:szCs w:val="18"/>
        </w:rPr>
        <w:t xml:space="preserve">Retrieved from </w:t>
      </w:r>
      <w:r w:rsidRPr="00A8229A">
        <w:rPr>
          <w:rFonts w:cs="Arial"/>
          <w:i/>
          <w:szCs w:val="18"/>
        </w:rPr>
        <w:t>French SME solidarity fund.</w:t>
      </w:r>
      <w:r w:rsidRPr="00A8229A">
        <w:rPr>
          <w:rFonts w:cs="Arial"/>
          <w:szCs w:val="18"/>
        </w:rPr>
        <w:t xml:space="preserve"> https://www.simmons-simmons.com/en/publications/ck9a6ustu13kr0982vumb5w6j/french-sme-solidarity-fund</w:t>
      </w:r>
      <w:r w:rsidR="002510A9" w:rsidRPr="00A8229A">
        <w:rPr>
          <w:rFonts w:cs="Arial"/>
          <w:szCs w:val="18"/>
        </w:rPr>
        <w:t>.</w:t>
      </w:r>
    </w:p>
  </w:endnote>
  <w:endnote w:id="91">
    <w:p w14:paraId="3274C608" w14:textId="2183DAA4" w:rsidR="00600723"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5F1253" w:rsidRPr="00A8229A">
        <w:rPr>
          <w:rFonts w:cs="Arial"/>
          <w:szCs w:val="18"/>
        </w:rPr>
        <w:t xml:space="preserve">Aston Accountants. (n.d.). </w:t>
      </w:r>
      <w:r w:rsidR="005F1253" w:rsidRPr="00A8229A">
        <w:rPr>
          <w:rFonts w:cs="Arial"/>
          <w:i/>
          <w:szCs w:val="18"/>
        </w:rPr>
        <w:t>WA small business grants.</w:t>
      </w:r>
      <w:r w:rsidR="005F1253" w:rsidRPr="00A8229A">
        <w:rPr>
          <w:rFonts w:cs="Arial"/>
          <w:szCs w:val="18"/>
        </w:rPr>
        <w:t xml:space="preserve"> </w:t>
      </w:r>
      <w:r w:rsidR="00F15297" w:rsidRPr="00A8229A">
        <w:rPr>
          <w:rFonts w:cs="Arial"/>
          <w:szCs w:val="18"/>
        </w:rPr>
        <w:t xml:space="preserve">Retrieved from </w:t>
      </w:r>
      <w:r w:rsidR="008351F3" w:rsidRPr="00A8229A">
        <w:rPr>
          <w:rFonts w:cs="Arial"/>
          <w:szCs w:val="18"/>
        </w:rPr>
        <w:t xml:space="preserve">https://www.astonaccountants.com.au/wa-small-business-grants/; </w:t>
      </w:r>
    </w:p>
    <w:p w14:paraId="4D8883DB" w14:textId="77777777" w:rsidR="006A6263" w:rsidRPr="00A8229A" w:rsidRDefault="008351F3" w:rsidP="006E0D7A">
      <w:pPr>
        <w:pStyle w:val="EndnoteText"/>
        <w:ind w:left="170"/>
        <w:rPr>
          <w:rFonts w:cs="Arial"/>
          <w:szCs w:val="18"/>
        </w:rPr>
      </w:pPr>
      <w:r w:rsidRPr="00A8229A">
        <w:rPr>
          <w:rFonts w:cs="Arial"/>
          <w:szCs w:val="18"/>
        </w:rPr>
        <w:t xml:space="preserve">CMTEDD. (2021). </w:t>
      </w:r>
      <w:r w:rsidRPr="00A8229A">
        <w:rPr>
          <w:rFonts w:cs="Arial"/>
          <w:i/>
          <w:szCs w:val="18"/>
        </w:rPr>
        <w:t>Independent evaluation of the COVID-19 business support grant and small business hardship scheme: Final report</w:t>
      </w:r>
      <w:r w:rsidRPr="00A8229A">
        <w:rPr>
          <w:rFonts w:cs="Arial"/>
          <w:szCs w:val="18"/>
        </w:rPr>
        <w:t xml:space="preserve">. </w:t>
      </w:r>
      <w:r w:rsidR="00F15297" w:rsidRPr="00A8229A">
        <w:rPr>
          <w:rFonts w:cs="Arial"/>
          <w:szCs w:val="18"/>
        </w:rPr>
        <w:t xml:space="preserve">Retrieved from </w:t>
      </w:r>
      <w:r w:rsidR="00F2356E" w:rsidRPr="00A8229A">
        <w:rPr>
          <w:rFonts w:cs="Arial"/>
          <w:szCs w:val="18"/>
        </w:rPr>
        <w:t xml:space="preserve">https://www.cmtedd.act.gov.au/__data/assets/pdf_file/0010/2253979/Independent-Evaluation-of-the-COVID-19-Business-Support-Grant-and-Small-Business-Hardship-Scheme-Final-Report.PDF; </w:t>
      </w:r>
    </w:p>
    <w:p w14:paraId="3B1209D3" w14:textId="0307A9CD" w:rsidR="006A6263" w:rsidRPr="00A8229A" w:rsidRDefault="00140230" w:rsidP="006E0D7A">
      <w:pPr>
        <w:pStyle w:val="EndnoteText"/>
        <w:ind w:left="170"/>
        <w:rPr>
          <w:rFonts w:cs="Arial"/>
          <w:szCs w:val="18"/>
        </w:rPr>
      </w:pPr>
      <w:r w:rsidRPr="00A8229A">
        <w:rPr>
          <w:rFonts w:cs="Arial"/>
          <w:szCs w:val="18"/>
        </w:rPr>
        <w:t xml:space="preserve">Queensland Government. </w:t>
      </w:r>
      <w:r w:rsidR="006A6263" w:rsidRPr="00A8229A">
        <w:rPr>
          <w:rFonts w:cs="Arial"/>
          <w:szCs w:val="18"/>
        </w:rPr>
        <w:t>(2021).</w:t>
      </w:r>
      <w:r w:rsidRPr="00A8229A">
        <w:rPr>
          <w:rFonts w:cs="Arial"/>
          <w:szCs w:val="18"/>
        </w:rPr>
        <w:t xml:space="preserve"> </w:t>
      </w:r>
      <w:r w:rsidRPr="00A8229A">
        <w:rPr>
          <w:rFonts w:cs="Arial"/>
          <w:i/>
          <w:szCs w:val="18"/>
        </w:rPr>
        <w:t>COVID-19 business support grant: Amended guidelines for border business zone hardship grants</w:t>
      </w:r>
      <w:r w:rsidRPr="00A8229A">
        <w:rPr>
          <w:rFonts w:cs="Arial"/>
          <w:szCs w:val="18"/>
        </w:rPr>
        <w:t>. https://www.publications.qld.gov.au/ckan-publications-attachments-prod/resources/a682b095-dead-46ff-ae07-da8c33c55911/2021-covid-19-business-support-grant-amended-guidelines-border-business-zone-hardship-grants.pdf?ETag=a7cf1631f8f3dd61d5aea404e0664d3f</w:t>
      </w:r>
      <w:r w:rsidR="006A6263" w:rsidRPr="00A8229A">
        <w:rPr>
          <w:rFonts w:cs="Arial"/>
          <w:szCs w:val="18"/>
        </w:rPr>
        <w:t>.</w:t>
      </w:r>
    </w:p>
    <w:p w14:paraId="0367CA9A" w14:textId="7E5B67CE" w:rsidR="002F6D6D" w:rsidRPr="00A8229A" w:rsidRDefault="006A6263" w:rsidP="006E0D7A">
      <w:pPr>
        <w:pStyle w:val="EndnoteText"/>
        <w:ind w:left="170"/>
        <w:rPr>
          <w:rFonts w:cs="Arial"/>
          <w:szCs w:val="18"/>
        </w:rPr>
      </w:pPr>
      <w:r w:rsidRPr="00A8229A">
        <w:rPr>
          <w:rFonts w:cs="Arial"/>
          <w:szCs w:val="18"/>
        </w:rPr>
        <w:t>South Australian Government. (</w:t>
      </w:r>
      <w:r w:rsidR="002B1937" w:rsidRPr="00A8229A">
        <w:rPr>
          <w:rFonts w:cs="Arial"/>
          <w:szCs w:val="18"/>
        </w:rPr>
        <w:t xml:space="preserve">December </w:t>
      </w:r>
      <w:r w:rsidRPr="00A8229A">
        <w:rPr>
          <w:rFonts w:cs="Arial"/>
          <w:szCs w:val="18"/>
        </w:rPr>
        <w:t xml:space="preserve">2021). </w:t>
      </w:r>
      <w:r w:rsidRPr="00A8229A">
        <w:rPr>
          <w:rFonts w:cs="Arial"/>
          <w:i/>
          <w:iCs/>
          <w:szCs w:val="18"/>
        </w:rPr>
        <w:t>Business hardship grant: Guidelines.</w:t>
      </w:r>
      <w:r w:rsidRPr="00A8229A">
        <w:rPr>
          <w:rFonts w:cs="Arial"/>
          <w:szCs w:val="18"/>
        </w:rPr>
        <w:t xml:space="preserve"> Retrieved from https://www.treasury.sa.gov.au/Growing-South-Australia/COVID-19/december-2021/business-hardship-grant/guidelines.</w:t>
      </w:r>
    </w:p>
  </w:endnote>
  <w:endnote w:id="92">
    <w:p w14:paraId="2532550B" w14:textId="3B694120" w:rsidR="006A6263"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C2447B" w:rsidRPr="00A8229A">
        <w:rPr>
          <w:rFonts w:cs="Arial"/>
          <w:szCs w:val="18"/>
        </w:rPr>
        <w:t>Canada Department of Finance. (</w:t>
      </w:r>
      <w:r w:rsidR="002B1937" w:rsidRPr="00A8229A">
        <w:rPr>
          <w:rFonts w:cs="Arial"/>
          <w:szCs w:val="18"/>
        </w:rPr>
        <w:t>21</w:t>
      </w:r>
      <w:r w:rsidR="00C2447B" w:rsidRPr="00A8229A">
        <w:rPr>
          <w:rFonts w:cs="Arial"/>
          <w:szCs w:val="18"/>
        </w:rPr>
        <w:t xml:space="preserve"> October </w:t>
      </w:r>
      <w:r w:rsidR="002B1937" w:rsidRPr="00A8229A">
        <w:rPr>
          <w:rFonts w:cs="Arial"/>
          <w:szCs w:val="18"/>
        </w:rPr>
        <w:t>2021</w:t>
      </w:r>
      <w:r w:rsidR="00C2447B" w:rsidRPr="00A8229A">
        <w:rPr>
          <w:rFonts w:cs="Arial"/>
          <w:szCs w:val="18"/>
        </w:rPr>
        <w:t xml:space="preserve">). </w:t>
      </w:r>
      <w:r w:rsidR="00C2447B" w:rsidRPr="00A8229A">
        <w:rPr>
          <w:rFonts w:cs="Arial"/>
          <w:i/>
          <w:szCs w:val="18"/>
        </w:rPr>
        <w:t>Targeting COVID-19 support measures</w:t>
      </w:r>
      <w:r w:rsidR="00C2447B" w:rsidRPr="00A8229A">
        <w:rPr>
          <w:rFonts w:cs="Arial"/>
          <w:szCs w:val="18"/>
        </w:rPr>
        <w:t>.</w:t>
      </w:r>
      <w:r w:rsidRPr="00A8229A">
        <w:rPr>
          <w:rFonts w:cs="Arial"/>
          <w:szCs w:val="18"/>
        </w:rPr>
        <w:t xml:space="preserve"> https://www.canada.ca/en/department-finance/news/2021/10/targeting-covid-19-support-measures.html; </w:t>
      </w:r>
    </w:p>
    <w:p w14:paraId="07729E45" w14:textId="1BA59DE7" w:rsidR="006A6263" w:rsidRPr="00A8229A" w:rsidRDefault="006A6263" w:rsidP="006E0D7A">
      <w:pPr>
        <w:pStyle w:val="EndnoteText"/>
        <w:ind w:left="170"/>
        <w:rPr>
          <w:rFonts w:cs="Arial"/>
          <w:szCs w:val="18"/>
        </w:rPr>
      </w:pPr>
      <w:r w:rsidRPr="00A8229A">
        <w:rPr>
          <w:rFonts w:cs="Arial"/>
          <w:szCs w:val="18"/>
        </w:rPr>
        <w:t>European Commission. (</w:t>
      </w:r>
      <w:r w:rsidR="002B1937" w:rsidRPr="00A8229A">
        <w:rPr>
          <w:rFonts w:cs="Arial"/>
          <w:szCs w:val="18"/>
        </w:rPr>
        <w:t>18</w:t>
      </w:r>
      <w:r w:rsidRPr="00A8229A">
        <w:rPr>
          <w:rFonts w:cs="Arial"/>
          <w:szCs w:val="18"/>
        </w:rPr>
        <w:t xml:space="preserve"> March </w:t>
      </w:r>
      <w:r w:rsidR="002B1937" w:rsidRPr="00A8229A">
        <w:rPr>
          <w:rFonts w:cs="Arial"/>
          <w:szCs w:val="18"/>
        </w:rPr>
        <w:t>2021</w:t>
      </w:r>
      <w:r w:rsidRPr="00A8229A">
        <w:rPr>
          <w:rFonts w:cs="Arial"/>
          <w:szCs w:val="18"/>
        </w:rPr>
        <w:t xml:space="preserve">). </w:t>
      </w:r>
      <w:r w:rsidRPr="00A8229A">
        <w:rPr>
          <w:rFonts w:cs="Arial"/>
          <w:i/>
          <w:iCs/>
          <w:szCs w:val="18"/>
        </w:rPr>
        <w:t>State aid: Commission approves €1 billion French scheme to support companies affected by COVID-19</w:t>
      </w:r>
      <w:r w:rsidRPr="00A8229A">
        <w:rPr>
          <w:rFonts w:cs="Arial"/>
          <w:szCs w:val="18"/>
        </w:rPr>
        <w:t>. Retrieved from https://ec.europa.eu/commission/presscorner/detail/en/mex_21_227;</w:t>
      </w:r>
    </w:p>
    <w:p w14:paraId="3FD416FD" w14:textId="32A7BD8E" w:rsidR="002F6D6D" w:rsidRPr="00A8229A" w:rsidRDefault="00C2447B" w:rsidP="006E0D7A">
      <w:pPr>
        <w:pStyle w:val="EndnoteText"/>
        <w:ind w:left="170"/>
        <w:rPr>
          <w:rFonts w:cs="Arial"/>
          <w:szCs w:val="18"/>
        </w:rPr>
      </w:pPr>
      <w:r w:rsidRPr="00A8229A">
        <w:rPr>
          <w:rFonts w:cs="Arial"/>
          <w:szCs w:val="18"/>
        </w:rPr>
        <w:t>UK Government. (August</w:t>
      </w:r>
      <w:r w:rsidR="002B1937" w:rsidRPr="00A8229A">
        <w:rPr>
          <w:rFonts w:cs="Arial"/>
          <w:szCs w:val="18"/>
        </w:rPr>
        <w:t xml:space="preserve"> </w:t>
      </w:r>
      <w:r w:rsidRPr="00A8229A">
        <w:rPr>
          <w:rFonts w:cs="Arial"/>
          <w:szCs w:val="18"/>
        </w:rPr>
        <w:t xml:space="preserve">2022). COVID-19 business grants schemes insights. </w:t>
      </w:r>
      <w:r w:rsidR="00387F02" w:rsidRPr="00A8229A">
        <w:rPr>
          <w:rFonts w:cs="Arial"/>
          <w:szCs w:val="18"/>
        </w:rPr>
        <w:t xml:space="preserve">Retrieved from </w:t>
      </w:r>
      <w:r w:rsidR="002B26E1" w:rsidRPr="00A8229A">
        <w:rPr>
          <w:rFonts w:cs="Arial"/>
          <w:szCs w:val="18"/>
        </w:rPr>
        <w:t>https://www.gov.uk/government/publications/coronavirus-grant-funding-local-authority-payments-to-small-and-medium-businesses/covid-19-business-grants-schemes-insights-august-2022</w:t>
      </w:r>
      <w:r w:rsidR="006A6263" w:rsidRPr="00A8229A">
        <w:rPr>
          <w:rFonts w:cs="Arial"/>
          <w:szCs w:val="18"/>
        </w:rPr>
        <w:t>.</w:t>
      </w:r>
    </w:p>
  </w:endnote>
  <w:endnote w:id="93">
    <w:p w14:paraId="5627B24D" w14:textId="77777777" w:rsidR="0025680B"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C2447B" w:rsidRPr="00A8229A">
        <w:rPr>
          <w:rFonts w:cs="Arial"/>
          <w:szCs w:val="18"/>
        </w:rPr>
        <w:t xml:space="preserve">Queensland Government. (2021). </w:t>
      </w:r>
      <w:r w:rsidR="00C2447B" w:rsidRPr="00A8229A">
        <w:rPr>
          <w:rFonts w:cs="Arial"/>
          <w:i/>
          <w:szCs w:val="18"/>
        </w:rPr>
        <w:t>COVID-19 business support grant: Amended guidelines for border business zone hardship grants.</w:t>
      </w:r>
      <w:r w:rsidRPr="00A8229A">
        <w:rPr>
          <w:rFonts w:cs="Arial"/>
          <w:szCs w:val="18"/>
        </w:rPr>
        <w:t xml:space="preserve"> </w:t>
      </w:r>
      <w:r w:rsidR="00387F02" w:rsidRPr="00A8229A">
        <w:rPr>
          <w:rFonts w:cs="Arial"/>
          <w:szCs w:val="18"/>
        </w:rPr>
        <w:t xml:space="preserve">Retrieved from </w:t>
      </w:r>
      <w:r w:rsidRPr="00A8229A">
        <w:rPr>
          <w:rFonts w:cs="Arial"/>
          <w:szCs w:val="18"/>
        </w:rPr>
        <w:t xml:space="preserve">https://www.publications.qld.gov.au/ckan-publications-attachments-prod/resources/a682b095-dead-46ff-ae07-da8c33c55911/2021-covid-19-business-support-grant-amended-guidelines-border-business-zone-hardship-grants.pdf?ETag=a7cf1631f8f3dd61d5aea404e0664d3f; </w:t>
      </w:r>
    </w:p>
    <w:p w14:paraId="4682C5B8" w14:textId="10F2057C" w:rsidR="002F6D6D" w:rsidRPr="00A8229A" w:rsidRDefault="00C2447B" w:rsidP="006E0D7A">
      <w:pPr>
        <w:pStyle w:val="EndnoteText"/>
        <w:ind w:left="170"/>
        <w:rPr>
          <w:rFonts w:cs="Arial"/>
          <w:szCs w:val="18"/>
        </w:rPr>
      </w:pPr>
      <w:r w:rsidRPr="00A8229A">
        <w:rPr>
          <w:rFonts w:cs="Arial"/>
          <w:szCs w:val="18"/>
        </w:rPr>
        <w:t>Western Australian Government. (</w:t>
      </w:r>
      <w:r w:rsidR="008E4780" w:rsidRPr="00A8229A">
        <w:rPr>
          <w:rFonts w:cs="Arial"/>
          <w:szCs w:val="18"/>
        </w:rPr>
        <w:t>9</w:t>
      </w:r>
      <w:r w:rsidRPr="00A8229A">
        <w:rPr>
          <w:rFonts w:cs="Arial"/>
          <w:szCs w:val="18"/>
        </w:rPr>
        <w:t xml:space="preserve"> June </w:t>
      </w:r>
      <w:r w:rsidR="008E4780" w:rsidRPr="00A8229A">
        <w:rPr>
          <w:rFonts w:cs="Arial"/>
          <w:szCs w:val="18"/>
        </w:rPr>
        <w:t>2023</w:t>
      </w:r>
      <w:r w:rsidRPr="00A8229A">
        <w:rPr>
          <w:rFonts w:cs="Arial"/>
          <w:szCs w:val="18"/>
        </w:rPr>
        <w:t xml:space="preserve">). </w:t>
      </w:r>
      <w:r w:rsidRPr="00A8229A">
        <w:rPr>
          <w:rFonts w:cs="Arial"/>
          <w:i/>
          <w:szCs w:val="18"/>
        </w:rPr>
        <w:t>Top-up payments for COVID-19 grant recipients.</w:t>
      </w:r>
      <w:r w:rsidRPr="00A8229A">
        <w:rPr>
          <w:rFonts w:cs="Arial"/>
          <w:szCs w:val="18"/>
        </w:rPr>
        <w:t xml:space="preserve"> </w:t>
      </w:r>
      <w:r w:rsidR="00387F02" w:rsidRPr="00A8229A">
        <w:rPr>
          <w:rFonts w:cs="Arial"/>
          <w:szCs w:val="18"/>
        </w:rPr>
        <w:t xml:space="preserve">Retrieved from </w:t>
      </w:r>
      <w:r w:rsidR="002F6D6D" w:rsidRPr="00A8229A">
        <w:rPr>
          <w:rFonts w:cs="Arial"/>
          <w:szCs w:val="18"/>
        </w:rPr>
        <w:t>https://www.wa.gov.au/government/media-statements/Cook-Labor-Government/Top-up-payments-for-COVID-19-grant-recipients-20230609</w:t>
      </w:r>
      <w:r w:rsidR="00353692" w:rsidRPr="00A8229A">
        <w:rPr>
          <w:rFonts w:cs="Arial"/>
          <w:szCs w:val="18"/>
        </w:rPr>
        <w:t>.</w:t>
      </w:r>
    </w:p>
  </w:endnote>
  <w:endnote w:id="94">
    <w:p w14:paraId="1CD6F18F" w14:textId="77777777" w:rsidR="0025680B"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840796" w:rsidRPr="00A8229A">
        <w:rPr>
          <w:rFonts w:cs="Arial"/>
          <w:szCs w:val="18"/>
        </w:rPr>
        <w:t xml:space="preserve">NSW Treasury. (2022). </w:t>
      </w:r>
      <w:r w:rsidR="00840796" w:rsidRPr="00A8229A">
        <w:rPr>
          <w:rFonts w:cs="Arial"/>
          <w:i/>
          <w:szCs w:val="18"/>
        </w:rPr>
        <w:t>Economic and outcomes evaluation of 2020 NSW Government COVID-19 small business grants.</w:t>
      </w:r>
      <w:r w:rsidRPr="00A8229A">
        <w:rPr>
          <w:rFonts w:cs="Arial"/>
          <w:szCs w:val="18"/>
        </w:rPr>
        <w:t xml:space="preserve"> </w:t>
      </w:r>
      <w:r w:rsidR="00387F02" w:rsidRPr="00A8229A">
        <w:rPr>
          <w:rFonts w:cs="Arial"/>
          <w:szCs w:val="18"/>
        </w:rPr>
        <w:t xml:space="preserve">Retrieved from </w:t>
      </w:r>
      <w:r w:rsidRPr="00A8229A">
        <w:rPr>
          <w:rFonts w:cs="Arial"/>
          <w:szCs w:val="18"/>
        </w:rPr>
        <w:t xml:space="preserve">https://www.treasury.nsw.gov.au/sites/default/files/2022-12/20221215-economic-and-outcomes-evaluation-of-2020-nsw-government-covid19-small-business-grants.pdf; </w:t>
      </w:r>
    </w:p>
    <w:p w14:paraId="21E80D92" w14:textId="492F0AF3" w:rsidR="002F6D6D" w:rsidRPr="00A8229A" w:rsidRDefault="00840796" w:rsidP="006E0D7A">
      <w:pPr>
        <w:pStyle w:val="EndnoteText"/>
        <w:ind w:left="170"/>
        <w:rPr>
          <w:rFonts w:cs="Arial"/>
          <w:szCs w:val="18"/>
        </w:rPr>
      </w:pPr>
      <w:r w:rsidRPr="00A8229A">
        <w:rPr>
          <w:rFonts w:cs="Arial"/>
          <w:szCs w:val="18"/>
        </w:rPr>
        <w:t>South Australian Government. (December</w:t>
      </w:r>
      <w:r w:rsidR="008E4780" w:rsidRPr="00A8229A">
        <w:rPr>
          <w:rFonts w:cs="Arial"/>
          <w:szCs w:val="18"/>
        </w:rPr>
        <w:t xml:space="preserve"> </w:t>
      </w:r>
      <w:r w:rsidRPr="00A8229A">
        <w:rPr>
          <w:rFonts w:cs="Arial"/>
          <w:szCs w:val="18"/>
        </w:rPr>
        <w:t xml:space="preserve">2021). </w:t>
      </w:r>
      <w:r w:rsidRPr="00A8229A">
        <w:rPr>
          <w:rFonts w:cs="Arial"/>
          <w:i/>
          <w:szCs w:val="18"/>
        </w:rPr>
        <w:t>Business hardship grant: Guidelines</w:t>
      </w:r>
      <w:r w:rsidRPr="00A8229A">
        <w:rPr>
          <w:rFonts w:cs="Arial"/>
          <w:szCs w:val="18"/>
        </w:rPr>
        <w:t xml:space="preserve">. </w:t>
      </w:r>
      <w:r w:rsidR="00387F02" w:rsidRPr="00A8229A">
        <w:rPr>
          <w:rFonts w:cs="Arial"/>
          <w:szCs w:val="18"/>
        </w:rPr>
        <w:t xml:space="preserve">Retrieved from </w:t>
      </w:r>
      <w:r w:rsidR="002F6D6D" w:rsidRPr="00A8229A">
        <w:rPr>
          <w:rFonts w:cs="Arial"/>
          <w:szCs w:val="18"/>
        </w:rPr>
        <w:t>https://www.treasury.sa.gov.au/Growing-South-Australia/COVID-19/december-2021/business-hardship-grant/guidelines</w:t>
      </w:r>
      <w:r w:rsidR="00353692" w:rsidRPr="00A8229A">
        <w:rPr>
          <w:rFonts w:cs="Arial"/>
          <w:szCs w:val="18"/>
        </w:rPr>
        <w:t>.</w:t>
      </w:r>
    </w:p>
  </w:endnote>
  <w:endnote w:id="95">
    <w:p w14:paraId="7851F815" w14:textId="6711B2C4" w:rsidR="0025680B"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840796" w:rsidRPr="00A8229A">
        <w:rPr>
          <w:rFonts w:cs="Arial"/>
          <w:szCs w:val="18"/>
        </w:rPr>
        <w:t>European Commission. (</w:t>
      </w:r>
      <w:r w:rsidR="008E4780" w:rsidRPr="00A8229A">
        <w:rPr>
          <w:rFonts w:cs="Arial"/>
          <w:szCs w:val="18"/>
        </w:rPr>
        <w:t>21</w:t>
      </w:r>
      <w:r w:rsidR="00840796" w:rsidRPr="00A8229A">
        <w:rPr>
          <w:rFonts w:cs="Arial"/>
          <w:szCs w:val="18"/>
        </w:rPr>
        <w:t xml:space="preserve"> July </w:t>
      </w:r>
      <w:r w:rsidR="008E4780" w:rsidRPr="00A8229A">
        <w:rPr>
          <w:rFonts w:cs="Arial"/>
          <w:szCs w:val="18"/>
        </w:rPr>
        <w:t>2020</w:t>
      </w:r>
      <w:r w:rsidR="00840796" w:rsidRPr="00A8229A">
        <w:rPr>
          <w:rFonts w:cs="Arial"/>
          <w:szCs w:val="18"/>
        </w:rPr>
        <w:t>). C</w:t>
      </w:r>
      <w:r w:rsidR="00840796" w:rsidRPr="00A8229A">
        <w:rPr>
          <w:rFonts w:cs="Arial"/>
          <w:i/>
          <w:szCs w:val="18"/>
        </w:rPr>
        <w:t>oronavirus: European Commission adopts new state aid framework to support the economy</w:t>
      </w:r>
      <w:r w:rsidR="00840796" w:rsidRPr="00A8229A">
        <w:rPr>
          <w:rFonts w:cs="Arial"/>
          <w:szCs w:val="18"/>
        </w:rPr>
        <w:t xml:space="preserve">. </w:t>
      </w:r>
      <w:r w:rsidR="00387F02" w:rsidRPr="00A8229A">
        <w:rPr>
          <w:rFonts w:cs="Arial"/>
          <w:szCs w:val="18"/>
        </w:rPr>
        <w:t xml:space="preserve">Retrieved from </w:t>
      </w:r>
      <w:r w:rsidR="00840796" w:rsidRPr="00A8229A">
        <w:rPr>
          <w:rFonts w:cs="Arial"/>
          <w:szCs w:val="18"/>
        </w:rPr>
        <w:t xml:space="preserve">https://ec.europa.eu/commission/presscorner/detail/en/ip_20_665; </w:t>
      </w:r>
    </w:p>
    <w:p w14:paraId="5E5D58D4" w14:textId="16CF0832" w:rsidR="002F6D6D" w:rsidRPr="00A8229A" w:rsidRDefault="00840796" w:rsidP="006E0D7A">
      <w:pPr>
        <w:pStyle w:val="EndnoteText"/>
        <w:ind w:left="170"/>
        <w:rPr>
          <w:rFonts w:cs="Arial"/>
          <w:szCs w:val="18"/>
        </w:rPr>
      </w:pPr>
      <w:r w:rsidRPr="00A8229A">
        <w:rPr>
          <w:rFonts w:cs="Arial"/>
          <w:szCs w:val="18"/>
        </w:rPr>
        <w:t>Simmons &amp; Simmons. (</w:t>
      </w:r>
      <w:r w:rsidR="00532C49" w:rsidRPr="00A8229A">
        <w:rPr>
          <w:rFonts w:cs="Arial"/>
          <w:szCs w:val="18"/>
        </w:rPr>
        <w:t>24 April 2020</w:t>
      </w:r>
      <w:r w:rsidRPr="00A8229A">
        <w:rPr>
          <w:rFonts w:cs="Arial"/>
          <w:szCs w:val="18"/>
        </w:rPr>
        <w:t xml:space="preserve">). </w:t>
      </w:r>
      <w:r w:rsidRPr="00A8229A">
        <w:rPr>
          <w:rFonts w:cs="Arial"/>
          <w:i/>
          <w:szCs w:val="18"/>
        </w:rPr>
        <w:t>French SME solidarity fund</w:t>
      </w:r>
      <w:r w:rsidRPr="00A8229A">
        <w:rPr>
          <w:rFonts w:cs="Arial"/>
          <w:szCs w:val="18"/>
        </w:rPr>
        <w:t>.</w:t>
      </w:r>
      <w:r w:rsidR="002F6D6D" w:rsidRPr="00A8229A">
        <w:rPr>
          <w:rFonts w:cs="Arial"/>
          <w:szCs w:val="18"/>
        </w:rPr>
        <w:t xml:space="preserve"> </w:t>
      </w:r>
      <w:r w:rsidR="005432D2" w:rsidRPr="00A8229A">
        <w:rPr>
          <w:rFonts w:cs="Arial"/>
          <w:szCs w:val="18"/>
        </w:rPr>
        <w:t xml:space="preserve">Retrieved from </w:t>
      </w:r>
      <w:r w:rsidR="002F6D6D" w:rsidRPr="00A8229A">
        <w:rPr>
          <w:rFonts w:cs="Arial"/>
          <w:szCs w:val="18"/>
        </w:rPr>
        <w:t>https://www.simmons-simmons.com/en/publications/ck9a6ustu13kr0982vumb5w6j/french-sme-solidarity-fund</w:t>
      </w:r>
      <w:r w:rsidR="00353692" w:rsidRPr="00A8229A">
        <w:rPr>
          <w:rFonts w:cs="Arial"/>
          <w:szCs w:val="18"/>
        </w:rPr>
        <w:t>.</w:t>
      </w:r>
    </w:p>
  </w:endnote>
  <w:endnote w:id="96">
    <w:p w14:paraId="3E259F19" w14:textId="0E0FBC77" w:rsidR="002F6D6D"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840796" w:rsidRPr="00A8229A">
        <w:rPr>
          <w:rFonts w:cs="Arial"/>
          <w:szCs w:val="18"/>
        </w:rPr>
        <w:t xml:space="preserve">Office of the Auditor General of Ontario. (2021). </w:t>
      </w:r>
      <w:r w:rsidR="00840796" w:rsidRPr="00A8229A">
        <w:rPr>
          <w:rFonts w:cs="Arial"/>
          <w:i/>
          <w:szCs w:val="18"/>
        </w:rPr>
        <w:t>COVID-19: Economic response</w:t>
      </w:r>
      <w:r w:rsidR="005432D2" w:rsidRPr="00A8229A">
        <w:rPr>
          <w:rFonts w:cs="Arial"/>
          <w:szCs w:val="18"/>
        </w:rPr>
        <w:t>.</w:t>
      </w:r>
      <w:r w:rsidR="00840796" w:rsidRPr="00A8229A">
        <w:rPr>
          <w:rFonts w:cs="Arial"/>
          <w:szCs w:val="18"/>
        </w:rPr>
        <w:t xml:space="preserve"> </w:t>
      </w:r>
      <w:r w:rsidR="002A3887" w:rsidRPr="00A8229A">
        <w:rPr>
          <w:rFonts w:cs="Arial"/>
          <w:szCs w:val="18"/>
        </w:rPr>
        <w:t>Retrieved from</w:t>
      </w:r>
      <w:r w:rsidRPr="00A8229A">
        <w:rPr>
          <w:rFonts w:cs="Arial"/>
          <w:szCs w:val="18"/>
        </w:rPr>
        <w:t xml:space="preserve"> https://www.auditor.on.ca/en/content/annualreports/arreports/en21/AR_COV-Economic_en21.pdf</w:t>
      </w:r>
      <w:r w:rsidR="00353692" w:rsidRPr="00A8229A">
        <w:rPr>
          <w:rFonts w:cs="Arial"/>
          <w:szCs w:val="18"/>
        </w:rPr>
        <w:t>.</w:t>
      </w:r>
    </w:p>
  </w:endnote>
  <w:endnote w:id="97">
    <w:p w14:paraId="44555301" w14:textId="571C368E" w:rsidR="002F6D6D"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840796" w:rsidRPr="00A8229A">
        <w:rPr>
          <w:rFonts w:cs="Arial"/>
          <w:szCs w:val="18"/>
        </w:rPr>
        <w:t xml:space="preserve">NSW Treasury. (2022). </w:t>
      </w:r>
      <w:r w:rsidR="00840796" w:rsidRPr="00A8229A">
        <w:rPr>
          <w:rFonts w:cs="Arial"/>
          <w:i/>
          <w:szCs w:val="18"/>
        </w:rPr>
        <w:t>Economic and outcomes evaluation of 2020 NSW Government COVID-19 small business grants</w:t>
      </w:r>
      <w:r w:rsidR="00840796" w:rsidRPr="00A8229A">
        <w:rPr>
          <w:rFonts w:cs="Arial"/>
          <w:szCs w:val="18"/>
        </w:rPr>
        <w:t>.</w:t>
      </w:r>
      <w:r w:rsidRPr="00A8229A">
        <w:rPr>
          <w:rFonts w:cs="Arial"/>
          <w:szCs w:val="18"/>
        </w:rPr>
        <w:t xml:space="preserve"> </w:t>
      </w:r>
      <w:r w:rsidR="002A3887" w:rsidRPr="00A8229A">
        <w:rPr>
          <w:rFonts w:cs="Arial"/>
          <w:szCs w:val="18"/>
        </w:rPr>
        <w:t xml:space="preserve">Retrieved from </w:t>
      </w:r>
      <w:r w:rsidRPr="00A8229A">
        <w:rPr>
          <w:rFonts w:cs="Arial"/>
          <w:szCs w:val="18"/>
        </w:rPr>
        <w:t>https://www.treasury.nsw.gov.au/sites/default/files/2022-12/20221215-economic-and-outcomes-evaluation-of-2020-nsw-government-covid19-small-business-grants.pdf</w:t>
      </w:r>
      <w:r w:rsidR="00353692" w:rsidRPr="00A8229A">
        <w:rPr>
          <w:rFonts w:cs="Arial"/>
          <w:szCs w:val="18"/>
        </w:rPr>
        <w:t>.</w:t>
      </w:r>
    </w:p>
  </w:endnote>
  <w:endnote w:id="98">
    <w:p w14:paraId="185E2DCC" w14:textId="7AD29C4A" w:rsidR="002F6D6D"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840796" w:rsidRPr="00A8229A">
        <w:rPr>
          <w:rFonts w:cs="Arial"/>
          <w:szCs w:val="18"/>
        </w:rPr>
        <w:t xml:space="preserve">Queensland Government. (2021). </w:t>
      </w:r>
      <w:r w:rsidR="00840796" w:rsidRPr="00A8229A">
        <w:rPr>
          <w:rFonts w:cs="Arial"/>
          <w:i/>
          <w:szCs w:val="18"/>
        </w:rPr>
        <w:t>COVID-19 business support grant: Amended guidelines for border business zone hardship grants.</w:t>
      </w:r>
      <w:r w:rsidRPr="00A8229A">
        <w:rPr>
          <w:rFonts w:cs="Arial"/>
          <w:szCs w:val="18"/>
        </w:rPr>
        <w:t xml:space="preserve"> </w:t>
      </w:r>
      <w:r w:rsidR="002A3887" w:rsidRPr="00A8229A">
        <w:rPr>
          <w:rFonts w:cs="Arial"/>
          <w:szCs w:val="18"/>
        </w:rPr>
        <w:t xml:space="preserve">Retrieved from </w:t>
      </w:r>
      <w:r w:rsidRPr="00A8229A">
        <w:rPr>
          <w:rFonts w:cs="Arial"/>
          <w:szCs w:val="18"/>
        </w:rPr>
        <w:t>https://www.publications.qld.gov.au/ckan-publications-attachments-prod/resources/a682b095-dead-46ff-ae07-da8c33c55911/2021-covid-19-business-support-grant-amended-guidelines-border-business-zone-hardship-grants.pdf?ETag=a7cf1631f8f3dd61d5aea404e0664d3f</w:t>
      </w:r>
      <w:r w:rsidR="00353692" w:rsidRPr="00A8229A">
        <w:rPr>
          <w:rFonts w:cs="Arial"/>
          <w:szCs w:val="18"/>
        </w:rPr>
        <w:t>.</w:t>
      </w:r>
    </w:p>
  </w:endnote>
  <w:endnote w:id="99">
    <w:p w14:paraId="4680D3E0" w14:textId="735815A6" w:rsidR="0025680B" w:rsidRPr="00A8229A" w:rsidRDefault="002F6D6D" w:rsidP="006E0D7A">
      <w:pPr>
        <w:pStyle w:val="EndnoteText"/>
        <w:ind w:left="170" w:hanging="170"/>
        <w:rPr>
          <w:rFonts w:cs="Arial"/>
          <w:szCs w:val="18"/>
        </w:rPr>
      </w:pPr>
      <w:r w:rsidRPr="00A8229A">
        <w:rPr>
          <w:rStyle w:val="EndnoteReference"/>
          <w:rFonts w:cs="Arial"/>
          <w:szCs w:val="18"/>
        </w:rPr>
        <w:endnoteRef/>
      </w:r>
      <w:r w:rsidR="00840796" w:rsidRPr="00A8229A">
        <w:rPr>
          <w:rFonts w:cs="Arial"/>
          <w:szCs w:val="18"/>
        </w:rPr>
        <w:t xml:space="preserve"> </w:t>
      </w:r>
      <w:r w:rsidR="0025680B" w:rsidRPr="00A8229A">
        <w:rPr>
          <w:rFonts w:cs="Arial"/>
          <w:szCs w:val="18"/>
        </w:rPr>
        <w:t>European Commission. (2020, July 21). Coronavirus: European Commission adopts new state aid framework to support the economy. Retrieved from https://ec.europa.eu/commission/presscorner/detail/en/ip_20_66;</w:t>
      </w:r>
    </w:p>
    <w:p w14:paraId="678D91E1" w14:textId="77777777" w:rsidR="0025680B" w:rsidRPr="00A8229A" w:rsidRDefault="00840796" w:rsidP="006E0D7A">
      <w:pPr>
        <w:pStyle w:val="EndnoteText"/>
        <w:ind w:left="170"/>
        <w:rPr>
          <w:rFonts w:cs="Arial"/>
          <w:szCs w:val="18"/>
        </w:rPr>
      </w:pPr>
      <w:r w:rsidRPr="00A8229A">
        <w:rPr>
          <w:rFonts w:cs="Arial"/>
          <w:szCs w:val="18"/>
        </w:rPr>
        <w:t xml:space="preserve">Office of the Auditor General of Ontario. (2021). </w:t>
      </w:r>
      <w:r w:rsidRPr="00A8229A">
        <w:rPr>
          <w:rFonts w:cs="Arial"/>
          <w:i/>
          <w:iCs/>
          <w:szCs w:val="18"/>
        </w:rPr>
        <w:t>COVID-19: Economic response</w:t>
      </w:r>
      <w:r w:rsidRPr="00A8229A">
        <w:rPr>
          <w:rFonts w:cs="Arial"/>
          <w:szCs w:val="18"/>
        </w:rPr>
        <w:t xml:space="preserve"> [Report]. </w:t>
      </w:r>
      <w:r w:rsidR="00C2447B" w:rsidRPr="00A8229A">
        <w:rPr>
          <w:rFonts w:cs="Arial"/>
          <w:szCs w:val="18"/>
        </w:rPr>
        <w:t>https://www.auditor.on.ca/en/content/annualreports/arreports/en21/AR_COV-Economic_en21.pdf</w:t>
      </w:r>
      <w:r w:rsidRPr="00A8229A">
        <w:rPr>
          <w:rFonts w:cs="Arial"/>
          <w:szCs w:val="18"/>
        </w:rPr>
        <w:t>;</w:t>
      </w:r>
      <w:r w:rsidR="00C2447B" w:rsidRPr="00A8229A">
        <w:rPr>
          <w:rFonts w:cs="Arial"/>
          <w:szCs w:val="18"/>
        </w:rPr>
        <w:t xml:space="preserve"> </w:t>
      </w:r>
    </w:p>
    <w:p w14:paraId="700FBC2E" w14:textId="223B9560" w:rsidR="002F6D6D" w:rsidRPr="00A8229A" w:rsidRDefault="00840796" w:rsidP="00893EB3">
      <w:pPr>
        <w:pStyle w:val="EndnoteText"/>
        <w:ind w:left="170"/>
        <w:rPr>
          <w:rFonts w:cs="Arial"/>
          <w:szCs w:val="18"/>
        </w:rPr>
      </w:pPr>
      <w:r w:rsidRPr="00A8229A">
        <w:rPr>
          <w:rFonts w:cs="Arial"/>
          <w:szCs w:val="18"/>
        </w:rPr>
        <w:t xml:space="preserve">UK Government. </w:t>
      </w:r>
      <w:r w:rsidR="0025680B" w:rsidRPr="00A8229A">
        <w:rPr>
          <w:rFonts w:cs="Arial"/>
          <w:szCs w:val="18"/>
        </w:rPr>
        <w:t>(</w:t>
      </w:r>
      <w:r w:rsidRPr="00A8229A">
        <w:rPr>
          <w:rFonts w:cs="Arial"/>
          <w:szCs w:val="18"/>
        </w:rPr>
        <w:t>August</w:t>
      </w:r>
      <w:r w:rsidR="008E4780" w:rsidRPr="00A8229A">
        <w:rPr>
          <w:rFonts w:cs="Arial"/>
          <w:szCs w:val="18"/>
        </w:rPr>
        <w:t xml:space="preserve"> </w:t>
      </w:r>
      <w:r w:rsidR="0025680B" w:rsidRPr="00A8229A">
        <w:rPr>
          <w:rFonts w:cs="Arial"/>
          <w:szCs w:val="18"/>
        </w:rPr>
        <w:t>202</w:t>
      </w:r>
      <w:r w:rsidR="008E4780" w:rsidRPr="00A8229A">
        <w:rPr>
          <w:rFonts w:cs="Arial"/>
          <w:szCs w:val="18"/>
        </w:rPr>
        <w:t>1</w:t>
      </w:r>
      <w:r w:rsidRPr="00A8229A">
        <w:rPr>
          <w:rFonts w:cs="Arial"/>
          <w:szCs w:val="18"/>
        </w:rPr>
        <w:t xml:space="preserve">). </w:t>
      </w:r>
      <w:r w:rsidRPr="00A8229A">
        <w:rPr>
          <w:rFonts w:cs="Arial"/>
          <w:i/>
          <w:szCs w:val="18"/>
        </w:rPr>
        <w:t>COVID-19 business grants schemes insights</w:t>
      </w:r>
      <w:r w:rsidRPr="00A8229A">
        <w:rPr>
          <w:rFonts w:cs="Arial"/>
          <w:szCs w:val="18"/>
        </w:rPr>
        <w:t xml:space="preserve">. </w:t>
      </w:r>
      <w:r w:rsidR="002A3887" w:rsidRPr="00A8229A">
        <w:rPr>
          <w:rFonts w:cs="Arial"/>
          <w:szCs w:val="18"/>
        </w:rPr>
        <w:t xml:space="preserve">Retrieved from </w:t>
      </w:r>
      <w:r w:rsidRPr="00A8229A">
        <w:rPr>
          <w:rFonts w:cs="Arial"/>
          <w:szCs w:val="18"/>
        </w:rPr>
        <w:t>https://www.gov.uk/government/publications/coronavirus-grant-funding-local-authority-payments-to-small-and-medium-businesses/covid-19-business-grants-schemes-insights-august-2022</w:t>
      </w:r>
      <w:r w:rsidR="0025680B" w:rsidRPr="00A8229A">
        <w:rPr>
          <w:rFonts w:cs="Arial"/>
          <w:szCs w:val="18"/>
        </w:rPr>
        <w:t>.</w:t>
      </w:r>
    </w:p>
  </w:endnote>
  <w:endnote w:id="100">
    <w:p w14:paraId="26B31F15" w14:textId="636193BF" w:rsidR="002F6D6D" w:rsidRPr="00A8229A" w:rsidRDefault="002F6D6D"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840796" w:rsidRPr="00A8229A">
        <w:rPr>
          <w:rFonts w:cs="Arial"/>
          <w:szCs w:val="18"/>
        </w:rPr>
        <w:t xml:space="preserve">Treasury SA. (n.d.). </w:t>
      </w:r>
      <w:r w:rsidR="00840796" w:rsidRPr="00A8229A">
        <w:rPr>
          <w:rFonts w:cs="Arial"/>
          <w:i/>
          <w:szCs w:val="18"/>
        </w:rPr>
        <w:t>COVID-19 support fund.</w:t>
      </w:r>
      <w:r w:rsidR="00840796" w:rsidRPr="00A8229A">
        <w:rPr>
          <w:rFonts w:cs="Arial"/>
          <w:szCs w:val="18"/>
        </w:rPr>
        <w:t xml:space="preserve"> South Australian Government.</w:t>
      </w:r>
      <w:r w:rsidRPr="00A8229A">
        <w:rPr>
          <w:rFonts w:cs="Arial"/>
          <w:szCs w:val="18"/>
        </w:rPr>
        <w:t xml:space="preserve"> </w:t>
      </w:r>
      <w:r w:rsidR="002A3887" w:rsidRPr="00A8229A">
        <w:rPr>
          <w:rFonts w:cs="Arial"/>
          <w:szCs w:val="18"/>
        </w:rPr>
        <w:t xml:space="preserve">Retrieved from </w:t>
      </w:r>
      <w:r w:rsidRPr="00A8229A">
        <w:rPr>
          <w:rFonts w:cs="Arial"/>
          <w:szCs w:val="18"/>
        </w:rPr>
        <w:t>https://www.treasury.sa.gov.au/Growing-South-Australia/COVID-19/COVID-19-Support-Fund</w:t>
      </w:r>
      <w:r w:rsidR="00353692" w:rsidRPr="00A8229A">
        <w:rPr>
          <w:rFonts w:cs="Arial"/>
          <w:szCs w:val="18"/>
        </w:rPr>
        <w:t>.</w:t>
      </w:r>
    </w:p>
  </w:endnote>
  <w:endnote w:id="101">
    <w:p w14:paraId="7BB5977E" w14:textId="72ADA650" w:rsidR="005809CC" w:rsidRPr="00A8229A" w:rsidRDefault="005809CC"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840796" w:rsidRPr="00A8229A">
        <w:rPr>
          <w:rFonts w:cs="Arial"/>
          <w:szCs w:val="18"/>
        </w:rPr>
        <w:t>NSW Treasury. (2022).</w:t>
      </w:r>
      <w:r w:rsidR="00840796" w:rsidRPr="00A8229A">
        <w:rPr>
          <w:rFonts w:cs="Arial"/>
          <w:i/>
          <w:szCs w:val="18"/>
        </w:rPr>
        <w:t xml:space="preserve"> Economic and outcomes evaluation of 2020 NSW Government COVID-19 small business grants</w:t>
      </w:r>
      <w:r w:rsidR="00840796" w:rsidRPr="00A8229A">
        <w:rPr>
          <w:rFonts w:cs="Arial"/>
          <w:szCs w:val="18"/>
        </w:rPr>
        <w:t xml:space="preserve">. </w:t>
      </w:r>
      <w:r w:rsidR="002A3887" w:rsidRPr="00A8229A">
        <w:rPr>
          <w:rFonts w:cs="Arial"/>
          <w:szCs w:val="18"/>
        </w:rPr>
        <w:t xml:space="preserve">Retrieved from </w:t>
      </w:r>
      <w:r w:rsidRPr="00A8229A">
        <w:rPr>
          <w:rFonts w:cs="Arial"/>
          <w:szCs w:val="18"/>
        </w:rPr>
        <w:t>https://www.treasury.nsw.gov.au/sites/default/files/2022-12/20221215-economic-and-outcomes-evaluation-of-2020-nsw-government-covid19-small-business-grants.pdf</w:t>
      </w:r>
      <w:r w:rsidR="00353692" w:rsidRPr="00A8229A">
        <w:rPr>
          <w:rFonts w:cs="Arial"/>
          <w:szCs w:val="18"/>
        </w:rPr>
        <w:t>.</w:t>
      </w:r>
    </w:p>
  </w:endnote>
  <w:endnote w:id="102">
    <w:p w14:paraId="0081C5AC" w14:textId="6C5333A5" w:rsidR="005809CC" w:rsidRPr="00A8229A" w:rsidRDefault="005809CC"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840796" w:rsidRPr="00A8229A">
        <w:rPr>
          <w:rFonts w:cs="Arial"/>
          <w:szCs w:val="18"/>
        </w:rPr>
        <w:t>NSW Treasury. (2022</w:t>
      </w:r>
      <w:r w:rsidR="00840796" w:rsidRPr="00A8229A">
        <w:rPr>
          <w:rFonts w:cs="Arial"/>
          <w:i/>
          <w:szCs w:val="18"/>
        </w:rPr>
        <w:t>). Economic and outcomes evaluation of 2020 NSW Government COVID-19 small business grants</w:t>
      </w:r>
      <w:r w:rsidR="00840796" w:rsidRPr="00A8229A">
        <w:rPr>
          <w:rFonts w:cs="Arial"/>
          <w:szCs w:val="18"/>
        </w:rPr>
        <w:t xml:space="preserve">. </w:t>
      </w:r>
      <w:r w:rsidR="002A3887" w:rsidRPr="00A8229A">
        <w:rPr>
          <w:rFonts w:cs="Arial"/>
          <w:szCs w:val="18"/>
        </w:rPr>
        <w:t xml:space="preserve">Retrieved from </w:t>
      </w:r>
      <w:r w:rsidRPr="00A8229A">
        <w:rPr>
          <w:rFonts w:cs="Arial"/>
          <w:szCs w:val="18"/>
        </w:rPr>
        <w:t>https://www.treasury.nsw.gov.au/sites/default/files/2022-12/20221215-economic-and-outcomes-evaluation-of-2020-nsw-government-covid19-small-business-grants.pdf</w:t>
      </w:r>
      <w:r w:rsidR="00353692" w:rsidRPr="00A8229A">
        <w:rPr>
          <w:rFonts w:cs="Arial"/>
          <w:szCs w:val="18"/>
        </w:rPr>
        <w:t>.</w:t>
      </w:r>
    </w:p>
  </w:endnote>
  <w:endnote w:id="103">
    <w:p w14:paraId="0D890592" w14:textId="3767115D" w:rsidR="005809CC" w:rsidRPr="00A8229A" w:rsidRDefault="005809CC"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B1414E" w:rsidRPr="00A8229A">
        <w:rPr>
          <w:rFonts w:cs="Arial"/>
          <w:szCs w:val="18"/>
        </w:rPr>
        <w:t xml:space="preserve">Chief Minister, Treasury and Economic Development Directorate [CMTEDD]. (2021). </w:t>
      </w:r>
      <w:r w:rsidR="00B1414E" w:rsidRPr="00A8229A">
        <w:rPr>
          <w:rFonts w:cs="Arial"/>
          <w:i/>
          <w:szCs w:val="18"/>
        </w:rPr>
        <w:t xml:space="preserve">Independent evaluation of the COVID-19 business support grant and small business hardship scheme: Final report. </w:t>
      </w:r>
      <w:r w:rsidR="002A3887" w:rsidRPr="00A8229A">
        <w:rPr>
          <w:rFonts w:cs="Arial"/>
          <w:szCs w:val="18"/>
        </w:rPr>
        <w:t xml:space="preserve">Retrieved from </w:t>
      </w:r>
      <w:r w:rsidR="00B1414E" w:rsidRPr="00A8229A">
        <w:rPr>
          <w:rFonts w:cs="Arial"/>
          <w:szCs w:val="18"/>
        </w:rPr>
        <w:t>https://www.cmtedd.act.gov.au/__data/assets/pdf_file/0010/2253979/Independent-Evaluation-of-the-COVID-19-Business-Support-Grant-and-Small-Business-Hardship-Scheme-Final-Report.PDF</w:t>
      </w:r>
      <w:r w:rsidR="00353692" w:rsidRPr="00A8229A">
        <w:rPr>
          <w:rFonts w:cs="Arial"/>
          <w:szCs w:val="18"/>
        </w:rPr>
        <w:t>.</w:t>
      </w:r>
    </w:p>
  </w:endnote>
  <w:endnote w:id="104">
    <w:p w14:paraId="5CA75A5A" w14:textId="141846DB" w:rsidR="005809CC" w:rsidRPr="00A8229A" w:rsidRDefault="005809CC"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B1414E" w:rsidRPr="00A8229A">
        <w:rPr>
          <w:rFonts w:cs="Arial"/>
          <w:szCs w:val="18"/>
        </w:rPr>
        <w:t xml:space="preserve">Statistics Canada. (2022). </w:t>
      </w:r>
      <w:r w:rsidR="00B1414E" w:rsidRPr="00A8229A">
        <w:rPr>
          <w:rFonts w:cs="Arial"/>
          <w:i/>
          <w:szCs w:val="18"/>
        </w:rPr>
        <w:t>The impact of COVID-19 on small businesses in Canada</w:t>
      </w:r>
      <w:r w:rsidR="00B1414E" w:rsidRPr="00A8229A">
        <w:rPr>
          <w:rFonts w:cs="Arial"/>
          <w:szCs w:val="18"/>
        </w:rPr>
        <w:t xml:space="preserve">. </w:t>
      </w:r>
      <w:r w:rsidR="002A3887" w:rsidRPr="00A8229A">
        <w:rPr>
          <w:rFonts w:cs="Arial"/>
          <w:szCs w:val="18"/>
        </w:rPr>
        <w:t>Retrieved from</w:t>
      </w:r>
      <w:r w:rsidR="00B1414E" w:rsidRPr="00A8229A">
        <w:rPr>
          <w:rFonts w:cs="Arial"/>
          <w:szCs w:val="18"/>
        </w:rPr>
        <w:t xml:space="preserve"> https://www150.statcan.gc.ca/n1/pub/36-28-0001/2022002/article/00006-eng.htm</w:t>
      </w:r>
      <w:r w:rsidR="00353692" w:rsidRPr="00A8229A">
        <w:rPr>
          <w:rFonts w:cs="Arial"/>
          <w:szCs w:val="18"/>
        </w:rPr>
        <w:t>.</w:t>
      </w:r>
    </w:p>
  </w:endnote>
  <w:endnote w:id="105">
    <w:p w14:paraId="1B420966" w14:textId="66E994FC" w:rsidR="005809CC" w:rsidRPr="00A8229A" w:rsidRDefault="005809CC"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Reserve Bank of Australia</w:t>
      </w:r>
      <w:r w:rsidR="00B1414E" w:rsidRPr="00A8229A">
        <w:rPr>
          <w:rFonts w:cs="Arial"/>
          <w:szCs w:val="18"/>
        </w:rPr>
        <w:t>.</w:t>
      </w:r>
      <w:r w:rsidRPr="00A8229A">
        <w:rPr>
          <w:rFonts w:cs="Arial"/>
          <w:szCs w:val="18"/>
        </w:rPr>
        <w:t xml:space="preserve"> (2020). </w:t>
      </w:r>
      <w:r w:rsidR="00B1414E" w:rsidRPr="00A8229A">
        <w:rPr>
          <w:rFonts w:cs="Arial"/>
          <w:i/>
          <w:szCs w:val="18"/>
        </w:rPr>
        <w:t>The economic effects of JobKeeper payments</w:t>
      </w:r>
      <w:r w:rsidR="00B1414E" w:rsidRPr="00A8229A">
        <w:rPr>
          <w:rFonts w:cs="Arial"/>
          <w:szCs w:val="18"/>
        </w:rPr>
        <w:t xml:space="preserve">. </w:t>
      </w:r>
      <w:r w:rsidR="002A3887" w:rsidRPr="00A8229A">
        <w:rPr>
          <w:rFonts w:cs="Arial"/>
          <w:szCs w:val="18"/>
        </w:rPr>
        <w:t xml:space="preserve">Retrieved from </w:t>
      </w:r>
      <w:r w:rsidR="00B1414E" w:rsidRPr="00A8229A">
        <w:rPr>
          <w:rFonts w:cs="Arial"/>
          <w:szCs w:val="18"/>
        </w:rPr>
        <w:t>https://www.rba.gov.au/publications/analysis/2020/jobkeeper-payments.html</w:t>
      </w:r>
      <w:r w:rsidR="00353692" w:rsidRPr="00A8229A">
        <w:rPr>
          <w:rFonts w:cs="Arial"/>
          <w:szCs w:val="18"/>
        </w:rPr>
        <w:t>.</w:t>
      </w:r>
    </w:p>
  </w:endnote>
  <w:endnote w:id="106">
    <w:p w14:paraId="1AE64D1F" w14:textId="77777777" w:rsidR="00EC6613" w:rsidRPr="00A8229A" w:rsidRDefault="005809CC"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B1414E" w:rsidRPr="00A8229A">
        <w:rPr>
          <w:rFonts w:cs="Arial"/>
          <w:szCs w:val="18"/>
        </w:rPr>
        <w:t xml:space="preserve">Ministry of Social Development. (2023). </w:t>
      </w:r>
      <w:r w:rsidR="00B1414E" w:rsidRPr="00A8229A">
        <w:rPr>
          <w:rFonts w:cs="Arial"/>
          <w:i/>
          <w:szCs w:val="18"/>
        </w:rPr>
        <w:t>COVID-19 wage subsidy synthesis final report</w:t>
      </w:r>
      <w:r w:rsidR="00B1414E" w:rsidRPr="00A8229A">
        <w:rPr>
          <w:rFonts w:cs="Arial"/>
          <w:szCs w:val="18"/>
        </w:rPr>
        <w:t xml:space="preserve"> (March 2023). Retrieved from https://www.msd.govt.nz/documents/about-msd-and-our-work/publications-resources/statistics/covid-19/wage-subsidy-evaluation-reports/covid19-wage-subsidy-synthesis-final-report-march-2023.pdf: </w:t>
      </w:r>
    </w:p>
    <w:p w14:paraId="6FD764B0" w14:textId="40D2629C" w:rsidR="00EC6613" w:rsidRPr="00A8229A" w:rsidRDefault="00B1414E" w:rsidP="00893EB3">
      <w:pPr>
        <w:pStyle w:val="EndnoteText"/>
        <w:ind w:left="170"/>
        <w:rPr>
          <w:rFonts w:cs="Arial"/>
          <w:szCs w:val="18"/>
        </w:rPr>
      </w:pPr>
      <w:r w:rsidRPr="00A8229A">
        <w:rPr>
          <w:rFonts w:cs="Arial"/>
          <w:szCs w:val="18"/>
        </w:rPr>
        <w:t xml:space="preserve">Ministry of Social Development. (n.d.). </w:t>
      </w:r>
      <w:r w:rsidRPr="00A8229A">
        <w:rPr>
          <w:rFonts w:cs="Arial"/>
          <w:i/>
          <w:szCs w:val="18"/>
        </w:rPr>
        <w:t>Wage subsidy scheme outcomes evaluation</w:t>
      </w:r>
      <w:r w:rsidRPr="00A8229A">
        <w:rPr>
          <w:rFonts w:cs="Arial"/>
          <w:szCs w:val="18"/>
        </w:rPr>
        <w:t>. Retrieved from https://www.msd.govt.nz/documents/about-msd-and-our-work/publications-resources/statistics/covid-19/wage-subsidy-evaluation-reports/wage-subsidy-scheme-outcomes-evaluation.pdf;</w:t>
      </w:r>
    </w:p>
    <w:p w14:paraId="4F6F4FFE" w14:textId="3A0513DA" w:rsidR="005809CC" w:rsidRPr="00A8229A" w:rsidRDefault="00B1414E" w:rsidP="006E0D7A">
      <w:pPr>
        <w:pStyle w:val="EndnoteText"/>
        <w:ind w:left="170"/>
        <w:rPr>
          <w:rFonts w:cs="Arial"/>
          <w:szCs w:val="18"/>
        </w:rPr>
      </w:pPr>
      <w:r w:rsidRPr="00A8229A">
        <w:rPr>
          <w:rFonts w:cs="Arial"/>
          <w:szCs w:val="18"/>
        </w:rPr>
        <w:t xml:space="preserve">Ministry of Social Development. (n.d.). </w:t>
      </w:r>
      <w:r w:rsidRPr="00A8229A">
        <w:rPr>
          <w:rFonts w:cs="Arial"/>
          <w:i/>
          <w:szCs w:val="18"/>
        </w:rPr>
        <w:t>Wage subsidy scheme evaluations</w:t>
      </w:r>
      <w:r w:rsidRPr="00A8229A">
        <w:rPr>
          <w:rFonts w:cs="Arial"/>
          <w:szCs w:val="18"/>
        </w:rPr>
        <w:t>. Retrieved from https://www.msd.govt.nz/about-msd-and-our-work/publications-resources/statistics/covid-19/wage-subsidy-scheme-evaluations.html</w:t>
      </w:r>
      <w:r w:rsidR="00353692" w:rsidRPr="00A8229A">
        <w:rPr>
          <w:rFonts w:cs="Arial"/>
          <w:szCs w:val="18"/>
        </w:rPr>
        <w:t>.</w:t>
      </w:r>
    </w:p>
  </w:endnote>
  <w:endnote w:id="107">
    <w:p w14:paraId="7C5C971D" w14:textId="02DECCB4" w:rsidR="005809CC" w:rsidRPr="00A8229A" w:rsidRDefault="005809CC"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D81AEA" w:rsidRPr="00A8229A">
        <w:rPr>
          <w:rFonts w:cs="Arial"/>
          <w:szCs w:val="18"/>
        </w:rPr>
        <w:t>UK Government. (</w:t>
      </w:r>
      <w:r w:rsidR="008E4780" w:rsidRPr="00A8229A">
        <w:rPr>
          <w:rFonts w:cs="Arial"/>
          <w:szCs w:val="18"/>
        </w:rPr>
        <w:t>1</w:t>
      </w:r>
      <w:r w:rsidR="00D81AEA" w:rsidRPr="00A8229A">
        <w:rPr>
          <w:rFonts w:cs="Arial"/>
          <w:szCs w:val="18"/>
        </w:rPr>
        <w:t xml:space="preserve"> July 2021). </w:t>
      </w:r>
      <w:r w:rsidR="00D81AEA" w:rsidRPr="00A8229A">
        <w:rPr>
          <w:rFonts w:cs="Arial"/>
          <w:i/>
          <w:szCs w:val="18"/>
        </w:rPr>
        <w:t>The Coronavirus Job Retention Scheme: Final evaluation</w:t>
      </w:r>
      <w:r w:rsidR="00D81AEA" w:rsidRPr="00A8229A">
        <w:rPr>
          <w:rFonts w:cs="Arial"/>
          <w:szCs w:val="18"/>
        </w:rPr>
        <w:t xml:space="preserve">. </w:t>
      </w:r>
      <w:r w:rsidR="00B1414E" w:rsidRPr="00A8229A">
        <w:rPr>
          <w:rFonts w:cs="Arial"/>
          <w:szCs w:val="18"/>
        </w:rPr>
        <w:t>https://www.gov.uk/government/publications/the-coronavirus-job-retention-scheme-final-evaluation/the-coronavirus-job-retention-scheme-final-evaluation#executive-summary</w:t>
      </w:r>
      <w:r w:rsidR="00353692" w:rsidRPr="00A8229A">
        <w:rPr>
          <w:rFonts w:cs="Arial"/>
          <w:szCs w:val="18"/>
        </w:rPr>
        <w:t>.</w:t>
      </w:r>
    </w:p>
  </w:endnote>
  <w:endnote w:id="108">
    <w:p w14:paraId="071E3D8F" w14:textId="4A12A420" w:rsidR="005809CC" w:rsidRPr="00A8229A" w:rsidRDefault="005809CC"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Borland, J., &amp; Charlton, A. (2020). </w:t>
      </w:r>
      <w:r w:rsidR="00E763FC" w:rsidRPr="00A8229A">
        <w:rPr>
          <w:rFonts w:cs="Arial"/>
          <w:i/>
          <w:szCs w:val="18"/>
        </w:rPr>
        <w:t>The Australian labour market and the early impact of COVID-19</w:t>
      </w:r>
      <w:r w:rsidR="00E763FC" w:rsidRPr="00A8229A">
        <w:rPr>
          <w:rFonts w:cs="Arial"/>
          <w:szCs w:val="18"/>
        </w:rPr>
        <w:t>. Australian</w:t>
      </w:r>
      <w:r w:rsidR="00E763FC" w:rsidRPr="00A8229A">
        <w:rPr>
          <w:rFonts w:cs="Arial"/>
          <w:i/>
          <w:szCs w:val="18"/>
        </w:rPr>
        <w:t xml:space="preserve"> </w:t>
      </w:r>
      <w:r w:rsidR="00E763FC" w:rsidRPr="00A8229A">
        <w:rPr>
          <w:rFonts w:cs="Arial"/>
          <w:szCs w:val="18"/>
        </w:rPr>
        <w:t>Economic Review, 53(4), 523-541. https://doi.org/10.1111/1467-8462.12345</w:t>
      </w:r>
      <w:r w:rsidR="00353692" w:rsidRPr="00A8229A">
        <w:rPr>
          <w:rFonts w:cs="Arial"/>
          <w:szCs w:val="18"/>
        </w:rPr>
        <w:t>.</w:t>
      </w:r>
    </w:p>
  </w:endnote>
  <w:endnote w:id="109">
    <w:p w14:paraId="19C1C684" w14:textId="77777777" w:rsidR="00DB0D41" w:rsidRPr="00A8229A" w:rsidRDefault="005809CC" w:rsidP="006E0D7A">
      <w:pPr>
        <w:pStyle w:val="EndnoteText"/>
        <w:ind w:left="170" w:hanging="170"/>
        <w:rPr>
          <w:rFonts w:cs="Arial"/>
          <w:szCs w:val="18"/>
        </w:rPr>
      </w:pPr>
      <w:r w:rsidRPr="00A8229A">
        <w:rPr>
          <w:rStyle w:val="EndnoteReference"/>
          <w:rFonts w:cs="Arial"/>
          <w:szCs w:val="18"/>
        </w:rPr>
        <w:endnoteRef/>
      </w:r>
      <w:r w:rsidRPr="00A8229A" w:rsidDel="00727120">
        <w:rPr>
          <w:rFonts w:cs="Arial"/>
          <w:szCs w:val="18"/>
        </w:rPr>
        <w:t xml:space="preserve"> </w:t>
      </w:r>
      <w:r w:rsidR="00727120" w:rsidRPr="00A8229A">
        <w:rPr>
          <w:rFonts w:cs="Arial"/>
          <w:szCs w:val="18"/>
        </w:rPr>
        <w:t xml:space="preserve">Ministry of Social Development. (2023). </w:t>
      </w:r>
      <w:r w:rsidR="00727120" w:rsidRPr="00A8229A">
        <w:rPr>
          <w:rFonts w:cs="Arial"/>
          <w:i/>
          <w:szCs w:val="18"/>
        </w:rPr>
        <w:t>COVID-19 wage subsidy synthesis final report</w:t>
      </w:r>
      <w:r w:rsidR="00727120" w:rsidRPr="00A8229A">
        <w:rPr>
          <w:rFonts w:cs="Arial"/>
          <w:szCs w:val="18"/>
        </w:rPr>
        <w:t xml:space="preserve"> (March 2023). Retrieved from https://www.msd.govt.nz/documents/about-msd-and-our-work/publications-resources/statistics/covid-19/wage-subsidy-evaluation-reports/covid19-wage-subsidy-synthesis-final-report-march-2023.pdf:</w:t>
      </w:r>
    </w:p>
    <w:p w14:paraId="5E096F7E" w14:textId="2C2C1E1E" w:rsidR="00DB0D41" w:rsidRPr="00A8229A" w:rsidRDefault="00DB0D41" w:rsidP="006E0D7A">
      <w:pPr>
        <w:pStyle w:val="EndnoteText"/>
        <w:ind w:left="170"/>
        <w:rPr>
          <w:rFonts w:cs="Arial"/>
          <w:szCs w:val="18"/>
        </w:rPr>
      </w:pPr>
      <w:r w:rsidRPr="00A8229A">
        <w:rPr>
          <w:rFonts w:cs="Arial"/>
          <w:szCs w:val="18"/>
        </w:rPr>
        <w:t xml:space="preserve">Ministry of Social Development. (n.d.). </w:t>
      </w:r>
      <w:r w:rsidRPr="00A8229A">
        <w:rPr>
          <w:rFonts w:cs="Arial"/>
          <w:i/>
          <w:iCs/>
          <w:szCs w:val="18"/>
        </w:rPr>
        <w:t>Wage subsidy scheme evaluations</w:t>
      </w:r>
      <w:r w:rsidRPr="00A8229A">
        <w:rPr>
          <w:rFonts w:cs="Arial"/>
          <w:szCs w:val="18"/>
        </w:rPr>
        <w:t>. Retrieved from https://www.msd.govt.nz/about-msd-and-our-work/publications-resources/statistics/covid-19/wage-subsidy-scheme-evaluations.html;</w:t>
      </w:r>
    </w:p>
    <w:p w14:paraId="05DA170E" w14:textId="06AAC720" w:rsidR="00727120" w:rsidRPr="00A8229A" w:rsidRDefault="00727120" w:rsidP="006E0D7A">
      <w:pPr>
        <w:pStyle w:val="EndnoteText"/>
        <w:ind w:left="170"/>
        <w:rPr>
          <w:rFonts w:cs="Arial"/>
          <w:szCs w:val="18"/>
        </w:rPr>
      </w:pPr>
      <w:r w:rsidRPr="00A8229A">
        <w:rPr>
          <w:rFonts w:cs="Arial"/>
          <w:szCs w:val="18"/>
        </w:rPr>
        <w:t xml:space="preserve">Ministry of Social Development. (n.d.). </w:t>
      </w:r>
      <w:r w:rsidRPr="00A8229A">
        <w:rPr>
          <w:rFonts w:cs="Arial"/>
          <w:i/>
          <w:szCs w:val="18"/>
        </w:rPr>
        <w:t>Wage subsidy scheme outcomes evaluation</w:t>
      </w:r>
      <w:r w:rsidRPr="00A8229A">
        <w:rPr>
          <w:rFonts w:cs="Arial"/>
          <w:szCs w:val="18"/>
        </w:rPr>
        <w:t>. Retrieved from https://www.msd.govt.nz/documents/about-msd-and-our-work/publications-resources/statistics/covid-19/wage-subsidy-evaluation-reports/wage-subsidy-scheme-outcomes-evaluation.pdf</w:t>
      </w:r>
      <w:r w:rsidR="00DB0D41" w:rsidRPr="00A8229A">
        <w:rPr>
          <w:rFonts w:cs="Arial"/>
          <w:szCs w:val="18"/>
        </w:rPr>
        <w:t>.</w:t>
      </w:r>
    </w:p>
  </w:endnote>
  <w:endnote w:id="110">
    <w:p w14:paraId="12D5FC41" w14:textId="77777777" w:rsidR="00A8229A" w:rsidRPr="00A8229A" w:rsidRDefault="005809CC" w:rsidP="006E0D7A">
      <w:pPr>
        <w:pStyle w:val="EndnoteText"/>
        <w:ind w:left="170" w:hanging="170"/>
        <w:rPr>
          <w:rFonts w:cs="Arial"/>
          <w:szCs w:val="18"/>
        </w:rPr>
      </w:pPr>
      <w:r w:rsidRPr="00A8229A">
        <w:rPr>
          <w:rStyle w:val="EndnoteReference"/>
          <w:rFonts w:cs="Arial"/>
          <w:szCs w:val="18"/>
        </w:rPr>
        <w:endnoteRef/>
      </w:r>
      <w:r w:rsidR="0057146C" w:rsidRPr="00A8229A">
        <w:rPr>
          <w:rFonts w:cs="Arial"/>
          <w:szCs w:val="18"/>
        </w:rPr>
        <w:t xml:space="preserve"> France </w:t>
      </w:r>
      <w:r w:rsidR="00A8229A" w:rsidRPr="00A8229A">
        <w:rPr>
          <w:rFonts w:cs="Arial"/>
          <w:szCs w:val="18"/>
        </w:rPr>
        <w:t xml:space="preserve">Stratégie. (n.d.). </w:t>
      </w:r>
      <w:r w:rsidR="00A8229A" w:rsidRPr="00A8229A">
        <w:rPr>
          <w:rFonts w:cs="Arial"/>
          <w:i/>
          <w:iCs/>
          <w:szCs w:val="18"/>
        </w:rPr>
        <w:t>Abstract</w:t>
      </w:r>
      <w:r w:rsidR="00A8229A" w:rsidRPr="00A8229A">
        <w:rPr>
          <w:rFonts w:cs="Arial"/>
          <w:szCs w:val="18"/>
        </w:rPr>
        <w:t>.</w:t>
      </w:r>
      <w:r w:rsidR="0057146C" w:rsidRPr="00A8229A">
        <w:rPr>
          <w:rFonts w:cs="Arial"/>
          <w:szCs w:val="18"/>
        </w:rPr>
        <w:t xml:space="preserve"> Retrieved from https://www.</w:t>
      </w:r>
      <w:r w:rsidR="00A8229A" w:rsidRPr="00A8229A">
        <w:rPr>
          <w:rFonts w:cs="Arial"/>
          <w:szCs w:val="18"/>
        </w:rPr>
        <w:t>strategie.gouv.fr/sites/strategie.gouv.fr/files/atoms/files/abstract_0.pdf;</w:t>
      </w:r>
    </w:p>
    <w:p w14:paraId="70FC6CCB" w14:textId="69930078" w:rsidR="00DB0D41" w:rsidRPr="00A8229A" w:rsidRDefault="00571EC8" w:rsidP="006E0D7A">
      <w:pPr>
        <w:pStyle w:val="EndnoteText"/>
        <w:ind w:left="170"/>
        <w:rPr>
          <w:rFonts w:cs="Arial"/>
          <w:szCs w:val="18"/>
        </w:rPr>
      </w:pPr>
      <w:r w:rsidRPr="00A8229A">
        <w:rPr>
          <w:rFonts w:cs="Arial"/>
          <w:szCs w:val="18"/>
        </w:rPr>
        <w:t>France Stratégie,</w:t>
      </w:r>
      <w:r w:rsidRPr="00A8229A">
        <w:rPr>
          <w:rFonts w:cs="Arial"/>
          <w:i/>
          <w:szCs w:val="18"/>
        </w:rPr>
        <w:t xml:space="preserve"> </w:t>
      </w:r>
      <w:r w:rsidRPr="00A8229A">
        <w:rPr>
          <w:rFonts w:cs="Arial"/>
          <w:szCs w:val="18"/>
        </w:rPr>
        <w:t xml:space="preserve">Committee on the Monitoring and Evaluation of Financial Support Measures for Companies Confronted with the COVID-19 Epidemic. </w:t>
      </w:r>
      <w:r w:rsidR="00DB0D41" w:rsidRPr="00A8229A">
        <w:rPr>
          <w:rFonts w:cs="Arial"/>
          <w:szCs w:val="18"/>
        </w:rPr>
        <w:t>(</w:t>
      </w:r>
      <w:r w:rsidRPr="00A8229A">
        <w:rPr>
          <w:rFonts w:cs="Arial"/>
          <w:szCs w:val="18"/>
        </w:rPr>
        <w:t>August</w:t>
      </w:r>
      <w:r w:rsidR="00DB0D41" w:rsidRPr="00A8229A">
        <w:rPr>
          <w:rFonts w:cs="Arial"/>
          <w:szCs w:val="18"/>
        </w:rPr>
        <w:t xml:space="preserve"> 2021</w:t>
      </w:r>
      <w:r w:rsidRPr="00A8229A">
        <w:rPr>
          <w:rFonts w:cs="Arial"/>
          <w:szCs w:val="18"/>
        </w:rPr>
        <w:t xml:space="preserve">). </w:t>
      </w:r>
      <w:r w:rsidRPr="00A8229A">
        <w:rPr>
          <w:rFonts w:cs="Arial"/>
          <w:i/>
          <w:szCs w:val="18"/>
        </w:rPr>
        <w:t>Progress report.</w:t>
      </w:r>
      <w:r w:rsidRPr="00A8229A">
        <w:rPr>
          <w:rFonts w:cs="Arial"/>
          <w:szCs w:val="18"/>
        </w:rPr>
        <w:t xml:space="preserve"> Retrieved from https://www.strategie.gouv.fr/sites/strategie.gouv.fr/files/atoms/files/fs-committee_on_the_monitoring_and_evaluation_of_financial_support_measures_for_companies_confronted_with_the_covid-19_epidemic_-_progress_report_0.pdf;</w:t>
      </w:r>
    </w:p>
    <w:p w14:paraId="71CEA4AF" w14:textId="2CE3688F" w:rsidR="005809CC" w:rsidRPr="00A8229A" w:rsidRDefault="00A8229A" w:rsidP="006E0D7A">
      <w:pPr>
        <w:pStyle w:val="EndnoteText"/>
        <w:ind w:left="170"/>
        <w:rPr>
          <w:rFonts w:cs="Arial"/>
          <w:szCs w:val="18"/>
        </w:rPr>
      </w:pPr>
      <w:r w:rsidRPr="00A8229A">
        <w:rPr>
          <w:rFonts w:cs="Arial"/>
          <w:szCs w:val="18"/>
        </w:rPr>
        <w:t xml:space="preserve">French Treasury. (18 January 2022). </w:t>
      </w:r>
      <w:r w:rsidRPr="00A8229A">
        <w:rPr>
          <w:rStyle w:val="Emphasis"/>
          <w:rFonts w:cs="Arial"/>
          <w:b w:val="0"/>
          <w:bCs/>
          <w:i/>
          <w:iCs w:val="0"/>
          <w:color w:val="auto"/>
          <w:szCs w:val="18"/>
        </w:rPr>
        <w:t xml:space="preserve">Business failures in </w:t>
      </w:r>
      <w:r w:rsidR="00881FE5" w:rsidRPr="00A8229A">
        <w:rPr>
          <w:rStyle w:val="Emphasis"/>
          <w:rFonts w:cs="Arial"/>
          <w:b w:val="0"/>
          <w:i/>
          <w:color w:val="auto"/>
          <w:szCs w:val="18"/>
        </w:rPr>
        <w:t xml:space="preserve">France </w:t>
      </w:r>
      <w:r w:rsidRPr="00A8229A">
        <w:rPr>
          <w:rStyle w:val="Emphasis"/>
          <w:rFonts w:cs="Arial"/>
          <w:b w:val="0"/>
          <w:bCs/>
          <w:i/>
          <w:iCs w:val="0"/>
          <w:color w:val="auto"/>
          <w:szCs w:val="18"/>
        </w:rPr>
        <w:t>during the COVID-19 crisis</w:t>
      </w:r>
      <w:r w:rsidRPr="00A8229A">
        <w:rPr>
          <w:rFonts w:cs="Arial"/>
          <w:i/>
          <w:szCs w:val="18"/>
        </w:rPr>
        <w:t>.</w:t>
      </w:r>
      <w:r w:rsidR="00881FE5" w:rsidRPr="00A8229A">
        <w:rPr>
          <w:rFonts w:cs="Arial"/>
          <w:i/>
          <w:szCs w:val="18"/>
        </w:rPr>
        <w:t xml:space="preserve"> </w:t>
      </w:r>
      <w:r w:rsidR="00881FE5" w:rsidRPr="00A8229A">
        <w:rPr>
          <w:rFonts w:cs="Arial"/>
          <w:szCs w:val="18"/>
        </w:rPr>
        <w:t>Retrieved from https://www.</w:t>
      </w:r>
      <w:r w:rsidRPr="00A8229A">
        <w:rPr>
          <w:rFonts w:cs="Arial"/>
          <w:szCs w:val="18"/>
        </w:rPr>
        <w:t>tresor.economie.gouv.fr/Articles/2022/01/18/business-failures-in-france-during-the-covid-19-crisis.</w:t>
      </w:r>
    </w:p>
  </w:endnote>
  <w:endnote w:id="111">
    <w:p w14:paraId="1F90C4A3" w14:textId="2A92C0F3" w:rsidR="005809CC" w:rsidRPr="00A8229A" w:rsidRDefault="005809CC"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3065A6" w:rsidRPr="00A8229A">
        <w:rPr>
          <w:rFonts w:cs="Arial"/>
          <w:szCs w:val="18"/>
        </w:rPr>
        <w:t>French Treasury. (</w:t>
      </w:r>
      <w:r w:rsidR="00A8229A" w:rsidRPr="00A8229A">
        <w:rPr>
          <w:rFonts w:cs="Arial"/>
          <w:szCs w:val="18"/>
        </w:rPr>
        <w:t>18</w:t>
      </w:r>
      <w:r w:rsidR="003065A6" w:rsidRPr="00A8229A">
        <w:rPr>
          <w:rFonts w:cs="Arial"/>
          <w:szCs w:val="18"/>
        </w:rPr>
        <w:t xml:space="preserve"> January </w:t>
      </w:r>
      <w:r w:rsidR="00A8229A" w:rsidRPr="00A8229A">
        <w:rPr>
          <w:rFonts w:cs="Arial"/>
          <w:szCs w:val="18"/>
        </w:rPr>
        <w:t>2022</w:t>
      </w:r>
      <w:r w:rsidR="003065A6" w:rsidRPr="00A8229A">
        <w:rPr>
          <w:rFonts w:cs="Arial"/>
          <w:szCs w:val="18"/>
        </w:rPr>
        <w:t xml:space="preserve">). </w:t>
      </w:r>
      <w:r w:rsidR="003065A6" w:rsidRPr="00A8229A">
        <w:rPr>
          <w:rStyle w:val="Emphasis"/>
          <w:rFonts w:cs="Arial"/>
          <w:b w:val="0"/>
          <w:i/>
          <w:color w:val="auto"/>
          <w:szCs w:val="18"/>
        </w:rPr>
        <w:t>Business failures in France during the COVID-19 crisis</w:t>
      </w:r>
      <w:r w:rsidR="003065A6" w:rsidRPr="00A8229A">
        <w:rPr>
          <w:rFonts w:cs="Arial"/>
          <w:i/>
          <w:szCs w:val="18"/>
        </w:rPr>
        <w:t>.</w:t>
      </w:r>
      <w:r w:rsidR="003065A6" w:rsidRPr="00A8229A">
        <w:rPr>
          <w:rFonts w:cs="Arial"/>
          <w:szCs w:val="18"/>
        </w:rPr>
        <w:t xml:space="preserve"> Retrieved from https://www.tresor.economie.gouv.fr/Articles/2022/01/18/business-failures-in-france-during-the-covid-19-crisis</w:t>
      </w:r>
      <w:r w:rsidR="00353692" w:rsidRPr="00A8229A">
        <w:rPr>
          <w:rFonts w:cs="Arial"/>
          <w:szCs w:val="18"/>
        </w:rPr>
        <w:t>.</w:t>
      </w:r>
    </w:p>
  </w:endnote>
  <w:endnote w:id="112">
    <w:p w14:paraId="0FD46CD2" w14:textId="3D8DF945" w:rsidR="005809CC" w:rsidRPr="00A8229A" w:rsidRDefault="005809CC"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7F1440" w:rsidRPr="00A8229A">
        <w:rPr>
          <w:rFonts w:cs="Arial"/>
          <w:szCs w:val="18"/>
        </w:rPr>
        <w:t>Watson, T., Tervala, J., &amp; Sainsbury, T. (</w:t>
      </w:r>
      <w:r w:rsidR="00A8229A" w:rsidRPr="00A8229A">
        <w:rPr>
          <w:rFonts w:cs="Arial"/>
          <w:szCs w:val="18"/>
        </w:rPr>
        <w:t>9</w:t>
      </w:r>
      <w:r w:rsidR="005E2B81" w:rsidRPr="00A8229A">
        <w:rPr>
          <w:rFonts w:cs="Arial"/>
          <w:szCs w:val="18"/>
        </w:rPr>
        <w:t xml:space="preserve"> May </w:t>
      </w:r>
      <w:r w:rsidR="00A8229A" w:rsidRPr="00A8229A">
        <w:rPr>
          <w:rFonts w:cs="Arial"/>
          <w:szCs w:val="18"/>
        </w:rPr>
        <w:t>2022</w:t>
      </w:r>
      <w:r w:rsidR="007F1440" w:rsidRPr="00A8229A">
        <w:rPr>
          <w:rFonts w:cs="Arial"/>
          <w:szCs w:val="18"/>
        </w:rPr>
        <w:t xml:space="preserve">). </w:t>
      </w:r>
      <w:r w:rsidR="00A75345" w:rsidRPr="00A8229A">
        <w:rPr>
          <w:rFonts w:cs="Arial"/>
          <w:szCs w:val="18"/>
        </w:rPr>
        <w:t>‘</w:t>
      </w:r>
      <w:r w:rsidR="007F1440" w:rsidRPr="00A8229A">
        <w:rPr>
          <w:rFonts w:cs="Arial"/>
          <w:szCs w:val="18"/>
        </w:rPr>
        <w:t>The JobKeeper payment: How good are wage subsidies?</w:t>
      </w:r>
      <w:r w:rsidR="00A75345" w:rsidRPr="00A8229A">
        <w:rPr>
          <w:rFonts w:cs="Arial"/>
          <w:szCs w:val="18"/>
        </w:rPr>
        <w:t>’</w:t>
      </w:r>
      <w:r w:rsidR="00FA67A7" w:rsidRPr="00A8229A">
        <w:rPr>
          <w:rFonts w:cs="Arial"/>
          <w:szCs w:val="18"/>
        </w:rPr>
        <w:t xml:space="preserve"> </w:t>
      </w:r>
      <w:r w:rsidR="00365CD1" w:rsidRPr="00A8229A">
        <w:rPr>
          <w:rFonts w:cs="Arial"/>
          <w:szCs w:val="18"/>
        </w:rPr>
        <w:t>http://dx.doi.org/10.2139/ssrn.4103865</w:t>
      </w:r>
      <w:r w:rsidR="00685F6B" w:rsidRPr="00A8229A">
        <w:rPr>
          <w:rFonts w:cs="Arial"/>
          <w:szCs w:val="18"/>
        </w:rPr>
        <w:t xml:space="preserve">. </w:t>
      </w:r>
    </w:p>
  </w:endnote>
  <w:endnote w:id="113">
    <w:p w14:paraId="39FD1E0E" w14:textId="3EDEBF83" w:rsidR="00A8229A" w:rsidRPr="00A8229A" w:rsidRDefault="005809CC" w:rsidP="006E0D7A">
      <w:pPr>
        <w:pStyle w:val="EndnoteText"/>
        <w:ind w:left="170" w:hanging="170"/>
        <w:rPr>
          <w:rFonts w:cs="Arial"/>
          <w:szCs w:val="18"/>
        </w:rPr>
      </w:pPr>
      <w:r w:rsidRPr="00A8229A">
        <w:rPr>
          <w:rStyle w:val="EndnoteReference"/>
          <w:rFonts w:cs="Arial"/>
          <w:szCs w:val="18"/>
        </w:rPr>
        <w:endnoteRef/>
      </w:r>
      <w:r w:rsidR="005B6E67">
        <w:rPr>
          <w:rFonts w:cs="Arial"/>
          <w:szCs w:val="18"/>
        </w:rPr>
        <w:t xml:space="preserve"> </w:t>
      </w:r>
      <w:r w:rsidR="00A8229A" w:rsidRPr="00A8229A">
        <w:rPr>
          <w:rFonts w:cs="Arial"/>
          <w:szCs w:val="18"/>
        </w:rPr>
        <w:t>Grosvenor. (</w:t>
      </w:r>
      <w:r w:rsidR="002776E3" w:rsidRPr="00A8229A">
        <w:rPr>
          <w:rFonts w:cs="Arial"/>
          <w:szCs w:val="18"/>
        </w:rPr>
        <w:t>August</w:t>
      </w:r>
      <w:r w:rsidR="00A8229A" w:rsidRPr="00A8229A">
        <w:rPr>
          <w:rFonts w:cs="Arial"/>
          <w:szCs w:val="18"/>
        </w:rPr>
        <w:t xml:space="preserve"> 2021</w:t>
      </w:r>
      <w:r w:rsidR="002776E3" w:rsidRPr="00A8229A">
        <w:rPr>
          <w:rFonts w:cs="Arial"/>
          <w:szCs w:val="18"/>
        </w:rPr>
        <w:t xml:space="preserve">). </w:t>
      </w:r>
      <w:r w:rsidR="002776E3" w:rsidRPr="00A8229A">
        <w:rPr>
          <w:rFonts w:cs="Arial"/>
          <w:i/>
          <w:szCs w:val="18"/>
        </w:rPr>
        <w:t>Evaluation of the Business Support Grant and Small Business Hardship Scheme</w:t>
      </w:r>
      <w:r w:rsidR="002776E3" w:rsidRPr="00A8229A">
        <w:rPr>
          <w:rFonts w:cs="Arial"/>
          <w:szCs w:val="18"/>
        </w:rPr>
        <w:t xml:space="preserve"> (Report commissioned by ACT Government). Retrieved from https://www.cmtedd.act.gov.au/__data/assets/pdf_file/0010/2253979/Independent-Evaluation-of-the-COVID-19-Business-Support-Grant-and-Small-Business-Hardship-Scheme-Final-Report.PDF;</w:t>
      </w:r>
    </w:p>
    <w:p w14:paraId="1E81CC4F" w14:textId="7EB8A1B6" w:rsidR="00A8229A" w:rsidRPr="00A8229A" w:rsidRDefault="002776E3" w:rsidP="006E0D7A">
      <w:pPr>
        <w:pStyle w:val="EndnoteText"/>
        <w:ind w:left="170"/>
        <w:rPr>
          <w:rFonts w:cs="Arial"/>
          <w:szCs w:val="18"/>
        </w:rPr>
      </w:pPr>
      <w:r w:rsidRPr="00A8229A">
        <w:rPr>
          <w:rFonts w:cs="Arial"/>
          <w:szCs w:val="18"/>
        </w:rPr>
        <w:t xml:space="preserve">KPMG. (2021, June). </w:t>
      </w:r>
      <w:r w:rsidR="00A8229A" w:rsidRPr="00A8229A">
        <w:rPr>
          <w:rFonts w:cs="Arial"/>
          <w:i/>
          <w:iCs/>
          <w:szCs w:val="18"/>
        </w:rPr>
        <w:t>Economic</w:t>
      </w:r>
      <w:r w:rsidRPr="00A8229A">
        <w:rPr>
          <w:rFonts w:cs="Arial"/>
          <w:i/>
          <w:szCs w:val="18"/>
        </w:rPr>
        <w:t xml:space="preserve"> and outcomes evaluation of 2020 NSW Government COVID-19 Small Business Grants</w:t>
      </w:r>
      <w:r w:rsidRPr="00A8229A">
        <w:rPr>
          <w:rFonts w:cs="Arial"/>
          <w:szCs w:val="18"/>
        </w:rPr>
        <w:t xml:space="preserve"> (Report commissioned by NSW Treasury). Retrieved from https://www.treasury.nsw.gov.au/sites/default/files/2022-12/20221215-economic-and-outcomes-evaluation-of-2020-nsw-government-covid19-small-business-grants.pdf</w:t>
      </w:r>
      <w:r w:rsidR="00A8229A" w:rsidRPr="00A8229A">
        <w:rPr>
          <w:rFonts w:cs="Arial"/>
          <w:szCs w:val="18"/>
        </w:rPr>
        <w:t>;</w:t>
      </w:r>
    </w:p>
    <w:p w14:paraId="635F7254" w14:textId="55913CD8" w:rsidR="005809CC" w:rsidRPr="00A8229A" w:rsidRDefault="00FC5A6B" w:rsidP="006E0D7A">
      <w:pPr>
        <w:pStyle w:val="EndnoteText"/>
        <w:ind w:left="170"/>
        <w:rPr>
          <w:rFonts w:cs="Arial"/>
          <w:szCs w:val="18"/>
        </w:rPr>
      </w:pPr>
      <w:r w:rsidRPr="00A8229A">
        <w:rPr>
          <w:rFonts w:cs="Arial"/>
          <w:szCs w:val="18"/>
        </w:rPr>
        <w:t>Office of the Auditor General of Ontario. (</w:t>
      </w:r>
      <w:r w:rsidR="00A8229A" w:rsidRPr="00A8229A">
        <w:rPr>
          <w:rFonts w:cs="Arial"/>
          <w:szCs w:val="18"/>
        </w:rPr>
        <w:t xml:space="preserve">December </w:t>
      </w:r>
      <w:r w:rsidRPr="00A8229A">
        <w:rPr>
          <w:rFonts w:cs="Arial"/>
          <w:szCs w:val="18"/>
        </w:rPr>
        <w:t xml:space="preserve">2021). </w:t>
      </w:r>
      <w:r w:rsidRPr="00A8229A">
        <w:rPr>
          <w:rFonts w:cs="Arial"/>
          <w:i/>
          <w:szCs w:val="18"/>
        </w:rPr>
        <w:t xml:space="preserve">COVID-19 economic response and supports for businesses. </w:t>
      </w:r>
      <w:r w:rsidRPr="00A8229A">
        <w:rPr>
          <w:rFonts w:cs="Arial"/>
          <w:szCs w:val="18"/>
        </w:rPr>
        <w:t xml:space="preserve">Retrieved from </w:t>
      </w:r>
      <w:r w:rsidR="002776E3" w:rsidRPr="00A8229A">
        <w:rPr>
          <w:rFonts w:cs="Arial"/>
          <w:szCs w:val="18"/>
        </w:rPr>
        <w:t>https://www.auditor.on.ca/en/content/annualreports/arreports/en21/AR_COV-Economic_en21.pdf</w:t>
      </w:r>
      <w:r w:rsidR="00A8229A" w:rsidRPr="00A8229A">
        <w:rPr>
          <w:rFonts w:cs="Arial"/>
          <w:szCs w:val="18"/>
        </w:rPr>
        <w:t>.</w:t>
      </w:r>
    </w:p>
  </w:endnote>
  <w:endnote w:id="114">
    <w:p w14:paraId="5FB1E9A3" w14:textId="705DF40A" w:rsidR="005809CC" w:rsidRPr="00A8229A" w:rsidRDefault="005809CC" w:rsidP="006E0D7A">
      <w:pPr>
        <w:pStyle w:val="EndnoteText"/>
        <w:ind w:left="170" w:hanging="170"/>
        <w:rPr>
          <w:rFonts w:cs="Arial"/>
          <w:i/>
          <w:szCs w:val="18"/>
        </w:rPr>
      </w:pPr>
      <w:r w:rsidRPr="00A8229A">
        <w:rPr>
          <w:rStyle w:val="EndnoteReference"/>
          <w:rFonts w:cs="Arial"/>
          <w:szCs w:val="18"/>
        </w:rPr>
        <w:endnoteRef/>
      </w:r>
      <w:r w:rsidRPr="00A8229A">
        <w:rPr>
          <w:rFonts w:cs="Arial"/>
          <w:szCs w:val="18"/>
        </w:rPr>
        <w:t xml:space="preserve"> </w:t>
      </w:r>
      <w:r w:rsidR="00642F7A" w:rsidRPr="00A8229A">
        <w:rPr>
          <w:rFonts w:cs="Arial"/>
          <w:szCs w:val="18"/>
        </w:rPr>
        <w:t>United Kingdom HM Treasury and United Kingdom HM Revenue and Customs. (</w:t>
      </w:r>
      <w:r w:rsidR="00A8229A" w:rsidRPr="00A8229A">
        <w:rPr>
          <w:rFonts w:cs="Arial"/>
          <w:szCs w:val="18"/>
        </w:rPr>
        <w:t>17</w:t>
      </w:r>
      <w:r w:rsidR="00642F7A" w:rsidRPr="00A8229A">
        <w:rPr>
          <w:rFonts w:cs="Arial"/>
          <w:szCs w:val="18"/>
        </w:rPr>
        <w:t xml:space="preserve"> July </w:t>
      </w:r>
      <w:r w:rsidR="00A8229A" w:rsidRPr="00A8229A">
        <w:rPr>
          <w:rFonts w:cs="Arial"/>
          <w:szCs w:val="18"/>
        </w:rPr>
        <w:t>2023</w:t>
      </w:r>
      <w:r w:rsidR="00642F7A" w:rsidRPr="00A8229A">
        <w:rPr>
          <w:rFonts w:cs="Arial"/>
          <w:szCs w:val="18"/>
        </w:rPr>
        <w:t xml:space="preserve">). </w:t>
      </w:r>
      <w:r w:rsidR="00642F7A" w:rsidRPr="00A8229A">
        <w:rPr>
          <w:rFonts w:cs="Arial"/>
          <w:i/>
          <w:szCs w:val="18"/>
        </w:rPr>
        <w:t>The Coronavirus Job Retention Scheme final evaluation</w:t>
      </w:r>
      <w:r w:rsidR="00642F7A" w:rsidRPr="00A8229A">
        <w:rPr>
          <w:rFonts w:cs="Arial"/>
          <w:szCs w:val="18"/>
        </w:rPr>
        <w:t>. Retrieved from https://www.gov.uk/government/publications/the-coronavirus-job-retention-scheme-final-evaluation/the-coronavirus-job-retention-scheme-final-evaluation#executive-summary</w:t>
      </w:r>
      <w:r w:rsidR="002D6A26" w:rsidRPr="00A8229A">
        <w:rPr>
          <w:rFonts w:cs="Arial"/>
          <w:szCs w:val="18"/>
        </w:rPr>
        <w:t>.</w:t>
      </w:r>
    </w:p>
  </w:endnote>
  <w:endnote w:id="115">
    <w:p w14:paraId="475D0C59" w14:textId="586B03F1" w:rsidR="005809CC" w:rsidRPr="00A8229A" w:rsidRDefault="005809CC" w:rsidP="006E0D7A">
      <w:pPr>
        <w:pStyle w:val="EndnoteText"/>
        <w:ind w:left="170" w:hanging="170"/>
        <w:rPr>
          <w:rFonts w:cs="Arial"/>
          <w:szCs w:val="18"/>
        </w:rPr>
      </w:pPr>
      <w:r w:rsidRPr="00A8229A">
        <w:rPr>
          <w:rStyle w:val="EndnoteReference"/>
          <w:rFonts w:cs="Arial"/>
          <w:szCs w:val="18"/>
        </w:rPr>
        <w:endnoteRef/>
      </w:r>
      <w:r w:rsidRPr="00A8229A">
        <w:rPr>
          <w:rFonts w:cs="Arial"/>
          <w:szCs w:val="18"/>
        </w:rPr>
        <w:t xml:space="preserve"> </w:t>
      </w:r>
      <w:r w:rsidR="00D01761" w:rsidRPr="00A8229A">
        <w:rPr>
          <w:rFonts w:cs="Arial"/>
          <w:szCs w:val="18"/>
        </w:rPr>
        <w:t xml:space="preserve">Hamilton, S. (2020). </w:t>
      </w:r>
      <w:r w:rsidR="00272EF4" w:rsidRPr="00A8229A">
        <w:rPr>
          <w:rFonts w:cs="Arial"/>
          <w:szCs w:val="18"/>
        </w:rPr>
        <w:t>‘</w:t>
      </w:r>
      <w:r w:rsidR="00E45BDC" w:rsidRPr="00A8229A">
        <w:rPr>
          <w:rFonts w:cs="Arial"/>
          <w:szCs w:val="18"/>
        </w:rPr>
        <w:t>A tale of two wage subsidies: The American and Australian fiscal responses to COVID-19</w:t>
      </w:r>
      <w:r w:rsidR="00272EF4" w:rsidRPr="00A8229A">
        <w:rPr>
          <w:rFonts w:cs="Arial"/>
          <w:szCs w:val="18"/>
        </w:rPr>
        <w:t>’</w:t>
      </w:r>
      <w:r w:rsidR="00D01761" w:rsidRPr="00A8229A">
        <w:rPr>
          <w:rFonts w:cs="Arial"/>
          <w:szCs w:val="18"/>
        </w:rPr>
        <w:t>.</w:t>
      </w:r>
      <w:r w:rsidR="00D82FDF" w:rsidRPr="00A8229A">
        <w:rPr>
          <w:rFonts w:cs="Arial"/>
          <w:szCs w:val="18"/>
        </w:rPr>
        <w:t xml:space="preserve"> </w:t>
      </w:r>
      <w:r w:rsidR="00D82FDF" w:rsidRPr="00A8229A">
        <w:rPr>
          <w:rFonts w:cs="Arial"/>
          <w:i/>
          <w:szCs w:val="18"/>
        </w:rPr>
        <w:t>National Tax Journal</w:t>
      </w:r>
      <w:r w:rsidR="00D01761" w:rsidRPr="00A8229A">
        <w:rPr>
          <w:rFonts w:cs="Arial"/>
          <w:szCs w:val="18"/>
        </w:rPr>
        <w:t xml:space="preserve">, </w:t>
      </w:r>
      <w:r w:rsidR="001E0B27" w:rsidRPr="00A8229A">
        <w:rPr>
          <w:rFonts w:cs="Arial"/>
          <w:szCs w:val="18"/>
        </w:rPr>
        <w:t>73(3)</w:t>
      </w:r>
      <w:r w:rsidR="00166A91" w:rsidRPr="00A8229A">
        <w:rPr>
          <w:rFonts w:cs="Arial"/>
          <w:szCs w:val="18"/>
        </w:rPr>
        <w:t>.</w:t>
      </w:r>
    </w:p>
  </w:endnote>
  <w:endnote w:id="116">
    <w:p w14:paraId="57AF8F04" w14:textId="30D79350" w:rsidR="005809CC" w:rsidRDefault="005809CC" w:rsidP="00893EB3">
      <w:pPr>
        <w:pStyle w:val="NormalWeb"/>
        <w:shd w:val="clear" w:color="auto" w:fill="FFFFFF"/>
        <w:spacing w:before="100" w:beforeAutospacing="1" w:after="100" w:afterAutospacing="1"/>
        <w:ind w:left="284" w:hanging="284"/>
      </w:pPr>
      <w:r w:rsidRPr="00A8229A">
        <w:rPr>
          <w:rStyle w:val="EndnoteReference"/>
          <w:rFonts w:ascii="Arial" w:hAnsi="Arial" w:cs="Arial"/>
          <w:sz w:val="18"/>
          <w:szCs w:val="18"/>
        </w:rPr>
        <w:endnoteRef/>
      </w:r>
      <w:r w:rsidRPr="00A8229A">
        <w:rPr>
          <w:rFonts w:ascii="Arial" w:hAnsi="Arial" w:cs="Arial"/>
          <w:sz w:val="18"/>
          <w:szCs w:val="18"/>
        </w:rPr>
        <w:t xml:space="preserve"> </w:t>
      </w:r>
      <w:r w:rsidR="00291A5A" w:rsidRPr="00A8229A">
        <w:rPr>
          <w:rFonts w:ascii="Arial" w:hAnsi="Arial" w:cs="Arial"/>
          <w:sz w:val="18"/>
          <w:szCs w:val="18"/>
        </w:rPr>
        <w:t>France Stratégie, Committee on the Monitoring and Evaluation of Financial Support Measures for Companies Confronted with the COVID-19 Epidemic. (August</w:t>
      </w:r>
      <w:r w:rsidR="00A8229A" w:rsidRPr="00A8229A">
        <w:rPr>
          <w:rFonts w:ascii="Arial" w:hAnsi="Arial" w:cs="Arial"/>
          <w:sz w:val="18"/>
          <w:szCs w:val="18"/>
        </w:rPr>
        <w:t xml:space="preserve"> </w:t>
      </w:r>
      <w:r w:rsidR="00291A5A" w:rsidRPr="00A8229A">
        <w:rPr>
          <w:rFonts w:ascii="Arial" w:hAnsi="Arial" w:cs="Arial"/>
          <w:sz w:val="18"/>
          <w:szCs w:val="18"/>
        </w:rPr>
        <w:t xml:space="preserve">2021). </w:t>
      </w:r>
      <w:r w:rsidR="00291A5A" w:rsidRPr="00A8229A">
        <w:rPr>
          <w:rFonts w:ascii="Arial" w:hAnsi="Arial" w:cs="Arial"/>
          <w:i/>
          <w:sz w:val="18"/>
          <w:szCs w:val="18"/>
        </w:rPr>
        <w:t>Progress report.</w:t>
      </w:r>
      <w:r w:rsidR="00291A5A" w:rsidRPr="00A8229A">
        <w:rPr>
          <w:rFonts w:ascii="Arial" w:hAnsi="Arial" w:cs="Arial"/>
          <w:sz w:val="18"/>
          <w:szCs w:val="18"/>
        </w:rPr>
        <w:t xml:space="preserve"> Retrieved from https://www.strategie.gouv.fr/sites/strategie.gouv.fr/files/atoms/files/fs-committee_on_the_monitoring_and_evaluation_of_financial_support_measures_for_companies_confronted_with_the_covid-19_epidemic_-_progress_report_0.pdf</w:t>
      </w:r>
      <w:r w:rsidR="002D6A26" w:rsidRPr="00A8229A">
        <w:rPr>
          <w:rFonts w:ascii="Arial" w:hAnsi="Arial" w:cs="Arial"/>
          <w:sz w:val="18"/>
          <w:szCs w:val="18"/>
        </w:rPr>
        <w:t>.</w:t>
      </w:r>
    </w:p>
  </w:endnote>
  <w:endnote w:id="117">
    <w:p w14:paraId="2B2C7F19" w14:textId="4BB7FFC5" w:rsidR="005B6E67" w:rsidRDefault="005B6E67" w:rsidP="00893EB3">
      <w:pPr>
        <w:pStyle w:val="EndnoteText"/>
        <w:ind w:left="284" w:hanging="284"/>
      </w:pPr>
      <w:r>
        <w:rPr>
          <w:rStyle w:val="EndnoteReference"/>
        </w:rPr>
        <w:endnoteRef/>
      </w:r>
      <w:r>
        <w:t xml:space="preserve"> </w:t>
      </w:r>
      <w:r w:rsidRPr="00A8229A">
        <w:rPr>
          <w:rFonts w:cs="Arial"/>
          <w:szCs w:val="18"/>
        </w:rPr>
        <w:t xml:space="preserve">OECD, </w:t>
      </w:r>
      <w:r w:rsidRPr="00A8229A">
        <w:rPr>
          <w:rFonts w:cs="Arial"/>
          <w:i/>
          <w:szCs w:val="18"/>
        </w:rPr>
        <w:t xml:space="preserve">First lessons from government evaluations of COVID-19 responses: A </w:t>
      </w:r>
      <w:r w:rsidRPr="00A8229A">
        <w:rPr>
          <w:rFonts w:cs="Arial"/>
          <w:szCs w:val="18"/>
        </w:rPr>
        <w:t>synthesis (21 January 2022) Retrieved from https://www.oecd-ilibrary.org/fr/governance/first-lessons-from-government-evaluations-of-covid-19-responses-a-synthesis_483507d6-en.</w:t>
      </w:r>
    </w:p>
  </w:endnote>
  <w:endnote w:id="118">
    <w:p w14:paraId="224AB7B5" w14:textId="10EB1E51" w:rsidR="00EC6350" w:rsidRDefault="00EC6350" w:rsidP="00EC6350">
      <w:pPr>
        <w:pStyle w:val="EndnoteText"/>
        <w:ind w:left="284" w:hanging="284"/>
      </w:pPr>
      <w:r>
        <w:rPr>
          <w:rStyle w:val="EndnoteReference"/>
        </w:rPr>
        <w:endnoteRef/>
      </w:r>
      <w:r>
        <w:t xml:space="preserve"> </w:t>
      </w:r>
      <w:r>
        <w:rPr>
          <w:rFonts w:cs="Arial"/>
          <w:szCs w:val="18"/>
        </w:rPr>
        <w:t>Ibid.</w:t>
      </w:r>
    </w:p>
  </w:endnote>
  <w:endnote w:id="119">
    <w:p w14:paraId="7F68C8B3" w14:textId="74874C8A" w:rsidR="00DD35CE" w:rsidRDefault="00DD35CE" w:rsidP="00893EB3">
      <w:pPr>
        <w:pStyle w:val="EndnoteText"/>
        <w:ind w:left="227" w:hanging="227"/>
      </w:pPr>
      <w:r>
        <w:rPr>
          <w:rStyle w:val="EndnoteReference"/>
        </w:rPr>
        <w:endnoteRef/>
      </w:r>
      <w:r>
        <w:t xml:space="preserve"> </w:t>
      </w:r>
      <w:r w:rsidRPr="00A8229A">
        <w:rPr>
          <w:rFonts w:cs="Arial"/>
          <w:szCs w:val="18"/>
        </w:rPr>
        <w:t>Victorian Auditor-General’s Office. (</w:t>
      </w:r>
      <w:r w:rsidR="00733F07">
        <w:rPr>
          <w:rFonts w:cs="Arial"/>
          <w:szCs w:val="18"/>
        </w:rPr>
        <w:t>2021</w:t>
      </w:r>
      <w:r w:rsidRPr="00A8229A">
        <w:rPr>
          <w:rFonts w:cs="Arial"/>
          <w:i/>
          <w:szCs w:val="18"/>
        </w:rPr>
        <w:t xml:space="preserve">). </w:t>
      </w:r>
      <w:r w:rsidR="00733F07" w:rsidRPr="00733F07">
        <w:rPr>
          <w:rFonts w:cs="Arial"/>
          <w:i/>
          <w:szCs w:val="18"/>
        </w:rPr>
        <w:t>Management of Spending in Response to COVID-19</w:t>
      </w:r>
      <w:r w:rsidRPr="00A8229A">
        <w:rPr>
          <w:rFonts w:cs="Arial"/>
          <w:i/>
          <w:szCs w:val="18"/>
        </w:rPr>
        <w:t>.</w:t>
      </w:r>
      <w:r w:rsidRPr="00A8229A">
        <w:rPr>
          <w:rFonts w:cs="Arial"/>
          <w:szCs w:val="18"/>
        </w:rPr>
        <w:t xml:space="preserve"> Retrieved from </w:t>
      </w:r>
      <w:r w:rsidR="009C4294" w:rsidRPr="009C4294">
        <w:rPr>
          <w:rFonts w:cs="Arial"/>
          <w:szCs w:val="18"/>
        </w:rPr>
        <w:t>https://www.audit.vic.gov.au/report/management-spending-response-covid-19</w:t>
      </w:r>
      <w:r w:rsidR="009C4294">
        <w:rPr>
          <w:rFonts w:cs="Arial"/>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Arial"/>
    <w:panose1 w:val="00000000000000000000"/>
    <w:charset w:val="00"/>
    <w:family w:val="modern"/>
    <w:notTrueType/>
    <w:pitch w:val="variable"/>
    <w:sig w:usb0="A10002FF" w:usb1="4000005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4A0" w:firstRow="1" w:lastRow="0" w:firstColumn="1" w:lastColumn="0" w:noHBand="0" w:noVBand="1"/>
    </w:tblPr>
    <w:tblGrid>
      <w:gridCol w:w="3544"/>
      <w:gridCol w:w="7002"/>
    </w:tblGrid>
    <w:tr w:rsidR="00137F51" w14:paraId="1F866950"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391A6426" w14:textId="4E472C33" w:rsidR="00137F51" w:rsidRDefault="00AC084B" w:rsidP="00536AB8">
          <w:pPr>
            <w:pStyle w:val="Footer"/>
          </w:pPr>
          <w:r>
            <w:rPr>
              <w:noProof/>
            </w:rPr>
            <mc:AlternateContent>
              <mc:Choice Requires="wps">
                <w:drawing>
                  <wp:anchor distT="0" distB="0" distL="114300" distR="114300" simplePos="0" relativeHeight="251658243" behindDoc="0" locked="0" layoutInCell="0" allowOverlap="1" wp14:anchorId="1B7778CC" wp14:editId="444853E6">
                    <wp:simplePos x="0" y="0"/>
                    <wp:positionH relativeFrom="page">
                      <wp:align>left</wp:align>
                    </wp:positionH>
                    <wp:positionV relativeFrom="page">
                      <wp:align>bottom</wp:align>
                    </wp:positionV>
                    <wp:extent cx="7772400" cy="177165"/>
                    <wp:effectExtent l="0" t="0" r="0" b="13335"/>
                    <wp:wrapNone/>
                    <wp:docPr id="10" name="Text Box 10"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5656FA" w14:textId="42D123C2" w:rsidR="00AC084B" w:rsidRPr="00AC084B" w:rsidRDefault="00AC084B" w:rsidP="00AC084B">
                                <w:pPr>
                                  <w:spacing w:after="0"/>
                                  <w:rPr>
                                    <w:rFonts w:ascii="Calibri" w:hAnsi="Calibri" w:cs="Calibri"/>
                                    <w:color w:val="000000"/>
                                    <w:sz w:val="22"/>
                                  </w:rPr>
                                </w:pPr>
                                <w:r w:rsidRPr="00AC084B">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anchor>
                </w:drawing>
              </mc:Choice>
              <mc:Fallback>
                <w:pict>
                  <v:shapetype w14:anchorId="1B7778CC" id="_x0000_t202" coordsize="21600,21600" o:spt="202" path="m,l,21600r21600,l21600,xe">
                    <v:stroke joinstyle="miter"/>
                    <v:path gradientshapeok="t" o:connecttype="rect"/>
                  </v:shapetype>
                  <v:shape id="Text Box 10" o:spid="_x0000_s1037" type="#_x0000_t202" alt="{&quot;HashCode&quot;:-1267603503,&quot;Height&quot;:9999999.0,&quot;Width&quot;:9999999.0,&quot;Placement&quot;:&quot;Footer&quot;,&quot;Index&quot;:&quot;Primary&quot;,&quot;Section&quot;:1,&quot;Top&quot;:0.0,&quot;Left&quot;:0.0}" style="position:absolute;margin-left:0;margin-top:0;width:612pt;height:13.95pt;z-index:25165824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" o:allowincell="f" filled="f" stroked="f" strokeweight=".5pt">
                    <v:textbox style="mso-fit-shape-to-text:t" inset="20pt,0,0,0">
                      <w:txbxContent>
                        <w:p w14:paraId="325656FA" w14:textId="42D123C2" w:rsidR="00AC084B" w:rsidRPr="00AC084B" w:rsidRDefault="00AC084B" w:rsidP="00AC084B">
                          <w:pPr>
                            <w:spacing w:after="0"/>
                            <w:rPr>
                              <w:rFonts w:ascii="Calibri" w:hAnsi="Calibri" w:cs="Calibri"/>
                              <w:color w:val="000000"/>
                              <w:sz w:val="22"/>
                            </w:rPr>
                          </w:pPr>
                          <w:r w:rsidRPr="00AC084B">
                            <w:rPr>
                              <w:rFonts w:ascii="Calibri" w:hAnsi="Calibri" w:cs="Calibri"/>
                              <w:color w:val="000000"/>
                              <w:sz w:val="22"/>
                            </w:rPr>
                            <w:t>OFFICIAL</w:t>
                          </w:r>
                        </w:p>
                      </w:txbxContent>
                    </v:textbox>
                    <w10:wrap anchorx="page" anchory="page"/>
                  </v:shape>
                </w:pict>
              </mc:Fallback>
            </mc:AlternateContent>
          </w:r>
          <w:r w:rsidR="0050592F">
            <w:rPr>
              <w:noProof/>
            </w:rPr>
            <mc:AlternateContent>
              <mc:Choice Requires="wps">
                <w:drawing>
                  <wp:anchor distT="0" distB="0" distL="114300" distR="114300" simplePos="0" relativeHeight="251658242" behindDoc="0" locked="0" layoutInCell="0" allowOverlap="1" wp14:anchorId="51777136" wp14:editId="23EF5C09">
                    <wp:simplePos x="0" y="0"/>
                    <wp:positionH relativeFrom="page">
                      <wp:align>left</wp:align>
                    </wp:positionH>
                    <wp:positionV relativeFrom="page">
                      <wp:align>bottom</wp:align>
                    </wp:positionV>
                    <wp:extent cx="7772400" cy="177165"/>
                    <wp:effectExtent l="0" t="0" r="0" b="13335"/>
                    <wp:wrapNone/>
                    <wp:docPr id="24" name="Text Box 24"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40F750" w14:textId="77C38667" w:rsidR="0050592F" w:rsidRPr="0050592F" w:rsidRDefault="0050592F" w:rsidP="0050592F">
                                <w:pPr>
                                  <w:spacing w:after="0"/>
                                  <w:rPr>
                                    <w:rFonts w:ascii="Calibri" w:hAnsi="Calibri" w:cs="Calibri"/>
                                    <w:color w:val="000000"/>
                                    <w:sz w:val="22"/>
                                  </w:rPr>
                                </w:pPr>
                                <w:r w:rsidRPr="0050592F">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anchor>
                </w:drawing>
              </mc:Choice>
              <mc:Fallback>
                <w:pict>
                  <v:shape w14:anchorId="51777136" id="Text Box 24" o:spid="_x0000_s1038" type="#_x0000_t202" alt="{&quot;HashCode&quot;:-1267603503,&quot;Height&quot;:9999999.0,&quot;Width&quot;:9999999.0,&quot;Placement&quot;:&quot;Footer&quot;,&quot;Index&quot;:&quot;Primary&quot;,&quot;Section&quot;:1,&quot;Top&quot;:0.0,&quot;Left&quot;:0.0}" style="position:absolute;margin-left:0;margin-top:0;width:612pt;height:13.95pt;z-index:25165824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" o:allowincell="f" filled="f" stroked="f" strokeweight=".5pt">
                    <v:textbox style="mso-fit-shape-to-text:t" inset="20pt,0,0,0">
                      <w:txbxContent>
                        <w:p w14:paraId="0540F750" w14:textId="77C38667" w:rsidR="0050592F" w:rsidRPr="0050592F" w:rsidRDefault="0050592F" w:rsidP="0050592F">
                          <w:pPr>
                            <w:spacing w:after="0"/>
                            <w:rPr>
                              <w:rFonts w:ascii="Calibri" w:hAnsi="Calibri" w:cs="Calibri"/>
                              <w:color w:val="000000"/>
                              <w:sz w:val="22"/>
                            </w:rPr>
                          </w:pPr>
                          <w:r w:rsidRPr="0050592F">
                            <w:rPr>
                              <w:rFonts w:ascii="Calibri" w:hAnsi="Calibri" w:cs="Calibri"/>
                              <w:color w:val="000000"/>
                              <w:sz w:val="22"/>
                            </w:rPr>
                            <w:t>OFFICIAL</w:t>
                          </w:r>
                        </w:p>
                      </w:txbxContent>
                    </v:textbox>
                    <w10:wrap anchorx="page" anchory="page"/>
                  </v:shape>
                </w:pict>
              </mc:Fallback>
            </mc:AlternateContent>
          </w:r>
          <w:r w:rsidR="00137F51" w:rsidRPr="006C4F67">
            <w:rPr>
              <w:rStyle w:val="PageNumber"/>
            </w:rPr>
            <w:fldChar w:fldCharType="begin"/>
          </w:r>
          <w:r w:rsidR="00137F51" w:rsidRPr="006C4F67">
            <w:rPr>
              <w:rStyle w:val="PageNumber"/>
            </w:rPr>
            <w:instrText xml:space="preserve"> PAGE</w:instrText>
          </w:r>
          <w:r w:rsidR="00137F51">
            <w:rPr>
              <w:rStyle w:val="PageNumber"/>
            </w:rPr>
            <w:instrText xml:space="preserve"> </w:instrText>
          </w:r>
          <w:r w:rsidR="00137F51" w:rsidRPr="006C4F67">
            <w:rPr>
              <w:rStyle w:val="PageNumber"/>
            </w:rPr>
            <w:fldChar w:fldCharType="separate"/>
          </w:r>
          <w:r w:rsidR="0085005B">
            <w:rPr>
              <w:rStyle w:val="PageNumber"/>
              <w:noProof/>
            </w:rPr>
            <w:t>1</w:t>
          </w:r>
          <w:r w:rsidR="00137F51" w:rsidRPr="006C4F67">
            <w:rPr>
              <w:rStyle w:val="PageNumber"/>
            </w:rPr>
            <w:fldChar w:fldCharType="end"/>
          </w:r>
        </w:p>
      </w:tc>
      <w:tc>
        <w:tcPr>
          <w:tcW w:w="7002" w:type="dxa"/>
          <w:vAlign w:val="bottom"/>
        </w:tcPr>
        <w:p w14:paraId="4480E2B7" w14:textId="77777777" w:rsidR="00137F51" w:rsidRPr="00904097" w:rsidRDefault="00137F51" w:rsidP="00536AB8">
          <w:pPr>
            <w:pStyle w:val="Footer"/>
            <w:spacing w:line="180" w:lineRule="atLeast"/>
            <w:rPr>
              <w:sz w:val="14"/>
              <w:szCs w:val="14"/>
            </w:rPr>
          </w:pPr>
        </w:p>
      </w:tc>
    </w:tr>
  </w:tbl>
  <w:p w14:paraId="0282EBF2" w14:textId="77777777" w:rsidR="00137F51" w:rsidRDefault="00137F51" w:rsidP="00536AB8">
    <w:pPr>
      <w:pStyle w:val="Footer"/>
      <w:spacing w:line="14"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377B" w14:textId="52B19E40" w:rsidR="0000746F" w:rsidRDefault="00007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B61E" w14:textId="3B14FCA1" w:rsidR="0000746F" w:rsidRDefault="000074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2422D" w14:textId="7496F1B0" w:rsidR="00137F51" w:rsidRPr="007E7D93" w:rsidRDefault="00AC084B" w:rsidP="007E7D93">
    <w:pPr>
      <w:pStyle w:val="Footer"/>
    </w:pPr>
    <w:r>
      <w:rPr>
        <w:noProof/>
      </w:rPr>
      <mc:AlternateContent>
        <mc:Choice Requires="wps">
          <w:drawing>
            <wp:anchor distT="0" distB="0" distL="114300" distR="114300" simplePos="0" relativeHeight="251658245" behindDoc="0" locked="0" layoutInCell="0" allowOverlap="1" wp14:anchorId="17316135" wp14:editId="7D4FB3F4">
              <wp:simplePos x="0" y="0"/>
              <wp:positionH relativeFrom="page">
                <wp:align>left</wp:align>
              </wp:positionH>
              <wp:positionV relativeFrom="page">
                <wp:align>bottom</wp:align>
              </wp:positionV>
              <wp:extent cx="7772400" cy="177165"/>
              <wp:effectExtent l="0" t="0" r="0" b="13335"/>
              <wp:wrapNone/>
              <wp:docPr id="12" name="Text Box 12"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B8A538" w14:textId="1C8F341D" w:rsidR="00AC084B" w:rsidRPr="00AC084B" w:rsidRDefault="00AC084B" w:rsidP="00AC084B">
                          <w:pPr>
                            <w:spacing w:after="0"/>
                            <w:rPr>
                              <w:rFonts w:ascii="Calibri" w:hAnsi="Calibri" w:cs="Calibri"/>
                              <w:color w:val="000000"/>
                              <w:sz w:val="22"/>
                            </w:rPr>
                          </w:pPr>
                          <w:r w:rsidRPr="00AC084B">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anchor>
          </w:drawing>
        </mc:Choice>
        <mc:Fallback>
          <w:pict>
            <v:shapetype w14:anchorId="17316135" id="_x0000_t202" coordsize="21600,21600" o:spt="202" path="m,l,21600r21600,l21600,xe">
              <v:stroke joinstyle="miter"/>
              <v:path gradientshapeok="t" o:connecttype="rect"/>
            </v:shapetype>
            <v:shape id="Text Box 12" o:spid="_x0000_s1040" type="#_x0000_t202" alt="{&quot;HashCode&quot;:-1267603503,&quot;Height&quot;:9999999.0,&quot;Width&quot;:9999999.0,&quot;Placement&quot;:&quot;Footer&quot;,&quot;Index&quot;:&quot;Primary&quot;,&quot;Section&quot;:2,&quot;Top&quot;:0.0,&quot;Left&quot;:0.0}" style="position:absolute;margin-left:0;margin-top:0;width:612pt;height:13.95pt;z-index:25165824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" o:allowincell="f" filled="f" stroked="f" strokeweight=".5pt">
              <v:textbox style="mso-fit-shape-to-text:t" inset="20pt,0,0,0">
                <w:txbxContent>
                  <w:p w14:paraId="0CB8A538" w14:textId="1C8F341D" w:rsidR="00AC084B" w:rsidRPr="00AC084B" w:rsidRDefault="00AC084B" w:rsidP="00AC084B">
                    <w:pPr>
                      <w:spacing w:after="0"/>
                      <w:rPr>
                        <w:rFonts w:ascii="Calibri" w:hAnsi="Calibri" w:cs="Calibri"/>
                        <w:color w:val="000000"/>
                        <w:sz w:val="22"/>
                      </w:rPr>
                    </w:pPr>
                    <w:r w:rsidRPr="00AC084B">
                      <w:rPr>
                        <w:rFonts w:ascii="Calibri" w:hAnsi="Calibri" w:cs="Calibri"/>
                        <w:color w:val="000000"/>
                        <w:sz w:val="22"/>
                      </w:rPr>
                      <w:t>OFFICIAL</w:t>
                    </w:r>
                  </w:p>
                </w:txbxContent>
              </v:textbox>
              <w10:wrap anchorx="page" anchory="page"/>
            </v:shape>
          </w:pict>
        </mc:Fallback>
      </mc:AlternateContent>
    </w:r>
    <w:r w:rsidR="0050592F">
      <w:rPr>
        <w:noProof/>
      </w:rPr>
      <mc:AlternateContent>
        <mc:Choice Requires="wps">
          <w:drawing>
            <wp:anchor distT="0" distB="0" distL="114300" distR="114300" simplePos="0" relativeHeight="251658241" behindDoc="0" locked="0" layoutInCell="0" allowOverlap="1" wp14:anchorId="38670B50" wp14:editId="02DDB093">
              <wp:simplePos x="0" y="0"/>
              <wp:positionH relativeFrom="page">
                <wp:align>left</wp:align>
              </wp:positionH>
              <wp:positionV relativeFrom="page">
                <wp:align>bottom</wp:align>
              </wp:positionV>
              <wp:extent cx="7772400" cy="177165"/>
              <wp:effectExtent l="0" t="0" r="0" b="13335"/>
              <wp:wrapNone/>
              <wp:docPr id="25" name="Text Box 25"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C12EB" w14:textId="3AAADB82" w:rsidR="0050592F" w:rsidRPr="0050592F" w:rsidRDefault="0050592F" w:rsidP="0050592F">
                          <w:pPr>
                            <w:spacing w:after="0"/>
                            <w:rPr>
                              <w:rFonts w:ascii="Calibri" w:hAnsi="Calibri" w:cs="Calibri"/>
                              <w:color w:val="000000"/>
                              <w:sz w:val="22"/>
                            </w:rPr>
                          </w:pPr>
                          <w:r w:rsidRPr="0050592F">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anchor>
          </w:drawing>
        </mc:Choice>
        <mc:Fallback>
          <w:pict>
            <v:shape w14:anchorId="38670B50" id="Text Box 25" o:spid="_x0000_s1041" type="#_x0000_t202" alt="{&quot;HashCode&quot;:-1267603503,&quot;Height&quot;:9999999.0,&quot;Width&quot;:9999999.0,&quot;Placement&quot;:&quot;Footer&quot;,&quot;Index&quot;:&quot;Primary&quot;,&quot;Section&quot;:2,&quot;Top&quot;:0.0,&quot;Left&quot;:0.0}" style="position:absolute;margin-left:0;margin-top:0;width:612pt;height:13.9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" o:allowincell="f" filled="f" stroked="f" strokeweight=".5pt">
              <v:textbox style="mso-fit-shape-to-text:t" inset="20pt,0,0,0">
                <w:txbxContent>
                  <w:p w14:paraId="33CC12EB" w14:textId="3AAADB82" w:rsidR="0050592F" w:rsidRPr="0050592F" w:rsidRDefault="0050592F" w:rsidP="0050592F">
                    <w:pPr>
                      <w:spacing w:after="0"/>
                      <w:rPr>
                        <w:rFonts w:ascii="Calibri" w:hAnsi="Calibri" w:cs="Calibri"/>
                        <w:color w:val="000000"/>
                        <w:sz w:val="22"/>
                      </w:rPr>
                    </w:pPr>
                    <w:r w:rsidRPr="0050592F">
                      <w:rPr>
                        <w:rFonts w:ascii="Calibri" w:hAnsi="Calibri" w:cs="Calibri"/>
                        <w:color w:val="000000"/>
                        <w:sz w:val="22"/>
                      </w:rPr>
                      <w:t>OFFICIAL</w:t>
                    </w:r>
                  </w:p>
                </w:txbxContent>
              </v:textbox>
              <w10:wrap anchorx="page" anchory="page"/>
            </v:shape>
          </w:pict>
        </mc:Fallback>
      </mc:AlternateContent>
    </w:r>
    <w:r w:rsidR="007E7D93" w:rsidRPr="006C4F67">
      <w:rPr>
        <w:rStyle w:val="PageNumber"/>
      </w:rPr>
      <w:fldChar w:fldCharType="begin"/>
    </w:r>
    <w:r w:rsidR="007E7D93" w:rsidRPr="006C4F67">
      <w:rPr>
        <w:rStyle w:val="PageNumber"/>
      </w:rPr>
      <w:instrText xml:space="preserve"> PAGE</w:instrText>
    </w:r>
    <w:r w:rsidR="007E7D93">
      <w:rPr>
        <w:rStyle w:val="PageNumber"/>
      </w:rPr>
      <w:instrText xml:space="preserve"> </w:instrText>
    </w:r>
    <w:r w:rsidR="007E7D93" w:rsidRPr="006C4F67">
      <w:rPr>
        <w:rStyle w:val="PageNumber"/>
      </w:rPr>
      <w:fldChar w:fldCharType="separate"/>
    </w:r>
    <w:r w:rsidR="0013686B">
      <w:rPr>
        <w:rStyle w:val="PageNumber"/>
        <w:noProof/>
      </w:rPr>
      <w:t>ii</w:t>
    </w:r>
    <w:r w:rsidR="007E7D93" w:rsidRPr="006C4F6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56CF" w14:textId="2F2C6FDA" w:rsidR="0000746F" w:rsidRDefault="000074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2C6C" w14:textId="77777777" w:rsidR="0000746F" w:rsidRDefault="000074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A62F" w14:textId="5DC2E39F" w:rsidR="007E7D93" w:rsidRPr="007E7D93" w:rsidRDefault="00AC084B" w:rsidP="007E7D93">
    <w:pPr>
      <w:pStyle w:val="Footer"/>
    </w:pPr>
    <w:r>
      <w:rPr>
        <w:noProof/>
      </w:rPr>
      <mc:AlternateContent>
        <mc:Choice Requires="wps">
          <w:drawing>
            <wp:anchor distT="0" distB="0" distL="114300" distR="114300" simplePos="0" relativeHeight="251658246" behindDoc="0" locked="0" layoutInCell="0" allowOverlap="1" wp14:anchorId="6117BE33" wp14:editId="0C411CB8">
              <wp:simplePos x="0" y="0"/>
              <wp:positionH relativeFrom="page">
                <wp:align>left</wp:align>
              </wp:positionH>
              <wp:positionV relativeFrom="page">
                <wp:align>bottom</wp:align>
              </wp:positionV>
              <wp:extent cx="7772400" cy="177165"/>
              <wp:effectExtent l="0" t="0" r="0" b="13335"/>
              <wp:wrapNone/>
              <wp:docPr id="2" name="Text Box 2"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E7DA6F" w14:textId="77777777" w:rsidR="00AC084B" w:rsidRPr="00AC084B" w:rsidRDefault="00AC084B" w:rsidP="00AC084B">
                          <w:pPr>
                            <w:spacing w:after="0"/>
                            <w:rPr>
                              <w:rFonts w:ascii="Calibri" w:hAnsi="Calibri" w:cs="Calibri"/>
                              <w:color w:val="000000"/>
                              <w:sz w:val="22"/>
                            </w:rPr>
                          </w:pPr>
                          <w:r w:rsidRPr="00AC084B">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anchor>
          </w:drawing>
        </mc:Choice>
        <mc:Fallback>
          <w:pict>
            <v:shapetype w14:anchorId="6117BE33" id="_x0000_t202" coordsize="21600,21600" o:spt="202" path="m,l,21600r21600,l21600,xe">
              <v:stroke joinstyle="miter"/>
              <v:path gradientshapeok="t" o:connecttype="rect"/>
            </v:shapetype>
            <v:shape id="Text Box 2" o:spid="_x0000_s1042" type="#_x0000_t202" alt="{&quot;HashCode&quot;:-1267603503,&quot;Height&quot;:9999999.0,&quot;Width&quot;:9999999.0,&quot;Placement&quot;:&quot;Footer&quot;,&quot;Index&quot;:&quot;Primary&quot;,&quot;Section&quot;:3,&quot;Top&quot;:0.0,&quot;Left&quot;:0.0}" style="position:absolute;margin-left:0;margin-top:0;width:612pt;height:13.95pt;z-index:25165824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" o:allowincell="f" filled="f" stroked="f" strokeweight=".5pt">
              <v:textbox style="mso-fit-shape-to-text:t" inset="20pt,0,0,0">
                <w:txbxContent>
                  <w:p w14:paraId="0BE7DA6F" w14:textId="77777777" w:rsidR="00AC084B" w:rsidRPr="00AC084B" w:rsidRDefault="00AC084B" w:rsidP="00AC084B">
                    <w:pPr>
                      <w:spacing w:after="0"/>
                      <w:rPr>
                        <w:rFonts w:ascii="Calibri" w:hAnsi="Calibri" w:cs="Calibri"/>
                        <w:color w:val="000000"/>
                        <w:sz w:val="22"/>
                      </w:rPr>
                    </w:pPr>
                    <w:r w:rsidRPr="00AC084B">
                      <w:rPr>
                        <w:rFonts w:ascii="Calibri" w:hAnsi="Calibri" w:cs="Calibri"/>
                        <w:color w:val="000000"/>
                        <w:sz w:val="22"/>
                      </w:rPr>
                      <w:t>OFFICIAL</w:t>
                    </w:r>
                  </w:p>
                </w:txbxContent>
              </v:textbox>
              <w10:wrap anchorx="page" anchory="page"/>
            </v:shape>
          </w:pict>
        </mc:Fallback>
      </mc:AlternateContent>
    </w:r>
    <w:r w:rsidR="0050592F">
      <w:rPr>
        <w:noProof/>
      </w:rPr>
      <mc:AlternateContent>
        <mc:Choice Requires="wps">
          <w:drawing>
            <wp:anchor distT="0" distB="0" distL="114300" distR="114300" simplePos="0" relativeHeight="251658244" behindDoc="0" locked="0" layoutInCell="0" allowOverlap="1" wp14:anchorId="5D968E3C" wp14:editId="041C2D3E">
              <wp:simplePos x="0" y="0"/>
              <wp:positionH relativeFrom="page">
                <wp:align>left</wp:align>
              </wp:positionH>
              <wp:positionV relativeFrom="page">
                <wp:align>bottom</wp:align>
              </wp:positionV>
              <wp:extent cx="7772400" cy="177165"/>
              <wp:effectExtent l="0" t="0" r="0" b="13335"/>
              <wp:wrapNone/>
              <wp:docPr id="13" name="Text Box 13"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B37A50" w14:textId="77777777" w:rsidR="0050592F" w:rsidRPr="0050592F" w:rsidRDefault="0050592F" w:rsidP="0050592F">
                          <w:pPr>
                            <w:spacing w:after="0"/>
                            <w:rPr>
                              <w:rFonts w:ascii="Calibri" w:hAnsi="Calibri" w:cs="Calibri"/>
                              <w:color w:val="000000"/>
                              <w:sz w:val="22"/>
                            </w:rPr>
                          </w:pPr>
                          <w:r w:rsidRPr="0050592F">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anchor>
          </w:drawing>
        </mc:Choice>
        <mc:Fallback>
          <w:pict>
            <v:shape w14:anchorId="5D968E3C" id="Text Box 13" o:spid="_x0000_s1043" type="#_x0000_t202" alt="{&quot;HashCode&quot;:-1267603503,&quot;Height&quot;:9999999.0,&quot;Width&quot;:9999999.0,&quot;Placement&quot;:&quot;Footer&quot;,&quot;Index&quot;:&quot;Primary&quot;,&quot;Section&quot;:3,&quot;Top&quot;:0.0,&quot;Left&quot;:0.0}" style="position:absolute;margin-left:0;margin-top:0;width:612pt;height:13.95pt;z-index:25165824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" o:allowincell="f" filled="f" stroked="f" strokeweight=".5pt">
              <v:textbox style="mso-fit-shape-to-text:t" inset="20pt,0,0,0">
                <w:txbxContent>
                  <w:p w14:paraId="58B37A50" w14:textId="77777777" w:rsidR="0050592F" w:rsidRPr="0050592F" w:rsidRDefault="0050592F" w:rsidP="0050592F">
                    <w:pPr>
                      <w:spacing w:after="0"/>
                      <w:rPr>
                        <w:rFonts w:ascii="Calibri" w:hAnsi="Calibri" w:cs="Calibri"/>
                        <w:color w:val="000000"/>
                        <w:sz w:val="22"/>
                      </w:rPr>
                    </w:pPr>
                    <w:r w:rsidRPr="0050592F">
                      <w:rPr>
                        <w:rFonts w:ascii="Calibri" w:hAnsi="Calibri" w:cs="Calibri"/>
                        <w:color w:val="000000"/>
                        <w:sz w:val="22"/>
                      </w:rPr>
                      <w:t>OFFICIAL</w:t>
                    </w:r>
                  </w:p>
                </w:txbxContent>
              </v:textbox>
              <w10:wrap anchorx="page" anchory="page"/>
            </v:shape>
          </w:pict>
        </mc:Fallback>
      </mc:AlternateContent>
    </w:r>
    <w:r w:rsidR="007E7D93" w:rsidRPr="006C4F67">
      <w:rPr>
        <w:rStyle w:val="PageNumber"/>
      </w:rPr>
      <w:fldChar w:fldCharType="begin"/>
    </w:r>
    <w:r w:rsidR="007E7D93" w:rsidRPr="006C4F67">
      <w:rPr>
        <w:rStyle w:val="PageNumber"/>
      </w:rPr>
      <w:instrText xml:space="preserve"> PAGE</w:instrText>
    </w:r>
    <w:r w:rsidR="007E7D93">
      <w:rPr>
        <w:rStyle w:val="PageNumber"/>
      </w:rPr>
      <w:instrText xml:space="preserve"> </w:instrText>
    </w:r>
    <w:r w:rsidR="007E7D93" w:rsidRPr="006C4F67">
      <w:rPr>
        <w:rStyle w:val="PageNumber"/>
      </w:rPr>
      <w:fldChar w:fldCharType="separate"/>
    </w:r>
    <w:r w:rsidR="0085005B">
      <w:rPr>
        <w:rStyle w:val="PageNumber"/>
        <w:noProof/>
      </w:rPr>
      <w:t>9</w:t>
    </w:r>
    <w:r w:rsidR="007E7D93" w:rsidRPr="006C4F6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09886" w14:textId="77777777" w:rsidR="0000746F" w:rsidRDefault="0000746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CE37" w14:textId="2BF78B8E" w:rsidR="0000746F" w:rsidRDefault="0000746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D646" w14:textId="42736C8A" w:rsidR="007E7D93" w:rsidRPr="007E7D93" w:rsidRDefault="00AC084B" w:rsidP="007E7D93">
    <w:pPr>
      <w:pStyle w:val="Footer"/>
    </w:pPr>
    <w:r>
      <w:rPr>
        <w:noProof/>
      </w:rPr>
      <mc:AlternateContent>
        <mc:Choice Requires="wps">
          <w:drawing>
            <wp:anchor distT="0" distB="0" distL="114300" distR="114300" simplePos="0" relativeHeight="251658247" behindDoc="0" locked="0" layoutInCell="0" allowOverlap="1" wp14:anchorId="6117BE33" wp14:editId="0C411CB8">
              <wp:simplePos x="0" y="0"/>
              <wp:positionH relativeFrom="page">
                <wp:align>left</wp:align>
              </wp:positionH>
              <wp:positionV relativeFrom="page">
                <wp:align>bottom</wp:align>
              </wp:positionV>
              <wp:extent cx="7772400" cy="177165"/>
              <wp:effectExtent l="0" t="0" r="0" b="13335"/>
              <wp:wrapNone/>
              <wp:docPr id="4" name="Text Box 4"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C566CD" w14:textId="638CF2D9" w:rsidR="00AC084B" w:rsidRPr="00AC084B" w:rsidRDefault="00AC084B" w:rsidP="00AC084B">
                          <w:pPr>
                            <w:spacing w:after="0"/>
                            <w:rPr>
                              <w:rFonts w:ascii="Calibri" w:hAnsi="Calibri" w:cs="Calibri"/>
                              <w:color w:val="000000"/>
                              <w:sz w:val="22"/>
                            </w:rPr>
                          </w:pPr>
                          <w:r w:rsidRPr="00AC084B">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anchor>
          </w:drawing>
        </mc:Choice>
        <mc:Fallback>
          <w:pict>
            <v:shapetype w14:anchorId="6117BE33" id="_x0000_t202" coordsize="21600,21600" o:spt="202" path="m,l,21600r21600,l21600,xe">
              <v:stroke joinstyle="miter"/>
              <v:path gradientshapeok="t" o:connecttype="rect"/>
            </v:shapetype>
            <v:shape id="Text Box 4" o:spid="_x0000_s1044" type="#_x0000_t202" alt="{&quot;HashCode&quot;:-1267603503,&quot;Height&quot;:9999999.0,&quot;Width&quot;:9999999.0,&quot;Placement&quot;:&quot;Footer&quot;,&quot;Index&quot;:&quot;Primary&quot;,&quot;Section&quot;:3,&quot;Top&quot;:0.0,&quot;Left&quot;:0.0}" style="position:absolute;margin-left:0;margin-top:0;width:612pt;height:13.95pt;z-index:25165824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" o:allowincell="f" filled="f" stroked="f" strokeweight=".5pt">
              <v:textbox style="mso-fit-shape-to-text:t" inset="20pt,0,0,0">
                <w:txbxContent>
                  <w:p w14:paraId="05C566CD" w14:textId="638CF2D9" w:rsidR="00AC084B" w:rsidRPr="00AC084B" w:rsidRDefault="00AC084B" w:rsidP="00AC084B">
                    <w:pPr>
                      <w:spacing w:after="0"/>
                      <w:rPr>
                        <w:rFonts w:ascii="Calibri" w:hAnsi="Calibri" w:cs="Calibri"/>
                        <w:color w:val="000000"/>
                        <w:sz w:val="22"/>
                      </w:rPr>
                    </w:pPr>
                    <w:r w:rsidRPr="00AC084B">
                      <w:rPr>
                        <w:rFonts w:ascii="Calibri" w:hAnsi="Calibri" w:cs="Calibri"/>
                        <w:color w:val="000000"/>
                        <w:sz w:val="22"/>
                      </w:rPr>
                      <w:t>OFFICIAL</w:t>
                    </w:r>
                  </w:p>
                </w:txbxContent>
              </v:textbox>
              <w10:wrap anchorx="page" anchory="page"/>
            </v:shape>
          </w:pict>
        </mc:Fallback>
      </mc:AlternateContent>
    </w:r>
    <w:r w:rsidR="0050592F">
      <w:rPr>
        <w:noProof/>
      </w:rPr>
      <mc:AlternateContent>
        <mc:Choice Requires="wps">
          <w:drawing>
            <wp:anchor distT="0" distB="0" distL="114300" distR="114300" simplePos="0" relativeHeight="251658248" behindDoc="0" locked="0" layoutInCell="0" allowOverlap="1" wp14:anchorId="5D968E3C" wp14:editId="041C2D3E">
              <wp:simplePos x="0" y="0"/>
              <wp:positionH relativeFrom="page">
                <wp:align>left</wp:align>
              </wp:positionH>
              <wp:positionV relativeFrom="page">
                <wp:align>bottom</wp:align>
              </wp:positionV>
              <wp:extent cx="7772400" cy="177165"/>
              <wp:effectExtent l="0" t="0" r="0" b="13335"/>
              <wp:wrapNone/>
              <wp:docPr id="57" name="Text Box 57"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1771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B576D" w14:textId="2EE9DC05" w:rsidR="0050592F" w:rsidRPr="0050592F" w:rsidRDefault="0050592F" w:rsidP="0050592F">
                          <w:pPr>
                            <w:spacing w:after="0"/>
                            <w:rPr>
                              <w:rFonts w:ascii="Calibri" w:hAnsi="Calibri" w:cs="Calibri"/>
                              <w:color w:val="000000"/>
                              <w:sz w:val="22"/>
                            </w:rPr>
                          </w:pPr>
                          <w:r w:rsidRPr="0050592F">
                            <w:rPr>
                              <w:rFonts w:ascii="Calibri" w:hAnsi="Calibri" w:cs="Calibri"/>
                              <w:color w:val="000000"/>
                              <w:sz w:val="22"/>
                            </w:rPr>
                            <w:t>OFFICIAL</w:t>
                          </w:r>
                        </w:p>
                      </w:txbxContent>
                    </wps:txbx>
                    <wps:bodyPr rot="0" spcFirstLastPara="0" vertOverflow="overflow" horzOverflow="overflow" vert="horz" wrap="square" lIns="254000" tIns="0" rIns="0" bIns="0" numCol="1" spcCol="0" rtlCol="0" fromWordArt="0" anchor="ctr" anchorCtr="0" forceAA="0" compatLnSpc="1">
                      <a:prstTxWarp prst="textNoShape">
                        <a:avLst/>
                      </a:prstTxWarp>
                      <a:spAutoFit/>
                    </wps:bodyPr>
                  </wps:wsp>
                </a:graphicData>
              </a:graphic>
            </wp:anchor>
          </w:drawing>
        </mc:Choice>
        <mc:Fallback>
          <w:pict>
            <v:shape w14:anchorId="5D968E3C" id="Text Box 57" o:spid="_x0000_s1045" type="#_x0000_t202" alt="{&quot;HashCode&quot;:-1267603503,&quot;Height&quot;:9999999.0,&quot;Width&quot;:9999999.0,&quot;Placement&quot;:&quot;Footer&quot;,&quot;Index&quot;:&quot;Primary&quot;,&quot;Section&quot;:3,&quot;Top&quot;:0.0,&quot;Left&quot;:0.0}" style="position:absolute;margin-left:0;margin-top:0;width:612pt;height:13.95pt;z-index:2516582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" o:allowincell="f" filled="f" stroked="f" strokeweight=".5pt">
              <v:textbox style="mso-fit-shape-to-text:t" inset="20pt,0,0,0">
                <w:txbxContent>
                  <w:p w14:paraId="46DB576D" w14:textId="2EE9DC05" w:rsidR="0050592F" w:rsidRPr="0050592F" w:rsidRDefault="0050592F" w:rsidP="0050592F">
                    <w:pPr>
                      <w:spacing w:after="0"/>
                      <w:rPr>
                        <w:rFonts w:ascii="Calibri" w:hAnsi="Calibri" w:cs="Calibri"/>
                        <w:color w:val="000000"/>
                        <w:sz w:val="22"/>
                      </w:rPr>
                    </w:pPr>
                    <w:r w:rsidRPr="0050592F">
                      <w:rPr>
                        <w:rFonts w:ascii="Calibri" w:hAnsi="Calibri" w:cs="Calibri"/>
                        <w:color w:val="000000"/>
                        <w:sz w:val="22"/>
                      </w:rPr>
                      <w:t>OFFICIAL</w:t>
                    </w:r>
                  </w:p>
                </w:txbxContent>
              </v:textbox>
              <w10:wrap anchorx="page" anchory="page"/>
            </v:shape>
          </w:pict>
        </mc:Fallback>
      </mc:AlternateContent>
    </w:r>
    <w:r w:rsidR="00EB414C">
      <w:rPr>
        <w:noProof/>
      </w:rPr>
      <w:drawing>
        <wp:anchor distT="0" distB="0" distL="0" distR="0" simplePos="0" relativeHeight="251658249" behindDoc="0" locked="0" layoutInCell="1" allowOverlap="1" wp14:anchorId="10FFF68A" wp14:editId="0FF9387C">
          <wp:simplePos x="0" y="0"/>
          <wp:positionH relativeFrom="margin">
            <wp:posOffset>288290</wp:posOffset>
          </wp:positionH>
          <wp:positionV relativeFrom="page">
            <wp:align>bottom</wp:align>
          </wp:positionV>
          <wp:extent cx="5720400" cy="367200"/>
          <wp:effectExtent l="0" t="0" r="0" b="0"/>
          <wp:wrapNone/>
          <wp:docPr id="1489793604" name="Picture 1489793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4" name="Picture 1489793604">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D93" w:rsidRPr="006C4F67">
      <w:rPr>
        <w:rStyle w:val="PageNumber"/>
      </w:rPr>
      <w:fldChar w:fldCharType="begin"/>
    </w:r>
    <w:r w:rsidR="007E7D93" w:rsidRPr="006C4F67">
      <w:rPr>
        <w:rStyle w:val="PageNumber"/>
      </w:rPr>
      <w:instrText xml:space="preserve"> PAGE</w:instrText>
    </w:r>
    <w:r w:rsidR="007E7D93">
      <w:rPr>
        <w:rStyle w:val="PageNumber"/>
      </w:rPr>
      <w:instrText xml:space="preserve"> </w:instrText>
    </w:r>
    <w:r w:rsidR="007E7D93" w:rsidRPr="006C4F67">
      <w:rPr>
        <w:rStyle w:val="PageNumber"/>
      </w:rPr>
      <w:fldChar w:fldCharType="separate"/>
    </w:r>
    <w:r w:rsidR="0085005B">
      <w:rPr>
        <w:rStyle w:val="PageNumber"/>
        <w:noProof/>
      </w:rPr>
      <w:t>9</w:t>
    </w:r>
    <w:r w:rsidR="007E7D93"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C0CDF" w14:textId="77777777" w:rsidR="005E71EE" w:rsidRDefault="005E71EE" w:rsidP="00C702C7">
      <w:r>
        <w:separator/>
      </w:r>
    </w:p>
  </w:footnote>
  <w:footnote w:type="continuationSeparator" w:id="0">
    <w:p w14:paraId="372D49E0" w14:textId="77777777" w:rsidR="005E71EE" w:rsidRDefault="005E71EE" w:rsidP="00C702C7">
      <w:r>
        <w:continuationSeparator/>
      </w:r>
    </w:p>
  </w:footnote>
  <w:footnote w:type="continuationNotice" w:id="1">
    <w:p w14:paraId="13A9A94C" w14:textId="77777777" w:rsidR="005E71EE" w:rsidRDefault="005E71EE">
      <w:pPr>
        <w:spacing w:after="0"/>
      </w:pPr>
    </w:p>
  </w:footnote>
  <w:footnote w:id="2">
    <w:p w14:paraId="306B4069" w14:textId="3129A286" w:rsidR="00EA675B" w:rsidRDefault="00EA675B">
      <w:pPr>
        <w:pStyle w:val="FootnoteText"/>
      </w:pPr>
      <w:r>
        <w:rPr>
          <w:rStyle w:val="FootnoteReference"/>
        </w:rPr>
        <w:footnoteRef/>
      </w:r>
      <w:r w:rsidR="00BE23B5">
        <w:t xml:space="preserve"> The design of JobKeeper meant that casual employees who had been employed for less than 12 months with their current employer were not eligible for the wage subsidy. Approximately 2 million workers were excluded from the JobKeeper program due to being short-term casual employees or being employed on a temporary visa.</w:t>
      </w:r>
    </w:p>
  </w:footnote>
  <w:footnote w:id="3">
    <w:p w14:paraId="420BA4A6" w14:textId="08B8FD57" w:rsidR="000B6645" w:rsidRPr="000B6645" w:rsidRDefault="000B6645">
      <w:pPr>
        <w:pStyle w:val="FootnoteText"/>
        <w:rPr>
          <w:lang w:val="en-US"/>
        </w:rPr>
      </w:pPr>
      <w:r>
        <w:rPr>
          <w:rStyle w:val="FootnoteReference"/>
        </w:rPr>
        <w:footnoteRef/>
      </w:r>
      <w:r>
        <w:t xml:space="preserve"> </w:t>
      </w:r>
      <w:r>
        <w:rPr>
          <w:lang w:val="en-US"/>
        </w:rPr>
        <w:t>Other Transport Support Services</w:t>
      </w:r>
      <w:r w:rsidR="00223ACD">
        <w:rPr>
          <w:lang w:val="en-US"/>
        </w:rPr>
        <w:t xml:space="preserve"> (5299) consist of units mainly engaging in providing transport support services that are not classified under other ANZSIC codes</w:t>
      </w:r>
      <w:r w:rsidR="00C565D4">
        <w:rPr>
          <w:lang w:val="en-US"/>
        </w:rPr>
        <w:t xml:space="preserve">. Examples include freight brokerage, </w:t>
      </w:r>
      <w:r w:rsidR="00781190">
        <w:rPr>
          <w:lang w:val="en-US"/>
        </w:rPr>
        <w:t>railway station operation</w:t>
      </w:r>
      <w:r w:rsidR="00451F6B">
        <w:rPr>
          <w:lang w:val="en-US"/>
        </w:rPr>
        <w:t xml:space="preserve"> and</w:t>
      </w:r>
      <w:r w:rsidR="00781190">
        <w:rPr>
          <w:lang w:val="en-US"/>
        </w:rPr>
        <w:t xml:space="preserve"> </w:t>
      </w:r>
      <w:r w:rsidR="00DA2626">
        <w:rPr>
          <w:lang w:val="en-US"/>
        </w:rPr>
        <w:t>rideshare</w:t>
      </w:r>
      <w:r w:rsidR="00781190">
        <w:rPr>
          <w:lang w:val="en-US"/>
        </w:rPr>
        <w:t xml:space="preserve"> operation</w:t>
      </w:r>
      <w:r w:rsidR="00451F6B">
        <w:rPr>
          <w:lang w:val="en-US"/>
        </w:rPr>
        <w:t xml:space="preserve"> (</w:t>
      </w:r>
      <w:r w:rsidR="006B59AC">
        <w:rPr>
          <w:lang w:val="en-US"/>
        </w:rPr>
        <w:t>ABS</w:t>
      </w:r>
      <w:r w:rsidR="00451F6B">
        <w:rPr>
          <w:lang w:val="en-US"/>
        </w:rPr>
        <w:t>, 20</w:t>
      </w:r>
      <w:r w:rsidR="006B59AC">
        <w:rPr>
          <w:lang w:val="en-US"/>
        </w:rPr>
        <w:t>13</w:t>
      </w:r>
      <w:r w:rsidR="00451F6B">
        <w:rPr>
          <w:lang w:val="en-US"/>
        </w:rPr>
        <w:t xml:space="preserve">). </w:t>
      </w:r>
    </w:p>
  </w:footnote>
  <w:footnote w:id="4">
    <w:p w14:paraId="036F9D65" w14:textId="70493532" w:rsidR="002A281C" w:rsidRDefault="002A281C">
      <w:pPr>
        <w:pStyle w:val="FootnoteText"/>
      </w:pPr>
      <w:r>
        <w:rPr>
          <w:rStyle w:val="FootnoteReference"/>
        </w:rPr>
        <w:footnoteRef/>
      </w:r>
      <w:r>
        <w:t xml:space="preserve"> </w:t>
      </w:r>
      <w:r w:rsidR="00114DFB">
        <w:t xml:space="preserve">The businesses </w:t>
      </w:r>
      <w:r w:rsidR="00E148E9">
        <w:t xml:space="preserve">that </w:t>
      </w:r>
      <w:r w:rsidR="00032DC2">
        <w:t xml:space="preserve">actually </w:t>
      </w:r>
      <w:r w:rsidR="00114DFB">
        <w:t xml:space="preserve">received </w:t>
      </w:r>
      <w:r w:rsidR="004906EF">
        <w:t>grant</w:t>
      </w:r>
      <w:r w:rsidR="00032DC2">
        <w:t>s</w:t>
      </w:r>
      <w:r w:rsidR="004906EF">
        <w:t xml:space="preserve"> </w:t>
      </w:r>
      <w:r w:rsidR="00032DC2">
        <w:t>are not necessarily</w:t>
      </w:r>
      <w:r w:rsidR="00114DFB">
        <w:t xml:space="preserve"> </w:t>
      </w:r>
      <w:r w:rsidR="008E3727">
        <w:t>in the industries defined by the BCAP documentation</w:t>
      </w:r>
      <w:r w:rsidR="00CD6EA4">
        <w:t>.</w:t>
      </w:r>
    </w:p>
  </w:footnote>
  <w:footnote w:id="5">
    <w:p w14:paraId="7375ACF1" w14:textId="67193825" w:rsidR="00543843" w:rsidRDefault="00543843">
      <w:pPr>
        <w:pStyle w:val="FootnoteText"/>
      </w:pPr>
      <w:r>
        <w:rPr>
          <w:rStyle w:val="FootnoteReference"/>
        </w:rPr>
        <w:footnoteRef/>
      </w:r>
      <w:r>
        <w:t xml:space="preserve"> ANZSIC group </w:t>
      </w:r>
      <w:r w:rsidR="00597C04">
        <w:t xml:space="preserve">is </w:t>
      </w:r>
      <w:r w:rsidR="00AC33AE">
        <w:t>otherwise</w:t>
      </w:r>
      <w:r w:rsidR="00597C04">
        <w:t xml:space="preserve"> referred to as ANZSIC 3-digit</w:t>
      </w:r>
      <w:r w:rsidR="00144137">
        <w:t>.</w:t>
      </w:r>
    </w:p>
  </w:footnote>
  <w:footnote w:id="6">
    <w:p w14:paraId="3AF75E72" w14:textId="608BAEEA" w:rsidR="00B10B96" w:rsidRDefault="00B10B96">
      <w:pPr>
        <w:pStyle w:val="FootnoteText"/>
      </w:pPr>
      <w:r>
        <w:rPr>
          <w:rStyle w:val="FootnoteReference"/>
        </w:rPr>
        <w:footnoteRef/>
      </w:r>
      <w:r>
        <w:t xml:space="preserve"> Totals </w:t>
      </w:r>
      <w:r w:rsidR="00F63482">
        <w:t>may not add due to differences in rounding.</w:t>
      </w:r>
    </w:p>
  </w:footnote>
  <w:footnote w:id="7">
    <w:p w14:paraId="35396F10" w14:textId="77BF9849" w:rsidR="005376E6" w:rsidRDefault="005376E6">
      <w:pPr>
        <w:pStyle w:val="FootnoteText"/>
      </w:pPr>
      <w:r>
        <w:rPr>
          <w:rStyle w:val="FootnoteReference"/>
        </w:rPr>
        <w:footnoteRef/>
      </w:r>
      <w:r>
        <w:t xml:space="preserve"> Though such guidelines may be used to inform</w:t>
      </w:r>
      <w:r w:rsidR="00717A09">
        <w:t xml:space="preserve"> grant programs for such an emergency.</w:t>
      </w:r>
    </w:p>
  </w:footnote>
  <w:footnote w:id="8">
    <w:p w14:paraId="42AAF89C" w14:textId="0B1B2A4F" w:rsidR="006C127A" w:rsidRDefault="006C127A">
      <w:pPr>
        <w:pStyle w:val="FootnoteText"/>
      </w:pPr>
      <w:r>
        <w:rPr>
          <w:rStyle w:val="FootnoteReference"/>
        </w:rPr>
        <w:footnoteRef/>
      </w:r>
      <w:r>
        <w:t xml:space="preserve"> </w:t>
      </w:r>
      <w:r w:rsidR="002E6CAC">
        <w:t>A</w:t>
      </w:r>
      <w:r>
        <w:t xml:space="preserve">s defined by </w:t>
      </w:r>
      <w:r w:rsidRPr="00B16026">
        <w:t>Australian Statistical Geography Standard – Remoteness Area</w:t>
      </w:r>
      <w:r>
        <w:t>.</w:t>
      </w:r>
    </w:p>
  </w:footnote>
  <w:footnote w:id="9">
    <w:p w14:paraId="4EDD1ABF" w14:textId="77777777" w:rsidR="009F39B0" w:rsidRDefault="009F39B0" w:rsidP="009F39B0">
      <w:pPr>
        <w:pStyle w:val="FootnoteText"/>
      </w:pPr>
      <w:r>
        <w:rPr>
          <w:rStyle w:val="FootnoteReference"/>
        </w:rPr>
        <w:footnoteRef/>
      </w:r>
      <w:r>
        <w:t xml:space="preserve"> </w:t>
      </w:r>
      <w:r w:rsidRPr="00CE4B9E">
        <w:t>This may not include the full suite of business supports available during the COVID-19 pandemic and focuses on programs similar to the evaluand</w:t>
      </w:r>
      <w:r>
        <w:t>.</w:t>
      </w:r>
    </w:p>
  </w:footnote>
  <w:footnote w:id="10">
    <w:p w14:paraId="0A053920" w14:textId="76DD7631" w:rsidR="00AA3FE8" w:rsidRPr="00513A68" w:rsidRDefault="00AA3FE8" w:rsidP="00AA3FE8">
      <w:pPr>
        <w:pStyle w:val="FootnoteText"/>
      </w:pPr>
      <w:r>
        <w:rPr>
          <w:rStyle w:val="FootnoteReference"/>
        </w:rPr>
        <w:footnoteRef/>
      </w:r>
      <w:r>
        <w:t xml:space="preserve"> Does not include US. </w:t>
      </w:r>
    </w:p>
  </w:footnote>
  <w:footnote w:id="11">
    <w:p w14:paraId="0F415D03" w14:textId="77777777" w:rsidR="006F67DD" w:rsidRDefault="006F67DD" w:rsidP="006F67DD">
      <w:pPr>
        <w:pStyle w:val="FootnoteText"/>
      </w:pPr>
      <w:r>
        <w:rPr>
          <w:rStyle w:val="FootnoteReference"/>
        </w:rPr>
        <w:footnoteRef/>
      </w:r>
      <w:r>
        <w:t xml:space="preserve"> This may not include the full suite of business supports available during the COVID-19 pandemic </w:t>
      </w:r>
      <w:r w:rsidRPr="00CE4B9E">
        <w:t>and focuses on programs similar to the evaluand</w:t>
      </w:r>
      <w:r>
        <w:t>. Some business supports do not provide a total spend or estimated spend value publicly online.</w:t>
      </w:r>
    </w:p>
  </w:footnote>
  <w:footnote w:id="12">
    <w:p w14:paraId="776869F3" w14:textId="78CC7E7B" w:rsidR="005809CC" w:rsidRDefault="005809CC" w:rsidP="005809CC">
      <w:pPr>
        <w:pStyle w:val="FootnoteText"/>
      </w:pPr>
      <w:r>
        <w:rPr>
          <w:rStyle w:val="FootnoteReference"/>
        </w:rPr>
        <w:footnoteRef/>
      </w:r>
      <w:r>
        <w:rPr>
          <w:rStyle w:val="FootnoteReference"/>
        </w:rPr>
        <w:footnoteRef/>
      </w:r>
      <w:r>
        <w:t xml:space="preserve"> </w:t>
      </w:r>
      <w:r>
        <w:rPr>
          <w:rFonts w:cs="Arial"/>
        </w:rPr>
        <w:t>Grants administered by the NSW government in 2021, including the 2021 COVID-19 Business Grant, JobSaver Payment and COVID-19 Micro-Business Grant</w:t>
      </w:r>
      <w:r w:rsidR="00EF039E">
        <w:rPr>
          <w:rFonts w:cs="Arial"/>
        </w:rPr>
        <w:t>,</w:t>
      </w:r>
      <w:r>
        <w:rPr>
          <w:rFonts w:cs="Arial"/>
        </w:rPr>
        <w:t xml:space="preserve"> are currently undergoing evaluation in 2024.</w:t>
      </w:r>
    </w:p>
  </w:footnote>
  <w:footnote w:id="13">
    <w:p w14:paraId="72A55BBF" w14:textId="77777777" w:rsidR="008C4543" w:rsidRPr="00310795" w:rsidRDefault="008C4543" w:rsidP="008C4543">
      <w:pPr>
        <w:pStyle w:val="FootnoteText"/>
        <w:rPr>
          <w:szCs w:val="16"/>
        </w:rPr>
      </w:pPr>
      <w:r w:rsidRPr="00310795">
        <w:rPr>
          <w:rStyle w:val="FootnoteReference"/>
          <w:szCs w:val="16"/>
        </w:rPr>
        <w:footnoteRef/>
      </w:r>
      <w:r w:rsidRPr="00310795">
        <w:rPr>
          <w:szCs w:val="16"/>
        </w:rPr>
        <w:t xml:space="preserve"> </w:t>
      </w:r>
      <w:r w:rsidRPr="00310795">
        <w:rPr>
          <w:rFonts w:cs="Arial"/>
          <w:szCs w:val="16"/>
        </w:rPr>
        <w:t>Determines baseline eligibility for follow up rounds.</w:t>
      </w:r>
    </w:p>
  </w:footnote>
  <w:footnote w:id="14">
    <w:p w14:paraId="224B95A8" w14:textId="13D8A19A" w:rsidR="00473968" w:rsidRPr="00310795" w:rsidRDefault="00473968" w:rsidP="00473968">
      <w:pPr>
        <w:pStyle w:val="FootnoteText"/>
        <w:rPr>
          <w:szCs w:val="16"/>
        </w:rPr>
      </w:pPr>
      <w:r w:rsidRPr="00310795">
        <w:rPr>
          <w:rStyle w:val="FootnoteReference"/>
          <w:szCs w:val="16"/>
        </w:rPr>
        <w:footnoteRef/>
      </w:r>
      <w:r w:rsidRPr="00310795">
        <w:rPr>
          <w:szCs w:val="16"/>
        </w:rPr>
        <w:t xml:space="preserve"> </w:t>
      </w:r>
      <w:r w:rsidRPr="00310795">
        <w:rPr>
          <w:rFonts w:cs="Arial"/>
          <w:szCs w:val="16"/>
        </w:rPr>
        <w:t>Determines baseline eligibility for follow</w:t>
      </w:r>
      <w:r w:rsidR="00F554F6">
        <w:rPr>
          <w:rFonts w:cs="Arial"/>
          <w:szCs w:val="16"/>
        </w:rPr>
        <w:t>-</w:t>
      </w:r>
      <w:r w:rsidRPr="00310795">
        <w:rPr>
          <w:rFonts w:cs="Arial"/>
          <w:szCs w:val="16"/>
        </w:rPr>
        <w:t>up rounds.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A322" w14:textId="25F71644" w:rsidR="00137F51" w:rsidRDefault="00532BD4" w:rsidP="00474643">
    <w:pPr>
      <w:pStyle w:val="Header"/>
    </w:pPr>
    <w:sdt>
      <w:sdtPr>
        <w:rPr>
          <w:lang w:val="en-US"/>
        </w:rPr>
        <w:alias w:val="Title"/>
        <w:id w:val="122897596"/>
        <w:placeholder>
          <w:docPart w:val="D2494BF9C7F3484294EC2E3778D2C52A"/>
        </w:placeholder>
        <w:dataBinding w:prefixMappings="xmlns:ns0='http://purl.org/dc/elements/1.1/' xmlns:ns1='http://schemas.openxmlformats.org/package/2006/metadata/core-properties' " w:xpath="/ns1:coreProperties[1]/ns0:title[1]" w:storeItemID="{6C3C8BC8-F283-45AE-878A-BAB7291924A1}"/>
        <w:text/>
      </w:sdtPr>
      <w:sdtEndPr/>
      <w:sdtContent>
        <w:r w:rsidR="0093290D">
          <w:rPr>
            <w:lang w:val="en-US"/>
          </w:rPr>
          <w:t>Independent evaluation of the Victorian COVID-19 Business Support Grants - FINAL REPORT</w:t>
        </w:r>
      </w:sdtContent>
    </w:sdt>
  </w:p>
  <w:p w14:paraId="0268F1D3" w14:textId="77777777" w:rsidR="00137F51" w:rsidRPr="00474643" w:rsidRDefault="00137F51" w:rsidP="00474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57CEF" w14:textId="1F1A14AA" w:rsidR="00E33B5F" w:rsidRPr="000116B0" w:rsidRDefault="00532BD4" w:rsidP="00E33B5F">
    <w:pPr>
      <w:pStyle w:val="Header"/>
    </w:pPr>
    <w:sdt>
      <w:sdtPr>
        <w:alias w:val="Title"/>
        <w:id w:val="-1085762893"/>
        <w:dataBinding w:prefixMappings="xmlns:ns0='http://purl.org/dc/elements/1.1/' xmlns:ns1='http://schemas.openxmlformats.org/package/2006/metadata/core-properties' " w:xpath="/ns1:coreProperties[1]/ns0:title[1]" w:storeItemID="{6C3C8BC8-F283-45AE-878A-BAB7291924A1}"/>
        <w:text/>
      </w:sdtPr>
      <w:sdtEndPr/>
      <w:sdtContent>
        <w:r w:rsidR="0093290D">
          <w:t>Independent evaluation of the Victorian COVID-19 Business Support Grants - FINAL REPORT</w:t>
        </w:r>
      </w:sdtContent>
    </w:sdt>
  </w:p>
  <w:p w14:paraId="09B6A31C" w14:textId="77777777" w:rsidR="00E33B5F" w:rsidRDefault="00E33B5F" w:rsidP="00E33B5F">
    <w:pPr>
      <w:pStyle w:val="Header"/>
    </w:pPr>
    <w:r>
      <w:rPr>
        <w:noProof/>
        <w:lang w:eastAsia="en-AU"/>
      </w:rPr>
      <mc:AlternateContent>
        <mc:Choice Requires="wps">
          <w:drawing>
            <wp:anchor distT="0" distB="0" distL="0" distR="0" simplePos="0" relativeHeight="251651584" behindDoc="1" locked="1" layoutInCell="1" allowOverlap="1" wp14:anchorId="690FBAF5" wp14:editId="1B842F35">
              <wp:simplePos x="0" y="0"/>
              <wp:positionH relativeFrom="page">
                <wp:posOffset>0</wp:posOffset>
              </wp:positionH>
              <wp:positionV relativeFrom="page">
                <wp:posOffset>0</wp:posOffset>
              </wp:positionV>
              <wp:extent cx="2880000" cy="770400"/>
              <wp:effectExtent l="0" t="0" r="0" b="10795"/>
              <wp:wrapNone/>
              <wp:docPr id="16" name="Text Box 16"/>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688B2C" w14:textId="77777777" w:rsidR="00E33B5F" w:rsidRDefault="00E33B5F" w:rsidP="00E33B5F">
                          <w:pPr>
                            <w:pStyle w:val="Footer"/>
                          </w:pPr>
                          <w:r w:rsidRPr="00FD7D79">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FBAF5" id="_x0000_t202" coordsize="21600,21600" o:spt="202" path="m,l,21600r21600,l21600,xe">
              <v:stroke joinstyle="miter"/>
              <v:path gradientshapeok="t" o:connecttype="rect"/>
            </v:shapetype>
            <v:shape id="Text Box 16" o:spid="_x0000_s1039" type="#_x0000_t202" style="position:absolute;margin-left:0;margin-top:0;width:226.75pt;height:60.6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" filled="f" stroked="f" strokeweight=".5pt">
              <v:textbox inset="1in,0,0,0">
                <w:txbxContent>
                  <w:p w14:paraId="4A688B2C" w14:textId="77777777" w:rsidR="00E33B5F" w:rsidRDefault="00E33B5F" w:rsidP="00E33B5F">
                    <w:pPr>
                      <w:pStyle w:val="Footer"/>
                    </w:pPr>
                    <w:r w:rsidRPr="00FD7D79">
                      <w:t>Commercial-in-confidence</w:t>
                    </w:r>
                  </w:p>
                </w:txbxContent>
              </v:textbox>
              <w10:wrap anchorx="page" anchory="page"/>
              <w10:anchorlock/>
            </v:shape>
          </w:pict>
        </mc:Fallback>
      </mc:AlternateContent>
    </w:r>
  </w:p>
  <w:p w14:paraId="3E9C2B2F" w14:textId="3EA93AE0" w:rsidR="006C43DE" w:rsidRDefault="006C43DE" w:rsidP="006C43DE">
    <w:pPr>
      <w:pStyle w:val="Header"/>
    </w:pPr>
  </w:p>
  <w:p w14:paraId="083184E4" w14:textId="77777777" w:rsidR="00137F51" w:rsidRPr="00E33B5F" w:rsidRDefault="00137F51" w:rsidP="00E3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34367ED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49007E"/>
    <w:multiLevelType w:val="hybridMultilevel"/>
    <w:tmpl w:val="2D3A9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 w15:restartNumberingAfterBreak="0">
    <w:nsid w:val="03494932"/>
    <w:multiLevelType w:val="hybridMultilevel"/>
    <w:tmpl w:val="9744B8EA"/>
    <w:lvl w:ilvl="0" w:tplc="9BD25FCC">
      <w:start w:val="1"/>
      <w:numFmt w:val="decimal"/>
      <w:lvlText w:val="%1."/>
      <w:lvlJc w:val="left"/>
      <w:pPr>
        <w:tabs>
          <w:tab w:val="num" w:pos="720"/>
        </w:tabs>
        <w:ind w:left="720" w:hanging="360"/>
      </w:pPr>
    </w:lvl>
    <w:lvl w:ilvl="1" w:tplc="94ECA9BC" w:tentative="1">
      <w:start w:val="1"/>
      <w:numFmt w:val="decimal"/>
      <w:lvlText w:val="%2."/>
      <w:lvlJc w:val="left"/>
      <w:pPr>
        <w:tabs>
          <w:tab w:val="num" w:pos="1440"/>
        </w:tabs>
        <w:ind w:left="1440" w:hanging="360"/>
      </w:pPr>
    </w:lvl>
    <w:lvl w:ilvl="2" w:tplc="313C570E" w:tentative="1">
      <w:start w:val="1"/>
      <w:numFmt w:val="decimal"/>
      <w:lvlText w:val="%3."/>
      <w:lvlJc w:val="left"/>
      <w:pPr>
        <w:tabs>
          <w:tab w:val="num" w:pos="2160"/>
        </w:tabs>
        <w:ind w:left="2160" w:hanging="360"/>
      </w:pPr>
    </w:lvl>
    <w:lvl w:ilvl="3" w:tplc="230CD10A" w:tentative="1">
      <w:start w:val="1"/>
      <w:numFmt w:val="decimal"/>
      <w:lvlText w:val="%4."/>
      <w:lvlJc w:val="left"/>
      <w:pPr>
        <w:tabs>
          <w:tab w:val="num" w:pos="2880"/>
        </w:tabs>
        <w:ind w:left="2880" w:hanging="360"/>
      </w:pPr>
    </w:lvl>
    <w:lvl w:ilvl="4" w:tplc="FBFC9FA6" w:tentative="1">
      <w:start w:val="1"/>
      <w:numFmt w:val="decimal"/>
      <w:lvlText w:val="%5."/>
      <w:lvlJc w:val="left"/>
      <w:pPr>
        <w:tabs>
          <w:tab w:val="num" w:pos="3600"/>
        </w:tabs>
        <w:ind w:left="3600" w:hanging="360"/>
      </w:pPr>
    </w:lvl>
    <w:lvl w:ilvl="5" w:tplc="160AE4B6" w:tentative="1">
      <w:start w:val="1"/>
      <w:numFmt w:val="decimal"/>
      <w:lvlText w:val="%6."/>
      <w:lvlJc w:val="left"/>
      <w:pPr>
        <w:tabs>
          <w:tab w:val="num" w:pos="4320"/>
        </w:tabs>
        <w:ind w:left="4320" w:hanging="360"/>
      </w:pPr>
    </w:lvl>
    <w:lvl w:ilvl="6" w:tplc="B4D25C0A" w:tentative="1">
      <w:start w:val="1"/>
      <w:numFmt w:val="decimal"/>
      <w:lvlText w:val="%7."/>
      <w:lvlJc w:val="left"/>
      <w:pPr>
        <w:tabs>
          <w:tab w:val="num" w:pos="5040"/>
        </w:tabs>
        <w:ind w:left="5040" w:hanging="360"/>
      </w:pPr>
    </w:lvl>
    <w:lvl w:ilvl="7" w:tplc="8696A294" w:tentative="1">
      <w:start w:val="1"/>
      <w:numFmt w:val="decimal"/>
      <w:lvlText w:val="%8."/>
      <w:lvlJc w:val="left"/>
      <w:pPr>
        <w:tabs>
          <w:tab w:val="num" w:pos="5760"/>
        </w:tabs>
        <w:ind w:left="5760" w:hanging="360"/>
      </w:pPr>
    </w:lvl>
    <w:lvl w:ilvl="8" w:tplc="A446903E" w:tentative="1">
      <w:start w:val="1"/>
      <w:numFmt w:val="decimal"/>
      <w:lvlText w:val="%9."/>
      <w:lvlJc w:val="left"/>
      <w:pPr>
        <w:tabs>
          <w:tab w:val="num" w:pos="6480"/>
        </w:tabs>
        <w:ind w:left="6480" w:hanging="360"/>
      </w:pPr>
    </w:lvl>
  </w:abstractNum>
  <w:abstractNum w:abstractNumId="8" w15:restartNumberingAfterBreak="0">
    <w:nsid w:val="06627F04"/>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9" w15:restartNumberingAfterBreak="0">
    <w:nsid w:val="09CA4D12"/>
    <w:multiLevelType w:val="hybridMultilevel"/>
    <w:tmpl w:val="DF402422"/>
    <w:lvl w:ilvl="0" w:tplc="AED823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E805CD"/>
    <w:multiLevelType w:val="multilevel"/>
    <w:tmpl w:val="AADC6BF0"/>
    <w:lvl w:ilvl="0">
      <w:start w:val="1"/>
      <w:numFmt w:val="upperLetter"/>
      <w:pStyle w:val="Appendixhead1"/>
      <w:lvlText w:val="Appendix %1"/>
      <w:lvlJc w:val="left"/>
      <w:pPr>
        <w:ind w:left="6692" w:hanging="3856"/>
      </w:pPr>
      <w:rPr>
        <w:specVanish w:val="0"/>
      </w:rPr>
    </w:lvl>
    <w:lvl w:ilvl="1">
      <w:start w:val="1"/>
      <w:numFmt w:val="decimal"/>
      <w:pStyle w:val="Appendixhead2"/>
      <w:lvlText w:val="%1.%2."/>
      <w:lvlJc w:val="left"/>
      <w:pPr>
        <w:ind w:left="933" w:hanging="792"/>
      </w:pPr>
      <w:rPr>
        <w:rFonts w:hint="default"/>
        <w:b/>
        <w:bCs w:val="0"/>
      </w:rPr>
    </w:lvl>
    <w:lvl w:ilvl="2">
      <w:start w:val="1"/>
      <w:numFmt w:val="decimal"/>
      <w:pStyle w:val="Appendixhead3"/>
      <w:lvlText w:val="%1.%2.%3."/>
      <w:lvlJc w:val="left"/>
      <w:pPr>
        <w:ind w:left="935" w:hanging="794"/>
      </w:pPr>
      <w:rPr>
        <w:rFonts w:hint="default"/>
      </w:rPr>
    </w:lvl>
    <w:lvl w:ilvl="3">
      <w:start w:val="1"/>
      <w:numFmt w:val="decimal"/>
      <w:pStyle w:val="Appendixhead4"/>
      <w:lvlText w:val="%1.%2.%3.%4."/>
      <w:lvlJc w:val="left"/>
      <w:pPr>
        <w:ind w:left="935" w:hanging="794"/>
      </w:pPr>
      <w:rPr>
        <w:rFonts w:hint="default"/>
      </w:rPr>
    </w:lvl>
    <w:lvl w:ilvl="4">
      <w:start w:val="1"/>
      <w:numFmt w:val="decimal"/>
      <w:lvlText w:val="%1.%2.%3.%4.%5."/>
      <w:lvlJc w:val="left"/>
      <w:pPr>
        <w:ind w:left="1275" w:hanging="1134"/>
      </w:pPr>
      <w:rPr>
        <w:rFonts w:hint="default"/>
        <w:color w:val="44546A" w:themeColor="text2"/>
        <w:sz w:val="22"/>
      </w:rPr>
    </w:lvl>
    <w:lvl w:ilvl="5">
      <w:start w:val="1"/>
      <w:numFmt w:val="decimal"/>
      <w:lvlText w:val="%1.%2.%3.%4.%5.%6."/>
      <w:lvlJc w:val="left"/>
      <w:pPr>
        <w:ind w:left="1842" w:hanging="1701"/>
      </w:pPr>
      <w:rPr>
        <w:rFonts w:hint="default"/>
      </w:rPr>
    </w:lvl>
    <w:lvl w:ilvl="6">
      <w:start w:val="1"/>
      <w:numFmt w:val="decimal"/>
      <w:lvlRestart w:val="1"/>
      <w:pStyle w:val="AppendixTableCaption"/>
      <w:suff w:val="nothing"/>
      <w:lvlText w:val="Table %1.%7"/>
      <w:lvlJc w:val="left"/>
      <w:pPr>
        <w:ind w:left="141"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141" w:firstLine="0"/>
      </w:pPr>
      <w:rPr>
        <w:rFonts w:hint="default"/>
      </w:rPr>
    </w:lvl>
  </w:abstractNum>
  <w:abstractNum w:abstractNumId="11" w15:restartNumberingAfterBreak="0">
    <w:nsid w:val="0BF30AA3"/>
    <w:multiLevelType w:val="hybridMultilevel"/>
    <w:tmpl w:val="A2FE592C"/>
    <w:lvl w:ilvl="0" w:tplc="560A2232">
      <w:start w:val="1"/>
      <w:numFmt w:val="decimal"/>
      <w:lvlText w:val="%1."/>
      <w:lvlJc w:val="left"/>
      <w:pPr>
        <w:tabs>
          <w:tab w:val="num" w:pos="360"/>
        </w:tabs>
        <w:ind w:left="360" w:hanging="360"/>
      </w:pPr>
    </w:lvl>
    <w:lvl w:ilvl="1" w:tplc="517C5D16" w:tentative="1">
      <w:start w:val="1"/>
      <w:numFmt w:val="decimal"/>
      <w:lvlText w:val="%2."/>
      <w:lvlJc w:val="left"/>
      <w:pPr>
        <w:tabs>
          <w:tab w:val="num" w:pos="1080"/>
        </w:tabs>
        <w:ind w:left="1080" w:hanging="360"/>
      </w:pPr>
    </w:lvl>
    <w:lvl w:ilvl="2" w:tplc="B036AD82" w:tentative="1">
      <w:start w:val="1"/>
      <w:numFmt w:val="decimal"/>
      <w:lvlText w:val="%3."/>
      <w:lvlJc w:val="left"/>
      <w:pPr>
        <w:tabs>
          <w:tab w:val="num" w:pos="1800"/>
        </w:tabs>
        <w:ind w:left="1800" w:hanging="360"/>
      </w:pPr>
    </w:lvl>
    <w:lvl w:ilvl="3" w:tplc="ED56A4EC" w:tentative="1">
      <w:start w:val="1"/>
      <w:numFmt w:val="decimal"/>
      <w:lvlText w:val="%4."/>
      <w:lvlJc w:val="left"/>
      <w:pPr>
        <w:tabs>
          <w:tab w:val="num" w:pos="2520"/>
        </w:tabs>
        <w:ind w:left="2520" w:hanging="360"/>
      </w:pPr>
    </w:lvl>
    <w:lvl w:ilvl="4" w:tplc="744CE984" w:tentative="1">
      <w:start w:val="1"/>
      <w:numFmt w:val="decimal"/>
      <w:lvlText w:val="%5."/>
      <w:lvlJc w:val="left"/>
      <w:pPr>
        <w:tabs>
          <w:tab w:val="num" w:pos="3240"/>
        </w:tabs>
        <w:ind w:left="3240" w:hanging="360"/>
      </w:pPr>
    </w:lvl>
    <w:lvl w:ilvl="5" w:tplc="07A6B9E4" w:tentative="1">
      <w:start w:val="1"/>
      <w:numFmt w:val="decimal"/>
      <w:lvlText w:val="%6."/>
      <w:lvlJc w:val="left"/>
      <w:pPr>
        <w:tabs>
          <w:tab w:val="num" w:pos="3960"/>
        </w:tabs>
        <w:ind w:left="3960" w:hanging="360"/>
      </w:pPr>
    </w:lvl>
    <w:lvl w:ilvl="6" w:tplc="DAB6FE7A" w:tentative="1">
      <w:start w:val="1"/>
      <w:numFmt w:val="decimal"/>
      <w:lvlText w:val="%7."/>
      <w:lvlJc w:val="left"/>
      <w:pPr>
        <w:tabs>
          <w:tab w:val="num" w:pos="4680"/>
        </w:tabs>
        <w:ind w:left="4680" w:hanging="360"/>
      </w:pPr>
    </w:lvl>
    <w:lvl w:ilvl="7" w:tplc="12A489A8" w:tentative="1">
      <w:start w:val="1"/>
      <w:numFmt w:val="decimal"/>
      <w:lvlText w:val="%8."/>
      <w:lvlJc w:val="left"/>
      <w:pPr>
        <w:tabs>
          <w:tab w:val="num" w:pos="5400"/>
        </w:tabs>
        <w:ind w:left="5400" w:hanging="360"/>
      </w:pPr>
    </w:lvl>
    <w:lvl w:ilvl="8" w:tplc="86C80968" w:tentative="1">
      <w:start w:val="1"/>
      <w:numFmt w:val="decimal"/>
      <w:lvlText w:val="%9."/>
      <w:lvlJc w:val="left"/>
      <w:pPr>
        <w:tabs>
          <w:tab w:val="num" w:pos="6120"/>
        </w:tabs>
        <w:ind w:left="6120" w:hanging="360"/>
      </w:pPr>
    </w:lvl>
  </w:abstractNum>
  <w:abstractNum w:abstractNumId="12" w15:restartNumberingAfterBreak="0">
    <w:nsid w:val="12F16179"/>
    <w:multiLevelType w:val="hybridMultilevel"/>
    <w:tmpl w:val="5768A7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4EE2D49"/>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14" w15:restartNumberingAfterBreak="0">
    <w:nsid w:val="1579747A"/>
    <w:multiLevelType w:val="multilevel"/>
    <w:tmpl w:val="9FB8ED9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5" w15:restartNumberingAfterBreak="0">
    <w:nsid w:val="16A726EB"/>
    <w:multiLevelType w:val="hybridMultilevel"/>
    <w:tmpl w:val="308AAD9C"/>
    <w:lvl w:ilvl="0" w:tplc="FFFFFFFF">
      <w:start w:val="1"/>
      <w:numFmt w:val="bullet"/>
      <w:lvlText w:val=""/>
      <w:lvlJc w:val="left"/>
      <w:pPr>
        <w:ind w:left="360" w:hanging="360"/>
      </w:pPr>
      <w:rPr>
        <w:rFonts w:ascii="Symbol" w:hAnsi="Symbol" w:hint="default"/>
      </w:rPr>
    </w:lvl>
    <w:lvl w:ilvl="1" w:tplc="870AF2AA">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780461E"/>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17" w15:restartNumberingAfterBreak="0">
    <w:nsid w:val="187F7FA5"/>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18"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9" w15:restartNumberingAfterBreak="0">
    <w:nsid w:val="1DEB00AF"/>
    <w:multiLevelType w:val="hybridMultilevel"/>
    <w:tmpl w:val="6AD865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0" w15:restartNumberingAfterBreak="0">
    <w:nsid w:val="1EEF7EF8"/>
    <w:multiLevelType w:val="hybridMultilevel"/>
    <w:tmpl w:val="671C2246"/>
    <w:lvl w:ilvl="0" w:tplc="4080ED9A">
      <w:start w:val="1"/>
      <w:numFmt w:val="decimal"/>
      <w:lvlText w:val="%1."/>
      <w:lvlJc w:val="left"/>
      <w:pPr>
        <w:tabs>
          <w:tab w:val="num" w:pos="720"/>
        </w:tabs>
        <w:ind w:left="720" w:hanging="360"/>
      </w:pPr>
    </w:lvl>
    <w:lvl w:ilvl="1" w:tplc="AC1885D6" w:tentative="1">
      <w:start w:val="1"/>
      <w:numFmt w:val="decimal"/>
      <w:lvlText w:val="%2."/>
      <w:lvlJc w:val="left"/>
      <w:pPr>
        <w:tabs>
          <w:tab w:val="num" w:pos="1440"/>
        </w:tabs>
        <w:ind w:left="1440" w:hanging="360"/>
      </w:pPr>
    </w:lvl>
    <w:lvl w:ilvl="2" w:tplc="00C49D78" w:tentative="1">
      <w:start w:val="1"/>
      <w:numFmt w:val="decimal"/>
      <w:lvlText w:val="%3."/>
      <w:lvlJc w:val="left"/>
      <w:pPr>
        <w:tabs>
          <w:tab w:val="num" w:pos="2160"/>
        </w:tabs>
        <w:ind w:left="2160" w:hanging="360"/>
      </w:pPr>
    </w:lvl>
    <w:lvl w:ilvl="3" w:tplc="7D024858" w:tentative="1">
      <w:start w:val="1"/>
      <w:numFmt w:val="decimal"/>
      <w:lvlText w:val="%4."/>
      <w:lvlJc w:val="left"/>
      <w:pPr>
        <w:tabs>
          <w:tab w:val="num" w:pos="2880"/>
        </w:tabs>
        <w:ind w:left="2880" w:hanging="360"/>
      </w:pPr>
    </w:lvl>
    <w:lvl w:ilvl="4" w:tplc="C4E2C642" w:tentative="1">
      <w:start w:val="1"/>
      <w:numFmt w:val="decimal"/>
      <w:lvlText w:val="%5."/>
      <w:lvlJc w:val="left"/>
      <w:pPr>
        <w:tabs>
          <w:tab w:val="num" w:pos="3600"/>
        </w:tabs>
        <w:ind w:left="3600" w:hanging="360"/>
      </w:pPr>
    </w:lvl>
    <w:lvl w:ilvl="5" w:tplc="6D4431D6" w:tentative="1">
      <w:start w:val="1"/>
      <w:numFmt w:val="decimal"/>
      <w:lvlText w:val="%6."/>
      <w:lvlJc w:val="left"/>
      <w:pPr>
        <w:tabs>
          <w:tab w:val="num" w:pos="4320"/>
        </w:tabs>
        <w:ind w:left="4320" w:hanging="360"/>
      </w:pPr>
    </w:lvl>
    <w:lvl w:ilvl="6" w:tplc="29A2A4C8" w:tentative="1">
      <w:start w:val="1"/>
      <w:numFmt w:val="decimal"/>
      <w:lvlText w:val="%7."/>
      <w:lvlJc w:val="left"/>
      <w:pPr>
        <w:tabs>
          <w:tab w:val="num" w:pos="5040"/>
        </w:tabs>
        <w:ind w:left="5040" w:hanging="360"/>
      </w:pPr>
    </w:lvl>
    <w:lvl w:ilvl="7" w:tplc="04CEBFA4" w:tentative="1">
      <w:start w:val="1"/>
      <w:numFmt w:val="decimal"/>
      <w:lvlText w:val="%8."/>
      <w:lvlJc w:val="left"/>
      <w:pPr>
        <w:tabs>
          <w:tab w:val="num" w:pos="5760"/>
        </w:tabs>
        <w:ind w:left="5760" w:hanging="360"/>
      </w:pPr>
    </w:lvl>
    <w:lvl w:ilvl="8" w:tplc="88300044" w:tentative="1">
      <w:start w:val="1"/>
      <w:numFmt w:val="decimal"/>
      <w:lvlText w:val="%9."/>
      <w:lvlJc w:val="left"/>
      <w:pPr>
        <w:tabs>
          <w:tab w:val="num" w:pos="6480"/>
        </w:tabs>
        <w:ind w:left="6480" w:hanging="360"/>
      </w:pPr>
    </w:lvl>
  </w:abstractNum>
  <w:abstractNum w:abstractNumId="21" w15:restartNumberingAfterBreak="0">
    <w:nsid w:val="23B57EB1"/>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22" w15:restartNumberingAfterBreak="0">
    <w:nsid w:val="2A2346DF"/>
    <w:multiLevelType w:val="hybridMultilevel"/>
    <w:tmpl w:val="2ED03774"/>
    <w:lvl w:ilvl="0" w:tplc="B712C224">
      <w:start w:val="1"/>
      <w:numFmt w:val="bullet"/>
      <w:lvlText w:val="•"/>
      <w:lvlJc w:val="left"/>
      <w:pPr>
        <w:tabs>
          <w:tab w:val="num" w:pos="720"/>
        </w:tabs>
        <w:ind w:left="720" w:hanging="360"/>
      </w:pPr>
      <w:rPr>
        <w:rFonts w:ascii="Arial" w:hAnsi="Arial" w:hint="default"/>
      </w:rPr>
    </w:lvl>
    <w:lvl w:ilvl="1" w:tplc="710A1B80" w:tentative="1">
      <w:start w:val="1"/>
      <w:numFmt w:val="bullet"/>
      <w:lvlText w:val="•"/>
      <w:lvlJc w:val="left"/>
      <w:pPr>
        <w:tabs>
          <w:tab w:val="num" w:pos="1440"/>
        </w:tabs>
        <w:ind w:left="1440" w:hanging="360"/>
      </w:pPr>
      <w:rPr>
        <w:rFonts w:ascii="Arial" w:hAnsi="Arial" w:hint="default"/>
      </w:rPr>
    </w:lvl>
    <w:lvl w:ilvl="2" w:tplc="45DEADBE" w:tentative="1">
      <w:start w:val="1"/>
      <w:numFmt w:val="bullet"/>
      <w:lvlText w:val="•"/>
      <w:lvlJc w:val="left"/>
      <w:pPr>
        <w:tabs>
          <w:tab w:val="num" w:pos="2160"/>
        </w:tabs>
        <w:ind w:left="2160" w:hanging="360"/>
      </w:pPr>
      <w:rPr>
        <w:rFonts w:ascii="Arial" w:hAnsi="Arial" w:hint="default"/>
      </w:rPr>
    </w:lvl>
    <w:lvl w:ilvl="3" w:tplc="DC346CC8" w:tentative="1">
      <w:start w:val="1"/>
      <w:numFmt w:val="bullet"/>
      <w:lvlText w:val="•"/>
      <w:lvlJc w:val="left"/>
      <w:pPr>
        <w:tabs>
          <w:tab w:val="num" w:pos="2880"/>
        </w:tabs>
        <w:ind w:left="2880" w:hanging="360"/>
      </w:pPr>
      <w:rPr>
        <w:rFonts w:ascii="Arial" w:hAnsi="Arial" w:hint="default"/>
      </w:rPr>
    </w:lvl>
    <w:lvl w:ilvl="4" w:tplc="B3C06B9E" w:tentative="1">
      <w:start w:val="1"/>
      <w:numFmt w:val="bullet"/>
      <w:lvlText w:val="•"/>
      <w:lvlJc w:val="left"/>
      <w:pPr>
        <w:tabs>
          <w:tab w:val="num" w:pos="3600"/>
        </w:tabs>
        <w:ind w:left="3600" w:hanging="360"/>
      </w:pPr>
      <w:rPr>
        <w:rFonts w:ascii="Arial" w:hAnsi="Arial" w:hint="default"/>
      </w:rPr>
    </w:lvl>
    <w:lvl w:ilvl="5" w:tplc="24D67CB8" w:tentative="1">
      <w:start w:val="1"/>
      <w:numFmt w:val="bullet"/>
      <w:lvlText w:val="•"/>
      <w:lvlJc w:val="left"/>
      <w:pPr>
        <w:tabs>
          <w:tab w:val="num" w:pos="4320"/>
        </w:tabs>
        <w:ind w:left="4320" w:hanging="360"/>
      </w:pPr>
      <w:rPr>
        <w:rFonts w:ascii="Arial" w:hAnsi="Arial" w:hint="default"/>
      </w:rPr>
    </w:lvl>
    <w:lvl w:ilvl="6" w:tplc="FCDAC1D2" w:tentative="1">
      <w:start w:val="1"/>
      <w:numFmt w:val="bullet"/>
      <w:lvlText w:val="•"/>
      <w:lvlJc w:val="left"/>
      <w:pPr>
        <w:tabs>
          <w:tab w:val="num" w:pos="5040"/>
        </w:tabs>
        <w:ind w:left="5040" w:hanging="360"/>
      </w:pPr>
      <w:rPr>
        <w:rFonts w:ascii="Arial" w:hAnsi="Arial" w:hint="default"/>
      </w:rPr>
    </w:lvl>
    <w:lvl w:ilvl="7" w:tplc="0ADC0AE4" w:tentative="1">
      <w:start w:val="1"/>
      <w:numFmt w:val="bullet"/>
      <w:lvlText w:val="•"/>
      <w:lvlJc w:val="left"/>
      <w:pPr>
        <w:tabs>
          <w:tab w:val="num" w:pos="5760"/>
        </w:tabs>
        <w:ind w:left="5760" w:hanging="360"/>
      </w:pPr>
      <w:rPr>
        <w:rFonts w:ascii="Arial" w:hAnsi="Arial" w:hint="default"/>
      </w:rPr>
    </w:lvl>
    <w:lvl w:ilvl="8" w:tplc="1A26740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291EE0"/>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24" w15:restartNumberingAfterBreak="0">
    <w:nsid w:val="2B6454F0"/>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25"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26" w15:restartNumberingAfterBreak="0">
    <w:nsid w:val="32B17733"/>
    <w:multiLevelType w:val="hybridMultilevel"/>
    <w:tmpl w:val="C35EA008"/>
    <w:lvl w:ilvl="0" w:tplc="FFFFFFFF">
      <w:start w:val="1"/>
      <w:numFmt w:val="decimal"/>
      <w:lvlText w:val="%1."/>
      <w:lvlJc w:val="left"/>
      <w:pPr>
        <w:tabs>
          <w:tab w:val="num" w:pos="360"/>
        </w:tabs>
        <w:ind w:left="360" w:hanging="360"/>
      </w:p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27" w15:restartNumberingAfterBreak="0">
    <w:nsid w:val="33341965"/>
    <w:multiLevelType w:val="hybridMultilevel"/>
    <w:tmpl w:val="00004946"/>
    <w:lvl w:ilvl="0" w:tplc="7F7AD526">
      <w:start w:val="1"/>
      <w:numFmt w:val="decimal"/>
      <w:lvlText w:val="%1."/>
      <w:lvlJc w:val="left"/>
      <w:pPr>
        <w:tabs>
          <w:tab w:val="num" w:pos="360"/>
        </w:tabs>
        <w:ind w:left="360" w:hanging="360"/>
      </w:pPr>
    </w:lvl>
    <w:lvl w:ilvl="1" w:tplc="C4C416E8" w:tentative="1">
      <w:start w:val="1"/>
      <w:numFmt w:val="decimal"/>
      <w:lvlText w:val="%2."/>
      <w:lvlJc w:val="left"/>
      <w:pPr>
        <w:tabs>
          <w:tab w:val="num" w:pos="1080"/>
        </w:tabs>
        <w:ind w:left="1080" w:hanging="360"/>
      </w:pPr>
    </w:lvl>
    <w:lvl w:ilvl="2" w:tplc="238654B2" w:tentative="1">
      <w:start w:val="1"/>
      <w:numFmt w:val="decimal"/>
      <w:lvlText w:val="%3."/>
      <w:lvlJc w:val="left"/>
      <w:pPr>
        <w:tabs>
          <w:tab w:val="num" w:pos="1800"/>
        </w:tabs>
        <w:ind w:left="1800" w:hanging="360"/>
      </w:pPr>
    </w:lvl>
    <w:lvl w:ilvl="3" w:tplc="C1044080" w:tentative="1">
      <w:start w:val="1"/>
      <w:numFmt w:val="decimal"/>
      <w:lvlText w:val="%4."/>
      <w:lvlJc w:val="left"/>
      <w:pPr>
        <w:tabs>
          <w:tab w:val="num" w:pos="2520"/>
        </w:tabs>
        <w:ind w:left="2520" w:hanging="360"/>
      </w:pPr>
    </w:lvl>
    <w:lvl w:ilvl="4" w:tplc="FCF00A4C" w:tentative="1">
      <w:start w:val="1"/>
      <w:numFmt w:val="decimal"/>
      <w:lvlText w:val="%5."/>
      <w:lvlJc w:val="left"/>
      <w:pPr>
        <w:tabs>
          <w:tab w:val="num" w:pos="3240"/>
        </w:tabs>
        <w:ind w:left="3240" w:hanging="360"/>
      </w:pPr>
    </w:lvl>
    <w:lvl w:ilvl="5" w:tplc="7BE0DC10" w:tentative="1">
      <w:start w:val="1"/>
      <w:numFmt w:val="decimal"/>
      <w:lvlText w:val="%6."/>
      <w:lvlJc w:val="left"/>
      <w:pPr>
        <w:tabs>
          <w:tab w:val="num" w:pos="3960"/>
        </w:tabs>
        <w:ind w:left="3960" w:hanging="360"/>
      </w:pPr>
    </w:lvl>
    <w:lvl w:ilvl="6" w:tplc="E61EB630" w:tentative="1">
      <w:start w:val="1"/>
      <w:numFmt w:val="decimal"/>
      <w:lvlText w:val="%7."/>
      <w:lvlJc w:val="left"/>
      <w:pPr>
        <w:tabs>
          <w:tab w:val="num" w:pos="4680"/>
        </w:tabs>
        <w:ind w:left="4680" w:hanging="360"/>
      </w:pPr>
    </w:lvl>
    <w:lvl w:ilvl="7" w:tplc="E3280654" w:tentative="1">
      <w:start w:val="1"/>
      <w:numFmt w:val="decimal"/>
      <w:lvlText w:val="%8."/>
      <w:lvlJc w:val="left"/>
      <w:pPr>
        <w:tabs>
          <w:tab w:val="num" w:pos="5400"/>
        </w:tabs>
        <w:ind w:left="5400" w:hanging="360"/>
      </w:pPr>
    </w:lvl>
    <w:lvl w:ilvl="8" w:tplc="0B8C7EC6" w:tentative="1">
      <w:start w:val="1"/>
      <w:numFmt w:val="decimal"/>
      <w:lvlText w:val="%9."/>
      <w:lvlJc w:val="left"/>
      <w:pPr>
        <w:tabs>
          <w:tab w:val="num" w:pos="6120"/>
        </w:tabs>
        <w:ind w:left="6120" w:hanging="360"/>
      </w:pPr>
    </w:lvl>
  </w:abstractNum>
  <w:abstractNum w:abstractNumId="28" w15:restartNumberingAfterBreak="0">
    <w:nsid w:val="3BED2F2D"/>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29" w15:restartNumberingAfterBreak="0">
    <w:nsid w:val="3EEF057F"/>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30" w15:restartNumberingAfterBreak="0">
    <w:nsid w:val="3FAD01D2"/>
    <w:multiLevelType w:val="multilevel"/>
    <w:tmpl w:val="44D8A000"/>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305" w:hanging="1021"/>
      </w:pPr>
    </w:lvl>
    <w:lvl w:ilvl="3">
      <w:start w:val="1"/>
      <w:numFmt w:val="decimal"/>
      <w:pStyle w:val="Heading4"/>
      <w:lvlText w:val="%1.%2.%3.%4"/>
      <w:lvlJc w:val="left"/>
      <w:pPr>
        <w:ind w:left="1134" w:hanging="1134"/>
      </w:pPr>
      <w:rPr>
        <w:rFonts w:hint="default"/>
        <w:b/>
        <w:bCs w:val="0"/>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31"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2" w15:restartNumberingAfterBreak="0">
    <w:nsid w:val="422425AF"/>
    <w:multiLevelType w:val="hybridMultilevel"/>
    <w:tmpl w:val="E26A8D1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3"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785745E"/>
    <w:multiLevelType w:val="hybridMultilevel"/>
    <w:tmpl w:val="6AD865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36" w15:restartNumberingAfterBreak="0">
    <w:nsid w:val="48C74DD7"/>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37" w15:restartNumberingAfterBreak="0">
    <w:nsid w:val="48E95265"/>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38" w15:restartNumberingAfterBreak="0">
    <w:nsid w:val="49864F3B"/>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39" w15:restartNumberingAfterBreak="0">
    <w:nsid w:val="4A0A1796"/>
    <w:multiLevelType w:val="hybridMultilevel"/>
    <w:tmpl w:val="32AC3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DAA34FD"/>
    <w:multiLevelType w:val="hybridMultilevel"/>
    <w:tmpl w:val="36548716"/>
    <w:lvl w:ilvl="0" w:tplc="CEBA40C8">
      <w:start w:val="1"/>
      <w:numFmt w:val="decimal"/>
      <w:lvlText w:val="%1."/>
      <w:lvlJc w:val="left"/>
      <w:pPr>
        <w:tabs>
          <w:tab w:val="num" w:pos="720"/>
        </w:tabs>
        <w:ind w:left="720" w:hanging="360"/>
      </w:pPr>
    </w:lvl>
    <w:lvl w:ilvl="1" w:tplc="A7423FBC" w:tentative="1">
      <w:start w:val="1"/>
      <w:numFmt w:val="decimal"/>
      <w:lvlText w:val="%2."/>
      <w:lvlJc w:val="left"/>
      <w:pPr>
        <w:tabs>
          <w:tab w:val="num" w:pos="1440"/>
        </w:tabs>
        <w:ind w:left="1440" w:hanging="360"/>
      </w:pPr>
    </w:lvl>
    <w:lvl w:ilvl="2" w:tplc="5EC06820" w:tentative="1">
      <w:start w:val="1"/>
      <w:numFmt w:val="decimal"/>
      <w:lvlText w:val="%3."/>
      <w:lvlJc w:val="left"/>
      <w:pPr>
        <w:tabs>
          <w:tab w:val="num" w:pos="2160"/>
        </w:tabs>
        <w:ind w:left="2160" w:hanging="360"/>
      </w:pPr>
    </w:lvl>
    <w:lvl w:ilvl="3" w:tplc="074423B8" w:tentative="1">
      <w:start w:val="1"/>
      <w:numFmt w:val="decimal"/>
      <w:lvlText w:val="%4."/>
      <w:lvlJc w:val="left"/>
      <w:pPr>
        <w:tabs>
          <w:tab w:val="num" w:pos="2880"/>
        </w:tabs>
        <w:ind w:left="2880" w:hanging="360"/>
      </w:pPr>
    </w:lvl>
    <w:lvl w:ilvl="4" w:tplc="8F4610B2" w:tentative="1">
      <w:start w:val="1"/>
      <w:numFmt w:val="decimal"/>
      <w:lvlText w:val="%5."/>
      <w:lvlJc w:val="left"/>
      <w:pPr>
        <w:tabs>
          <w:tab w:val="num" w:pos="3600"/>
        </w:tabs>
        <w:ind w:left="3600" w:hanging="360"/>
      </w:pPr>
    </w:lvl>
    <w:lvl w:ilvl="5" w:tplc="FB64E234" w:tentative="1">
      <w:start w:val="1"/>
      <w:numFmt w:val="decimal"/>
      <w:lvlText w:val="%6."/>
      <w:lvlJc w:val="left"/>
      <w:pPr>
        <w:tabs>
          <w:tab w:val="num" w:pos="4320"/>
        </w:tabs>
        <w:ind w:left="4320" w:hanging="360"/>
      </w:pPr>
    </w:lvl>
    <w:lvl w:ilvl="6" w:tplc="A05C6EB4" w:tentative="1">
      <w:start w:val="1"/>
      <w:numFmt w:val="decimal"/>
      <w:lvlText w:val="%7."/>
      <w:lvlJc w:val="left"/>
      <w:pPr>
        <w:tabs>
          <w:tab w:val="num" w:pos="5040"/>
        </w:tabs>
        <w:ind w:left="5040" w:hanging="360"/>
      </w:pPr>
    </w:lvl>
    <w:lvl w:ilvl="7" w:tplc="67EA0ACC" w:tentative="1">
      <w:start w:val="1"/>
      <w:numFmt w:val="decimal"/>
      <w:lvlText w:val="%8."/>
      <w:lvlJc w:val="left"/>
      <w:pPr>
        <w:tabs>
          <w:tab w:val="num" w:pos="5760"/>
        </w:tabs>
        <w:ind w:left="5760" w:hanging="360"/>
      </w:pPr>
    </w:lvl>
    <w:lvl w:ilvl="8" w:tplc="A9EC6698" w:tentative="1">
      <w:start w:val="1"/>
      <w:numFmt w:val="decimal"/>
      <w:lvlText w:val="%9."/>
      <w:lvlJc w:val="left"/>
      <w:pPr>
        <w:tabs>
          <w:tab w:val="num" w:pos="6480"/>
        </w:tabs>
        <w:ind w:left="6480" w:hanging="360"/>
      </w:pPr>
    </w:lvl>
  </w:abstractNum>
  <w:abstractNum w:abstractNumId="41"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E025C52"/>
    <w:multiLevelType w:val="hybridMultilevel"/>
    <w:tmpl w:val="9744B8EA"/>
    <w:lvl w:ilvl="0" w:tplc="FFFFFFFF">
      <w:start w:val="1"/>
      <w:numFmt w:val="decimal"/>
      <w:lvlText w:val="%1."/>
      <w:lvlJc w:val="left"/>
      <w:pPr>
        <w:tabs>
          <w:tab w:val="num" w:pos="360"/>
        </w:tabs>
        <w:ind w:left="360" w:hanging="360"/>
      </w:p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43" w15:restartNumberingAfterBreak="0">
    <w:nsid w:val="4E08521B"/>
    <w:multiLevelType w:val="hybridMultilevel"/>
    <w:tmpl w:val="4E52FD18"/>
    <w:lvl w:ilvl="0" w:tplc="2E586146">
      <w:start w:val="1"/>
      <w:numFmt w:val="decimal"/>
      <w:lvlText w:val="%1."/>
      <w:lvlJc w:val="left"/>
      <w:pPr>
        <w:tabs>
          <w:tab w:val="num" w:pos="360"/>
        </w:tabs>
        <w:ind w:left="360" w:hanging="360"/>
      </w:pPr>
    </w:lvl>
    <w:lvl w:ilvl="1" w:tplc="1F1487A6" w:tentative="1">
      <w:start w:val="1"/>
      <w:numFmt w:val="decimal"/>
      <w:lvlText w:val="%2."/>
      <w:lvlJc w:val="left"/>
      <w:pPr>
        <w:tabs>
          <w:tab w:val="num" w:pos="1080"/>
        </w:tabs>
        <w:ind w:left="1080" w:hanging="360"/>
      </w:pPr>
    </w:lvl>
    <w:lvl w:ilvl="2" w:tplc="6784C816" w:tentative="1">
      <w:start w:val="1"/>
      <w:numFmt w:val="decimal"/>
      <w:lvlText w:val="%3."/>
      <w:lvlJc w:val="left"/>
      <w:pPr>
        <w:tabs>
          <w:tab w:val="num" w:pos="1800"/>
        </w:tabs>
        <w:ind w:left="1800" w:hanging="360"/>
      </w:pPr>
    </w:lvl>
    <w:lvl w:ilvl="3" w:tplc="8B5E3800" w:tentative="1">
      <w:start w:val="1"/>
      <w:numFmt w:val="decimal"/>
      <w:lvlText w:val="%4."/>
      <w:lvlJc w:val="left"/>
      <w:pPr>
        <w:tabs>
          <w:tab w:val="num" w:pos="2520"/>
        </w:tabs>
        <w:ind w:left="2520" w:hanging="360"/>
      </w:pPr>
    </w:lvl>
    <w:lvl w:ilvl="4" w:tplc="AE9C085C" w:tentative="1">
      <w:start w:val="1"/>
      <w:numFmt w:val="decimal"/>
      <w:lvlText w:val="%5."/>
      <w:lvlJc w:val="left"/>
      <w:pPr>
        <w:tabs>
          <w:tab w:val="num" w:pos="3240"/>
        </w:tabs>
        <w:ind w:left="3240" w:hanging="360"/>
      </w:pPr>
    </w:lvl>
    <w:lvl w:ilvl="5" w:tplc="236E9702" w:tentative="1">
      <w:start w:val="1"/>
      <w:numFmt w:val="decimal"/>
      <w:lvlText w:val="%6."/>
      <w:lvlJc w:val="left"/>
      <w:pPr>
        <w:tabs>
          <w:tab w:val="num" w:pos="3960"/>
        </w:tabs>
        <w:ind w:left="3960" w:hanging="360"/>
      </w:pPr>
    </w:lvl>
    <w:lvl w:ilvl="6" w:tplc="991079EE" w:tentative="1">
      <w:start w:val="1"/>
      <w:numFmt w:val="decimal"/>
      <w:lvlText w:val="%7."/>
      <w:lvlJc w:val="left"/>
      <w:pPr>
        <w:tabs>
          <w:tab w:val="num" w:pos="4680"/>
        </w:tabs>
        <w:ind w:left="4680" w:hanging="360"/>
      </w:pPr>
    </w:lvl>
    <w:lvl w:ilvl="7" w:tplc="3D08E8EC" w:tentative="1">
      <w:start w:val="1"/>
      <w:numFmt w:val="decimal"/>
      <w:lvlText w:val="%8."/>
      <w:lvlJc w:val="left"/>
      <w:pPr>
        <w:tabs>
          <w:tab w:val="num" w:pos="5400"/>
        </w:tabs>
        <w:ind w:left="5400" w:hanging="360"/>
      </w:pPr>
    </w:lvl>
    <w:lvl w:ilvl="8" w:tplc="37F2A27E" w:tentative="1">
      <w:start w:val="1"/>
      <w:numFmt w:val="decimal"/>
      <w:lvlText w:val="%9."/>
      <w:lvlJc w:val="left"/>
      <w:pPr>
        <w:tabs>
          <w:tab w:val="num" w:pos="6120"/>
        </w:tabs>
        <w:ind w:left="6120" w:hanging="360"/>
      </w:pPr>
    </w:lvl>
  </w:abstractNum>
  <w:abstractNum w:abstractNumId="44" w15:restartNumberingAfterBreak="0">
    <w:nsid w:val="4FEA071B"/>
    <w:multiLevelType w:val="hybridMultilevel"/>
    <w:tmpl w:val="684A6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0790529"/>
    <w:multiLevelType w:val="hybridMultilevel"/>
    <w:tmpl w:val="484E26AE"/>
    <w:lvl w:ilvl="0" w:tplc="4ED00C1E">
      <w:start w:val="1"/>
      <w:numFmt w:val="decimal"/>
      <w:lvlText w:val="%1."/>
      <w:lvlJc w:val="left"/>
      <w:pPr>
        <w:tabs>
          <w:tab w:val="num" w:pos="360"/>
        </w:tabs>
        <w:ind w:left="360" w:hanging="360"/>
      </w:pPr>
    </w:lvl>
    <w:lvl w:ilvl="1" w:tplc="2D2E84A6" w:tentative="1">
      <w:start w:val="1"/>
      <w:numFmt w:val="decimal"/>
      <w:lvlText w:val="%2."/>
      <w:lvlJc w:val="left"/>
      <w:pPr>
        <w:tabs>
          <w:tab w:val="num" w:pos="1080"/>
        </w:tabs>
        <w:ind w:left="1080" w:hanging="360"/>
      </w:pPr>
    </w:lvl>
    <w:lvl w:ilvl="2" w:tplc="792E3DEC" w:tentative="1">
      <w:start w:val="1"/>
      <w:numFmt w:val="decimal"/>
      <w:lvlText w:val="%3."/>
      <w:lvlJc w:val="left"/>
      <w:pPr>
        <w:tabs>
          <w:tab w:val="num" w:pos="1800"/>
        </w:tabs>
        <w:ind w:left="1800" w:hanging="360"/>
      </w:pPr>
    </w:lvl>
    <w:lvl w:ilvl="3" w:tplc="D4D8E528" w:tentative="1">
      <w:start w:val="1"/>
      <w:numFmt w:val="decimal"/>
      <w:lvlText w:val="%4."/>
      <w:lvlJc w:val="left"/>
      <w:pPr>
        <w:tabs>
          <w:tab w:val="num" w:pos="2520"/>
        </w:tabs>
        <w:ind w:left="2520" w:hanging="360"/>
      </w:pPr>
    </w:lvl>
    <w:lvl w:ilvl="4" w:tplc="C7EE75F0" w:tentative="1">
      <w:start w:val="1"/>
      <w:numFmt w:val="decimal"/>
      <w:lvlText w:val="%5."/>
      <w:lvlJc w:val="left"/>
      <w:pPr>
        <w:tabs>
          <w:tab w:val="num" w:pos="3240"/>
        </w:tabs>
        <w:ind w:left="3240" w:hanging="360"/>
      </w:pPr>
    </w:lvl>
    <w:lvl w:ilvl="5" w:tplc="DBB8AD82" w:tentative="1">
      <w:start w:val="1"/>
      <w:numFmt w:val="decimal"/>
      <w:lvlText w:val="%6."/>
      <w:lvlJc w:val="left"/>
      <w:pPr>
        <w:tabs>
          <w:tab w:val="num" w:pos="3960"/>
        </w:tabs>
        <w:ind w:left="3960" w:hanging="360"/>
      </w:pPr>
    </w:lvl>
    <w:lvl w:ilvl="6" w:tplc="08EEE85A" w:tentative="1">
      <w:start w:val="1"/>
      <w:numFmt w:val="decimal"/>
      <w:lvlText w:val="%7."/>
      <w:lvlJc w:val="left"/>
      <w:pPr>
        <w:tabs>
          <w:tab w:val="num" w:pos="4680"/>
        </w:tabs>
        <w:ind w:left="4680" w:hanging="360"/>
      </w:pPr>
    </w:lvl>
    <w:lvl w:ilvl="7" w:tplc="65B42DD2" w:tentative="1">
      <w:start w:val="1"/>
      <w:numFmt w:val="decimal"/>
      <w:lvlText w:val="%8."/>
      <w:lvlJc w:val="left"/>
      <w:pPr>
        <w:tabs>
          <w:tab w:val="num" w:pos="5400"/>
        </w:tabs>
        <w:ind w:left="5400" w:hanging="360"/>
      </w:pPr>
    </w:lvl>
    <w:lvl w:ilvl="8" w:tplc="2286D2DE" w:tentative="1">
      <w:start w:val="1"/>
      <w:numFmt w:val="decimal"/>
      <w:lvlText w:val="%9."/>
      <w:lvlJc w:val="left"/>
      <w:pPr>
        <w:tabs>
          <w:tab w:val="num" w:pos="6120"/>
        </w:tabs>
        <w:ind w:left="6120" w:hanging="360"/>
      </w:pPr>
    </w:lvl>
  </w:abstractNum>
  <w:abstractNum w:abstractNumId="46" w15:restartNumberingAfterBreak="0">
    <w:nsid w:val="55E87859"/>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47" w15:restartNumberingAfterBreak="0">
    <w:nsid w:val="57186CA7"/>
    <w:multiLevelType w:val="hybridMultilevel"/>
    <w:tmpl w:val="45009F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74777AB"/>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abstractNum w:abstractNumId="49" w15:restartNumberingAfterBreak="0">
    <w:nsid w:val="5C2E28CA"/>
    <w:multiLevelType w:val="hybridMultilevel"/>
    <w:tmpl w:val="5CE65746"/>
    <w:lvl w:ilvl="0" w:tplc="FFFFFFFF">
      <w:start w:val="1"/>
      <w:numFmt w:val="bullet"/>
      <w:lvlText w:val=""/>
      <w:lvlJc w:val="left"/>
      <w:pPr>
        <w:ind w:left="360" w:hanging="360"/>
      </w:pPr>
      <w:rPr>
        <w:rFonts w:ascii="Symbol" w:hAnsi="Symbol" w:hint="default"/>
      </w:rPr>
    </w:lvl>
    <w:lvl w:ilvl="1" w:tplc="870AF2AA">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51" w15:restartNumberingAfterBreak="0">
    <w:nsid w:val="628312BE"/>
    <w:multiLevelType w:val="hybridMultilevel"/>
    <w:tmpl w:val="13564AC2"/>
    <w:lvl w:ilvl="0" w:tplc="5D7E063E">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53" w15:restartNumberingAfterBreak="0">
    <w:nsid w:val="6365582C"/>
    <w:multiLevelType w:val="hybridMultilevel"/>
    <w:tmpl w:val="C35EA008"/>
    <w:lvl w:ilvl="0" w:tplc="D634211E">
      <w:start w:val="1"/>
      <w:numFmt w:val="decimal"/>
      <w:lvlText w:val="%1."/>
      <w:lvlJc w:val="left"/>
      <w:pPr>
        <w:tabs>
          <w:tab w:val="num" w:pos="360"/>
        </w:tabs>
        <w:ind w:left="360" w:hanging="360"/>
      </w:pPr>
    </w:lvl>
    <w:lvl w:ilvl="1" w:tplc="D61C76CC" w:tentative="1">
      <w:start w:val="1"/>
      <w:numFmt w:val="decimal"/>
      <w:lvlText w:val="%2."/>
      <w:lvlJc w:val="left"/>
      <w:pPr>
        <w:tabs>
          <w:tab w:val="num" w:pos="1080"/>
        </w:tabs>
        <w:ind w:left="1080" w:hanging="360"/>
      </w:pPr>
    </w:lvl>
    <w:lvl w:ilvl="2" w:tplc="CCA46EF6" w:tentative="1">
      <w:start w:val="1"/>
      <w:numFmt w:val="decimal"/>
      <w:lvlText w:val="%3."/>
      <w:lvlJc w:val="left"/>
      <w:pPr>
        <w:tabs>
          <w:tab w:val="num" w:pos="1800"/>
        </w:tabs>
        <w:ind w:left="1800" w:hanging="360"/>
      </w:pPr>
    </w:lvl>
    <w:lvl w:ilvl="3" w:tplc="715076CA" w:tentative="1">
      <w:start w:val="1"/>
      <w:numFmt w:val="decimal"/>
      <w:lvlText w:val="%4."/>
      <w:lvlJc w:val="left"/>
      <w:pPr>
        <w:tabs>
          <w:tab w:val="num" w:pos="2520"/>
        </w:tabs>
        <w:ind w:left="2520" w:hanging="360"/>
      </w:pPr>
    </w:lvl>
    <w:lvl w:ilvl="4" w:tplc="B5DE7550" w:tentative="1">
      <w:start w:val="1"/>
      <w:numFmt w:val="decimal"/>
      <w:lvlText w:val="%5."/>
      <w:lvlJc w:val="left"/>
      <w:pPr>
        <w:tabs>
          <w:tab w:val="num" w:pos="3240"/>
        </w:tabs>
        <w:ind w:left="3240" w:hanging="360"/>
      </w:pPr>
    </w:lvl>
    <w:lvl w:ilvl="5" w:tplc="FAFE65EE" w:tentative="1">
      <w:start w:val="1"/>
      <w:numFmt w:val="decimal"/>
      <w:lvlText w:val="%6."/>
      <w:lvlJc w:val="left"/>
      <w:pPr>
        <w:tabs>
          <w:tab w:val="num" w:pos="3960"/>
        </w:tabs>
        <w:ind w:left="3960" w:hanging="360"/>
      </w:pPr>
    </w:lvl>
    <w:lvl w:ilvl="6" w:tplc="F10AACF2" w:tentative="1">
      <w:start w:val="1"/>
      <w:numFmt w:val="decimal"/>
      <w:lvlText w:val="%7."/>
      <w:lvlJc w:val="left"/>
      <w:pPr>
        <w:tabs>
          <w:tab w:val="num" w:pos="4680"/>
        </w:tabs>
        <w:ind w:left="4680" w:hanging="360"/>
      </w:pPr>
    </w:lvl>
    <w:lvl w:ilvl="7" w:tplc="360E3194" w:tentative="1">
      <w:start w:val="1"/>
      <w:numFmt w:val="decimal"/>
      <w:lvlText w:val="%8."/>
      <w:lvlJc w:val="left"/>
      <w:pPr>
        <w:tabs>
          <w:tab w:val="num" w:pos="5400"/>
        </w:tabs>
        <w:ind w:left="5400" w:hanging="360"/>
      </w:pPr>
    </w:lvl>
    <w:lvl w:ilvl="8" w:tplc="5E2EA8CC" w:tentative="1">
      <w:start w:val="1"/>
      <w:numFmt w:val="decimal"/>
      <w:lvlText w:val="%9."/>
      <w:lvlJc w:val="left"/>
      <w:pPr>
        <w:tabs>
          <w:tab w:val="num" w:pos="6120"/>
        </w:tabs>
        <w:ind w:left="6120" w:hanging="360"/>
      </w:pPr>
    </w:lvl>
  </w:abstractNum>
  <w:abstractNum w:abstractNumId="54" w15:restartNumberingAfterBreak="0">
    <w:nsid w:val="6FA72EBA"/>
    <w:multiLevelType w:val="hybridMultilevel"/>
    <w:tmpl w:val="671C2246"/>
    <w:lvl w:ilvl="0" w:tplc="FFFFFFFF">
      <w:start w:val="1"/>
      <w:numFmt w:val="decimal"/>
      <w:lvlText w:val="%1."/>
      <w:lvlJc w:val="left"/>
      <w:pPr>
        <w:tabs>
          <w:tab w:val="num" w:pos="360"/>
        </w:tabs>
        <w:ind w:left="360" w:hanging="360"/>
      </w:p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55" w15:restartNumberingAfterBreak="0">
    <w:nsid w:val="6FF1466B"/>
    <w:multiLevelType w:val="hybridMultilevel"/>
    <w:tmpl w:val="671C2246"/>
    <w:lvl w:ilvl="0" w:tplc="FFFFFFFF">
      <w:start w:val="1"/>
      <w:numFmt w:val="decimal"/>
      <w:lvlText w:val="%1."/>
      <w:lvlJc w:val="left"/>
      <w:pPr>
        <w:tabs>
          <w:tab w:val="num" w:pos="360"/>
        </w:tabs>
        <w:ind w:left="360" w:hanging="360"/>
      </w:p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56" w15:restartNumberingAfterBreak="0">
    <w:nsid w:val="70401F00"/>
    <w:multiLevelType w:val="hybridMultilevel"/>
    <w:tmpl w:val="EE0E32D2"/>
    <w:lvl w:ilvl="0" w:tplc="F5BAAB28">
      <w:start w:val="1"/>
      <w:numFmt w:val="decimal"/>
      <w:lvlText w:val="%1."/>
      <w:lvlJc w:val="left"/>
      <w:pPr>
        <w:tabs>
          <w:tab w:val="num" w:pos="720"/>
        </w:tabs>
        <w:ind w:left="720" w:hanging="360"/>
      </w:pPr>
    </w:lvl>
    <w:lvl w:ilvl="1" w:tplc="ACA24350" w:tentative="1">
      <w:start w:val="1"/>
      <w:numFmt w:val="decimal"/>
      <w:lvlText w:val="%2."/>
      <w:lvlJc w:val="left"/>
      <w:pPr>
        <w:tabs>
          <w:tab w:val="num" w:pos="1440"/>
        </w:tabs>
        <w:ind w:left="1440" w:hanging="360"/>
      </w:pPr>
    </w:lvl>
    <w:lvl w:ilvl="2" w:tplc="CF50BF10" w:tentative="1">
      <w:start w:val="1"/>
      <w:numFmt w:val="decimal"/>
      <w:lvlText w:val="%3."/>
      <w:lvlJc w:val="left"/>
      <w:pPr>
        <w:tabs>
          <w:tab w:val="num" w:pos="2160"/>
        </w:tabs>
        <w:ind w:left="2160" w:hanging="360"/>
      </w:pPr>
    </w:lvl>
    <w:lvl w:ilvl="3" w:tplc="51A6ABC0" w:tentative="1">
      <w:start w:val="1"/>
      <w:numFmt w:val="decimal"/>
      <w:lvlText w:val="%4."/>
      <w:lvlJc w:val="left"/>
      <w:pPr>
        <w:tabs>
          <w:tab w:val="num" w:pos="2880"/>
        </w:tabs>
        <w:ind w:left="2880" w:hanging="360"/>
      </w:pPr>
    </w:lvl>
    <w:lvl w:ilvl="4" w:tplc="87647774" w:tentative="1">
      <w:start w:val="1"/>
      <w:numFmt w:val="decimal"/>
      <w:lvlText w:val="%5."/>
      <w:lvlJc w:val="left"/>
      <w:pPr>
        <w:tabs>
          <w:tab w:val="num" w:pos="3600"/>
        </w:tabs>
        <w:ind w:left="3600" w:hanging="360"/>
      </w:pPr>
    </w:lvl>
    <w:lvl w:ilvl="5" w:tplc="10F860AE" w:tentative="1">
      <w:start w:val="1"/>
      <w:numFmt w:val="decimal"/>
      <w:lvlText w:val="%6."/>
      <w:lvlJc w:val="left"/>
      <w:pPr>
        <w:tabs>
          <w:tab w:val="num" w:pos="4320"/>
        </w:tabs>
        <w:ind w:left="4320" w:hanging="360"/>
      </w:pPr>
    </w:lvl>
    <w:lvl w:ilvl="6" w:tplc="70E68BB8" w:tentative="1">
      <w:start w:val="1"/>
      <w:numFmt w:val="decimal"/>
      <w:lvlText w:val="%7."/>
      <w:lvlJc w:val="left"/>
      <w:pPr>
        <w:tabs>
          <w:tab w:val="num" w:pos="5040"/>
        </w:tabs>
        <w:ind w:left="5040" w:hanging="360"/>
      </w:pPr>
    </w:lvl>
    <w:lvl w:ilvl="7" w:tplc="BD6EC4A8" w:tentative="1">
      <w:start w:val="1"/>
      <w:numFmt w:val="decimal"/>
      <w:lvlText w:val="%8."/>
      <w:lvlJc w:val="left"/>
      <w:pPr>
        <w:tabs>
          <w:tab w:val="num" w:pos="5760"/>
        </w:tabs>
        <w:ind w:left="5760" w:hanging="360"/>
      </w:pPr>
    </w:lvl>
    <w:lvl w:ilvl="8" w:tplc="1B12EEA6" w:tentative="1">
      <w:start w:val="1"/>
      <w:numFmt w:val="decimal"/>
      <w:lvlText w:val="%9."/>
      <w:lvlJc w:val="left"/>
      <w:pPr>
        <w:tabs>
          <w:tab w:val="num" w:pos="6480"/>
        </w:tabs>
        <w:ind w:left="6480" w:hanging="360"/>
      </w:pPr>
    </w:lvl>
  </w:abstractNum>
  <w:abstractNum w:abstractNumId="57" w15:restartNumberingAfterBreak="0">
    <w:nsid w:val="7A143235"/>
    <w:multiLevelType w:val="hybridMultilevel"/>
    <w:tmpl w:val="DD2A100A"/>
    <w:lvl w:ilvl="0" w:tplc="FFFFFFFF">
      <w:start w:val="1"/>
      <w:numFmt w:val="decimal"/>
      <w:lvlText w:val="%1."/>
      <w:lvlJc w:val="left"/>
      <w:pPr>
        <w:tabs>
          <w:tab w:val="num" w:pos="401"/>
        </w:tabs>
        <w:ind w:left="401" w:hanging="360"/>
      </w:pPr>
    </w:lvl>
    <w:lvl w:ilvl="1" w:tplc="FFFFFFFF" w:tentative="1">
      <w:start w:val="1"/>
      <w:numFmt w:val="decimal"/>
      <w:lvlText w:val="%2."/>
      <w:lvlJc w:val="left"/>
      <w:pPr>
        <w:tabs>
          <w:tab w:val="num" w:pos="1121"/>
        </w:tabs>
        <w:ind w:left="1121" w:hanging="360"/>
      </w:pPr>
    </w:lvl>
    <w:lvl w:ilvl="2" w:tplc="FFFFFFFF" w:tentative="1">
      <w:start w:val="1"/>
      <w:numFmt w:val="decimal"/>
      <w:lvlText w:val="%3."/>
      <w:lvlJc w:val="left"/>
      <w:pPr>
        <w:tabs>
          <w:tab w:val="num" w:pos="1841"/>
        </w:tabs>
        <w:ind w:left="1841" w:hanging="360"/>
      </w:pPr>
    </w:lvl>
    <w:lvl w:ilvl="3" w:tplc="FFFFFFFF" w:tentative="1">
      <w:start w:val="1"/>
      <w:numFmt w:val="decimal"/>
      <w:lvlText w:val="%4."/>
      <w:lvlJc w:val="left"/>
      <w:pPr>
        <w:tabs>
          <w:tab w:val="num" w:pos="2561"/>
        </w:tabs>
        <w:ind w:left="2561" w:hanging="360"/>
      </w:pPr>
    </w:lvl>
    <w:lvl w:ilvl="4" w:tplc="FFFFFFFF" w:tentative="1">
      <w:start w:val="1"/>
      <w:numFmt w:val="decimal"/>
      <w:lvlText w:val="%5."/>
      <w:lvlJc w:val="left"/>
      <w:pPr>
        <w:tabs>
          <w:tab w:val="num" w:pos="3281"/>
        </w:tabs>
        <w:ind w:left="3281" w:hanging="360"/>
      </w:pPr>
    </w:lvl>
    <w:lvl w:ilvl="5" w:tplc="FFFFFFFF" w:tentative="1">
      <w:start w:val="1"/>
      <w:numFmt w:val="decimal"/>
      <w:lvlText w:val="%6."/>
      <w:lvlJc w:val="left"/>
      <w:pPr>
        <w:tabs>
          <w:tab w:val="num" w:pos="4001"/>
        </w:tabs>
        <w:ind w:left="4001" w:hanging="360"/>
      </w:pPr>
    </w:lvl>
    <w:lvl w:ilvl="6" w:tplc="FFFFFFFF" w:tentative="1">
      <w:start w:val="1"/>
      <w:numFmt w:val="decimal"/>
      <w:lvlText w:val="%7."/>
      <w:lvlJc w:val="left"/>
      <w:pPr>
        <w:tabs>
          <w:tab w:val="num" w:pos="4721"/>
        </w:tabs>
        <w:ind w:left="4721" w:hanging="360"/>
      </w:pPr>
    </w:lvl>
    <w:lvl w:ilvl="7" w:tplc="FFFFFFFF" w:tentative="1">
      <w:start w:val="1"/>
      <w:numFmt w:val="decimal"/>
      <w:lvlText w:val="%8."/>
      <w:lvlJc w:val="left"/>
      <w:pPr>
        <w:tabs>
          <w:tab w:val="num" w:pos="5441"/>
        </w:tabs>
        <w:ind w:left="5441" w:hanging="360"/>
      </w:pPr>
    </w:lvl>
    <w:lvl w:ilvl="8" w:tplc="FFFFFFFF" w:tentative="1">
      <w:start w:val="1"/>
      <w:numFmt w:val="decimal"/>
      <w:lvlText w:val="%9."/>
      <w:lvlJc w:val="left"/>
      <w:pPr>
        <w:tabs>
          <w:tab w:val="num" w:pos="6161"/>
        </w:tabs>
        <w:ind w:left="6161" w:hanging="360"/>
      </w:pPr>
    </w:lvl>
  </w:abstractNum>
  <w:num w:numId="1" w16cid:durableId="2029718901">
    <w:abstractNumId w:val="25"/>
  </w:num>
  <w:num w:numId="2" w16cid:durableId="1823738185">
    <w:abstractNumId w:val="30"/>
  </w:num>
  <w:num w:numId="3" w16cid:durableId="1184324468">
    <w:abstractNumId w:val="3"/>
  </w:num>
  <w:num w:numId="4" w16cid:durableId="869874767">
    <w:abstractNumId w:val="2"/>
  </w:num>
  <w:num w:numId="5" w16cid:durableId="1051464670">
    <w:abstractNumId w:val="1"/>
  </w:num>
  <w:num w:numId="6" w16cid:durableId="519667389">
    <w:abstractNumId w:val="0"/>
  </w:num>
  <w:num w:numId="7" w16cid:durableId="1399792431">
    <w:abstractNumId w:val="34"/>
  </w:num>
  <w:num w:numId="8" w16cid:durableId="283193848">
    <w:abstractNumId w:val="33"/>
  </w:num>
  <w:num w:numId="9" w16cid:durableId="1586576828">
    <w:abstractNumId w:val="50"/>
  </w:num>
  <w:num w:numId="10" w16cid:durableId="1393383527">
    <w:abstractNumId w:val="14"/>
  </w:num>
  <w:num w:numId="11" w16cid:durableId="666133471">
    <w:abstractNumId w:val="10"/>
  </w:num>
  <w:num w:numId="12" w16cid:durableId="1741058784">
    <w:abstractNumId w:val="6"/>
  </w:num>
  <w:num w:numId="13" w16cid:durableId="1703364339">
    <w:abstractNumId w:val="31"/>
  </w:num>
  <w:num w:numId="14" w16cid:durableId="334694257">
    <w:abstractNumId w:val="52"/>
  </w:num>
  <w:num w:numId="15" w16cid:durableId="1981958284">
    <w:abstractNumId w:val="18"/>
  </w:num>
  <w:num w:numId="16" w16cid:durableId="668214529">
    <w:abstractNumId w:val="47"/>
  </w:num>
  <w:num w:numId="17" w16cid:durableId="127362987">
    <w:abstractNumId w:val="39"/>
  </w:num>
  <w:num w:numId="18" w16cid:durableId="1866863102">
    <w:abstractNumId w:val="51"/>
  </w:num>
  <w:num w:numId="19" w16cid:durableId="1853253091">
    <w:abstractNumId w:val="5"/>
  </w:num>
  <w:num w:numId="20" w16cid:durableId="1519157178">
    <w:abstractNumId w:val="32"/>
  </w:num>
  <w:num w:numId="21" w16cid:durableId="1476333881">
    <w:abstractNumId w:val="44"/>
  </w:num>
  <w:num w:numId="22" w16cid:durableId="538322084">
    <w:abstractNumId w:val="4"/>
  </w:num>
  <w:num w:numId="23" w16cid:durableId="1730029316">
    <w:abstractNumId w:val="15"/>
  </w:num>
  <w:num w:numId="24" w16cid:durableId="2030985243">
    <w:abstractNumId w:val="49"/>
  </w:num>
  <w:num w:numId="25" w16cid:durableId="570123712">
    <w:abstractNumId w:val="27"/>
  </w:num>
  <w:num w:numId="26" w16cid:durableId="969288219">
    <w:abstractNumId w:val="45"/>
  </w:num>
  <w:num w:numId="27" w16cid:durableId="449979520">
    <w:abstractNumId w:val="11"/>
  </w:num>
  <w:num w:numId="28" w16cid:durableId="1798451494">
    <w:abstractNumId w:val="43"/>
  </w:num>
  <w:num w:numId="29" w16cid:durableId="771436778">
    <w:abstractNumId w:val="53"/>
  </w:num>
  <w:num w:numId="30" w16cid:durableId="1023941304">
    <w:abstractNumId w:val="56"/>
  </w:num>
  <w:num w:numId="31" w16cid:durableId="938804083">
    <w:abstractNumId w:val="40"/>
  </w:num>
  <w:num w:numId="32" w16cid:durableId="39090240">
    <w:abstractNumId w:val="7"/>
  </w:num>
  <w:num w:numId="33" w16cid:durableId="2063013585">
    <w:abstractNumId w:val="20"/>
  </w:num>
  <w:num w:numId="34" w16cid:durableId="2143384447">
    <w:abstractNumId w:val="55"/>
  </w:num>
  <w:num w:numId="35" w16cid:durableId="595820312">
    <w:abstractNumId w:val="42"/>
  </w:num>
  <w:num w:numId="36" w16cid:durableId="348600626">
    <w:abstractNumId w:val="21"/>
  </w:num>
  <w:num w:numId="37" w16cid:durableId="88546972">
    <w:abstractNumId w:val="36"/>
  </w:num>
  <w:num w:numId="38" w16cid:durableId="1924878689">
    <w:abstractNumId w:val="38"/>
  </w:num>
  <w:num w:numId="39" w16cid:durableId="1150485079">
    <w:abstractNumId w:val="57"/>
  </w:num>
  <w:num w:numId="40" w16cid:durableId="1939288682">
    <w:abstractNumId w:val="46"/>
  </w:num>
  <w:num w:numId="41" w16cid:durableId="1382170291">
    <w:abstractNumId w:val="37"/>
  </w:num>
  <w:num w:numId="42" w16cid:durableId="530000807">
    <w:abstractNumId w:val="35"/>
  </w:num>
  <w:num w:numId="43" w16cid:durableId="1721441577">
    <w:abstractNumId w:val="19"/>
  </w:num>
  <w:num w:numId="44" w16cid:durableId="1599413066">
    <w:abstractNumId w:val="28"/>
  </w:num>
  <w:num w:numId="45" w16cid:durableId="522792513">
    <w:abstractNumId w:val="24"/>
  </w:num>
  <w:num w:numId="46" w16cid:durableId="511532950">
    <w:abstractNumId w:val="13"/>
  </w:num>
  <w:num w:numId="47" w16cid:durableId="1232543972">
    <w:abstractNumId w:val="16"/>
  </w:num>
  <w:num w:numId="48" w16cid:durableId="1892887603">
    <w:abstractNumId w:val="8"/>
  </w:num>
  <w:num w:numId="49" w16cid:durableId="1728144056">
    <w:abstractNumId w:val="23"/>
  </w:num>
  <w:num w:numId="50" w16cid:durableId="1707875263">
    <w:abstractNumId w:val="29"/>
  </w:num>
  <w:num w:numId="51" w16cid:durableId="83695445">
    <w:abstractNumId w:val="17"/>
  </w:num>
  <w:num w:numId="52" w16cid:durableId="1322348011">
    <w:abstractNumId w:val="26"/>
  </w:num>
  <w:num w:numId="53" w16cid:durableId="491528122">
    <w:abstractNumId w:val="54"/>
  </w:num>
  <w:num w:numId="54" w16cid:durableId="1208953406">
    <w:abstractNumId w:val="48"/>
  </w:num>
  <w:num w:numId="55" w16cid:durableId="446509499">
    <w:abstractNumId w:val="9"/>
  </w:num>
  <w:num w:numId="56" w16cid:durableId="900214069">
    <w:abstractNumId w:val="12"/>
  </w:num>
  <w:num w:numId="57" w16cid:durableId="746270262">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isplayBackgroundShap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numFmt w:val="chicago"/>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0B8"/>
    <w:rsid w:val="00000198"/>
    <w:rsid w:val="0000020E"/>
    <w:rsid w:val="000002C0"/>
    <w:rsid w:val="000002EC"/>
    <w:rsid w:val="00000384"/>
    <w:rsid w:val="000003AF"/>
    <w:rsid w:val="0000049B"/>
    <w:rsid w:val="00000511"/>
    <w:rsid w:val="0000057F"/>
    <w:rsid w:val="00000599"/>
    <w:rsid w:val="000005A8"/>
    <w:rsid w:val="000005FE"/>
    <w:rsid w:val="0000068F"/>
    <w:rsid w:val="000006C3"/>
    <w:rsid w:val="00000714"/>
    <w:rsid w:val="00000731"/>
    <w:rsid w:val="000007BD"/>
    <w:rsid w:val="0000085A"/>
    <w:rsid w:val="00000984"/>
    <w:rsid w:val="00000A04"/>
    <w:rsid w:val="00000BC7"/>
    <w:rsid w:val="00000C7C"/>
    <w:rsid w:val="00000CF8"/>
    <w:rsid w:val="00000D0F"/>
    <w:rsid w:val="00000D39"/>
    <w:rsid w:val="00000DE9"/>
    <w:rsid w:val="00000E3B"/>
    <w:rsid w:val="00000F1D"/>
    <w:rsid w:val="00000F2F"/>
    <w:rsid w:val="00000F63"/>
    <w:rsid w:val="00000FC8"/>
    <w:rsid w:val="00001067"/>
    <w:rsid w:val="0000106F"/>
    <w:rsid w:val="0000108E"/>
    <w:rsid w:val="00001098"/>
    <w:rsid w:val="00001171"/>
    <w:rsid w:val="0000125C"/>
    <w:rsid w:val="000013B1"/>
    <w:rsid w:val="00001539"/>
    <w:rsid w:val="000016AA"/>
    <w:rsid w:val="0000183D"/>
    <w:rsid w:val="0000187A"/>
    <w:rsid w:val="000019B9"/>
    <w:rsid w:val="00001ABB"/>
    <w:rsid w:val="00001ACA"/>
    <w:rsid w:val="00001B0B"/>
    <w:rsid w:val="00001D04"/>
    <w:rsid w:val="00001D06"/>
    <w:rsid w:val="00001D30"/>
    <w:rsid w:val="00001E83"/>
    <w:rsid w:val="00002087"/>
    <w:rsid w:val="0000209B"/>
    <w:rsid w:val="00002127"/>
    <w:rsid w:val="000021F3"/>
    <w:rsid w:val="000021FE"/>
    <w:rsid w:val="000022A2"/>
    <w:rsid w:val="000022AA"/>
    <w:rsid w:val="00002304"/>
    <w:rsid w:val="00002322"/>
    <w:rsid w:val="00002371"/>
    <w:rsid w:val="000024D4"/>
    <w:rsid w:val="0000263F"/>
    <w:rsid w:val="000026B6"/>
    <w:rsid w:val="00002825"/>
    <w:rsid w:val="0000292E"/>
    <w:rsid w:val="00002989"/>
    <w:rsid w:val="00002A49"/>
    <w:rsid w:val="00002A8F"/>
    <w:rsid w:val="00002BC0"/>
    <w:rsid w:val="00002C4A"/>
    <w:rsid w:val="00002D86"/>
    <w:rsid w:val="00002F90"/>
    <w:rsid w:val="000030FA"/>
    <w:rsid w:val="000031C2"/>
    <w:rsid w:val="000031D1"/>
    <w:rsid w:val="00003220"/>
    <w:rsid w:val="000032E6"/>
    <w:rsid w:val="000032FD"/>
    <w:rsid w:val="0000334D"/>
    <w:rsid w:val="000033BF"/>
    <w:rsid w:val="0000343F"/>
    <w:rsid w:val="0000347C"/>
    <w:rsid w:val="000034BC"/>
    <w:rsid w:val="0000362C"/>
    <w:rsid w:val="00003648"/>
    <w:rsid w:val="0000370C"/>
    <w:rsid w:val="00003755"/>
    <w:rsid w:val="0000379E"/>
    <w:rsid w:val="0000387B"/>
    <w:rsid w:val="00003924"/>
    <w:rsid w:val="0000394C"/>
    <w:rsid w:val="000039AA"/>
    <w:rsid w:val="00003BFF"/>
    <w:rsid w:val="00003C10"/>
    <w:rsid w:val="00003C21"/>
    <w:rsid w:val="00003C34"/>
    <w:rsid w:val="00003CF7"/>
    <w:rsid w:val="00003E18"/>
    <w:rsid w:val="00003E2A"/>
    <w:rsid w:val="00003E4E"/>
    <w:rsid w:val="00003F01"/>
    <w:rsid w:val="00003F1A"/>
    <w:rsid w:val="00003F1B"/>
    <w:rsid w:val="00003F2E"/>
    <w:rsid w:val="0000403A"/>
    <w:rsid w:val="00004097"/>
    <w:rsid w:val="000040C9"/>
    <w:rsid w:val="000041B1"/>
    <w:rsid w:val="0000426D"/>
    <w:rsid w:val="000043D3"/>
    <w:rsid w:val="00004436"/>
    <w:rsid w:val="0000444B"/>
    <w:rsid w:val="00004565"/>
    <w:rsid w:val="000045C6"/>
    <w:rsid w:val="0000463A"/>
    <w:rsid w:val="000046DE"/>
    <w:rsid w:val="000046E5"/>
    <w:rsid w:val="00004737"/>
    <w:rsid w:val="00004742"/>
    <w:rsid w:val="00004780"/>
    <w:rsid w:val="000049A7"/>
    <w:rsid w:val="000049B0"/>
    <w:rsid w:val="000049ED"/>
    <w:rsid w:val="00004A62"/>
    <w:rsid w:val="00004BA1"/>
    <w:rsid w:val="00004C71"/>
    <w:rsid w:val="00004CB5"/>
    <w:rsid w:val="00004CE2"/>
    <w:rsid w:val="00004D4D"/>
    <w:rsid w:val="00004D70"/>
    <w:rsid w:val="00004DE6"/>
    <w:rsid w:val="00004E55"/>
    <w:rsid w:val="00004EB6"/>
    <w:rsid w:val="00004F0F"/>
    <w:rsid w:val="00004F43"/>
    <w:rsid w:val="00004FCE"/>
    <w:rsid w:val="00005037"/>
    <w:rsid w:val="00005047"/>
    <w:rsid w:val="000050C3"/>
    <w:rsid w:val="000050C6"/>
    <w:rsid w:val="0000514D"/>
    <w:rsid w:val="0000517D"/>
    <w:rsid w:val="000051DB"/>
    <w:rsid w:val="0000546B"/>
    <w:rsid w:val="000054F0"/>
    <w:rsid w:val="0000552A"/>
    <w:rsid w:val="00005538"/>
    <w:rsid w:val="000055BE"/>
    <w:rsid w:val="000056A6"/>
    <w:rsid w:val="000057EB"/>
    <w:rsid w:val="000059EB"/>
    <w:rsid w:val="000059F7"/>
    <w:rsid w:val="00005A92"/>
    <w:rsid w:val="00005C41"/>
    <w:rsid w:val="00005C63"/>
    <w:rsid w:val="00005C74"/>
    <w:rsid w:val="00005CC7"/>
    <w:rsid w:val="00005F72"/>
    <w:rsid w:val="00005F7D"/>
    <w:rsid w:val="0000609D"/>
    <w:rsid w:val="000060C3"/>
    <w:rsid w:val="00006153"/>
    <w:rsid w:val="00006220"/>
    <w:rsid w:val="00006225"/>
    <w:rsid w:val="00006228"/>
    <w:rsid w:val="00006253"/>
    <w:rsid w:val="0000626C"/>
    <w:rsid w:val="000062B3"/>
    <w:rsid w:val="000063A3"/>
    <w:rsid w:val="000063C9"/>
    <w:rsid w:val="00006475"/>
    <w:rsid w:val="00006593"/>
    <w:rsid w:val="000066DE"/>
    <w:rsid w:val="0000672F"/>
    <w:rsid w:val="00006781"/>
    <w:rsid w:val="000067DD"/>
    <w:rsid w:val="0000691A"/>
    <w:rsid w:val="00006992"/>
    <w:rsid w:val="00006A33"/>
    <w:rsid w:val="00006B42"/>
    <w:rsid w:val="00006B46"/>
    <w:rsid w:val="00006C12"/>
    <w:rsid w:val="00006C51"/>
    <w:rsid w:val="00006E10"/>
    <w:rsid w:val="00006E24"/>
    <w:rsid w:val="00006E66"/>
    <w:rsid w:val="00007066"/>
    <w:rsid w:val="000070CB"/>
    <w:rsid w:val="0000719D"/>
    <w:rsid w:val="0000729B"/>
    <w:rsid w:val="000072D3"/>
    <w:rsid w:val="0000746F"/>
    <w:rsid w:val="000074EF"/>
    <w:rsid w:val="000075B8"/>
    <w:rsid w:val="000076E0"/>
    <w:rsid w:val="000077B9"/>
    <w:rsid w:val="0000783E"/>
    <w:rsid w:val="000078E9"/>
    <w:rsid w:val="00007902"/>
    <w:rsid w:val="00007954"/>
    <w:rsid w:val="000079A3"/>
    <w:rsid w:val="000079B0"/>
    <w:rsid w:val="000079D3"/>
    <w:rsid w:val="00007B6D"/>
    <w:rsid w:val="00007CDB"/>
    <w:rsid w:val="00007D74"/>
    <w:rsid w:val="00007E9B"/>
    <w:rsid w:val="00007FAF"/>
    <w:rsid w:val="00007FD1"/>
    <w:rsid w:val="00010035"/>
    <w:rsid w:val="000100A1"/>
    <w:rsid w:val="0001022E"/>
    <w:rsid w:val="000102DD"/>
    <w:rsid w:val="000103E0"/>
    <w:rsid w:val="00010401"/>
    <w:rsid w:val="000104FA"/>
    <w:rsid w:val="00010631"/>
    <w:rsid w:val="000107BF"/>
    <w:rsid w:val="00010874"/>
    <w:rsid w:val="00010880"/>
    <w:rsid w:val="00010BF1"/>
    <w:rsid w:val="00010D6C"/>
    <w:rsid w:val="00010D87"/>
    <w:rsid w:val="00011013"/>
    <w:rsid w:val="00011047"/>
    <w:rsid w:val="00011081"/>
    <w:rsid w:val="000111CC"/>
    <w:rsid w:val="00011277"/>
    <w:rsid w:val="0001131C"/>
    <w:rsid w:val="00011429"/>
    <w:rsid w:val="00011446"/>
    <w:rsid w:val="000115F8"/>
    <w:rsid w:val="00011663"/>
    <w:rsid w:val="000116B0"/>
    <w:rsid w:val="000119DF"/>
    <w:rsid w:val="00011D4B"/>
    <w:rsid w:val="00011D6E"/>
    <w:rsid w:val="00011D90"/>
    <w:rsid w:val="00011DE2"/>
    <w:rsid w:val="00011EAB"/>
    <w:rsid w:val="00011FE8"/>
    <w:rsid w:val="00011FFA"/>
    <w:rsid w:val="00012069"/>
    <w:rsid w:val="000120B4"/>
    <w:rsid w:val="000120F5"/>
    <w:rsid w:val="00012154"/>
    <w:rsid w:val="000121A7"/>
    <w:rsid w:val="0001227A"/>
    <w:rsid w:val="0001236D"/>
    <w:rsid w:val="00012438"/>
    <w:rsid w:val="0001245C"/>
    <w:rsid w:val="0001255C"/>
    <w:rsid w:val="000126FB"/>
    <w:rsid w:val="0001273F"/>
    <w:rsid w:val="00012743"/>
    <w:rsid w:val="00012802"/>
    <w:rsid w:val="0001284E"/>
    <w:rsid w:val="00012889"/>
    <w:rsid w:val="000128F4"/>
    <w:rsid w:val="00012948"/>
    <w:rsid w:val="0001295F"/>
    <w:rsid w:val="00012993"/>
    <w:rsid w:val="000129D4"/>
    <w:rsid w:val="000129DF"/>
    <w:rsid w:val="00012A04"/>
    <w:rsid w:val="00012AD0"/>
    <w:rsid w:val="00012B96"/>
    <w:rsid w:val="00012C41"/>
    <w:rsid w:val="00012C61"/>
    <w:rsid w:val="00012C84"/>
    <w:rsid w:val="00012E01"/>
    <w:rsid w:val="00012E1C"/>
    <w:rsid w:val="00012EFF"/>
    <w:rsid w:val="0001302A"/>
    <w:rsid w:val="0001303F"/>
    <w:rsid w:val="0001306E"/>
    <w:rsid w:val="00013087"/>
    <w:rsid w:val="00013099"/>
    <w:rsid w:val="0001310E"/>
    <w:rsid w:val="000131A3"/>
    <w:rsid w:val="00013309"/>
    <w:rsid w:val="000133D1"/>
    <w:rsid w:val="000134C0"/>
    <w:rsid w:val="0001350E"/>
    <w:rsid w:val="00013527"/>
    <w:rsid w:val="000135FF"/>
    <w:rsid w:val="0001360C"/>
    <w:rsid w:val="000136DC"/>
    <w:rsid w:val="0001379E"/>
    <w:rsid w:val="000137F2"/>
    <w:rsid w:val="000139FC"/>
    <w:rsid w:val="00013AD7"/>
    <w:rsid w:val="00013AFC"/>
    <w:rsid w:val="00013B06"/>
    <w:rsid w:val="00013DBF"/>
    <w:rsid w:val="00013E39"/>
    <w:rsid w:val="00013E6C"/>
    <w:rsid w:val="00013EEC"/>
    <w:rsid w:val="00013F12"/>
    <w:rsid w:val="00013FF1"/>
    <w:rsid w:val="0001408F"/>
    <w:rsid w:val="000140FC"/>
    <w:rsid w:val="00014130"/>
    <w:rsid w:val="000141D4"/>
    <w:rsid w:val="00014358"/>
    <w:rsid w:val="000143B3"/>
    <w:rsid w:val="0001445B"/>
    <w:rsid w:val="0001447A"/>
    <w:rsid w:val="000146FA"/>
    <w:rsid w:val="00014913"/>
    <w:rsid w:val="00014B11"/>
    <w:rsid w:val="00014B89"/>
    <w:rsid w:val="00014DF3"/>
    <w:rsid w:val="00014EB4"/>
    <w:rsid w:val="00014F5E"/>
    <w:rsid w:val="0001504B"/>
    <w:rsid w:val="000150B3"/>
    <w:rsid w:val="00015179"/>
    <w:rsid w:val="0001521E"/>
    <w:rsid w:val="00015362"/>
    <w:rsid w:val="0001539B"/>
    <w:rsid w:val="000153F5"/>
    <w:rsid w:val="0001542C"/>
    <w:rsid w:val="000154E9"/>
    <w:rsid w:val="00015514"/>
    <w:rsid w:val="000155A7"/>
    <w:rsid w:val="000155DC"/>
    <w:rsid w:val="000155FF"/>
    <w:rsid w:val="00015662"/>
    <w:rsid w:val="00015770"/>
    <w:rsid w:val="00015847"/>
    <w:rsid w:val="00015875"/>
    <w:rsid w:val="000158F7"/>
    <w:rsid w:val="00015969"/>
    <w:rsid w:val="000159B4"/>
    <w:rsid w:val="00015A6F"/>
    <w:rsid w:val="00015B75"/>
    <w:rsid w:val="00015B81"/>
    <w:rsid w:val="00015B9F"/>
    <w:rsid w:val="00015BD4"/>
    <w:rsid w:val="00015CB2"/>
    <w:rsid w:val="00015CE9"/>
    <w:rsid w:val="00015CFB"/>
    <w:rsid w:val="00015D5D"/>
    <w:rsid w:val="00015D9F"/>
    <w:rsid w:val="00015F54"/>
    <w:rsid w:val="0001606B"/>
    <w:rsid w:val="0001617E"/>
    <w:rsid w:val="000164E5"/>
    <w:rsid w:val="00016570"/>
    <w:rsid w:val="000165E1"/>
    <w:rsid w:val="0001660B"/>
    <w:rsid w:val="00016624"/>
    <w:rsid w:val="00016761"/>
    <w:rsid w:val="0001676C"/>
    <w:rsid w:val="00016784"/>
    <w:rsid w:val="000167B6"/>
    <w:rsid w:val="00016819"/>
    <w:rsid w:val="000168A8"/>
    <w:rsid w:val="000168F5"/>
    <w:rsid w:val="00016A1E"/>
    <w:rsid w:val="00016A4C"/>
    <w:rsid w:val="00016BC9"/>
    <w:rsid w:val="00016C51"/>
    <w:rsid w:val="00016C59"/>
    <w:rsid w:val="00016E0A"/>
    <w:rsid w:val="00016EAB"/>
    <w:rsid w:val="00016F2A"/>
    <w:rsid w:val="00016F55"/>
    <w:rsid w:val="00016FCC"/>
    <w:rsid w:val="0001706B"/>
    <w:rsid w:val="000170AC"/>
    <w:rsid w:val="000170B9"/>
    <w:rsid w:val="000170FF"/>
    <w:rsid w:val="00017127"/>
    <w:rsid w:val="000171C5"/>
    <w:rsid w:val="000171CD"/>
    <w:rsid w:val="00017229"/>
    <w:rsid w:val="000172AC"/>
    <w:rsid w:val="00017371"/>
    <w:rsid w:val="000173B3"/>
    <w:rsid w:val="000173BF"/>
    <w:rsid w:val="000173C8"/>
    <w:rsid w:val="00017411"/>
    <w:rsid w:val="00017462"/>
    <w:rsid w:val="000174F5"/>
    <w:rsid w:val="0001759A"/>
    <w:rsid w:val="00017797"/>
    <w:rsid w:val="000177A9"/>
    <w:rsid w:val="00017873"/>
    <w:rsid w:val="00017967"/>
    <w:rsid w:val="000179BC"/>
    <w:rsid w:val="00017AEE"/>
    <w:rsid w:val="00017AF8"/>
    <w:rsid w:val="00017B01"/>
    <w:rsid w:val="00017B03"/>
    <w:rsid w:val="00017D93"/>
    <w:rsid w:val="00017E53"/>
    <w:rsid w:val="00017ED5"/>
    <w:rsid w:val="00017ED8"/>
    <w:rsid w:val="00017F69"/>
    <w:rsid w:val="00017FD2"/>
    <w:rsid w:val="0002012C"/>
    <w:rsid w:val="0002012F"/>
    <w:rsid w:val="00020130"/>
    <w:rsid w:val="0002016A"/>
    <w:rsid w:val="00020187"/>
    <w:rsid w:val="000201D1"/>
    <w:rsid w:val="00020297"/>
    <w:rsid w:val="0002030D"/>
    <w:rsid w:val="00020445"/>
    <w:rsid w:val="00020483"/>
    <w:rsid w:val="00020847"/>
    <w:rsid w:val="000208A2"/>
    <w:rsid w:val="000208CA"/>
    <w:rsid w:val="00020935"/>
    <w:rsid w:val="00020992"/>
    <w:rsid w:val="00020A8E"/>
    <w:rsid w:val="00020C0F"/>
    <w:rsid w:val="00020D0C"/>
    <w:rsid w:val="00020D44"/>
    <w:rsid w:val="00020DB0"/>
    <w:rsid w:val="00020E6A"/>
    <w:rsid w:val="00020E80"/>
    <w:rsid w:val="00020F04"/>
    <w:rsid w:val="00020F30"/>
    <w:rsid w:val="00020F8A"/>
    <w:rsid w:val="0002103A"/>
    <w:rsid w:val="000210D4"/>
    <w:rsid w:val="000210FC"/>
    <w:rsid w:val="00021115"/>
    <w:rsid w:val="0002119A"/>
    <w:rsid w:val="00021263"/>
    <w:rsid w:val="00021274"/>
    <w:rsid w:val="00021394"/>
    <w:rsid w:val="000213DE"/>
    <w:rsid w:val="000213FB"/>
    <w:rsid w:val="000214F9"/>
    <w:rsid w:val="00021582"/>
    <w:rsid w:val="00021730"/>
    <w:rsid w:val="00021797"/>
    <w:rsid w:val="000217D3"/>
    <w:rsid w:val="000217DB"/>
    <w:rsid w:val="0002182F"/>
    <w:rsid w:val="000218EF"/>
    <w:rsid w:val="00021908"/>
    <w:rsid w:val="000219CC"/>
    <w:rsid w:val="00021A39"/>
    <w:rsid w:val="00021A59"/>
    <w:rsid w:val="00021A98"/>
    <w:rsid w:val="00021AA5"/>
    <w:rsid w:val="00021AEB"/>
    <w:rsid w:val="00021B22"/>
    <w:rsid w:val="00021B53"/>
    <w:rsid w:val="00021B74"/>
    <w:rsid w:val="00021C04"/>
    <w:rsid w:val="00021D56"/>
    <w:rsid w:val="00021E13"/>
    <w:rsid w:val="00021EF3"/>
    <w:rsid w:val="00021F3D"/>
    <w:rsid w:val="00021FDA"/>
    <w:rsid w:val="0002217C"/>
    <w:rsid w:val="00022258"/>
    <w:rsid w:val="000223CC"/>
    <w:rsid w:val="00022408"/>
    <w:rsid w:val="0002240F"/>
    <w:rsid w:val="00022431"/>
    <w:rsid w:val="000225B7"/>
    <w:rsid w:val="000225F4"/>
    <w:rsid w:val="00022624"/>
    <w:rsid w:val="0002264C"/>
    <w:rsid w:val="00022865"/>
    <w:rsid w:val="00022981"/>
    <w:rsid w:val="00022983"/>
    <w:rsid w:val="00022E1B"/>
    <w:rsid w:val="00022EFC"/>
    <w:rsid w:val="00022F32"/>
    <w:rsid w:val="00022F77"/>
    <w:rsid w:val="00022F84"/>
    <w:rsid w:val="00022F94"/>
    <w:rsid w:val="00023015"/>
    <w:rsid w:val="000230C6"/>
    <w:rsid w:val="0002310D"/>
    <w:rsid w:val="000231BF"/>
    <w:rsid w:val="000233D4"/>
    <w:rsid w:val="0002361E"/>
    <w:rsid w:val="00023637"/>
    <w:rsid w:val="00023712"/>
    <w:rsid w:val="00023761"/>
    <w:rsid w:val="00023784"/>
    <w:rsid w:val="000237BE"/>
    <w:rsid w:val="000237D6"/>
    <w:rsid w:val="000238A0"/>
    <w:rsid w:val="000238AA"/>
    <w:rsid w:val="00023930"/>
    <w:rsid w:val="0002394C"/>
    <w:rsid w:val="00023B5A"/>
    <w:rsid w:val="00023BC1"/>
    <w:rsid w:val="00023C1D"/>
    <w:rsid w:val="00023D71"/>
    <w:rsid w:val="00023DB3"/>
    <w:rsid w:val="00023E74"/>
    <w:rsid w:val="00023E75"/>
    <w:rsid w:val="00023EDA"/>
    <w:rsid w:val="000240D1"/>
    <w:rsid w:val="000240F8"/>
    <w:rsid w:val="00024208"/>
    <w:rsid w:val="00024247"/>
    <w:rsid w:val="0002427C"/>
    <w:rsid w:val="000242D0"/>
    <w:rsid w:val="000243E8"/>
    <w:rsid w:val="000245A0"/>
    <w:rsid w:val="000245D0"/>
    <w:rsid w:val="00024672"/>
    <w:rsid w:val="00024745"/>
    <w:rsid w:val="00024898"/>
    <w:rsid w:val="000248AF"/>
    <w:rsid w:val="00024920"/>
    <w:rsid w:val="00024B40"/>
    <w:rsid w:val="00024B5A"/>
    <w:rsid w:val="00024B7E"/>
    <w:rsid w:val="00024BC5"/>
    <w:rsid w:val="00024C3D"/>
    <w:rsid w:val="00024E13"/>
    <w:rsid w:val="00024E71"/>
    <w:rsid w:val="00024F0C"/>
    <w:rsid w:val="00025019"/>
    <w:rsid w:val="00025067"/>
    <w:rsid w:val="00025068"/>
    <w:rsid w:val="00025098"/>
    <w:rsid w:val="000250B8"/>
    <w:rsid w:val="000250C5"/>
    <w:rsid w:val="000250C7"/>
    <w:rsid w:val="00025137"/>
    <w:rsid w:val="0002515E"/>
    <w:rsid w:val="00025238"/>
    <w:rsid w:val="0002525D"/>
    <w:rsid w:val="000252CA"/>
    <w:rsid w:val="000253B1"/>
    <w:rsid w:val="00025554"/>
    <w:rsid w:val="0002555D"/>
    <w:rsid w:val="00025684"/>
    <w:rsid w:val="000257F1"/>
    <w:rsid w:val="00025817"/>
    <w:rsid w:val="00025B15"/>
    <w:rsid w:val="00025B99"/>
    <w:rsid w:val="00025C73"/>
    <w:rsid w:val="00025D34"/>
    <w:rsid w:val="00025D60"/>
    <w:rsid w:val="00025E7D"/>
    <w:rsid w:val="00025ED0"/>
    <w:rsid w:val="00025F4B"/>
    <w:rsid w:val="00025F85"/>
    <w:rsid w:val="00026002"/>
    <w:rsid w:val="00026067"/>
    <w:rsid w:val="00026102"/>
    <w:rsid w:val="00026187"/>
    <w:rsid w:val="000261B1"/>
    <w:rsid w:val="0002631F"/>
    <w:rsid w:val="0002643C"/>
    <w:rsid w:val="000266AC"/>
    <w:rsid w:val="000266C7"/>
    <w:rsid w:val="0002676C"/>
    <w:rsid w:val="00026777"/>
    <w:rsid w:val="0002687A"/>
    <w:rsid w:val="00026966"/>
    <w:rsid w:val="00026993"/>
    <w:rsid w:val="000269A5"/>
    <w:rsid w:val="000269C5"/>
    <w:rsid w:val="00026A5B"/>
    <w:rsid w:val="00026B55"/>
    <w:rsid w:val="00026BFD"/>
    <w:rsid w:val="00026CE3"/>
    <w:rsid w:val="00026D23"/>
    <w:rsid w:val="00026DC4"/>
    <w:rsid w:val="00026E9E"/>
    <w:rsid w:val="000270C3"/>
    <w:rsid w:val="0002712C"/>
    <w:rsid w:val="0002715E"/>
    <w:rsid w:val="00027414"/>
    <w:rsid w:val="00027445"/>
    <w:rsid w:val="00027508"/>
    <w:rsid w:val="000275AF"/>
    <w:rsid w:val="0002760C"/>
    <w:rsid w:val="00027685"/>
    <w:rsid w:val="00027751"/>
    <w:rsid w:val="00027877"/>
    <w:rsid w:val="000279E3"/>
    <w:rsid w:val="00027AA6"/>
    <w:rsid w:val="00027B2C"/>
    <w:rsid w:val="00027C2A"/>
    <w:rsid w:val="00027C8A"/>
    <w:rsid w:val="00027C9B"/>
    <w:rsid w:val="00027CD6"/>
    <w:rsid w:val="00027D02"/>
    <w:rsid w:val="00027D0C"/>
    <w:rsid w:val="00027DC1"/>
    <w:rsid w:val="00027EC8"/>
    <w:rsid w:val="0003000C"/>
    <w:rsid w:val="000300F6"/>
    <w:rsid w:val="000301A5"/>
    <w:rsid w:val="0003051B"/>
    <w:rsid w:val="000305E0"/>
    <w:rsid w:val="0003060E"/>
    <w:rsid w:val="000306BF"/>
    <w:rsid w:val="000307CB"/>
    <w:rsid w:val="00030852"/>
    <w:rsid w:val="000308E5"/>
    <w:rsid w:val="000308E7"/>
    <w:rsid w:val="000309DC"/>
    <w:rsid w:val="00030A08"/>
    <w:rsid w:val="00030AC8"/>
    <w:rsid w:val="00030AE9"/>
    <w:rsid w:val="00030AF1"/>
    <w:rsid w:val="00030C88"/>
    <w:rsid w:val="00030D50"/>
    <w:rsid w:val="00030D51"/>
    <w:rsid w:val="00030FF5"/>
    <w:rsid w:val="00031008"/>
    <w:rsid w:val="000310DF"/>
    <w:rsid w:val="00031139"/>
    <w:rsid w:val="00031194"/>
    <w:rsid w:val="000311B3"/>
    <w:rsid w:val="0003123E"/>
    <w:rsid w:val="000312AF"/>
    <w:rsid w:val="0003135D"/>
    <w:rsid w:val="000313CA"/>
    <w:rsid w:val="000313CC"/>
    <w:rsid w:val="000313EC"/>
    <w:rsid w:val="000313EF"/>
    <w:rsid w:val="0003154D"/>
    <w:rsid w:val="00031650"/>
    <w:rsid w:val="000316C8"/>
    <w:rsid w:val="00031711"/>
    <w:rsid w:val="000317FF"/>
    <w:rsid w:val="00031905"/>
    <w:rsid w:val="00031AE3"/>
    <w:rsid w:val="00031B89"/>
    <w:rsid w:val="00031BF3"/>
    <w:rsid w:val="00031C65"/>
    <w:rsid w:val="00031DE9"/>
    <w:rsid w:val="00031EEF"/>
    <w:rsid w:val="00031F08"/>
    <w:rsid w:val="0003202C"/>
    <w:rsid w:val="0003204F"/>
    <w:rsid w:val="0003231A"/>
    <w:rsid w:val="000323BF"/>
    <w:rsid w:val="000323D9"/>
    <w:rsid w:val="0003240A"/>
    <w:rsid w:val="00032494"/>
    <w:rsid w:val="0003249D"/>
    <w:rsid w:val="0003261E"/>
    <w:rsid w:val="0003264A"/>
    <w:rsid w:val="00032827"/>
    <w:rsid w:val="0003288E"/>
    <w:rsid w:val="000328F9"/>
    <w:rsid w:val="00032992"/>
    <w:rsid w:val="000329BA"/>
    <w:rsid w:val="00032B62"/>
    <w:rsid w:val="00032B8E"/>
    <w:rsid w:val="00032DC2"/>
    <w:rsid w:val="00032E41"/>
    <w:rsid w:val="00032EC7"/>
    <w:rsid w:val="00032EFA"/>
    <w:rsid w:val="00032F9A"/>
    <w:rsid w:val="00033115"/>
    <w:rsid w:val="000331A1"/>
    <w:rsid w:val="00033232"/>
    <w:rsid w:val="00033240"/>
    <w:rsid w:val="00033244"/>
    <w:rsid w:val="00033307"/>
    <w:rsid w:val="0003332F"/>
    <w:rsid w:val="00033450"/>
    <w:rsid w:val="00033481"/>
    <w:rsid w:val="000334BF"/>
    <w:rsid w:val="000334DA"/>
    <w:rsid w:val="000334EE"/>
    <w:rsid w:val="00033682"/>
    <w:rsid w:val="000337A0"/>
    <w:rsid w:val="000337C2"/>
    <w:rsid w:val="00033802"/>
    <w:rsid w:val="00033A7D"/>
    <w:rsid w:val="00033AE2"/>
    <w:rsid w:val="00033AFF"/>
    <w:rsid w:val="00033B3C"/>
    <w:rsid w:val="00033BA9"/>
    <w:rsid w:val="00033C07"/>
    <w:rsid w:val="00033CBC"/>
    <w:rsid w:val="00033DE9"/>
    <w:rsid w:val="00033E29"/>
    <w:rsid w:val="00033E5B"/>
    <w:rsid w:val="00033E9B"/>
    <w:rsid w:val="00033F0C"/>
    <w:rsid w:val="00033F33"/>
    <w:rsid w:val="00033F42"/>
    <w:rsid w:val="0003400A"/>
    <w:rsid w:val="000340CC"/>
    <w:rsid w:val="00034163"/>
    <w:rsid w:val="0003418B"/>
    <w:rsid w:val="00034210"/>
    <w:rsid w:val="000343DB"/>
    <w:rsid w:val="00034503"/>
    <w:rsid w:val="0003452C"/>
    <w:rsid w:val="00034567"/>
    <w:rsid w:val="000346CC"/>
    <w:rsid w:val="000346CD"/>
    <w:rsid w:val="000346CF"/>
    <w:rsid w:val="00034755"/>
    <w:rsid w:val="00034765"/>
    <w:rsid w:val="000348BF"/>
    <w:rsid w:val="000348D2"/>
    <w:rsid w:val="00034980"/>
    <w:rsid w:val="000349A6"/>
    <w:rsid w:val="000349F4"/>
    <w:rsid w:val="00034B12"/>
    <w:rsid w:val="00034BC7"/>
    <w:rsid w:val="00034BE0"/>
    <w:rsid w:val="00034C26"/>
    <w:rsid w:val="00034C53"/>
    <w:rsid w:val="00034C83"/>
    <w:rsid w:val="00034D63"/>
    <w:rsid w:val="00034DA8"/>
    <w:rsid w:val="00034DAA"/>
    <w:rsid w:val="00034E7F"/>
    <w:rsid w:val="00034FBF"/>
    <w:rsid w:val="00034FC5"/>
    <w:rsid w:val="00034FD5"/>
    <w:rsid w:val="00035035"/>
    <w:rsid w:val="000350D0"/>
    <w:rsid w:val="000350D3"/>
    <w:rsid w:val="00035156"/>
    <w:rsid w:val="000351BC"/>
    <w:rsid w:val="00035219"/>
    <w:rsid w:val="0003524A"/>
    <w:rsid w:val="00035254"/>
    <w:rsid w:val="0003526E"/>
    <w:rsid w:val="000352FE"/>
    <w:rsid w:val="00035372"/>
    <w:rsid w:val="00035488"/>
    <w:rsid w:val="000354A4"/>
    <w:rsid w:val="000354B5"/>
    <w:rsid w:val="00035556"/>
    <w:rsid w:val="00035598"/>
    <w:rsid w:val="0003562E"/>
    <w:rsid w:val="000356ED"/>
    <w:rsid w:val="00035736"/>
    <w:rsid w:val="0003578D"/>
    <w:rsid w:val="000357A5"/>
    <w:rsid w:val="000358D4"/>
    <w:rsid w:val="000358EE"/>
    <w:rsid w:val="0003599C"/>
    <w:rsid w:val="00035A5B"/>
    <w:rsid w:val="00035AE0"/>
    <w:rsid w:val="00035B49"/>
    <w:rsid w:val="00035C75"/>
    <w:rsid w:val="00035D42"/>
    <w:rsid w:val="00035DBA"/>
    <w:rsid w:val="00035DCB"/>
    <w:rsid w:val="00035DCF"/>
    <w:rsid w:val="00035F16"/>
    <w:rsid w:val="00035F71"/>
    <w:rsid w:val="00035FD8"/>
    <w:rsid w:val="0003602E"/>
    <w:rsid w:val="00036036"/>
    <w:rsid w:val="000360B5"/>
    <w:rsid w:val="000361D7"/>
    <w:rsid w:val="000361E2"/>
    <w:rsid w:val="00036215"/>
    <w:rsid w:val="00036233"/>
    <w:rsid w:val="00036271"/>
    <w:rsid w:val="0003627D"/>
    <w:rsid w:val="00036476"/>
    <w:rsid w:val="000364D9"/>
    <w:rsid w:val="00036587"/>
    <w:rsid w:val="00036589"/>
    <w:rsid w:val="000365E1"/>
    <w:rsid w:val="0003674B"/>
    <w:rsid w:val="00036810"/>
    <w:rsid w:val="00036839"/>
    <w:rsid w:val="0003695B"/>
    <w:rsid w:val="00036B14"/>
    <w:rsid w:val="00036B8D"/>
    <w:rsid w:val="00036C57"/>
    <w:rsid w:val="00036D15"/>
    <w:rsid w:val="00036D22"/>
    <w:rsid w:val="00036E15"/>
    <w:rsid w:val="00036EAD"/>
    <w:rsid w:val="00036ECD"/>
    <w:rsid w:val="00037055"/>
    <w:rsid w:val="000370A8"/>
    <w:rsid w:val="000370F6"/>
    <w:rsid w:val="00037152"/>
    <w:rsid w:val="000371F1"/>
    <w:rsid w:val="000372A4"/>
    <w:rsid w:val="000372AF"/>
    <w:rsid w:val="0003730D"/>
    <w:rsid w:val="0003740B"/>
    <w:rsid w:val="0003744F"/>
    <w:rsid w:val="00037569"/>
    <w:rsid w:val="00037580"/>
    <w:rsid w:val="000375DC"/>
    <w:rsid w:val="00037653"/>
    <w:rsid w:val="000376A7"/>
    <w:rsid w:val="000376C4"/>
    <w:rsid w:val="00037761"/>
    <w:rsid w:val="0003783B"/>
    <w:rsid w:val="00037936"/>
    <w:rsid w:val="000379F3"/>
    <w:rsid w:val="00037A1A"/>
    <w:rsid w:val="00037A36"/>
    <w:rsid w:val="00037ABE"/>
    <w:rsid w:val="00037AED"/>
    <w:rsid w:val="00037B50"/>
    <w:rsid w:val="00037BAC"/>
    <w:rsid w:val="00037BD4"/>
    <w:rsid w:val="00037C17"/>
    <w:rsid w:val="00037C37"/>
    <w:rsid w:val="00037C5A"/>
    <w:rsid w:val="00037C75"/>
    <w:rsid w:val="00037CD0"/>
    <w:rsid w:val="00037E3E"/>
    <w:rsid w:val="00037E69"/>
    <w:rsid w:val="00037EB8"/>
    <w:rsid w:val="00037F2A"/>
    <w:rsid w:val="00037F94"/>
    <w:rsid w:val="00037FC9"/>
    <w:rsid w:val="000400BE"/>
    <w:rsid w:val="000400DC"/>
    <w:rsid w:val="00040150"/>
    <w:rsid w:val="000401E4"/>
    <w:rsid w:val="000401FB"/>
    <w:rsid w:val="00040273"/>
    <w:rsid w:val="000402DE"/>
    <w:rsid w:val="000403CE"/>
    <w:rsid w:val="00040428"/>
    <w:rsid w:val="00040435"/>
    <w:rsid w:val="00040463"/>
    <w:rsid w:val="0004046B"/>
    <w:rsid w:val="000404DF"/>
    <w:rsid w:val="000405CC"/>
    <w:rsid w:val="000406C9"/>
    <w:rsid w:val="00040717"/>
    <w:rsid w:val="000407AB"/>
    <w:rsid w:val="000407CF"/>
    <w:rsid w:val="00040829"/>
    <w:rsid w:val="00040839"/>
    <w:rsid w:val="0004083E"/>
    <w:rsid w:val="00040AA0"/>
    <w:rsid w:val="00040AEE"/>
    <w:rsid w:val="00040B60"/>
    <w:rsid w:val="00040B75"/>
    <w:rsid w:val="00040B7D"/>
    <w:rsid w:val="00040B87"/>
    <w:rsid w:val="00040C02"/>
    <w:rsid w:val="00040CED"/>
    <w:rsid w:val="00040D3A"/>
    <w:rsid w:val="00040E1E"/>
    <w:rsid w:val="00040E81"/>
    <w:rsid w:val="00040F2E"/>
    <w:rsid w:val="00040F89"/>
    <w:rsid w:val="0004100F"/>
    <w:rsid w:val="000410AB"/>
    <w:rsid w:val="000410BE"/>
    <w:rsid w:val="00041156"/>
    <w:rsid w:val="00041196"/>
    <w:rsid w:val="000411B7"/>
    <w:rsid w:val="00041212"/>
    <w:rsid w:val="0004127E"/>
    <w:rsid w:val="000412E8"/>
    <w:rsid w:val="00041349"/>
    <w:rsid w:val="000413EE"/>
    <w:rsid w:val="00041503"/>
    <w:rsid w:val="00041546"/>
    <w:rsid w:val="0004158F"/>
    <w:rsid w:val="000415A2"/>
    <w:rsid w:val="0004169E"/>
    <w:rsid w:val="000416B1"/>
    <w:rsid w:val="0004193B"/>
    <w:rsid w:val="00041984"/>
    <w:rsid w:val="000419F9"/>
    <w:rsid w:val="00041A40"/>
    <w:rsid w:val="00041A6F"/>
    <w:rsid w:val="00041AA0"/>
    <w:rsid w:val="00041BA3"/>
    <w:rsid w:val="00041BCE"/>
    <w:rsid w:val="00041BD8"/>
    <w:rsid w:val="00041C76"/>
    <w:rsid w:val="00041CEC"/>
    <w:rsid w:val="00041DB4"/>
    <w:rsid w:val="00041DBE"/>
    <w:rsid w:val="00041DD5"/>
    <w:rsid w:val="00041DF9"/>
    <w:rsid w:val="00041E56"/>
    <w:rsid w:val="00041F77"/>
    <w:rsid w:val="00042162"/>
    <w:rsid w:val="00042402"/>
    <w:rsid w:val="0004246F"/>
    <w:rsid w:val="00042546"/>
    <w:rsid w:val="000425A2"/>
    <w:rsid w:val="000425DE"/>
    <w:rsid w:val="00042774"/>
    <w:rsid w:val="000427A0"/>
    <w:rsid w:val="000427E8"/>
    <w:rsid w:val="00042891"/>
    <w:rsid w:val="00042905"/>
    <w:rsid w:val="000429A8"/>
    <w:rsid w:val="000429AC"/>
    <w:rsid w:val="00042A13"/>
    <w:rsid w:val="00042A94"/>
    <w:rsid w:val="00042B68"/>
    <w:rsid w:val="00042B6A"/>
    <w:rsid w:val="00042B7A"/>
    <w:rsid w:val="00042B99"/>
    <w:rsid w:val="00042C84"/>
    <w:rsid w:val="00042D0B"/>
    <w:rsid w:val="00042EFA"/>
    <w:rsid w:val="00042F03"/>
    <w:rsid w:val="00042FE4"/>
    <w:rsid w:val="00043057"/>
    <w:rsid w:val="00043092"/>
    <w:rsid w:val="00043116"/>
    <w:rsid w:val="00043130"/>
    <w:rsid w:val="00043158"/>
    <w:rsid w:val="00043160"/>
    <w:rsid w:val="00043180"/>
    <w:rsid w:val="0004322F"/>
    <w:rsid w:val="00043250"/>
    <w:rsid w:val="00043431"/>
    <w:rsid w:val="000434E0"/>
    <w:rsid w:val="00043503"/>
    <w:rsid w:val="0004350A"/>
    <w:rsid w:val="00043551"/>
    <w:rsid w:val="0004355E"/>
    <w:rsid w:val="000435AA"/>
    <w:rsid w:val="000436EB"/>
    <w:rsid w:val="0004385A"/>
    <w:rsid w:val="000438D4"/>
    <w:rsid w:val="00043949"/>
    <w:rsid w:val="000439F4"/>
    <w:rsid w:val="00043A7A"/>
    <w:rsid w:val="00043ADD"/>
    <w:rsid w:val="00043B54"/>
    <w:rsid w:val="00043B6C"/>
    <w:rsid w:val="00043C9D"/>
    <w:rsid w:val="00043D15"/>
    <w:rsid w:val="00043DEB"/>
    <w:rsid w:val="00043E60"/>
    <w:rsid w:val="00043E81"/>
    <w:rsid w:val="00044065"/>
    <w:rsid w:val="00044088"/>
    <w:rsid w:val="0004410A"/>
    <w:rsid w:val="000442A7"/>
    <w:rsid w:val="00044359"/>
    <w:rsid w:val="000443C6"/>
    <w:rsid w:val="000443FB"/>
    <w:rsid w:val="000445F4"/>
    <w:rsid w:val="00044675"/>
    <w:rsid w:val="000446A0"/>
    <w:rsid w:val="000446A1"/>
    <w:rsid w:val="00044704"/>
    <w:rsid w:val="00044793"/>
    <w:rsid w:val="00044795"/>
    <w:rsid w:val="00044810"/>
    <w:rsid w:val="0004483B"/>
    <w:rsid w:val="00044917"/>
    <w:rsid w:val="0004498B"/>
    <w:rsid w:val="00044A18"/>
    <w:rsid w:val="00044AB3"/>
    <w:rsid w:val="00044AD5"/>
    <w:rsid w:val="00044AF2"/>
    <w:rsid w:val="00044B33"/>
    <w:rsid w:val="00044B5F"/>
    <w:rsid w:val="00044CE2"/>
    <w:rsid w:val="00044D01"/>
    <w:rsid w:val="00044D37"/>
    <w:rsid w:val="00044D3F"/>
    <w:rsid w:val="00044D66"/>
    <w:rsid w:val="00044D94"/>
    <w:rsid w:val="00044DC8"/>
    <w:rsid w:val="00044E55"/>
    <w:rsid w:val="00044EC0"/>
    <w:rsid w:val="00044F14"/>
    <w:rsid w:val="00044F32"/>
    <w:rsid w:val="00044F36"/>
    <w:rsid w:val="00044F69"/>
    <w:rsid w:val="00045099"/>
    <w:rsid w:val="000451C9"/>
    <w:rsid w:val="0004528B"/>
    <w:rsid w:val="00045436"/>
    <w:rsid w:val="000454D4"/>
    <w:rsid w:val="00045594"/>
    <w:rsid w:val="000455AB"/>
    <w:rsid w:val="00045734"/>
    <w:rsid w:val="0004573C"/>
    <w:rsid w:val="000457BE"/>
    <w:rsid w:val="00045960"/>
    <w:rsid w:val="00045B22"/>
    <w:rsid w:val="00045C70"/>
    <w:rsid w:val="00045E70"/>
    <w:rsid w:val="00045E89"/>
    <w:rsid w:val="00045ECD"/>
    <w:rsid w:val="00045F2E"/>
    <w:rsid w:val="00045FFA"/>
    <w:rsid w:val="00046179"/>
    <w:rsid w:val="000462BB"/>
    <w:rsid w:val="0004633F"/>
    <w:rsid w:val="000463C1"/>
    <w:rsid w:val="000463D1"/>
    <w:rsid w:val="000463F6"/>
    <w:rsid w:val="0004641A"/>
    <w:rsid w:val="0004657D"/>
    <w:rsid w:val="000465C3"/>
    <w:rsid w:val="0004678A"/>
    <w:rsid w:val="0004685A"/>
    <w:rsid w:val="00046923"/>
    <w:rsid w:val="0004694A"/>
    <w:rsid w:val="00046A64"/>
    <w:rsid w:val="00046B34"/>
    <w:rsid w:val="00046B36"/>
    <w:rsid w:val="00046BA8"/>
    <w:rsid w:val="00046D5E"/>
    <w:rsid w:val="00046DA4"/>
    <w:rsid w:val="00046E19"/>
    <w:rsid w:val="00046EA7"/>
    <w:rsid w:val="00046F0D"/>
    <w:rsid w:val="00046FD9"/>
    <w:rsid w:val="000470AC"/>
    <w:rsid w:val="0004712C"/>
    <w:rsid w:val="00047172"/>
    <w:rsid w:val="000471EC"/>
    <w:rsid w:val="0004725B"/>
    <w:rsid w:val="000473FA"/>
    <w:rsid w:val="00047470"/>
    <w:rsid w:val="00047485"/>
    <w:rsid w:val="00047495"/>
    <w:rsid w:val="000474C6"/>
    <w:rsid w:val="00047581"/>
    <w:rsid w:val="0004767F"/>
    <w:rsid w:val="000476A1"/>
    <w:rsid w:val="000476A6"/>
    <w:rsid w:val="000476B9"/>
    <w:rsid w:val="000476C0"/>
    <w:rsid w:val="00047701"/>
    <w:rsid w:val="00047710"/>
    <w:rsid w:val="00047722"/>
    <w:rsid w:val="00047734"/>
    <w:rsid w:val="000477E1"/>
    <w:rsid w:val="000478A7"/>
    <w:rsid w:val="000478DC"/>
    <w:rsid w:val="00047992"/>
    <w:rsid w:val="00047A77"/>
    <w:rsid w:val="00047AAD"/>
    <w:rsid w:val="00047CDA"/>
    <w:rsid w:val="00047D8C"/>
    <w:rsid w:val="00047DBA"/>
    <w:rsid w:val="00047E99"/>
    <w:rsid w:val="00047ECE"/>
    <w:rsid w:val="00047F6B"/>
    <w:rsid w:val="0005000F"/>
    <w:rsid w:val="0005009C"/>
    <w:rsid w:val="00050134"/>
    <w:rsid w:val="000501F1"/>
    <w:rsid w:val="0005021C"/>
    <w:rsid w:val="00050246"/>
    <w:rsid w:val="00050293"/>
    <w:rsid w:val="000502E2"/>
    <w:rsid w:val="00050400"/>
    <w:rsid w:val="000504DE"/>
    <w:rsid w:val="0005055B"/>
    <w:rsid w:val="0005063F"/>
    <w:rsid w:val="0005065C"/>
    <w:rsid w:val="00050675"/>
    <w:rsid w:val="00050692"/>
    <w:rsid w:val="000506E6"/>
    <w:rsid w:val="0005079B"/>
    <w:rsid w:val="000507BA"/>
    <w:rsid w:val="00050887"/>
    <w:rsid w:val="000508B4"/>
    <w:rsid w:val="0005090E"/>
    <w:rsid w:val="00050A63"/>
    <w:rsid w:val="00050A8A"/>
    <w:rsid w:val="00050D8D"/>
    <w:rsid w:val="00050E7B"/>
    <w:rsid w:val="00050EFE"/>
    <w:rsid w:val="00050F35"/>
    <w:rsid w:val="00050F3A"/>
    <w:rsid w:val="00051093"/>
    <w:rsid w:val="0005114B"/>
    <w:rsid w:val="000511D4"/>
    <w:rsid w:val="0005129B"/>
    <w:rsid w:val="00051312"/>
    <w:rsid w:val="00051314"/>
    <w:rsid w:val="00051340"/>
    <w:rsid w:val="00051361"/>
    <w:rsid w:val="00051392"/>
    <w:rsid w:val="000515C0"/>
    <w:rsid w:val="0005160B"/>
    <w:rsid w:val="00051672"/>
    <w:rsid w:val="000516C4"/>
    <w:rsid w:val="0005172F"/>
    <w:rsid w:val="000517C0"/>
    <w:rsid w:val="000517DC"/>
    <w:rsid w:val="0005185F"/>
    <w:rsid w:val="000518F8"/>
    <w:rsid w:val="00051913"/>
    <w:rsid w:val="00051A77"/>
    <w:rsid w:val="00051AF8"/>
    <w:rsid w:val="00051B0B"/>
    <w:rsid w:val="00051B10"/>
    <w:rsid w:val="00051B58"/>
    <w:rsid w:val="00051B78"/>
    <w:rsid w:val="00051B9C"/>
    <w:rsid w:val="00051BB1"/>
    <w:rsid w:val="00051E2B"/>
    <w:rsid w:val="00051E5F"/>
    <w:rsid w:val="00051F16"/>
    <w:rsid w:val="00051F75"/>
    <w:rsid w:val="00052004"/>
    <w:rsid w:val="000521E6"/>
    <w:rsid w:val="00052265"/>
    <w:rsid w:val="00052294"/>
    <w:rsid w:val="00052361"/>
    <w:rsid w:val="00052447"/>
    <w:rsid w:val="00052521"/>
    <w:rsid w:val="0005257F"/>
    <w:rsid w:val="00052655"/>
    <w:rsid w:val="0005269F"/>
    <w:rsid w:val="000528A9"/>
    <w:rsid w:val="0005292A"/>
    <w:rsid w:val="00052A2A"/>
    <w:rsid w:val="00052A63"/>
    <w:rsid w:val="00052A70"/>
    <w:rsid w:val="00052AFF"/>
    <w:rsid w:val="00052CCB"/>
    <w:rsid w:val="00052D29"/>
    <w:rsid w:val="00052E0A"/>
    <w:rsid w:val="00052F4B"/>
    <w:rsid w:val="00053052"/>
    <w:rsid w:val="0005307B"/>
    <w:rsid w:val="000530D0"/>
    <w:rsid w:val="000531B0"/>
    <w:rsid w:val="00053296"/>
    <w:rsid w:val="0005329D"/>
    <w:rsid w:val="000533F3"/>
    <w:rsid w:val="00053485"/>
    <w:rsid w:val="00053513"/>
    <w:rsid w:val="000535AF"/>
    <w:rsid w:val="00053642"/>
    <w:rsid w:val="00053720"/>
    <w:rsid w:val="00053862"/>
    <w:rsid w:val="000538F7"/>
    <w:rsid w:val="00053900"/>
    <w:rsid w:val="00053A0E"/>
    <w:rsid w:val="00053A52"/>
    <w:rsid w:val="00053BBE"/>
    <w:rsid w:val="00053C32"/>
    <w:rsid w:val="00053C7A"/>
    <w:rsid w:val="00053CAD"/>
    <w:rsid w:val="00053DC9"/>
    <w:rsid w:val="00053DDF"/>
    <w:rsid w:val="00053DF0"/>
    <w:rsid w:val="00053E74"/>
    <w:rsid w:val="0005406E"/>
    <w:rsid w:val="000541AF"/>
    <w:rsid w:val="000541B9"/>
    <w:rsid w:val="00054259"/>
    <w:rsid w:val="00054299"/>
    <w:rsid w:val="000542C4"/>
    <w:rsid w:val="000542C9"/>
    <w:rsid w:val="000543FC"/>
    <w:rsid w:val="0005441C"/>
    <w:rsid w:val="0005446B"/>
    <w:rsid w:val="000544E5"/>
    <w:rsid w:val="00054575"/>
    <w:rsid w:val="0005480B"/>
    <w:rsid w:val="0005483F"/>
    <w:rsid w:val="00054A26"/>
    <w:rsid w:val="00054A7A"/>
    <w:rsid w:val="00054A7D"/>
    <w:rsid w:val="00054AF1"/>
    <w:rsid w:val="00054C0F"/>
    <w:rsid w:val="00054CDE"/>
    <w:rsid w:val="00054DBD"/>
    <w:rsid w:val="00054EFC"/>
    <w:rsid w:val="00054F69"/>
    <w:rsid w:val="00054F6B"/>
    <w:rsid w:val="000550AC"/>
    <w:rsid w:val="000552F4"/>
    <w:rsid w:val="00055419"/>
    <w:rsid w:val="000554CA"/>
    <w:rsid w:val="000554F2"/>
    <w:rsid w:val="00055526"/>
    <w:rsid w:val="0005553B"/>
    <w:rsid w:val="000555E8"/>
    <w:rsid w:val="000555F3"/>
    <w:rsid w:val="000556B4"/>
    <w:rsid w:val="00055910"/>
    <w:rsid w:val="00055AB8"/>
    <w:rsid w:val="00055C62"/>
    <w:rsid w:val="00055E7A"/>
    <w:rsid w:val="00055F02"/>
    <w:rsid w:val="0005602D"/>
    <w:rsid w:val="00056034"/>
    <w:rsid w:val="0005605D"/>
    <w:rsid w:val="00056255"/>
    <w:rsid w:val="000562EE"/>
    <w:rsid w:val="0005634B"/>
    <w:rsid w:val="00056362"/>
    <w:rsid w:val="000563AC"/>
    <w:rsid w:val="0005650E"/>
    <w:rsid w:val="00056538"/>
    <w:rsid w:val="00056610"/>
    <w:rsid w:val="000566D9"/>
    <w:rsid w:val="00056766"/>
    <w:rsid w:val="00056787"/>
    <w:rsid w:val="00056899"/>
    <w:rsid w:val="000568AE"/>
    <w:rsid w:val="0005691B"/>
    <w:rsid w:val="0005699B"/>
    <w:rsid w:val="00056A21"/>
    <w:rsid w:val="00056A44"/>
    <w:rsid w:val="00056ABF"/>
    <w:rsid w:val="00056AD7"/>
    <w:rsid w:val="00056B56"/>
    <w:rsid w:val="00056B6C"/>
    <w:rsid w:val="00056BB2"/>
    <w:rsid w:val="00056CB9"/>
    <w:rsid w:val="00056D10"/>
    <w:rsid w:val="00057057"/>
    <w:rsid w:val="00057067"/>
    <w:rsid w:val="0005707D"/>
    <w:rsid w:val="0005716E"/>
    <w:rsid w:val="000571B9"/>
    <w:rsid w:val="000571DF"/>
    <w:rsid w:val="0005723C"/>
    <w:rsid w:val="00057379"/>
    <w:rsid w:val="0005743B"/>
    <w:rsid w:val="00057459"/>
    <w:rsid w:val="00057490"/>
    <w:rsid w:val="000574A4"/>
    <w:rsid w:val="00057578"/>
    <w:rsid w:val="00057661"/>
    <w:rsid w:val="000577D8"/>
    <w:rsid w:val="000577E1"/>
    <w:rsid w:val="0005797B"/>
    <w:rsid w:val="00057B5A"/>
    <w:rsid w:val="00057C24"/>
    <w:rsid w:val="00057C98"/>
    <w:rsid w:val="00057CCE"/>
    <w:rsid w:val="00057D9F"/>
    <w:rsid w:val="00057DB9"/>
    <w:rsid w:val="00057DD2"/>
    <w:rsid w:val="00057DD7"/>
    <w:rsid w:val="00057E59"/>
    <w:rsid w:val="00057F2A"/>
    <w:rsid w:val="00057F42"/>
    <w:rsid w:val="00057FB7"/>
    <w:rsid w:val="00057FC5"/>
    <w:rsid w:val="0006003F"/>
    <w:rsid w:val="00060047"/>
    <w:rsid w:val="00060064"/>
    <w:rsid w:val="0006016C"/>
    <w:rsid w:val="000601A2"/>
    <w:rsid w:val="00060402"/>
    <w:rsid w:val="00060472"/>
    <w:rsid w:val="000604FE"/>
    <w:rsid w:val="0006053F"/>
    <w:rsid w:val="00060545"/>
    <w:rsid w:val="000605CE"/>
    <w:rsid w:val="000607B1"/>
    <w:rsid w:val="0006085B"/>
    <w:rsid w:val="00060934"/>
    <w:rsid w:val="0006095F"/>
    <w:rsid w:val="0006097E"/>
    <w:rsid w:val="000609CA"/>
    <w:rsid w:val="00060A72"/>
    <w:rsid w:val="00060ACB"/>
    <w:rsid w:val="00060AEC"/>
    <w:rsid w:val="00060B09"/>
    <w:rsid w:val="00060B83"/>
    <w:rsid w:val="00060BCA"/>
    <w:rsid w:val="00060C07"/>
    <w:rsid w:val="00060C29"/>
    <w:rsid w:val="00060CEC"/>
    <w:rsid w:val="00060CF3"/>
    <w:rsid w:val="00060D37"/>
    <w:rsid w:val="00060D54"/>
    <w:rsid w:val="00060D7B"/>
    <w:rsid w:val="00060E01"/>
    <w:rsid w:val="00060E5C"/>
    <w:rsid w:val="00060E72"/>
    <w:rsid w:val="00060ED0"/>
    <w:rsid w:val="00061040"/>
    <w:rsid w:val="00061068"/>
    <w:rsid w:val="000610EA"/>
    <w:rsid w:val="0006124F"/>
    <w:rsid w:val="00061278"/>
    <w:rsid w:val="00061279"/>
    <w:rsid w:val="0006134B"/>
    <w:rsid w:val="00061366"/>
    <w:rsid w:val="000614D9"/>
    <w:rsid w:val="00061574"/>
    <w:rsid w:val="000615A6"/>
    <w:rsid w:val="000615B3"/>
    <w:rsid w:val="0006162E"/>
    <w:rsid w:val="00061B09"/>
    <w:rsid w:val="00061BB1"/>
    <w:rsid w:val="00061C6C"/>
    <w:rsid w:val="00061DE8"/>
    <w:rsid w:val="00061E30"/>
    <w:rsid w:val="00061EEE"/>
    <w:rsid w:val="00061FC0"/>
    <w:rsid w:val="0006206C"/>
    <w:rsid w:val="0006209A"/>
    <w:rsid w:val="000621FB"/>
    <w:rsid w:val="000622F3"/>
    <w:rsid w:val="000623B0"/>
    <w:rsid w:val="000623C5"/>
    <w:rsid w:val="0006243B"/>
    <w:rsid w:val="000624EF"/>
    <w:rsid w:val="000625A7"/>
    <w:rsid w:val="00062601"/>
    <w:rsid w:val="00062654"/>
    <w:rsid w:val="000626B2"/>
    <w:rsid w:val="00062757"/>
    <w:rsid w:val="00062876"/>
    <w:rsid w:val="000628C0"/>
    <w:rsid w:val="00062961"/>
    <w:rsid w:val="000629EA"/>
    <w:rsid w:val="00062A0C"/>
    <w:rsid w:val="00062C05"/>
    <w:rsid w:val="00062C5E"/>
    <w:rsid w:val="00062CE1"/>
    <w:rsid w:val="00062CF1"/>
    <w:rsid w:val="00062CF2"/>
    <w:rsid w:val="00062E0C"/>
    <w:rsid w:val="00062F29"/>
    <w:rsid w:val="00062F47"/>
    <w:rsid w:val="0006307B"/>
    <w:rsid w:val="000630EF"/>
    <w:rsid w:val="000630F2"/>
    <w:rsid w:val="000632B2"/>
    <w:rsid w:val="000632BA"/>
    <w:rsid w:val="000632E7"/>
    <w:rsid w:val="00063308"/>
    <w:rsid w:val="000633FD"/>
    <w:rsid w:val="00063428"/>
    <w:rsid w:val="000634BC"/>
    <w:rsid w:val="0006351C"/>
    <w:rsid w:val="0006353C"/>
    <w:rsid w:val="00063595"/>
    <w:rsid w:val="000635B7"/>
    <w:rsid w:val="00063625"/>
    <w:rsid w:val="000636B8"/>
    <w:rsid w:val="000636D3"/>
    <w:rsid w:val="000637A6"/>
    <w:rsid w:val="000638C3"/>
    <w:rsid w:val="000639EA"/>
    <w:rsid w:val="00063A97"/>
    <w:rsid w:val="00063B43"/>
    <w:rsid w:val="00063B88"/>
    <w:rsid w:val="00063BA9"/>
    <w:rsid w:val="00063BC6"/>
    <w:rsid w:val="00063D47"/>
    <w:rsid w:val="00063D56"/>
    <w:rsid w:val="00063DD2"/>
    <w:rsid w:val="00063F66"/>
    <w:rsid w:val="00064249"/>
    <w:rsid w:val="00064266"/>
    <w:rsid w:val="00064372"/>
    <w:rsid w:val="000643FB"/>
    <w:rsid w:val="000644C7"/>
    <w:rsid w:val="00064516"/>
    <w:rsid w:val="00064527"/>
    <w:rsid w:val="00064647"/>
    <w:rsid w:val="00064756"/>
    <w:rsid w:val="0006476E"/>
    <w:rsid w:val="000648BD"/>
    <w:rsid w:val="000649B8"/>
    <w:rsid w:val="00064A6D"/>
    <w:rsid w:val="00064B24"/>
    <w:rsid w:val="00064B4C"/>
    <w:rsid w:val="00064C11"/>
    <w:rsid w:val="00064CF4"/>
    <w:rsid w:val="00064D08"/>
    <w:rsid w:val="00064D4C"/>
    <w:rsid w:val="00064EAA"/>
    <w:rsid w:val="00064F94"/>
    <w:rsid w:val="000651F3"/>
    <w:rsid w:val="0006520C"/>
    <w:rsid w:val="0006523E"/>
    <w:rsid w:val="00065555"/>
    <w:rsid w:val="000656AB"/>
    <w:rsid w:val="0006580D"/>
    <w:rsid w:val="000658B1"/>
    <w:rsid w:val="00065A6E"/>
    <w:rsid w:val="00065B30"/>
    <w:rsid w:val="00065BD1"/>
    <w:rsid w:val="00065C42"/>
    <w:rsid w:val="00065C5A"/>
    <w:rsid w:val="00065D06"/>
    <w:rsid w:val="00065D21"/>
    <w:rsid w:val="00065D26"/>
    <w:rsid w:val="00065D90"/>
    <w:rsid w:val="00065DD1"/>
    <w:rsid w:val="00065DEB"/>
    <w:rsid w:val="00065E2F"/>
    <w:rsid w:val="00065EC9"/>
    <w:rsid w:val="00065EF9"/>
    <w:rsid w:val="00065F6A"/>
    <w:rsid w:val="00065FD7"/>
    <w:rsid w:val="0006600E"/>
    <w:rsid w:val="00066081"/>
    <w:rsid w:val="000661F3"/>
    <w:rsid w:val="00066332"/>
    <w:rsid w:val="000664F3"/>
    <w:rsid w:val="000665B8"/>
    <w:rsid w:val="0006676E"/>
    <w:rsid w:val="000667F7"/>
    <w:rsid w:val="00066951"/>
    <w:rsid w:val="000669A3"/>
    <w:rsid w:val="00066AA4"/>
    <w:rsid w:val="00066AEC"/>
    <w:rsid w:val="00066BBA"/>
    <w:rsid w:val="00066BFF"/>
    <w:rsid w:val="00066DE4"/>
    <w:rsid w:val="00066E02"/>
    <w:rsid w:val="00066E16"/>
    <w:rsid w:val="00066E47"/>
    <w:rsid w:val="00066E7E"/>
    <w:rsid w:val="00066F94"/>
    <w:rsid w:val="00067024"/>
    <w:rsid w:val="00067085"/>
    <w:rsid w:val="00067239"/>
    <w:rsid w:val="00067315"/>
    <w:rsid w:val="0006732C"/>
    <w:rsid w:val="00067733"/>
    <w:rsid w:val="00067761"/>
    <w:rsid w:val="0006784E"/>
    <w:rsid w:val="000678B2"/>
    <w:rsid w:val="00067901"/>
    <w:rsid w:val="0006793D"/>
    <w:rsid w:val="0006799E"/>
    <w:rsid w:val="000679B5"/>
    <w:rsid w:val="00067B36"/>
    <w:rsid w:val="00067B8C"/>
    <w:rsid w:val="00067B93"/>
    <w:rsid w:val="00067BA6"/>
    <w:rsid w:val="00067D43"/>
    <w:rsid w:val="00067D9A"/>
    <w:rsid w:val="00067DDE"/>
    <w:rsid w:val="00067EBA"/>
    <w:rsid w:val="00070035"/>
    <w:rsid w:val="00070072"/>
    <w:rsid w:val="00070108"/>
    <w:rsid w:val="00070186"/>
    <w:rsid w:val="000701B8"/>
    <w:rsid w:val="0007025E"/>
    <w:rsid w:val="000702A4"/>
    <w:rsid w:val="000702B1"/>
    <w:rsid w:val="000702E1"/>
    <w:rsid w:val="00070310"/>
    <w:rsid w:val="0007041E"/>
    <w:rsid w:val="00070478"/>
    <w:rsid w:val="0007049B"/>
    <w:rsid w:val="0007059A"/>
    <w:rsid w:val="0007064A"/>
    <w:rsid w:val="000706E3"/>
    <w:rsid w:val="00070707"/>
    <w:rsid w:val="00070724"/>
    <w:rsid w:val="00070875"/>
    <w:rsid w:val="00070878"/>
    <w:rsid w:val="000708BC"/>
    <w:rsid w:val="00070932"/>
    <w:rsid w:val="0007098E"/>
    <w:rsid w:val="000709D2"/>
    <w:rsid w:val="000709DC"/>
    <w:rsid w:val="00070A03"/>
    <w:rsid w:val="00070A93"/>
    <w:rsid w:val="00070C05"/>
    <w:rsid w:val="00070DA6"/>
    <w:rsid w:val="00070DC5"/>
    <w:rsid w:val="00070F69"/>
    <w:rsid w:val="00070F98"/>
    <w:rsid w:val="0007100D"/>
    <w:rsid w:val="000710A8"/>
    <w:rsid w:val="00071218"/>
    <w:rsid w:val="0007131B"/>
    <w:rsid w:val="00071368"/>
    <w:rsid w:val="0007137C"/>
    <w:rsid w:val="000713A3"/>
    <w:rsid w:val="000713C7"/>
    <w:rsid w:val="00071453"/>
    <w:rsid w:val="00071509"/>
    <w:rsid w:val="00071514"/>
    <w:rsid w:val="00071528"/>
    <w:rsid w:val="0007185A"/>
    <w:rsid w:val="000718CD"/>
    <w:rsid w:val="0007191C"/>
    <w:rsid w:val="0007198D"/>
    <w:rsid w:val="0007199D"/>
    <w:rsid w:val="00071A2F"/>
    <w:rsid w:val="00071A5C"/>
    <w:rsid w:val="00071A87"/>
    <w:rsid w:val="00071B41"/>
    <w:rsid w:val="00071BC0"/>
    <w:rsid w:val="00071BCD"/>
    <w:rsid w:val="00071CD3"/>
    <w:rsid w:val="00071D57"/>
    <w:rsid w:val="00071DEE"/>
    <w:rsid w:val="00071ED8"/>
    <w:rsid w:val="00072073"/>
    <w:rsid w:val="0007214D"/>
    <w:rsid w:val="00072165"/>
    <w:rsid w:val="000721E4"/>
    <w:rsid w:val="0007226E"/>
    <w:rsid w:val="0007230C"/>
    <w:rsid w:val="0007242A"/>
    <w:rsid w:val="00072492"/>
    <w:rsid w:val="000724C8"/>
    <w:rsid w:val="000725EF"/>
    <w:rsid w:val="0007262B"/>
    <w:rsid w:val="0007264B"/>
    <w:rsid w:val="000726E1"/>
    <w:rsid w:val="000726E9"/>
    <w:rsid w:val="000726F7"/>
    <w:rsid w:val="0007273C"/>
    <w:rsid w:val="0007273D"/>
    <w:rsid w:val="00072777"/>
    <w:rsid w:val="00072976"/>
    <w:rsid w:val="00072A10"/>
    <w:rsid w:val="00072A8B"/>
    <w:rsid w:val="00072AA0"/>
    <w:rsid w:val="00072AA3"/>
    <w:rsid w:val="00072B3C"/>
    <w:rsid w:val="00072B79"/>
    <w:rsid w:val="00072BBC"/>
    <w:rsid w:val="00072C0A"/>
    <w:rsid w:val="00072C5D"/>
    <w:rsid w:val="00072CAE"/>
    <w:rsid w:val="00072DC9"/>
    <w:rsid w:val="00072E5C"/>
    <w:rsid w:val="00072F20"/>
    <w:rsid w:val="00072F25"/>
    <w:rsid w:val="00072F41"/>
    <w:rsid w:val="00073244"/>
    <w:rsid w:val="000732EE"/>
    <w:rsid w:val="0007337B"/>
    <w:rsid w:val="000733C4"/>
    <w:rsid w:val="00073440"/>
    <w:rsid w:val="00073541"/>
    <w:rsid w:val="000737A0"/>
    <w:rsid w:val="000737FD"/>
    <w:rsid w:val="00073957"/>
    <w:rsid w:val="00073962"/>
    <w:rsid w:val="00073A0C"/>
    <w:rsid w:val="00073AB2"/>
    <w:rsid w:val="00073B21"/>
    <w:rsid w:val="00073BCE"/>
    <w:rsid w:val="00073D79"/>
    <w:rsid w:val="00073E76"/>
    <w:rsid w:val="00073F03"/>
    <w:rsid w:val="00073F71"/>
    <w:rsid w:val="00073FAB"/>
    <w:rsid w:val="00074092"/>
    <w:rsid w:val="0007409B"/>
    <w:rsid w:val="000740B6"/>
    <w:rsid w:val="0007413C"/>
    <w:rsid w:val="000743C5"/>
    <w:rsid w:val="000743D1"/>
    <w:rsid w:val="0007446D"/>
    <w:rsid w:val="0007458A"/>
    <w:rsid w:val="000745F5"/>
    <w:rsid w:val="00074668"/>
    <w:rsid w:val="000746C3"/>
    <w:rsid w:val="00074716"/>
    <w:rsid w:val="000747F3"/>
    <w:rsid w:val="00074855"/>
    <w:rsid w:val="00074A8A"/>
    <w:rsid w:val="00074CF0"/>
    <w:rsid w:val="00074CFA"/>
    <w:rsid w:val="00074D0D"/>
    <w:rsid w:val="00074D9E"/>
    <w:rsid w:val="00074E25"/>
    <w:rsid w:val="00074ECA"/>
    <w:rsid w:val="00074F7D"/>
    <w:rsid w:val="0007500A"/>
    <w:rsid w:val="00075043"/>
    <w:rsid w:val="000750F9"/>
    <w:rsid w:val="00075109"/>
    <w:rsid w:val="000751C0"/>
    <w:rsid w:val="000754E2"/>
    <w:rsid w:val="00075659"/>
    <w:rsid w:val="000756F6"/>
    <w:rsid w:val="0007577A"/>
    <w:rsid w:val="0007578C"/>
    <w:rsid w:val="000757DB"/>
    <w:rsid w:val="00075AA5"/>
    <w:rsid w:val="00075CF7"/>
    <w:rsid w:val="00075D46"/>
    <w:rsid w:val="00075E06"/>
    <w:rsid w:val="00075E65"/>
    <w:rsid w:val="00075F1D"/>
    <w:rsid w:val="00075F52"/>
    <w:rsid w:val="00075F64"/>
    <w:rsid w:val="00076003"/>
    <w:rsid w:val="0007600E"/>
    <w:rsid w:val="00076069"/>
    <w:rsid w:val="0007609A"/>
    <w:rsid w:val="000760AF"/>
    <w:rsid w:val="00076294"/>
    <w:rsid w:val="0007646B"/>
    <w:rsid w:val="0007646D"/>
    <w:rsid w:val="00076498"/>
    <w:rsid w:val="000765DD"/>
    <w:rsid w:val="0007668E"/>
    <w:rsid w:val="000767E2"/>
    <w:rsid w:val="000769D8"/>
    <w:rsid w:val="000769F6"/>
    <w:rsid w:val="00076A3F"/>
    <w:rsid w:val="00076AB0"/>
    <w:rsid w:val="00076AE4"/>
    <w:rsid w:val="00076B0C"/>
    <w:rsid w:val="00076C06"/>
    <w:rsid w:val="00076C62"/>
    <w:rsid w:val="00076C76"/>
    <w:rsid w:val="00076D4B"/>
    <w:rsid w:val="00076DB4"/>
    <w:rsid w:val="00076E1C"/>
    <w:rsid w:val="0007708E"/>
    <w:rsid w:val="000770A6"/>
    <w:rsid w:val="00077108"/>
    <w:rsid w:val="00077229"/>
    <w:rsid w:val="00077529"/>
    <w:rsid w:val="000775BE"/>
    <w:rsid w:val="00077623"/>
    <w:rsid w:val="00077654"/>
    <w:rsid w:val="000776EB"/>
    <w:rsid w:val="00077856"/>
    <w:rsid w:val="000779B7"/>
    <w:rsid w:val="00077AA9"/>
    <w:rsid w:val="00077AB8"/>
    <w:rsid w:val="00077B29"/>
    <w:rsid w:val="00077B7D"/>
    <w:rsid w:val="00077B9A"/>
    <w:rsid w:val="00077C88"/>
    <w:rsid w:val="00077D3D"/>
    <w:rsid w:val="00077D7F"/>
    <w:rsid w:val="00077E2F"/>
    <w:rsid w:val="00077E74"/>
    <w:rsid w:val="00077E87"/>
    <w:rsid w:val="000801EB"/>
    <w:rsid w:val="0008025F"/>
    <w:rsid w:val="0008029A"/>
    <w:rsid w:val="0008029B"/>
    <w:rsid w:val="000802DB"/>
    <w:rsid w:val="000804EC"/>
    <w:rsid w:val="000804F8"/>
    <w:rsid w:val="00080654"/>
    <w:rsid w:val="000806E9"/>
    <w:rsid w:val="000806EE"/>
    <w:rsid w:val="00080704"/>
    <w:rsid w:val="0008070E"/>
    <w:rsid w:val="00080807"/>
    <w:rsid w:val="000808B6"/>
    <w:rsid w:val="0008097B"/>
    <w:rsid w:val="000809D4"/>
    <w:rsid w:val="00080C10"/>
    <w:rsid w:val="00080C2C"/>
    <w:rsid w:val="00080CA7"/>
    <w:rsid w:val="00080CDB"/>
    <w:rsid w:val="00080D44"/>
    <w:rsid w:val="00080E09"/>
    <w:rsid w:val="00080EAA"/>
    <w:rsid w:val="00080EEA"/>
    <w:rsid w:val="00080F79"/>
    <w:rsid w:val="00080FB9"/>
    <w:rsid w:val="0008105D"/>
    <w:rsid w:val="00081112"/>
    <w:rsid w:val="0008136B"/>
    <w:rsid w:val="000813EF"/>
    <w:rsid w:val="00081540"/>
    <w:rsid w:val="00081675"/>
    <w:rsid w:val="00081682"/>
    <w:rsid w:val="000816FC"/>
    <w:rsid w:val="0008171A"/>
    <w:rsid w:val="0008172F"/>
    <w:rsid w:val="000817D8"/>
    <w:rsid w:val="00081807"/>
    <w:rsid w:val="00081864"/>
    <w:rsid w:val="00081998"/>
    <w:rsid w:val="0008199A"/>
    <w:rsid w:val="000819BB"/>
    <w:rsid w:val="00081A28"/>
    <w:rsid w:val="00081AA6"/>
    <w:rsid w:val="00081CA2"/>
    <w:rsid w:val="00081D13"/>
    <w:rsid w:val="00081D2E"/>
    <w:rsid w:val="00081E74"/>
    <w:rsid w:val="00081ED9"/>
    <w:rsid w:val="00081EEE"/>
    <w:rsid w:val="00081F82"/>
    <w:rsid w:val="00081F93"/>
    <w:rsid w:val="00081F95"/>
    <w:rsid w:val="0008213D"/>
    <w:rsid w:val="000822C6"/>
    <w:rsid w:val="00082422"/>
    <w:rsid w:val="00082477"/>
    <w:rsid w:val="00082982"/>
    <w:rsid w:val="000829F5"/>
    <w:rsid w:val="00082BBF"/>
    <w:rsid w:val="00082BDE"/>
    <w:rsid w:val="00082D29"/>
    <w:rsid w:val="00082D62"/>
    <w:rsid w:val="00082DA3"/>
    <w:rsid w:val="00082DE4"/>
    <w:rsid w:val="00082E33"/>
    <w:rsid w:val="00082EAA"/>
    <w:rsid w:val="00082EE5"/>
    <w:rsid w:val="00082F4C"/>
    <w:rsid w:val="00082FE0"/>
    <w:rsid w:val="00083025"/>
    <w:rsid w:val="00083155"/>
    <w:rsid w:val="00083204"/>
    <w:rsid w:val="00083235"/>
    <w:rsid w:val="00083297"/>
    <w:rsid w:val="00083342"/>
    <w:rsid w:val="00083353"/>
    <w:rsid w:val="000833C7"/>
    <w:rsid w:val="0008340A"/>
    <w:rsid w:val="000834AD"/>
    <w:rsid w:val="00083622"/>
    <w:rsid w:val="0008365B"/>
    <w:rsid w:val="000836C5"/>
    <w:rsid w:val="000836CC"/>
    <w:rsid w:val="000836F5"/>
    <w:rsid w:val="00083710"/>
    <w:rsid w:val="000837E3"/>
    <w:rsid w:val="00083880"/>
    <w:rsid w:val="00083902"/>
    <w:rsid w:val="00083A4C"/>
    <w:rsid w:val="00083A72"/>
    <w:rsid w:val="00083AC6"/>
    <w:rsid w:val="00083B07"/>
    <w:rsid w:val="00083B74"/>
    <w:rsid w:val="00083BE7"/>
    <w:rsid w:val="00083C68"/>
    <w:rsid w:val="00083DD5"/>
    <w:rsid w:val="00083E2B"/>
    <w:rsid w:val="00083F38"/>
    <w:rsid w:val="00083FA8"/>
    <w:rsid w:val="0008406E"/>
    <w:rsid w:val="0008417A"/>
    <w:rsid w:val="000841D3"/>
    <w:rsid w:val="0008420A"/>
    <w:rsid w:val="00084215"/>
    <w:rsid w:val="000842D7"/>
    <w:rsid w:val="000842DE"/>
    <w:rsid w:val="000842E5"/>
    <w:rsid w:val="00084347"/>
    <w:rsid w:val="00084473"/>
    <w:rsid w:val="0008448D"/>
    <w:rsid w:val="000845DD"/>
    <w:rsid w:val="000846CB"/>
    <w:rsid w:val="00084782"/>
    <w:rsid w:val="00084787"/>
    <w:rsid w:val="00084847"/>
    <w:rsid w:val="0008488C"/>
    <w:rsid w:val="0008496D"/>
    <w:rsid w:val="00084AE8"/>
    <w:rsid w:val="00084B53"/>
    <w:rsid w:val="00084C12"/>
    <w:rsid w:val="00084C8F"/>
    <w:rsid w:val="00084E67"/>
    <w:rsid w:val="00084EF4"/>
    <w:rsid w:val="00084F05"/>
    <w:rsid w:val="00084F2E"/>
    <w:rsid w:val="0008506A"/>
    <w:rsid w:val="0008527A"/>
    <w:rsid w:val="00085322"/>
    <w:rsid w:val="0008559D"/>
    <w:rsid w:val="000855C7"/>
    <w:rsid w:val="00085654"/>
    <w:rsid w:val="0008583C"/>
    <w:rsid w:val="00085863"/>
    <w:rsid w:val="000858B2"/>
    <w:rsid w:val="000858F4"/>
    <w:rsid w:val="000859AA"/>
    <w:rsid w:val="000859B1"/>
    <w:rsid w:val="000859E7"/>
    <w:rsid w:val="00085A9E"/>
    <w:rsid w:val="00085AD2"/>
    <w:rsid w:val="00085AE1"/>
    <w:rsid w:val="00085B00"/>
    <w:rsid w:val="00085B10"/>
    <w:rsid w:val="00085B3D"/>
    <w:rsid w:val="00085B42"/>
    <w:rsid w:val="00085BD7"/>
    <w:rsid w:val="00085CB7"/>
    <w:rsid w:val="00085D4F"/>
    <w:rsid w:val="00085D65"/>
    <w:rsid w:val="00085DDB"/>
    <w:rsid w:val="00085DFF"/>
    <w:rsid w:val="00085EB7"/>
    <w:rsid w:val="00085F69"/>
    <w:rsid w:val="00085F88"/>
    <w:rsid w:val="000860E6"/>
    <w:rsid w:val="00086136"/>
    <w:rsid w:val="00086193"/>
    <w:rsid w:val="000861C0"/>
    <w:rsid w:val="000861C2"/>
    <w:rsid w:val="00086303"/>
    <w:rsid w:val="00086391"/>
    <w:rsid w:val="000863C2"/>
    <w:rsid w:val="000864FD"/>
    <w:rsid w:val="00086738"/>
    <w:rsid w:val="00086888"/>
    <w:rsid w:val="00086890"/>
    <w:rsid w:val="000868F5"/>
    <w:rsid w:val="0008692A"/>
    <w:rsid w:val="00086994"/>
    <w:rsid w:val="00086A21"/>
    <w:rsid w:val="00086A56"/>
    <w:rsid w:val="00086A6A"/>
    <w:rsid w:val="00086A9C"/>
    <w:rsid w:val="00086D02"/>
    <w:rsid w:val="00086D16"/>
    <w:rsid w:val="00086D5A"/>
    <w:rsid w:val="00086E41"/>
    <w:rsid w:val="00086EC5"/>
    <w:rsid w:val="00086F61"/>
    <w:rsid w:val="00086FFF"/>
    <w:rsid w:val="00087020"/>
    <w:rsid w:val="00087126"/>
    <w:rsid w:val="00087141"/>
    <w:rsid w:val="0008720C"/>
    <w:rsid w:val="000872AF"/>
    <w:rsid w:val="000872EF"/>
    <w:rsid w:val="00087305"/>
    <w:rsid w:val="0008731F"/>
    <w:rsid w:val="00087351"/>
    <w:rsid w:val="000873F4"/>
    <w:rsid w:val="000873FC"/>
    <w:rsid w:val="00087420"/>
    <w:rsid w:val="0008753E"/>
    <w:rsid w:val="000875E1"/>
    <w:rsid w:val="000876B7"/>
    <w:rsid w:val="000876B8"/>
    <w:rsid w:val="00087737"/>
    <w:rsid w:val="000878B4"/>
    <w:rsid w:val="000878CA"/>
    <w:rsid w:val="00087A0F"/>
    <w:rsid w:val="00087A52"/>
    <w:rsid w:val="00087B12"/>
    <w:rsid w:val="00087B75"/>
    <w:rsid w:val="00087BB7"/>
    <w:rsid w:val="00087CBB"/>
    <w:rsid w:val="00087DD9"/>
    <w:rsid w:val="00087E1B"/>
    <w:rsid w:val="00087E39"/>
    <w:rsid w:val="00087EFF"/>
    <w:rsid w:val="00087FBD"/>
    <w:rsid w:val="000900B0"/>
    <w:rsid w:val="000900D7"/>
    <w:rsid w:val="0009020B"/>
    <w:rsid w:val="0009020F"/>
    <w:rsid w:val="00090235"/>
    <w:rsid w:val="00090275"/>
    <w:rsid w:val="000903D8"/>
    <w:rsid w:val="0009041D"/>
    <w:rsid w:val="00090603"/>
    <w:rsid w:val="0009060C"/>
    <w:rsid w:val="0009061D"/>
    <w:rsid w:val="0009063C"/>
    <w:rsid w:val="0009064C"/>
    <w:rsid w:val="000906A2"/>
    <w:rsid w:val="000906A6"/>
    <w:rsid w:val="000906B9"/>
    <w:rsid w:val="00090776"/>
    <w:rsid w:val="0009087A"/>
    <w:rsid w:val="00090907"/>
    <w:rsid w:val="000909B5"/>
    <w:rsid w:val="000909B8"/>
    <w:rsid w:val="00090A0A"/>
    <w:rsid w:val="00090A1C"/>
    <w:rsid w:val="00090A1D"/>
    <w:rsid w:val="00090A5C"/>
    <w:rsid w:val="00090A91"/>
    <w:rsid w:val="00090ABE"/>
    <w:rsid w:val="00090B30"/>
    <w:rsid w:val="00090BC4"/>
    <w:rsid w:val="00090C86"/>
    <w:rsid w:val="00090CAD"/>
    <w:rsid w:val="00090D8D"/>
    <w:rsid w:val="00090D9B"/>
    <w:rsid w:val="00090E24"/>
    <w:rsid w:val="00090EB1"/>
    <w:rsid w:val="00090EEA"/>
    <w:rsid w:val="00090EF6"/>
    <w:rsid w:val="00091157"/>
    <w:rsid w:val="000911C5"/>
    <w:rsid w:val="000911FA"/>
    <w:rsid w:val="0009161D"/>
    <w:rsid w:val="000916E8"/>
    <w:rsid w:val="00091763"/>
    <w:rsid w:val="00091792"/>
    <w:rsid w:val="00091866"/>
    <w:rsid w:val="0009189D"/>
    <w:rsid w:val="000918E3"/>
    <w:rsid w:val="00091908"/>
    <w:rsid w:val="00091986"/>
    <w:rsid w:val="000919CE"/>
    <w:rsid w:val="00091B4C"/>
    <w:rsid w:val="00091C01"/>
    <w:rsid w:val="00091C81"/>
    <w:rsid w:val="00091D10"/>
    <w:rsid w:val="00091E01"/>
    <w:rsid w:val="00091E0E"/>
    <w:rsid w:val="00091E9B"/>
    <w:rsid w:val="0009201D"/>
    <w:rsid w:val="0009208B"/>
    <w:rsid w:val="000920B3"/>
    <w:rsid w:val="0009220B"/>
    <w:rsid w:val="000922C5"/>
    <w:rsid w:val="00092341"/>
    <w:rsid w:val="000923D8"/>
    <w:rsid w:val="00092451"/>
    <w:rsid w:val="000924B4"/>
    <w:rsid w:val="00092600"/>
    <w:rsid w:val="00092663"/>
    <w:rsid w:val="00092708"/>
    <w:rsid w:val="00092722"/>
    <w:rsid w:val="00092739"/>
    <w:rsid w:val="0009276A"/>
    <w:rsid w:val="0009276D"/>
    <w:rsid w:val="0009281F"/>
    <w:rsid w:val="000928E4"/>
    <w:rsid w:val="000928FC"/>
    <w:rsid w:val="0009290A"/>
    <w:rsid w:val="00092988"/>
    <w:rsid w:val="000929E8"/>
    <w:rsid w:val="000929F1"/>
    <w:rsid w:val="00092B4D"/>
    <w:rsid w:val="00092B64"/>
    <w:rsid w:val="00092DC3"/>
    <w:rsid w:val="00092DDE"/>
    <w:rsid w:val="00092E2E"/>
    <w:rsid w:val="00092E78"/>
    <w:rsid w:val="00092F72"/>
    <w:rsid w:val="00092FD0"/>
    <w:rsid w:val="00092FF1"/>
    <w:rsid w:val="0009301C"/>
    <w:rsid w:val="000931B9"/>
    <w:rsid w:val="00093236"/>
    <w:rsid w:val="000933A1"/>
    <w:rsid w:val="000933F1"/>
    <w:rsid w:val="00093416"/>
    <w:rsid w:val="00093489"/>
    <w:rsid w:val="000934E6"/>
    <w:rsid w:val="0009358D"/>
    <w:rsid w:val="000935DB"/>
    <w:rsid w:val="000936B1"/>
    <w:rsid w:val="00093745"/>
    <w:rsid w:val="00093753"/>
    <w:rsid w:val="00093772"/>
    <w:rsid w:val="000938CF"/>
    <w:rsid w:val="00093946"/>
    <w:rsid w:val="00093950"/>
    <w:rsid w:val="00093AB5"/>
    <w:rsid w:val="00093AEB"/>
    <w:rsid w:val="00093AFA"/>
    <w:rsid w:val="00093B76"/>
    <w:rsid w:val="00093C38"/>
    <w:rsid w:val="00093CB1"/>
    <w:rsid w:val="00093CCF"/>
    <w:rsid w:val="00093D07"/>
    <w:rsid w:val="00093D46"/>
    <w:rsid w:val="000940FA"/>
    <w:rsid w:val="00094114"/>
    <w:rsid w:val="00094243"/>
    <w:rsid w:val="0009428B"/>
    <w:rsid w:val="000942F9"/>
    <w:rsid w:val="00094327"/>
    <w:rsid w:val="00094539"/>
    <w:rsid w:val="000945F0"/>
    <w:rsid w:val="0009467D"/>
    <w:rsid w:val="00094680"/>
    <w:rsid w:val="0009472A"/>
    <w:rsid w:val="0009476A"/>
    <w:rsid w:val="000947D0"/>
    <w:rsid w:val="000947F6"/>
    <w:rsid w:val="000948BB"/>
    <w:rsid w:val="0009490D"/>
    <w:rsid w:val="00094BB4"/>
    <w:rsid w:val="00094C06"/>
    <w:rsid w:val="00094CD3"/>
    <w:rsid w:val="00094D43"/>
    <w:rsid w:val="00094E0F"/>
    <w:rsid w:val="00094E47"/>
    <w:rsid w:val="00094E4D"/>
    <w:rsid w:val="00094E83"/>
    <w:rsid w:val="00094FA9"/>
    <w:rsid w:val="0009500C"/>
    <w:rsid w:val="000950A5"/>
    <w:rsid w:val="000950BE"/>
    <w:rsid w:val="0009513B"/>
    <w:rsid w:val="00095140"/>
    <w:rsid w:val="00095142"/>
    <w:rsid w:val="00095236"/>
    <w:rsid w:val="000953EA"/>
    <w:rsid w:val="000953FD"/>
    <w:rsid w:val="00095456"/>
    <w:rsid w:val="000954DF"/>
    <w:rsid w:val="00095527"/>
    <w:rsid w:val="000955D0"/>
    <w:rsid w:val="00095725"/>
    <w:rsid w:val="000958B7"/>
    <w:rsid w:val="000958DD"/>
    <w:rsid w:val="00095914"/>
    <w:rsid w:val="00095936"/>
    <w:rsid w:val="00095943"/>
    <w:rsid w:val="0009599B"/>
    <w:rsid w:val="00095A2E"/>
    <w:rsid w:val="00095A43"/>
    <w:rsid w:val="00095ABC"/>
    <w:rsid w:val="00095AC9"/>
    <w:rsid w:val="00095C68"/>
    <w:rsid w:val="00095CB5"/>
    <w:rsid w:val="00095D39"/>
    <w:rsid w:val="00095DCA"/>
    <w:rsid w:val="00095E84"/>
    <w:rsid w:val="00095F1B"/>
    <w:rsid w:val="000961D8"/>
    <w:rsid w:val="00096271"/>
    <w:rsid w:val="0009632A"/>
    <w:rsid w:val="00096377"/>
    <w:rsid w:val="000964C2"/>
    <w:rsid w:val="0009652A"/>
    <w:rsid w:val="0009654D"/>
    <w:rsid w:val="00096609"/>
    <w:rsid w:val="00096613"/>
    <w:rsid w:val="00096675"/>
    <w:rsid w:val="00096710"/>
    <w:rsid w:val="000967AE"/>
    <w:rsid w:val="00096882"/>
    <w:rsid w:val="00096A99"/>
    <w:rsid w:val="00096B2D"/>
    <w:rsid w:val="00096C0A"/>
    <w:rsid w:val="00096CE3"/>
    <w:rsid w:val="00096D60"/>
    <w:rsid w:val="00096D73"/>
    <w:rsid w:val="00096DF9"/>
    <w:rsid w:val="00096E78"/>
    <w:rsid w:val="00096E9C"/>
    <w:rsid w:val="00096F15"/>
    <w:rsid w:val="00096F18"/>
    <w:rsid w:val="00097012"/>
    <w:rsid w:val="00097093"/>
    <w:rsid w:val="00097152"/>
    <w:rsid w:val="0009725C"/>
    <w:rsid w:val="00097274"/>
    <w:rsid w:val="000972A9"/>
    <w:rsid w:val="000972CB"/>
    <w:rsid w:val="0009730E"/>
    <w:rsid w:val="0009732E"/>
    <w:rsid w:val="00097366"/>
    <w:rsid w:val="0009736E"/>
    <w:rsid w:val="000974B3"/>
    <w:rsid w:val="00097522"/>
    <w:rsid w:val="000975B4"/>
    <w:rsid w:val="0009764D"/>
    <w:rsid w:val="000976C7"/>
    <w:rsid w:val="0009774F"/>
    <w:rsid w:val="0009787B"/>
    <w:rsid w:val="0009789B"/>
    <w:rsid w:val="000978CC"/>
    <w:rsid w:val="00097A24"/>
    <w:rsid w:val="00097BF7"/>
    <w:rsid w:val="00097C40"/>
    <w:rsid w:val="00097C81"/>
    <w:rsid w:val="00097C8A"/>
    <w:rsid w:val="00097C98"/>
    <w:rsid w:val="00097CF0"/>
    <w:rsid w:val="00097D0D"/>
    <w:rsid w:val="00097D64"/>
    <w:rsid w:val="00097E8B"/>
    <w:rsid w:val="00097E8E"/>
    <w:rsid w:val="00097EBE"/>
    <w:rsid w:val="000A0142"/>
    <w:rsid w:val="000A0244"/>
    <w:rsid w:val="000A0268"/>
    <w:rsid w:val="000A02A9"/>
    <w:rsid w:val="000A0317"/>
    <w:rsid w:val="000A0354"/>
    <w:rsid w:val="000A044C"/>
    <w:rsid w:val="000A0497"/>
    <w:rsid w:val="000A04A3"/>
    <w:rsid w:val="000A0522"/>
    <w:rsid w:val="000A06FE"/>
    <w:rsid w:val="000A078B"/>
    <w:rsid w:val="000A07C6"/>
    <w:rsid w:val="000A0903"/>
    <w:rsid w:val="000A09DE"/>
    <w:rsid w:val="000A0A25"/>
    <w:rsid w:val="000A0A2B"/>
    <w:rsid w:val="000A0B9E"/>
    <w:rsid w:val="000A0CA4"/>
    <w:rsid w:val="000A0DB0"/>
    <w:rsid w:val="000A0EDD"/>
    <w:rsid w:val="000A0F53"/>
    <w:rsid w:val="000A0FBD"/>
    <w:rsid w:val="000A0FC5"/>
    <w:rsid w:val="000A1071"/>
    <w:rsid w:val="000A119E"/>
    <w:rsid w:val="000A12CD"/>
    <w:rsid w:val="000A1379"/>
    <w:rsid w:val="000A13E7"/>
    <w:rsid w:val="000A144F"/>
    <w:rsid w:val="000A1553"/>
    <w:rsid w:val="000A15DB"/>
    <w:rsid w:val="000A17B1"/>
    <w:rsid w:val="000A17B4"/>
    <w:rsid w:val="000A1807"/>
    <w:rsid w:val="000A1809"/>
    <w:rsid w:val="000A1A92"/>
    <w:rsid w:val="000A1CB9"/>
    <w:rsid w:val="000A1CD2"/>
    <w:rsid w:val="000A1CDA"/>
    <w:rsid w:val="000A1D04"/>
    <w:rsid w:val="000A1D65"/>
    <w:rsid w:val="000A1ED8"/>
    <w:rsid w:val="000A1F05"/>
    <w:rsid w:val="000A1F06"/>
    <w:rsid w:val="000A1F1C"/>
    <w:rsid w:val="000A1F2F"/>
    <w:rsid w:val="000A1F68"/>
    <w:rsid w:val="000A1FCD"/>
    <w:rsid w:val="000A209D"/>
    <w:rsid w:val="000A228E"/>
    <w:rsid w:val="000A22FA"/>
    <w:rsid w:val="000A23D2"/>
    <w:rsid w:val="000A23D4"/>
    <w:rsid w:val="000A24AE"/>
    <w:rsid w:val="000A24CB"/>
    <w:rsid w:val="000A2657"/>
    <w:rsid w:val="000A2710"/>
    <w:rsid w:val="000A273C"/>
    <w:rsid w:val="000A2768"/>
    <w:rsid w:val="000A27CE"/>
    <w:rsid w:val="000A27F0"/>
    <w:rsid w:val="000A2800"/>
    <w:rsid w:val="000A2AAC"/>
    <w:rsid w:val="000A2B14"/>
    <w:rsid w:val="000A2B31"/>
    <w:rsid w:val="000A2C0F"/>
    <w:rsid w:val="000A2C32"/>
    <w:rsid w:val="000A2C8E"/>
    <w:rsid w:val="000A2DEF"/>
    <w:rsid w:val="000A2E19"/>
    <w:rsid w:val="000A2F41"/>
    <w:rsid w:val="000A3017"/>
    <w:rsid w:val="000A3050"/>
    <w:rsid w:val="000A30C8"/>
    <w:rsid w:val="000A30E7"/>
    <w:rsid w:val="000A3215"/>
    <w:rsid w:val="000A325E"/>
    <w:rsid w:val="000A32A8"/>
    <w:rsid w:val="000A34A5"/>
    <w:rsid w:val="000A352F"/>
    <w:rsid w:val="000A3579"/>
    <w:rsid w:val="000A3594"/>
    <w:rsid w:val="000A3596"/>
    <w:rsid w:val="000A35C6"/>
    <w:rsid w:val="000A3745"/>
    <w:rsid w:val="000A379C"/>
    <w:rsid w:val="000A3867"/>
    <w:rsid w:val="000A391D"/>
    <w:rsid w:val="000A3994"/>
    <w:rsid w:val="000A3AF6"/>
    <w:rsid w:val="000A3B2F"/>
    <w:rsid w:val="000A3C4C"/>
    <w:rsid w:val="000A3D54"/>
    <w:rsid w:val="000A3E30"/>
    <w:rsid w:val="000A3F04"/>
    <w:rsid w:val="000A3FD3"/>
    <w:rsid w:val="000A403E"/>
    <w:rsid w:val="000A40FE"/>
    <w:rsid w:val="000A412E"/>
    <w:rsid w:val="000A41B3"/>
    <w:rsid w:val="000A41BE"/>
    <w:rsid w:val="000A424C"/>
    <w:rsid w:val="000A425A"/>
    <w:rsid w:val="000A428A"/>
    <w:rsid w:val="000A4293"/>
    <w:rsid w:val="000A43A3"/>
    <w:rsid w:val="000A43EB"/>
    <w:rsid w:val="000A4518"/>
    <w:rsid w:val="000A4571"/>
    <w:rsid w:val="000A465F"/>
    <w:rsid w:val="000A4723"/>
    <w:rsid w:val="000A4744"/>
    <w:rsid w:val="000A4758"/>
    <w:rsid w:val="000A47BE"/>
    <w:rsid w:val="000A4801"/>
    <w:rsid w:val="000A496A"/>
    <w:rsid w:val="000A4B2C"/>
    <w:rsid w:val="000A4BB9"/>
    <w:rsid w:val="000A4CCF"/>
    <w:rsid w:val="000A4CFB"/>
    <w:rsid w:val="000A4CFF"/>
    <w:rsid w:val="000A4E9A"/>
    <w:rsid w:val="000A4EB7"/>
    <w:rsid w:val="000A4FD0"/>
    <w:rsid w:val="000A4FFA"/>
    <w:rsid w:val="000A50E3"/>
    <w:rsid w:val="000A5150"/>
    <w:rsid w:val="000A53FD"/>
    <w:rsid w:val="000A5490"/>
    <w:rsid w:val="000A5498"/>
    <w:rsid w:val="000A5527"/>
    <w:rsid w:val="000A555E"/>
    <w:rsid w:val="000A558B"/>
    <w:rsid w:val="000A55EC"/>
    <w:rsid w:val="000A5645"/>
    <w:rsid w:val="000A56D8"/>
    <w:rsid w:val="000A5700"/>
    <w:rsid w:val="000A5805"/>
    <w:rsid w:val="000A584A"/>
    <w:rsid w:val="000A599A"/>
    <w:rsid w:val="000A59D7"/>
    <w:rsid w:val="000A5B16"/>
    <w:rsid w:val="000A5BA2"/>
    <w:rsid w:val="000A5C49"/>
    <w:rsid w:val="000A5C7F"/>
    <w:rsid w:val="000A5C84"/>
    <w:rsid w:val="000A5D87"/>
    <w:rsid w:val="000A5E5C"/>
    <w:rsid w:val="000A5F29"/>
    <w:rsid w:val="000A5F55"/>
    <w:rsid w:val="000A6035"/>
    <w:rsid w:val="000A60AD"/>
    <w:rsid w:val="000A610F"/>
    <w:rsid w:val="000A6124"/>
    <w:rsid w:val="000A622F"/>
    <w:rsid w:val="000A62AC"/>
    <w:rsid w:val="000A6327"/>
    <w:rsid w:val="000A6330"/>
    <w:rsid w:val="000A634B"/>
    <w:rsid w:val="000A65D8"/>
    <w:rsid w:val="000A66EB"/>
    <w:rsid w:val="000A6727"/>
    <w:rsid w:val="000A6791"/>
    <w:rsid w:val="000A680B"/>
    <w:rsid w:val="000A6840"/>
    <w:rsid w:val="000A685D"/>
    <w:rsid w:val="000A689A"/>
    <w:rsid w:val="000A6940"/>
    <w:rsid w:val="000A69E6"/>
    <w:rsid w:val="000A6B22"/>
    <w:rsid w:val="000A6BA4"/>
    <w:rsid w:val="000A6C30"/>
    <w:rsid w:val="000A6CC2"/>
    <w:rsid w:val="000A6E08"/>
    <w:rsid w:val="000A6F03"/>
    <w:rsid w:val="000A6FC7"/>
    <w:rsid w:val="000A700F"/>
    <w:rsid w:val="000A7042"/>
    <w:rsid w:val="000A7092"/>
    <w:rsid w:val="000A70DA"/>
    <w:rsid w:val="000A721B"/>
    <w:rsid w:val="000A7227"/>
    <w:rsid w:val="000A7229"/>
    <w:rsid w:val="000A7295"/>
    <w:rsid w:val="000A72C3"/>
    <w:rsid w:val="000A72F7"/>
    <w:rsid w:val="000A733E"/>
    <w:rsid w:val="000A73BC"/>
    <w:rsid w:val="000A73FB"/>
    <w:rsid w:val="000A742A"/>
    <w:rsid w:val="000A759B"/>
    <w:rsid w:val="000A75C4"/>
    <w:rsid w:val="000A7695"/>
    <w:rsid w:val="000A769A"/>
    <w:rsid w:val="000A76D9"/>
    <w:rsid w:val="000A7725"/>
    <w:rsid w:val="000A7769"/>
    <w:rsid w:val="000A786E"/>
    <w:rsid w:val="000A79C7"/>
    <w:rsid w:val="000A7A13"/>
    <w:rsid w:val="000A7A69"/>
    <w:rsid w:val="000A7A74"/>
    <w:rsid w:val="000A7AEE"/>
    <w:rsid w:val="000A7B5D"/>
    <w:rsid w:val="000A7BE9"/>
    <w:rsid w:val="000A7BFF"/>
    <w:rsid w:val="000A7C1B"/>
    <w:rsid w:val="000A7C45"/>
    <w:rsid w:val="000A7C98"/>
    <w:rsid w:val="000A7CE0"/>
    <w:rsid w:val="000A7D10"/>
    <w:rsid w:val="000A7D39"/>
    <w:rsid w:val="000A7E90"/>
    <w:rsid w:val="000A7EE2"/>
    <w:rsid w:val="000A7F05"/>
    <w:rsid w:val="000A7FA5"/>
    <w:rsid w:val="000A7FF1"/>
    <w:rsid w:val="000B0097"/>
    <w:rsid w:val="000B00D6"/>
    <w:rsid w:val="000B010F"/>
    <w:rsid w:val="000B0117"/>
    <w:rsid w:val="000B023C"/>
    <w:rsid w:val="000B034C"/>
    <w:rsid w:val="000B039E"/>
    <w:rsid w:val="000B0439"/>
    <w:rsid w:val="000B047C"/>
    <w:rsid w:val="000B0593"/>
    <w:rsid w:val="000B05CF"/>
    <w:rsid w:val="000B06E4"/>
    <w:rsid w:val="000B07EC"/>
    <w:rsid w:val="000B0820"/>
    <w:rsid w:val="000B0911"/>
    <w:rsid w:val="000B0A02"/>
    <w:rsid w:val="000B0B26"/>
    <w:rsid w:val="000B0D78"/>
    <w:rsid w:val="000B0DBF"/>
    <w:rsid w:val="000B0DC6"/>
    <w:rsid w:val="000B0F18"/>
    <w:rsid w:val="000B0F1C"/>
    <w:rsid w:val="000B1158"/>
    <w:rsid w:val="000B11E1"/>
    <w:rsid w:val="000B1248"/>
    <w:rsid w:val="000B12C8"/>
    <w:rsid w:val="000B136C"/>
    <w:rsid w:val="000B1379"/>
    <w:rsid w:val="000B1469"/>
    <w:rsid w:val="000B1590"/>
    <w:rsid w:val="000B15E0"/>
    <w:rsid w:val="000B165D"/>
    <w:rsid w:val="000B1761"/>
    <w:rsid w:val="000B177A"/>
    <w:rsid w:val="000B18BC"/>
    <w:rsid w:val="000B18F5"/>
    <w:rsid w:val="000B19B9"/>
    <w:rsid w:val="000B19DF"/>
    <w:rsid w:val="000B1A3B"/>
    <w:rsid w:val="000B1B23"/>
    <w:rsid w:val="000B1B32"/>
    <w:rsid w:val="000B1BD7"/>
    <w:rsid w:val="000B1BDF"/>
    <w:rsid w:val="000B1C1A"/>
    <w:rsid w:val="000B1DD7"/>
    <w:rsid w:val="000B1E29"/>
    <w:rsid w:val="000B1EC1"/>
    <w:rsid w:val="000B1F23"/>
    <w:rsid w:val="000B1FD0"/>
    <w:rsid w:val="000B2092"/>
    <w:rsid w:val="000B2099"/>
    <w:rsid w:val="000B20BA"/>
    <w:rsid w:val="000B2103"/>
    <w:rsid w:val="000B2189"/>
    <w:rsid w:val="000B21B5"/>
    <w:rsid w:val="000B21C9"/>
    <w:rsid w:val="000B21EA"/>
    <w:rsid w:val="000B23D0"/>
    <w:rsid w:val="000B241A"/>
    <w:rsid w:val="000B2448"/>
    <w:rsid w:val="000B251A"/>
    <w:rsid w:val="000B2566"/>
    <w:rsid w:val="000B2588"/>
    <w:rsid w:val="000B26F3"/>
    <w:rsid w:val="000B26F8"/>
    <w:rsid w:val="000B27C1"/>
    <w:rsid w:val="000B27C4"/>
    <w:rsid w:val="000B27F0"/>
    <w:rsid w:val="000B283C"/>
    <w:rsid w:val="000B2844"/>
    <w:rsid w:val="000B28AA"/>
    <w:rsid w:val="000B2A84"/>
    <w:rsid w:val="000B2A86"/>
    <w:rsid w:val="000B2BE6"/>
    <w:rsid w:val="000B2C44"/>
    <w:rsid w:val="000B2C6A"/>
    <w:rsid w:val="000B2CD4"/>
    <w:rsid w:val="000B2D42"/>
    <w:rsid w:val="000B2D5B"/>
    <w:rsid w:val="000B2DF0"/>
    <w:rsid w:val="000B2E3C"/>
    <w:rsid w:val="000B2F84"/>
    <w:rsid w:val="000B2F9E"/>
    <w:rsid w:val="000B2FF6"/>
    <w:rsid w:val="000B30BD"/>
    <w:rsid w:val="000B3103"/>
    <w:rsid w:val="000B3188"/>
    <w:rsid w:val="000B318B"/>
    <w:rsid w:val="000B3316"/>
    <w:rsid w:val="000B33A8"/>
    <w:rsid w:val="000B3406"/>
    <w:rsid w:val="000B357E"/>
    <w:rsid w:val="000B3589"/>
    <w:rsid w:val="000B35AE"/>
    <w:rsid w:val="000B35F2"/>
    <w:rsid w:val="000B35F5"/>
    <w:rsid w:val="000B36E7"/>
    <w:rsid w:val="000B373B"/>
    <w:rsid w:val="000B3773"/>
    <w:rsid w:val="000B37B8"/>
    <w:rsid w:val="000B3800"/>
    <w:rsid w:val="000B3859"/>
    <w:rsid w:val="000B3891"/>
    <w:rsid w:val="000B38DC"/>
    <w:rsid w:val="000B3974"/>
    <w:rsid w:val="000B3ADA"/>
    <w:rsid w:val="000B3B6A"/>
    <w:rsid w:val="000B3BE9"/>
    <w:rsid w:val="000B3CB2"/>
    <w:rsid w:val="000B3CEE"/>
    <w:rsid w:val="000B3D17"/>
    <w:rsid w:val="000B3DEA"/>
    <w:rsid w:val="000B3E28"/>
    <w:rsid w:val="000B3E33"/>
    <w:rsid w:val="000B3EA6"/>
    <w:rsid w:val="000B3F42"/>
    <w:rsid w:val="000B3F45"/>
    <w:rsid w:val="000B3FDB"/>
    <w:rsid w:val="000B3FFA"/>
    <w:rsid w:val="000B4101"/>
    <w:rsid w:val="000B4186"/>
    <w:rsid w:val="000B421E"/>
    <w:rsid w:val="000B42AC"/>
    <w:rsid w:val="000B42E1"/>
    <w:rsid w:val="000B43DA"/>
    <w:rsid w:val="000B43E4"/>
    <w:rsid w:val="000B4447"/>
    <w:rsid w:val="000B44A0"/>
    <w:rsid w:val="000B44FB"/>
    <w:rsid w:val="000B4515"/>
    <w:rsid w:val="000B45A2"/>
    <w:rsid w:val="000B46EF"/>
    <w:rsid w:val="000B473B"/>
    <w:rsid w:val="000B4785"/>
    <w:rsid w:val="000B481A"/>
    <w:rsid w:val="000B49B0"/>
    <w:rsid w:val="000B4A02"/>
    <w:rsid w:val="000B4A9D"/>
    <w:rsid w:val="000B4AFB"/>
    <w:rsid w:val="000B4B60"/>
    <w:rsid w:val="000B4BA1"/>
    <w:rsid w:val="000B4BAB"/>
    <w:rsid w:val="000B4CE4"/>
    <w:rsid w:val="000B4D16"/>
    <w:rsid w:val="000B4D19"/>
    <w:rsid w:val="000B4E63"/>
    <w:rsid w:val="000B4F82"/>
    <w:rsid w:val="000B4FED"/>
    <w:rsid w:val="000B5252"/>
    <w:rsid w:val="000B5279"/>
    <w:rsid w:val="000B5302"/>
    <w:rsid w:val="000B5524"/>
    <w:rsid w:val="000B56F0"/>
    <w:rsid w:val="000B56F7"/>
    <w:rsid w:val="000B56FE"/>
    <w:rsid w:val="000B5774"/>
    <w:rsid w:val="000B57AF"/>
    <w:rsid w:val="000B57CD"/>
    <w:rsid w:val="000B5860"/>
    <w:rsid w:val="000B5897"/>
    <w:rsid w:val="000B5898"/>
    <w:rsid w:val="000B5996"/>
    <w:rsid w:val="000B599E"/>
    <w:rsid w:val="000B59D8"/>
    <w:rsid w:val="000B59EF"/>
    <w:rsid w:val="000B5A3C"/>
    <w:rsid w:val="000B5A7C"/>
    <w:rsid w:val="000B5AD6"/>
    <w:rsid w:val="000B5B22"/>
    <w:rsid w:val="000B5B9D"/>
    <w:rsid w:val="000B5CC6"/>
    <w:rsid w:val="000B5D41"/>
    <w:rsid w:val="000B5DC1"/>
    <w:rsid w:val="000B5DE8"/>
    <w:rsid w:val="000B5F09"/>
    <w:rsid w:val="000B5F4B"/>
    <w:rsid w:val="000B5F9D"/>
    <w:rsid w:val="000B6095"/>
    <w:rsid w:val="000B60AF"/>
    <w:rsid w:val="000B60ED"/>
    <w:rsid w:val="000B6105"/>
    <w:rsid w:val="000B613D"/>
    <w:rsid w:val="000B615A"/>
    <w:rsid w:val="000B6187"/>
    <w:rsid w:val="000B624D"/>
    <w:rsid w:val="000B62B2"/>
    <w:rsid w:val="000B62B8"/>
    <w:rsid w:val="000B649F"/>
    <w:rsid w:val="000B651F"/>
    <w:rsid w:val="000B653D"/>
    <w:rsid w:val="000B655F"/>
    <w:rsid w:val="000B6593"/>
    <w:rsid w:val="000B6645"/>
    <w:rsid w:val="000B667A"/>
    <w:rsid w:val="000B6917"/>
    <w:rsid w:val="000B69DF"/>
    <w:rsid w:val="000B69FC"/>
    <w:rsid w:val="000B6A6D"/>
    <w:rsid w:val="000B6B62"/>
    <w:rsid w:val="000B6C05"/>
    <w:rsid w:val="000B6C6C"/>
    <w:rsid w:val="000B6D02"/>
    <w:rsid w:val="000B6D67"/>
    <w:rsid w:val="000B6D91"/>
    <w:rsid w:val="000B6DA9"/>
    <w:rsid w:val="000B6F6D"/>
    <w:rsid w:val="000B6F96"/>
    <w:rsid w:val="000B704F"/>
    <w:rsid w:val="000B7162"/>
    <w:rsid w:val="000B74A3"/>
    <w:rsid w:val="000B74D7"/>
    <w:rsid w:val="000B7587"/>
    <w:rsid w:val="000B75DC"/>
    <w:rsid w:val="000B762B"/>
    <w:rsid w:val="000B7634"/>
    <w:rsid w:val="000B7656"/>
    <w:rsid w:val="000B7661"/>
    <w:rsid w:val="000B7697"/>
    <w:rsid w:val="000B7791"/>
    <w:rsid w:val="000B799E"/>
    <w:rsid w:val="000B79B0"/>
    <w:rsid w:val="000B79B3"/>
    <w:rsid w:val="000B79E9"/>
    <w:rsid w:val="000B7A76"/>
    <w:rsid w:val="000B7BAD"/>
    <w:rsid w:val="000B7C0A"/>
    <w:rsid w:val="000B7C17"/>
    <w:rsid w:val="000B7C3E"/>
    <w:rsid w:val="000B7CE5"/>
    <w:rsid w:val="000B7D0E"/>
    <w:rsid w:val="000B7D62"/>
    <w:rsid w:val="000B7E23"/>
    <w:rsid w:val="000C009C"/>
    <w:rsid w:val="000C0180"/>
    <w:rsid w:val="000C01DC"/>
    <w:rsid w:val="000C020D"/>
    <w:rsid w:val="000C02AB"/>
    <w:rsid w:val="000C0306"/>
    <w:rsid w:val="000C031A"/>
    <w:rsid w:val="000C0332"/>
    <w:rsid w:val="000C03AA"/>
    <w:rsid w:val="000C0596"/>
    <w:rsid w:val="000C0668"/>
    <w:rsid w:val="000C0706"/>
    <w:rsid w:val="000C073F"/>
    <w:rsid w:val="000C076D"/>
    <w:rsid w:val="000C087D"/>
    <w:rsid w:val="000C08BF"/>
    <w:rsid w:val="000C0A21"/>
    <w:rsid w:val="000C0A88"/>
    <w:rsid w:val="000C0AA5"/>
    <w:rsid w:val="000C0B3C"/>
    <w:rsid w:val="000C0C28"/>
    <w:rsid w:val="000C0C75"/>
    <w:rsid w:val="000C0C9C"/>
    <w:rsid w:val="000C0D03"/>
    <w:rsid w:val="000C0E40"/>
    <w:rsid w:val="000C1033"/>
    <w:rsid w:val="000C1145"/>
    <w:rsid w:val="000C1318"/>
    <w:rsid w:val="000C13AA"/>
    <w:rsid w:val="000C147B"/>
    <w:rsid w:val="000C149C"/>
    <w:rsid w:val="000C1508"/>
    <w:rsid w:val="000C1525"/>
    <w:rsid w:val="000C1891"/>
    <w:rsid w:val="000C1900"/>
    <w:rsid w:val="000C192C"/>
    <w:rsid w:val="000C1A07"/>
    <w:rsid w:val="000C1A5E"/>
    <w:rsid w:val="000C1A80"/>
    <w:rsid w:val="000C1AB2"/>
    <w:rsid w:val="000C1B6E"/>
    <w:rsid w:val="000C1B9D"/>
    <w:rsid w:val="000C1BCA"/>
    <w:rsid w:val="000C1D5C"/>
    <w:rsid w:val="000C1D8F"/>
    <w:rsid w:val="000C2049"/>
    <w:rsid w:val="000C20B7"/>
    <w:rsid w:val="000C20BD"/>
    <w:rsid w:val="000C2125"/>
    <w:rsid w:val="000C2191"/>
    <w:rsid w:val="000C21B7"/>
    <w:rsid w:val="000C220F"/>
    <w:rsid w:val="000C23AB"/>
    <w:rsid w:val="000C23F3"/>
    <w:rsid w:val="000C2472"/>
    <w:rsid w:val="000C248D"/>
    <w:rsid w:val="000C24F8"/>
    <w:rsid w:val="000C2521"/>
    <w:rsid w:val="000C2547"/>
    <w:rsid w:val="000C26B7"/>
    <w:rsid w:val="000C2801"/>
    <w:rsid w:val="000C281F"/>
    <w:rsid w:val="000C29E2"/>
    <w:rsid w:val="000C2A4D"/>
    <w:rsid w:val="000C2AB2"/>
    <w:rsid w:val="000C2B24"/>
    <w:rsid w:val="000C2BB2"/>
    <w:rsid w:val="000C2C5D"/>
    <w:rsid w:val="000C2D0C"/>
    <w:rsid w:val="000C2D94"/>
    <w:rsid w:val="000C2E4D"/>
    <w:rsid w:val="000C2F02"/>
    <w:rsid w:val="000C2F48"/>
    <w:rsid w:val="000C2FFC"/>
    <w:rsid w:val="000C301A"/>
    <w:rsid w:val="000C3033"/>
    <w:rsid w:val="000C3037"/>
    <w:rsid w:val="000C33B2"/>
    <w:rsid w:val="000C35FC"/>
    <w:rsid w:val="000C363B"/>
    <w:rsid w:val="000C36DB"/>
    <w:rsid w:val="000C3742"/>
    <w:rsid w:val="000C375A"/>
    <w:rsid w:val="000C3949"/>
    <w:rsid w:val="000C3953"/>
    <w:rsid w:val="000C3972"/>
    <w:rsid w:val="000C39D7"/>
    <w:rsid w:val="000C39E3"/>
    <w:rsid w:val="000C3A2E"/>
    <w:rsid w:val="000C3A30"/>
    <w:rsid w:val="000C3B0A"/>
    <w:rsid w:val="000C3B0E"/>
    <w:rsid w:val="000C3B45"/>
    <w:rsid w:val="000C3C6D"/>
    <w:rsid w:val="000C3DE0"/>
    <w:rsid w:val="000C3F4B"/>
    <w:rsid w:val="000C4039"/>
    <w:rsid w:val="000C4136"/>
    <w:rsid w:val="000C413F"/>
    <w:rsid w:val="000C4195"/>
    <w:rsid w:val="000C42E5"/>
    <w:rsid w:val="000C4331"/>
    <w:rsid w:val="000C43B6"/>
    <w:rsid w:val="000C44A8"/>
    <w:rsid w:val="000C4513"/>
    <w:rsid w:val="000C4596"/>
    <w:rsid w:val="000C4615"/>
    <w:rsid w:val="000C46D7"/>
    <w:rsid w:val="000C46E8"/>
    <w:rsid w:val="000C476A"/>
    <w:rsid w:val="000C4835"/>
    <w:rsid w:val="000C489A"/>
    <w:rsid w:val="000C4942"/>
    <w:rsid w:val="000C4963"/>
    <w:rsid w:val="000C49A1"/>
    <w:rsid w:val="000C4AA5"/>
    <w:rsid w:val="000C4C64"/>
    <w:rsid w:val="000C4C81"/>
    <w:rsid w:val="000C4CC5"/>
    <w:rsid w:val="000C4EDF"/>
    <w:rsid w:val="000C5013"/>
    <w:rsid w:val="000C50A6"/>
    <w:rsid w:val="000C5118"/>
    <w:rsid w:val="000C52C4"/>
    <w:rsid w:val="000C533A"/>
    <w:rsid w:val="000C5364"/>
    <w:rsid w:val="000C550B"/>
    <w:rsid w:val="000C5512"/>
    <w:rsid w:val="000C5591"/>
    <w:rsid w:val="000C55D4"/>
    <w:rsid w:val="000C5752"/>
    <w:rsid w:val="000C57CC"/>
    <w:rsid w:val="000C586A"/>
    <w:rsid w:val="000C5925"/>
    <w:rsid w:val="000C59DD"/>
    <w:rsid w:val="000C5C65"/>
    <w:rsid w:val="000C5C90"/>
    <w:rsid w:val="000C5D20"/>
    <w:rsid w:val="000C5DBB"/>
    <w:rsid w:val="000C5E97"/>
    <w:rsid w:val="000C5EA5"/>
    <w:rsid w:val="000C5EE3"/>
    <w:rsid w:val="000C5EF6"/>
    <w:rsid w:val="000C5F55"/>
    <w:rsid w:val="000C6053"/>
    <w:rsid w:val="000C60D8"/>
    <w:rsid w:val="000C62DB"/>
    <w:rsid w:val="000C6421"/>
    <w:rsid w:val="000C64FF"/>
    <w:rsid w:val="000C6532"/>
    <w:rsid w:val="000C667A"/>
    <w:rsid w:val="000C6701"/>
    <w:rsid w:val="000C6706"/>
    <w:rsid w:val="000C6734"/>
    <w:rsid w:val="000C67A6"/>
    <w:rsid w:val="000C689B"/>
    <w:rsid w:val="000C691D"/>
    <w:rsid w:val="000C6B8E"/>
    <w:rsid w:val="000C6BD8"/>
    <w:rsid w:val="000C6C40"/>
    <w:rsid w:val="000C6C9B"/>
    <w:rsid w:val="000C6D47"/>
    <w:rsid w:val="000C6E92"/>
    <w:rsid w:val="000C6E96"/>
    <w:rsid w:val="000C6EE9"/>
    <w:rsid w:val="000C6EF0"/>
    <w:rsid w:val="000C6F09"/>
    <w:rsid w:val="000C6FA3"/>
    <w:rsid w:val="000C6FAD"/>
    <w:rsid w:val="000C70CB"/>
    <w:rsid w:val="000C717A"/>
    <w:rsid w:val="000C71C4"/>
    <w:rsid w:val="000C71CC"/>
    <w:rsid w:val="000C71DF"/>
    <w:rsid w:val="000C71E9"/>
    <w:rsid w:val="000C7267"/>
    <w:rsid w:val="000C727D"/>
    <w:rsid w:val="000C7353"/>
    <w:rsid w:val="000C7435"/>
    <w:rsid w:val="000C745E"/>
    <w:rsid w:val="000C74E9"/>
    <w:rsid w:val="000C751B"/>
    <w:rsid w:val="000C752F"/>
    <w:rsid w:val="000C7715"/>
    <w:rsid w:val="000C776D"/>
    <w:rsid w:val="000C7771"/>
    <w:rsid w:val="000C77F9"/>
    <w:rsid w:val="000C7870"/>
    <w:rsid w:val="000C7927"/>
    <w:rsid w:val="000C7943"/>
    <w:rsid w:val="000C7987"/>
    <w:rsid w:val="000C7A92"/>
    <w:rsid w:val="000C7B02"/>
    <w:rsid w:val="000C7B7F"/>
    <w:rsid w:val="000C7C39"/>
    <w:rsid w:val="000C7CC1"/>
    <w:rsid w:val="000C7D23"/>
    <w:rsid w:val="000C7D59"/>
    <w:rsid w:val="000C7DA3"/>
    <w:rsid w:val="000C7F03"/>
    <w:rsid w:val="000C7F3D"/>
    <w:rsid w:val="000D0111"/>
    <w:rsid w:val="000D016E"/>
    <w:rsid w:val="000D0199"/>
    <w:rsid w:val="000D0229"/>
    <w:rsid w:val="000D02EF"/>
    <w:rsid w:val="000D03A1"/>
    <w:rsid w:val="000D03E4"/>
    <w:rsid w:val="000D03ED"/>
    <w:rsid w:val="000D0407"/>
    <w:rsid w:val="000D0437"/>
    <w:rsid w:val="000D0452"/>
    <w:rsid w:val="000D04FC"/>
    <w:rsid w:val="000D055C"/>
    <w:rsid w:val="000D0615"/>
    <w:rsid w:val="000D06F8"/>
    <w:rsid w:val="000D0843"/>
    <w:rsid w:val="000D08A1"/>
    <w:rsid w:val="000D08CA"/>
    <w:rsid w:val="000D08CB"/>
    <w:rsid w:val="000D0900"/>
    <w:rsid w:val="000D0927"/>
    <w:rsid w:val="000D095F"/>
    <w:rsid w:val="000D0A31"/>
    <w:rsid w:val="000D0A83"/>
    <w:rsid w:val="000D0A86"/>
    <w:rsid w:val="000D0B61"/>
    <w:rsid w:val="000D0B97"/>
    <w:rsid w:val="000D0BAE"/>
    <w:rsid w:val="000D0C07"/>
    <w:rsid w:val="000D0C2B"/>
    <w:rsid w:val="000D0D64"/>
    <w:rsid w:val="000D0E06"/>
    <w:rsid w:val="000D0E36"/>
    <w:rsid w:val="000D0F3B"/>
    <w:rsid w:val="000D0F8E"/>
    <w:rsid w:val="000D0FA3"/>
    <w:rsid w:val="000D0FBF"/>
    <w:rsid w:val="000D105C"/>
    <w:rsid w:val="000D1119"/>
    <w:rsid w:val="000D11A9"/>
    <w:rsid w:val="000D1235"/>
    <w:rsid w:val="000D1239"/>
    <w:rsid w:val="000D1623"/>
    <w:rsid w:val="000D16B2"/>
    <w:rsid w:val="000D176B"/>
    <w:rsid w:val="000D18A7"/>
    <w:rsid w:val="000D1961"/>
    <w:rsid w:val="000D1A6B"/>
    <w:rsid w:val="000D1BCA"/>
    <w:rsid w:val="000D1C5C"/>
    <w:rsid w:val="000D1CDC"/>
    <w:rsid w:val="000D1DA7"/>
    <w:rsid w:val="000D1DF5"/>
    <w:rsid w:val="000D1E2C"/>
    <w:rsid w:val="000D1FBE"/>
    <w:rsid w:val="000D2044"/>
    <w:rsid w:val="000D206B"/>
    <w:rsid w:val="000D21B1"/>
    <w:rsid w:val="000D21D7"/>
    <w:rsid w:val="000D22C3"/>
    <w:rsid w:val="000D22FE"/>
    <w:rsid w:val="000D2355"/>
    <w:rsid w:val="000D2367"/>
    <w:rsid w:val="000D236B"/>
    <w:rsid w:val="000D255C"/>
    <w:rsid w:val="000D2643"/>
    <w:rsid w:val="000D2659"/>
    <w:rsid w:val="000D267C"/>
    <w:rsid w:val="000D2721"/>
    <w:rsid w:val="000D274C"/>
    <w:rsid w:val="000D27E0"/>
    <w:rsid w:val="000D2855"/>
    <w:rsid w:val="000D2871"/>
    <w:rsid w:val="000D289B"/>
    <w:rsid w:val="000D28E7"/>
    <w:rsid w:val="000D2A17"/>
    <w:rsid w:val="000D2A96"/>
    <w:rsid w:val="000D2AB5"/>
    <w:rsid w:val="000D2AB8"/>
    <w:rsid w:val="000D2AD1"/>
    <w:rsid w:val="000D2B22"/>
    <w:rsid w:val="000D2BB5"/>
    <w:rsid w:val="000D2C29"/>
    <w:rsid w:val="000D2C46"/>
    <w:rsid w:val="000D2C52"/>
    <w:rsid w:val="000D2CFD"/>
    <w:rsid w:val="000D2D23"/>
    <w:rsid w:val="000D2D24"/>
    <w:rsid w:val="000D2D66"/>
    <w:rsid w:val="000D2DE0"/>
    <w:rsid w:val="000D2E67"/>
    <w:rsid w:val="000D2F56"/>
    <w:rsid w:val="000D2F68"/>
    <w:rsid w:val="000D320D"/>
    <w:rsid w:val="000D333F"/>
    <w:rsid w:val="000D3449"/>
    <w:rsid w:val="000D3457"/>
    <w:rsid w:val="000D34D6"/>
    <w:rsid w:val="000D353B"/>
    <w:rsid w:val="000D3581"/>
    <w:rsid w:val="000D3767"/>
    <w:rsid w:val="000D3904"/>
    <w:rsid w:val="000D395D"/>
    <w:rsid w:val="000D3972"/>
    <w:rsid w:val="000D3A38"/>
    <w:rsid w:val="000D3A41"/>
    <w:rsid w:val="000D3A5E"/>
    <w:rsid w:val="000D3A72"/>
    <w:rsid w:val="000D3C49"/>
    <w:rsid w:val="000D3CB7"/>
    <w:rsid w:val="000D3CBA"/>
    <w:rsid w:val="000D3CEE"/>
    <w:rsid w:val="000D3D3A"/>
    <w:rsid w:val="000D3E71"/>
    <w:rsid w:val="000D3F00"/>
    <w:rsid w:val="000D3F0A"/>
    <w:rsid w:val="000D3F82"/>
    <w:rsid w:val="000D3F8B"/>
    <w:rsid w:val="000D3FCE"/>
    <w:rsid w:val="000D4006"/>
    <w:rsid w:val="000D4135"/>
    <w:rsid w:val="000D41C7"/>
    <w:rsid w:val="000D4249"/>
    <w:rsid w:val="000D4288"/>
    <w:rsid w:val="000D443A"/>
    <w:rsid w:val="000D4442"/>
    <w:rsid w:val="000D448E"/>
    <w:rsid w:val="000D4499"/>
    <w:rsid w:val="000D450D"/>
    <w:rsid w:val="000D46E4"/>
    <w:rsid w:val="000D480B"/>
    <w:rsid w:val="000D4903"/>
    <w:rsid w:val="000D4965"/>
    <w:rsid w:val="000D4970"/>
    <w:rsid w:val="000D49CF"/>
    <w:rsid w:val="000D49D4"/>
    <w:rsid w:val="000D49D6"/>
    <w:rsid w:val="000D49E0"/>
    <w:rsid w:val="000D4C10"/>
    <w:rsid w:val="000D4C3A"/>
    <w:rsid w:val="000D4C9F"/>
    <w:rsid w:val="000D4D71"/>
    <w:rsid w:val="000D4DA3"/>
    <w:rsid w:val="000D4DC5"/>
    <w:rsid w:val="000D4F48"/>
    <w:rsid w:val="000D4F8D"/>
    <w:rsid w:val="000D5041"/>
    <w:rsid w:val="000D5048"/>
    <w:rsid w:val="000D506B"/>
    <w:rsid w:val="000D5110"/>
    <w:rsid w:val="000D5335"/>
    <w:rsid w:val="000D546B"/>
    <w:rsid w:val="000D5575"/>
    <w:rsid w:val="000D5705"/>
    <w:rsid w:val="000D5732"/>
    <w:rsid w:val="000D5760"/>
    <w:rsid w:val="000D57BF"/>
    <w:rsid w:val="000D580B"/>
    <w:rsid w:val="000D589A"/>
    <w:rsid w:val="000D5929"/>
    <w:rsid w:val="000D59A2"/>
    <w:rsid w:val="000D5B8C"/>
    <w:rsid w:val="000D5BB6"/>
    <w:rsid w:val="000D5BB9"/>
    <w:rsid w:val="000D5C30"/>
    <w:rsid w:val="000D5C38"/>
    <w:rsid w:val="000D5D0E"/>
    <w:rsid w:val="000D5D73"/>
    <w:rsid w:val="000D5E98"/>
    <w:rsid w:val="000D5F5E"/>
    <w:rsid w:val="000D6305"/>
    <w:rsid w:val="000D63A4"/>
    <w:rsid w:val="000D65D0"/>
    <w:rsid w:val="000D68EC"/>
    <w:rsid w:val="000D6971"/>
    <w:rsid w:val="000D69B2"/>
    <w:rsid w:val="000D6A71"/>
    <w:rsid w:val="000D6C64"/>
    <w:rsid w:val="000D6C78"/>
    <w:rsid w:val="000D6D10"/>
    <w:rsid w:val="000D6D2D"/>
    <w:rsid w:val="000D6DEF"/>
    <w:rsid w:val="000D6E1B"/>
    <w:rsid w:val="000D6E59"/>
    <w:rsid w:val="000D6E71"/>
    <w:rsid w:val="000D6E76"/>
    <w:rsid w:val="000D6EE2"/>
    <w:rsid w:val="000D6F52"/>
    <w:rsid w:val="000D6F55"/>
    <w:rsid w:val="000D70AF"/>
    <w:rsid w:val="000D70FB"/>
    <w:rsid w:val="000D7113"/>
    <w:rsid w:val="000D717F"/>
    <w:rsid w:val="000D7198"/>
    <w:rsid w:val="000D71AC"/>
    <w:rsid w:val="000D7241"/>
    <w:rsid w:val="000D72B2"/>
    <w:rsid w:val="000D73BC"/>
    <w:rsid w:val="000D7474"/>
    <w:rsid w:val="000D74EC"/>
    <w:rsid w:val="000D7510"/>
    <w:rsid w:val="000D7537"/>
    <w:rsid w:val="000D755F"/>
    <w:rsid w:val="000D7585"/>
    <w:rsid w:val="000D75BE"/>
    <w:rsid w:val="000D75F7"/>
    <w:rsid w:val="000D7870"/>
    <w:rsid w:val="000D7A4E"/>
    <w:rsid w:val="000D7AFD"/>
    <w:rsid w:val="000D7CFF"/>
    <w:rsid w:val="000D7D25"/>
    <w:rsid w:val="000D7D43"/>
    <w:rsid w:val="000D7DB5"/>
    <w:rsid w:val="000D7E5A"/>
    <w:rsid w:val="000D7EEC"/>
    <w:rsid w:val="000E003E"/>
    <w:rsid w:val="000E00D4"/>
    <w:rsid w:val="000E00F1"/>
    <w:rsid w:val="000E0193"/>
    <w:rsid w:val="000E01E3"/>
    <w:rsid w:val="000E02A5"/>
    <w:rsid w:val="000E0316"/>
    <w:rsid w:val="000E032E"/>
    <w:rsid w:val="000E0407"/>
    <w:rsid w:val="000E05B4"/>
    <w:rsid w:val="000E0607"/>
    <w:rsid w:val="000E076B"/>
    <w:rsid w:val="000E0778"/>
    <w:rsid w:val="000E0798"/>
    <w:rsid w:val="000E07CB"/>
    <w:rsid w:val="000E0B03"/>
    <w:rsid w:val="000E0C4C"/>
    <w:rsid w:val="000E0CB0"/>
    <w:rsid w:val="000E0DD9"/>
    <w:rsid w:val="000E0E75"/>
    <w:rsid w:val="000E0FC8"/>
    <w:rsid w:val="000E103A"/>
    <w:rsid w:val="000E10F0"/>
    <w:rsid w:val="000E1136"/>
    <w:rsid w:val="000E114E"/>
    <w:rsid w:val="000E1244"/>
    <w:rsid w:val="000E1334"/>
    <w:rsid w:val="000E136F"/>
    <w:rsid w:val="000E1382"/>
    <w:rsid w:val="000E13BF"/>
    <w:rsid w:val="000E145E"/>
    <w:rsid w:val="000E15F8"/>
    <w:rsid w:val="000E1651"/>
    <w:rsid w:val="000E171A"/>
    <w:rsid w:val="000E17D8"/>
    <w:rsid w:val="000E1C73"/>
    <w:rsid w:val="000E1E7A"/>
    <w:rsid w:val="000E1EB8"/>
    <w:rsid w:val="000E1ED8"/>
    <w:rsid w:val="000E1F71"/>
    <w:rsid w:val="000E1FE0"/>
    <w:rsid w:val="000E21D6"/>
    <w:rsid w:val="000E2216"/>
    <w:rsid w:val="000E2220"/>
    <w:rsid w:val="000E2250"/>
    <w:rsid w:val="000E2341"/>
    <w:rsid w:val="000E23F1"/>
    <w:rsid w:val="000E2422"/>
    <w:rsid w:val="000E2470"/>
    <w:rsid w:val="000E24DF"/>
    <w:rsid w:val="000E26EC"/>
    <w:rsid w:val="000E273C"/>
    <w:rsid w:val="000E27F5"/>
    <w:rsid w:val="000E285A"/>
    <w:rsid w:val="000E288C"/>
    <w:rsid w:val="000E2910"/>
    <w:rsid w:val="000E292A"/>
    <w:rsid w:val="000E2944"/>
    <w:rsid w:val="000E2C94"/>
    <w:rsid w:val="000E2DE2"/>
    <w:rsid w:val="000E2F40"/>
    <w:rsid w:val="000E2F9F"/>
    <w:rsid w:val="000E2FA6"/>
    <w:rsid w:val="000E30D6"/>
    <w:rsid w:val="000E318B"/>
    <w:rsid w:val="000E322B"/>
    <w:rsid w:val="000E3265"/>
    <w:rsid w:val="000E3463"/>
    <w:rsid w:val="000E3469"/>
    <w:rsid w:val="000E35AA"/>
    <w:rsid w:val="000E3613"/>
    <w:rsid w:val="000E3722"/>
    <w:rsid w:val="000E37FE"/>
    <w:rsid w:val="000E3813"/>
    <w:rsid w:val="000E387D"/>
    <w:rsid w:val="000E38CA"/>
    <w:rsid w:val="000E3AD3"/>
    <w:rsid w:val="000E3C5B"/>
    <w:rsid w:val="000E3C98"/>
    <w:rsid w:val="000E3D56"/>
    <w:rsid w:val="000E3DC8"/>
    <w:rsid w:val="000E3DFC"/>
    <w:rsid w:val="000E3E0E"/>
    <w:rsid w:val="000E3F75"/>
    <w:rsid w:val="000E401C"/>
    <w:rsid w:val="000E411C"/>
    <w:rsid w:val="000E411E"/>
    <w:rsid w:val="000E41C7"/>
    <w:rsid w:val="000E4286"/>
    <w:rsid w:val="000E429C"/>
    <w:rsid w:val="000E42DB"/>
    <w:rsid w:val="000E444D"/>
    <w:rsid w:val="000E4490"/>
    <w:rsid w:val="000E45E9"/>
    <w:rsid w:val="000E4685"/>
    <w:rsid w:val="000E46C5"/>
    <w:rsid w:val="000E470E"/>
    <w:rsid w:val="000E479B"/>
    <w:rsid w:val="000E4845"/>
    <w:rsid w:val="000E48CC"/>
    <w:rsid w:val="000E49C3"/>
    <w:rsid w:val="000E4AA4"/>
    <w:rsid w:val="000E4C45"/>
    <w:rsid w:val="000E4D11"/>
    <w:rsid w:val="000E4D73"/>
    <w:rsid w:val="000E4D75"/>
    <w:rsid w:val="000E4D76"/>
    <w:rsid w:val="000E4F11"/>
    <w:rsid w:val="000E4F9D"/>
    <w:rsid w:val="000E5086"/>
    <w:rsid w:val="000E50B0"/>
    <w:rsid w:val="000E50CA"/>
    <w:rsid w:val="000E5148"/>
    <w:rsid w:val="000E515F"/>
    <w:rsid w:val="000E5189"/>
    <w:rsid w:val="000E528D"/>
    <w:rsid w:val="000E533C"/>
    <w:rsid w:val="000E54F2"/>
    <w:rsid w:val="000E54F7"/>
    <w:rsid w:val="000E554C"/>
    <w:rsid w:val="000E559B"/>
    <w:rsid w:val="000E55EC"/>
    <w:rsid w:val="000E55FF"/>
    <w:rsid w:val="000E5605"/>
    <w:rsid w:val="000E5640"/>
    <w:rsid w:val="000E57DC"/>
    <w:rsid w:val="000E57FE"/>
    <w:rsid w:val="000E5821"/>
    <w:rsid w:val="000E593A"/>
    <w:rsid w:val="000E5941"/>
    <w:rsid w:val="000E59CF"/>
    <w:rsid w:val="000E5A80"/>
    <w:rsid w:val="000E5AD0"/>
    <w:rsid w:val="000E5EB7"/>
    <w:rsid w:val="000E5FC9"/>
    <w:rsid w:val="000E5FF5"/>
    <w:rsid w:val="000E6075"/>
    <w:rsid w:val="000E608D"/>
    <w:rsid w:val="000E61C6"/>
    <w:rsid w:val="000E61E2"/>
    <w:rsid w:val="000E62F6"/>
    <w:rsid w:val="000E6360"/>
    <w:rsid w:val="000E6474"/>
    <w:rsid w:val="000E64B2"/>
    <w:rsid w:val="000E653C"/>
    <w:rsid w:val="000E65C8"/>
    <w:rsid w:val="000E6672"/>
    <w:rsid w:val="000E66A9"/>
    <w:rsid w:val="000E6843"/>
    <w:rsid w:val="000E6846"/>
    <w:rsid w:val="000E6BE2"/>
    <w:rsid w:val="000E6BFA"/>
    <w:rsid w:val="000E6C37"/>
    <w:rsid w:val="000E6C8A"/>
    <w:rsid w:val="000E6D3A"/>
    <w:rsid w:val="000E6DD0"/>
    <w:rsid w:val="000E6E6A"/>
    <w:rsid w:val="000E7038"/>
    <w:rsid w:val="000E71BC"/>
    <w:rsid w:val="000E71EA"/>
    <w:rsid w:val="000E7226"/>
    <w:rsid w:val="000E723C"/>
    <w:rsid w:val="000E72F9"/>
    <w:rsid w:val="000E752B"/>
    <w:rsid w:val="000E753C"/>
    <w:rsid w:val="000E754F"/>
    <w:rsid w:val="000E7608"/>
    <w:rsid w:val="000E763C"/>
    <w:rsid w:val="000E790E"/>
    <w:rsid w:val="000E794E"/>
    <w:rsid w:val="000E7958"/>
    <w:rsid w:val="000E798C"/>
    <w:rsid w:val="000E79BC"/>
    <w:rsid w:val="000E7AF2"/>
    <w:rsid w:val="000E7C5B"/>
    <w:rsid w:val="000E7CBA"/>
    <w:rsid w:val="000E7DCB"/>
    <w:rsid w:val="000E7E7F"/>
    <w:rsid w:val="000E7EE2"/>
    <w:rsid w:val="000F0037"/>
    <w:rsid w:val="000F0122"/>
    <w:rsid w:val="000F013E"/>
    <w:rsid w:val="000F0299"/>
    <w:rsid w:val="000F02B1"/>
    <w:rsid w:val="000F0341"/>
    <w:rsid w:val="000F03B3"/>
    <w:rsid w:val="000F04DE"/>
    <w:rsid w:val="000F04FF"/>
    <w:rsid w:val="000F0554"/>
    <w:rsid w:val="000F05E4"/>
    <w:rsid w:val="000F06EE"/>
    <w:rsid w:val="000F07A7"/>
    <w:rsid w:val="000F07B9"/>
    <w:rsid w:val="000F0803"/>
    <w:rsid w:val="000F0A2F"/>
    <w:rsid w:val="000F0AA7"/>
    <w:rsid w:val="000F0AE4"/>
    <w:rsid w:val="000F0E4F"/>
    <w:rsid w:val="000F0E6E"/>
    <w:rsid w:val="000F0ED1"/>
    <w:rsid w:val="000F0F05"/>
    <w:rsid w:val="000F0F81"/>
    <w:rsid w:val="000F101E"/>
    <w:rsid w:val="000F10F6"/>
    <w:rsid w:val="000F1167"/>
    <w:rsid w:val="000F125F"/>
    <w:rsid w:val="000F12EC"/>
    <w:rsid w:val="000F144C"/>
    <w:rsid w:val="000F163F"/>
    <w:rsid w:val="000F16F6"/>
    <w:rsid w:val="000F1805"/>
    <w:rsid w:val="000F187D"/>
    <w:rsid w:val="000F1893"/>
    <w:rsid w:val="000F194E"/>
    <w:rsid w:val="000F1993"/>
    <w:rsid w:val="000F19BB"/>
    <w:rsid w:val="000F1A52"/>
    <w:rsid w:val="000F1B54"/>
    <w:rsid w:val="000F1C22"/>
    <w:rsid w:val="000F1C41"/>
    <w:rsid w:val="000F1D07"/>
    <w:rsid w:val="000F1D90"/>
    <w:rsid w:val="000F1E06"/>
    <w:rsid w:val="000F1E25"/>
    <w:rsid w:val="000F1E5A"/>
    <w:rsid w:val="000F1FBD"/>
    <w:rsid w:val="000F2097"/>
    <w:rsid w:val="000F2400"/>
    <w:rsid w:val="000F2440"/>
    <w:rsid w:val="000F2482"/>
    <w:rsid w:val="000F24CD"/>
    <w:rsid w:val="000F285D"/>
    <w:rsid w:val="000F28D5"/>
    <w:rsid w:val="000F290A"/>
    <w:rsid w:val="000F296F"/>
    <w:rsid w:val="000F29D3"/>
    <w:rsid w:val="000F2A06"/>
    <w:rsid w:val="000F2BAA"/>
    <w:rsid w:val="000F2BF5"/>
    <w:rsid w:val="000F2C44"/>
    <w:rsid w:val="000F2C4B"/>
    <w:rsid w:val="000F2D19"/>
    <w:rsid w:val="000F2D72"/>
    <w:rsid w:val="000F2E9E"/>
    <w:rsid w:val="000F2EAB"/>
    <w:rsid w:val="000F2EC5"/>
    <w:rsid w:val="000F2EE7"/>
    <w:rsid w:val="000F2F9A"/>
    <w:rsid w:val="000F3034"/>
    <w:rsid w:val="000F3227"/>
    <w:rsid w:val="000F3332"/>
    <w:rsid w:val="000F33DA"/>
    <w:rsid w:val="000F33FA"/>
    <w:rsid w:val="000F34D6"/>
    <w:rsid w:val="000F34ED"/>
    <w:rsid w:val="000F34F0"/>
    <w:rsid w:val="000F36BD"/>
    <w:rsid w:val="000F3721"/>
    <w:rsid w:val="000F37F6"/>
    <w:rsid w:val="000F3810"/>
    <w:rsid w:val="000F3857"/>
    <w:rsid w:val="000F39C8"/>
    <w:rsid w:val="000F3ABE"/>
    <w:rsid w:val="000F3AD5"/>
    <w:rsid w:val="000F3B35"/>
    <w:rsid w:val="000F3B91"/>
    <w:rsid w:val="000F3BD3"/>
    <w:rsid w:val="000F3C3C"/>
    <w:rsid w:val="000F3E23"/>
    <w:rsid w:val="000F3E76"/>
    <w:rsid w:val="000F3E83"/>
    <w:rsid w:val="000F3F61"/>
    <w:rsid w:val="000F400C"/>
    <w:rsid w:val="000F400D"/>
    <w:rsid w:val="000F424B"/>
    <w:rsid w:val="000F4273"/>
    <w:rsid w:val="000F434F"/>
    <w:rsid w:val="000F4351"/>
    <w:rsid w:val="000F4506"/>
    <w:rsid w:val="000F4539"/>
    <w:rsid w:val="000F4540"/>
    <w:rsid w:val="000F45DC"/>
    <w:rsid w:val="000F4608"/>
    <w:rsid w:val="000F4701"/>
    <w:rsid w:val="000F4747"/>
    <w:rsid w:val="000F47D1"/>
    <w:rsid w:val="000F488C"/>
    <w:rsid w:val="000F493A"/>
    <w:rsid w:val="000F4951"/>
    <w:rsid w:val="000F4A5C"/>
    <w:rsid w:val="000F4AAD"/>
    <w:rsid w:val="000F4D93"/>
    <w:rsid w:val="000F5075"/>
    <w:rsid w:val="000F510C"/>
    <w:rsid w:val="000F51AE"/>
    <w:rsid w:val="000F5206"/>
    <w:rsid w:val="000F53AE"/>
    <w:rsid w:val="000F5478"/>
    <w:rsid w:val="000F5482"/>
    <w:rsid w:val="000F54A1"/>
    <w:rsid w:val="000F57EB"/>
    <w:rsid w:val="000F5951"/>
    <w:rsid w:val="000F5A98"/>
    <w:rsid w:val="000F5AF5"/>
    <w:rsid w:val="000F5B36"/>
    <w:rsid w:val="000F5BCA"/>
    <w:rsid w:val="000F5C22"/>
    <w:rsid w:val="000F5C93"/>
    <w:rsid w:val="000F5D28"/>
    <w:rsid w:val="000F5D5E"/>
    <w:rsid w:val="000F5E51"/>
    <w:rsid w:val="000F5EDD"/>
    <w:rsid w:val="000F5F2D"/>
    <w:rsid w:val="000F6062"/>
    <w:rsid w:val="000F60B0"/>
    <w:rsid w:val="000F60C6"/>
    <w:rsid w:val="000F61D3"/>
    <w:rsid w:val="000F6308"/>
    <w:rsid w:val="000F6384"/>
    <w:rsid w:val="000F639E"/>
    <w:rsid w:val="000F646C"/>
    <w:rsid w:val="000F64E7"/>
    <w:rsid w:val="000F6696"/>
    <w:rsid w:val="000F6701"/>
    <w:rsid w:val="000F67C0"/>
    <w:rsid w:val="000F68A6"/>
    <w:rsid w:val="000F68B1"/>
    <w:rsid w:val="000F68EA"/>
    <w:rsid w:val="000F694D"/>
    <w:rsid w:val="000F6980"/>
    <w:rsid w:val="000F6A4C"/>
    <w:rsid w:val="000F6B2E"/>
    <w:rsid w:val="000F6CB2"/>
    <w:rsid w:val="000F6D5E"/>
    <w:rsid w:val="000F7015"/>
    <w:rsid w:val="000F711D"/>
    <w:rsid w:val="000F71A8"/>
    <w:rsid w:val="000F71C2"/>
    <w:rsid w:val="000F721C"/>
    <w:rsid w:val="000F726D"/>
    <w:rsid w:val="000F73A6"/>
    <w:rsid w:val="000F74A7"/>
    <w:rsid w:val="000F7512"/>
    <w:rsid w:val="000F759D"/>
    <w:rsid w:val="000F75AE"/>
    <w:rsid w:val="000F7798"/>
    <w:rsid w:val="000F77AB"/>
    <w:rsid w:val="000F7817"/>
    <w:rsid w:val="000F7846"/>
    <w:rsid w:val="000F796F"/>
    <w:rsid w:val="000F7A82"/>
    <w:rsid w:val="000F7ACF"/>
    <w:rsid w:val="000F7AE0"/>
    <w:rsid w:val="000F7B03"/>
    <w:rsid w:val="000F7B56"/>
    <w:rsid w:val="000F7C83"/>
    <w:rsid w:val="000F7CD4"/>
    <w:rsid w:val="000F7D20"/>
    <w:rsid w:val="000F7FA3"/>
    <w:rsid w:val="00100040"/>
    <w:rsid w:val="001000C6"/>
    <w:rsid w:val="00100215"/>
    <w:rsid w:val="001002AF"/>
    <w:rsid w:val="001002D3"/>
    <w:rsid w:val="00100352"/>
    <w:rsid w:val="0010036D"/>
    <w:rsid w:val="00100374"/>
    <w:rsid w:val="00100484"/>
    <w:rsid w:val="001004CE"/>
    <w:rsid w:val="001004EC"/>
    <w:rsid w:val="001005C5"/>
    <w:rsid w:val="0010060E"/>
    <w:rsid w:val="00100611"/>
    <w:rsid w:val="00100640"/>
    <w:rsid w:val="00100703"/>
    <w:rsid w:val="001007AE"/>
    <w:rsid w:val="001009A5"/>
    <w:rsid w:val="001009D6"/>
    <w:rsid w:val="00100B59"/>
    <w:rsid w:val="00100C84"/>
    <w:rsid w:val="00100C9E"/>
    <w:rsid w:val="00100CCF"/>
    <w:rsid w:val="00100D31"/>
    <w:rsid w:val="00100F56"/>
    <w:rsid w:val="00100F68"/>
    <w:rsid w:val="00100F6B"/>
    <w:rsid w:val="00100FB5"/>
    <w:rsid w:val="00101123"/>
    <w:rsid w:val="0010113D"/>
    <w:rsid w:val="00101158"/>
    <w:rsid w:val="00101169"/>
    <w:rsid w:val="001011B9"/>
    <w:rsid w:val="00101207"/>
    <w:rsid w:val="001012EB"/>
    <w:rsid w:val="001013E5"/>
    <w:rsid w:val="00101529"/>
    <w:rsid w:val="001015BB"/>
    <w:rsid w:val="0010165E"/>
    <w:rsid w:val="00101669"/>
    <w:rsid w:val="00101737"/>
    <w:rsid w:val="001017C8"/>
    <w:rsid w:val="00101890"/>
    <w:rsid w:val="001018AB"/>
    <w:rsid w:val="001018D0"/>
    <w:rsid w:val="001019DC"/>
    <w:rsid w:val="00101AB6"/>
    <w:rsid w:val="00101B02"/>
    <w:rsid w:val="00101B0E"/>
    <w:rsid w:val="00101B5E"/>
    <w:rsid w:val="00101C4C"/>
    <w:rsid w:val="00101C4F"/>
    <w:rsid w:val="00101DB9"/>
    <w:rsid w:val="00101E02"/>
    <w:rsid w:val="00101EB6"/>
    <w:rsid w:val="00101F30"/>
    <w:rsid w:val="0010206A"/>
    <w:rsid w:val="00102239"/>
    <w:rsid w:val="0010224D"/>
    <w:rsid w:val="00102316"/>
    <w:rsid w:val="00102329"/>
    <w:rsid w:val="0010239E"/>
    <w:rsid w:val="001023BD"/>
    <w:rsid w:val="00102412"/>
    <w:rsid w:val="0010250F"/>
    <w:rsid w:val="00102514"/>
    <w:rsid w:val="001025AA"/>
    <w:rsid w:val="001025F2"/>
    <w:rsid w:val="00102719"/>
    <w:rsid w:val="001028B1"/>
    <w:rsid w:val="00102958"/>
    <w:rsid w:val="00102B9D"/>
    <w:rsid w:val="00102BD0"/>
    <w:rsid w:val="00102CC0"/>
    <w:rsid w:val="00102D93"/>
    <w:rsid w:val="00102DAB"/>
    <w:rsid w:val="00102DBD"/>
    <w:rsid w:val="00102E8B"/>
    <w:rsid w:val="00102E94"/>
    <w:rsid w:val="00102F2E"/>
    <w:rsid w:val="001030A5"/>
    <w:rsid w:val="001031D4"/>
    <w:rsid w:val="0010322C"/>
    <w:rsid w:val="001032D6"/>
    <w:rsid w:val="00103329"/>
    <w:rsid w:val="0010347D"/>
    <w:rsid w:val="0010351A"/>
    <w:rsid w:val="0010360D"/>
    <w:rsid w:val="0010364C"/>
    <w:rsid w:val="001036A3"/>
    <w:rsid w:val="001036BA"/>
    <w:rsid w:val="001036F4"/>
    <w:rsid w:val="0010371D"/>
    <w:rsid w:val="00103795"/>
    <w:rsid w:val="001037D7"/>
    <w:rsid w:val="0010387C"/>
    <w:rsid w:val="00103942"/>
    <w:rsid w:val="00103956"/>
    <w:rsid w:val="001039CC"/>
    <w:rsid w:val="00103A12"/>
    <w:rsid w:val="00103A22"/>
    <w:rsid w:val="00103A36"/>
    <w:rsid w:val="00103AF7"/>
    <w:rsid w:val="00103BC2"/>
    <w:rsid w:val="00103D06"/>
    <w:rsid w:val="00103D08"/>
    <w:rsid w:val="00103D6E"/>
    <w:rsid w:val="00103D75"/>
    <w:rsid w:val="00103FFF"/>
    <w:rsid w:val="00104029"/>
    <w:rsid w:val="0010406A"/>
    <w:rsid w:val="0010408C"/>
    <w:rsid w:val="001040A1"/>
    <w:rsid w:val="001041BA"/>
    <w:rsid w:val="0010433F"/>
    <w:rsid w:val="00104375"/>
    <w:rsid w:val="001043A9"/>
    <w:rsid w:val="001043C9"/>
    <w:rsid w:val="00104427"/>
    <w:rsid w:val="0010450E"/>
    <w:rsid w:val="0010457A"/>
    <w:rsid w:val="0010461A"/>
    <w:rsid w:val="0010462B"/>
    <w:rsid w:val="001046B6"/>
    <w:rsid w:val="0010474E"/>
    <w:rsid w:val="00104756"/>
    <w:rsid w:val="0010484D"/>
    <w:rsid w:val="001048ED"/>
    <w:rsid w:val="00104DD5"/>
    <w:rsid w:val="001050B5"/>
    <w:rsid w:val="001050FC"/>
    <w:rsid w:val="00105163"/>
    <w:rsid w:val="00105214"/>
    <w:rsid w:val="00105274"/>
    <w:rsid w:val="001052B9"/>
    <w:rsid w:val="001053B4"/>
    <w:rsid w:val="00105478"/>
    <w:rsid w:val="001055E3"/>
    <w:rsid w:val="0010568E"/>
    <w:rsid w:val="001056C2"/>
    <w:rsid w:val="00105753"/>
    <w:rsid w:val="001057CF"/>
    <w:rsid w:val="00105832"/>
    <w:rsid w:val="00105834"/>
    <w:rsid w:val="00105903"/>
    <w:rsid w:val="00105984"/>
    <w:rsid w:val="00105A7B"/>
    <w:rsid w:val="00105A97"/>
    <w:rsid w:val="00105C2E"/>
    <w:rsid w:val="00105C56"/>
    <w:rsid w:val="00105DAA"/>
    <w:rsid w:val="00105DD5"/>
    <w:rsid w:val="00105E5A"/>
    <w:rsid w:val="00106063"/>
    <w:rsid w:val="00106066"/>
    <w:rsid w:val="001060E4"/>
    <w:rsid w:val="0010614A"/>
    <w:rsid w:val="001061BA"/>
    <w:rsid w:val="001062E3"/>
    <w:rsid w:val="00106304"/>
    <w:rsid w:val="00106332"/>
    <w:rsid w:val="0010639C"/>
    <w:rsid w:val="00106425"/>
    <w:rsid w:val="001064CF"/>
    <w:rsid w:val="00106777"/>
    <w:rsid w:val="001068D7"/>
    <w:rsid w:val="00106A0E"/>
    <w:rsid w:val="00106B52"/>
    <w:rsid w:val="00106E46"/>
    <w:rsid w:val="00106EF3"/>
    <w:rsid w:val="00106F0D"/>
    <w:rsid w:val="00106F55"/>
    <w:rsid w:val="00106F63"/>
    <w:rsid w:val="0010718C"/>
    <w:rsid w:val="001072CD"/>
    <w:rsid w:val="00107385"/>
    <w:rsid w:val="001073B8"/>
    <w:rsid w:val="00107491"/>
    <w:rsid w:val="001074E5"/>
    <w:rsid w:val="00107526"/>
    <w:rsid w:val="0010771E"/>
    <w:rsid w:val="00107804"/>
    <w:rsid w:val="00107830"/>
    <w:rsid w:val="0010783D"/>
    <w:rsid w:val="0010785E"/>
    <w:rsid w:val="00107887"/>
    <w:rsid w:val="00107916"/>
    <w:rsid w:val="00107966"/>
    <w:rsid w:val="00107A8F"/>
    <w:rsid w:val="00107BC3"/>
    <w:rsid w:val="00107CD5"/>
    <w:rsid w:val="00107CF8"/>
    <w:rsid w:val="00107D6B"/>
    <w:rsid w:val="00107DAB"/>
    <w:rsid w:val="00107DFB"/>
    <w:rsid w:val="00107E64"/>
    <w:rsid w:val="00107E98"/>
    <w:rsid w:val="00107F91"/>
    <w:rsid w:val="00110041"/>
    <w:rsid w:val="0011004E"/>
    <w:rsid w:val="0011004F"/>
    <w:rsid w:val="001100E2"/>
    <w:rsid w:val="001102ED"/>
    <w:rsid w:val="00110419"/>
    <w:rsid w:val="0011045A"/>
    <w:rsid w:val="00110530"/>
    <w:rsid w:val="00110547"/>
    <w:rsid w:val="001105B5"/>
    <w:rsid w:val="001105D4"/>
    <w:rsid w:val="001105FB"/>
    <w:rsid w:val="0011060F"/>
    <w:rsid w:val="001107A8"/>
    <w:rsid w:val="0011083E"/>
    <w:rsid w:val="0011087A"/>
    <w:rsid w:val="00110BD8"/>
    <w:rsid w:val="00110C19"/>
    <w:rsid w:val="00110C92"/>
    <w:rsid w:val="00110CD6"/>
    <w:rsid w:val="00110D8D"/>
    <w:rsid w:val="00110DE7"/>
    <w:rsid w:val="00110DEB"/>
    <w:rsid w:val="00110F51"/>
    <w:rsid w:val="00110FB5"/>
    <w:rsid w:val="00110FD6"/>
    <w:rsid w:val="0011104B"/>
    <w:rsid w:val="0011116D"/>
    <w:rsid w:val="001112B5"/>
    <w:rsid w:val="0011132B"/>
    <w:rsid w:val="00111331"/>
    <w:rsid w:val="001113A9"/>
    <w:rsid w:val="00111475"/>
    <w:rsid w:val="001114EC"/>
    <w:rsid w:val="0011159C"/>
    <w:rsid w:val="001115E4"/>
    <w:rsid w:val="00111654"/>
    <w:rsid w:val="00111656"/>
    <w:rsid w:val="00111660"/>
    <w:rsid w:val="001116A9"/>
    <w:rsid w:val="001116DC"/>
    <w:rsid w:val="001116FF"/>
    <w:rsid w:val="00111805"/>
    <w:rsid w:val="0011181F"/>
    <w:rsid w:val="00111841"/>
    <w:rsid w:val="00111856"/>
    <w:rsid w:val="001119EA"/>
    <w:rsid w:val="00111A4F"/>
    <w:rsid w:val="00111AE8"/>
    <w:rsid w:val="00111B41"/>
    <w:rsid w:val="00111BA8"/>
    <w:rsid w:val="00111D81"/>
    <w:rsid w:val="00111E53"/>
    <w:rsid w:val="00112071"/>
    <w:rsid w:val="00112087"/>
    <w:rsid w:val="001120D1"/>
    <w:rsid w:val="00112188"/>
    <w:rsid w:val="001121A4"/>
    <w:rsid w:val="00112271"/>
    <w:rsid w:val="00112363"/>
    <w:rsid w:val="001123D9"/>
    <w:rsid w:val="00112403"/>
    <w:rsid w:val="00112496"/>
    <w:rsid w:val="001124FB"/>
    <w:rsid w:val="00112538"/>
    <w:rsid w:val="00112570"/>
    <w:rsid w:val="001125C1"/>
    <w:rsid w:val="001125E5"/>
    <w:rsid w:val="001125E6"/>
    <w:rsid w:val="0011272F"/>
    <w:rsid w:val="00112761"/>
    <w:rsid w:val="001127FC"/>
    <w:rsid w:val="0011280F"/>
    <w:rsid w:val="0011281C"/>
    <w:rsid w:val="001128BE"/>
    <w:rsid w:val="00112906"/>
    <w:rsid w:val="00112950"/>
    <w:rsid w:val="001129C1"/>
    <w:rsid w:val="001129CE"/>
    <w:rsid w:val="00112AA8"/>
    <w:rsid w:val="00112AE3"/>
    <w:rsid w:val="00112BB6"/>
    <w:rsid w:val="00112BC8"/>
    <w:rsid w:val="00112C9A"/>
    <w:rsid w:val="00112D08"/>
    <w:rsid w:val="00112D19"/>
    <w:rsid w:val="00112EEA"/>
    <w:rsid w:val="001132E4"/>
    <w:rsid w:val="0011337D"/>
    <w:rsid w:val="001134BC"/>
    <w:rsid w:val="001134C6"/>
    <w:rsid w:val="00113558"/>
    <w:rsid w:val="0011367B"/>
    <w:rsid w:val="00113722"/>
    <w:rsid w:val="0011379E"/>
    <w:rsid w:val="001137CB"/>
    <w:rsid w:val="001137D0"/>
    <w:rsid w:val="001138DC"/>
    <w:rsid w:val="00113907"/>
    <w:rsid w:val="0011397A"/>
    <w:rsid w:val="001139B1"/>
    <w:rsid w:val="001139CB"/>
    <w:rsid w:val="00113A01"/>
    <w:rsid w:val="00113A2C"/>
    <w:rsid w:val="00113A36"/>
    <w:rsid w:val="00113AEC"/>
    <w:rsid w:val="00113B50"/>
    <w:rsid w:val="00113D58"/>
    <w:rsid w:val="00113E0A"/>
    <w:rsid w:val="00113E13"/>
    <w:rsid w:val="00113E22"/>
    <w:rsid w:val="00113F10"/>
    <w:rsid w:val="00113F32"/>
    <w:rsid w:val="00113F45"/>
    <w:rsid w:val="0011403B"/>
    <w:rsid w:val="001141F1"/>
    <w:rsid w:val="00114218"/>
    <w:rsid w:val="00114251"/>
    <w:rsid w:val="001142EE"/>
    <w:rsid w:val="00114300"/>
    <w:rsid w:val="00114395"/>
    <w:rsid w:val="0011439F"/>
    <w:rsid w:val="0011449D"/>
    <w:rsid w:val="001144E8"/>
    <w:rsid w:val="0011454D"/>
    <w:rsid w:val="00114639"/>
    <w:rsid w:val="0011478C"/>
    <w:rsid w:val="001147B7"/>
    <w:rsid w:val="001149BA"/>
    <w:rsid w:val="00114A85"/>
    <w:rsid w:val="00114A97"/>
    <w:rsid w:val="00114CF8"/>
    <w:rsid w:val="00114DFB"/>
    <w:rsid w:val="00114E44"/>
    <w:rsid w:val="00114E56"/>
    <w:rsid w:val="0011503D"/>
    <w:rsid w:val="0011506D"/>
    <w:rsid w:val="00115080"/>
    <w:rsid w:val="00115251"/>
    <w:rsid w:val="00115353"/>
    <w:rsid w:val="00115414"/>
    <w:rsid w:val="0011557C"/>
    <w:rsid w:val="001155CC"/>
    <w:rsid w:val="00115626"/>
    <w:rsid w:val="00115662"/>
    <w:rsid w:val="00115676"/>
    <w:rsid w:val="0011567C"/>
    <w:rsid w:val="001156AF"/>
    <w:rsid w:val="001156DB"/>
    <w:rsid w:val="0011575F"/>
    <w:rsid w:val="0011587E"/>
    <w:rsid w:val="00115A02"/>
    <w:rsid w:val="00115A85"/>
    <w:rsid w:val="00115B67"/>
    <w:rsid w:val="00115BB5"/>
    <w:rsid w:val="00115C48"/>
    <w:rsid w:val="00115CA7"/>
    <w:rsid w:val="00115CC1"/>
    <w:rsid w:val="00115CF4"/>
    <w:rsid w:val="00115D39"/>
    <w:rsid w:val="00115D74"/>
    <w:rsid w:val="00115D7B"/>
    <w:rsid w:val="00115E28"/>
    <w:rsid w:val="00115E3C"/>
    <w:rsid w:val="00115F2C"/>
    <w:rsid w:val="00116037"/>
    <w:rsid w:val="0011603E"/>
    <w:rsid w:val="001160D5"/>
    <w:rsid w:val="00116282"/>
    <w:rsid w:val="0011636B"/>
    <w:rsid w:val="00116389"/>
    <w:rsid w:val="00116450"/>
    <w:rsid w:val="001164D2"/>
    <w:rsid w:val="00116643"/>
    <w:rsid w:val="00116688"/>
    <w:rsid w:val="001166F9"/>
    <w:rsid w:val="00116718"/>
    <w:rsid w:val="00116780"/>
    <w:rsid w:val="00116798"/>
    <w:rsid w:val="001167AC"/>
    <w:rsid w:val="0011681A"/>
    <w:rsid w:val="001168CE"/>
    <w:rsid w:val="001168DF"/>
    <w:rsid w:val="00116A2C"/>
    <w:rsid w:val="00116B88"/>
    <w:rsid w:val="00116C51"/>
    <w:rsid w:val="00116D0B"/>
    <w:rsid w:val="00116F16"/>
    <w:rsid w:val="00116F21"/>
    <w:rsid w:val="00116F61"/>
    <w:rsid w:val="00116F88"/>
    <w:rsid w:val="0011703E"/>
    <w:rsid w:val="0011715B"/>
    <w:rsid w:val="00117294"/>
    <w:rsid w:val="00117381"/>
    <w:rsid w:val="001175BC"/>
    <w:rsid w:val="0011764B"/>
    <w:rsid w:val="001178CD"/>
    <w:rsid w:val="0011798D"/>
    <w:rsid w:val="001179DC"/>
    <w:rsid w:val="001179DD"/>
    <w:rsid w:val="00117AB4"/>
    <w:rsid w:val="00117AF3"/>
    <w:rsid w:val="00117B48"/>
    <w:rsid w:val="00117CBB"/>
    <w:rsid w:val="00117D37"/>
    <w:rsid w:val="00117D8E"/>
    <w:rsid w:val="00117E2A"/>
    <w:rsid w:val="00117E92"/>
    <w:rsid w:val="00117F2A"/>
    <w:rsid w:val="00117F3C"/>
    <w:rsid w:val="00117F41"/>
    <w:rsid w:val="00117FDD"/>
    <w:rsid w:val="001200A5"/>
    <w:rsid w:val="001201EC"/>
    <w:rsid w:val="00120251"/>
    <w:rsid w:val="0012027D"/>
    <w:rsid w:val="00120299"/>
    <w:rsid w:val="00120394"/>
    <w:rsid w:val="00120516"/>
    <w:rsid w:val="001205A4"/>
    <w:rsid w:val="00120732"/>
    <w:rsid w:val="0012078F"/>
    <w:rsid w:val="00120815"/>
    <w:rsid w:val="00120912"/>
    <w:rsid w:val="00120B3E"/>
    <w:rsid w:val="00120D2C"/>
    <w:rsid w:val="00120D4F"/>
    <w:rsid w:val="00120DD8"/>
    <w:rsid w:val="00120E38"/>
    <w:rsid w:val="00120E46"/>
    <w:rsid w:val="00120F0C"/>
    <w:rsid w:val="00120F3E"/>
    <w:rsid w:val="00120F9A"/>
    <w:rsid w:val="00120FD7"/>
    <w:rsid w:val="00121055"/>
    <w:rsid w:val="0012124C"/>
    <w:rsid w:val="00121336"/>
    <w:rsid w:val="00121421"/>
    <w:rsid w:val="00121449"/>
    <w:rsid w:val="001214C0"/>
    <w:rsid w:val="00121505"/>
    <w:rsid w:val="00121606"/>
    <w:rsid w:val="001216C9"/>
    <w:rsid w:val="001216D9"/>
    <w:rsid w:val="001217B7"/>
    <w:rsid w:val="001217DB"/>
    <w:rsid w:val="00121940"/>
    <w:rsid w:val="0012198C"/>
    <w:rsid w:val="00121A61"/>
    <w:rsid w:val="00121A9F"/>
    <w:rsid w:val="00121AAB"/>
    <w:rsid w:val="00121C3D"/>
    <w:rsid w:val="00121C40"/>
    <w:rsid w:val="00121C76"/>
    <w:rsid w:val="00121D03"/>
    <w:rsid w:val="00121E40"/>
    <w:rsid w:val="00121EF0"/>
    <w:rsid w:val="00121F28"/>
    <w:rsid w:val="001220F3"/>
    <w:rsid w:val="00122208"/>
    <w:rsid w:val="00122253"/>
    <w:rsid w:val="001222AF"/>
    <w:rsid w:val="001223F5"/>
    <w:rsid w:val="00122432"/>
    <w:rsid w:val="0012253E"/>
    <w:rsid w:val="001225C5"/>
    <w:rsid w:val="00122665"/>
    <w:rsid w:val="001226C8"/>
    <w:rsid w:val="001227F6"/>
    <w:rsid w:val="0012288B"/>
    <w:rsid w:val="00122BDA"/>
    <w:rsid w:val="00122C0B"/>
    <w:rsid w:val="00122D24"/>
    <w:rsid w:val="00122D43"/>
    <w:rsid w:val="00122D9E"/>
    <w:rsid w:val="00122EDB"/>
    <w:rsid w:val="00123046"/>
    <w:rsid w:val="00123134"/>
    <w:rsid w:val="001231A1"/>
    <w:rsid w:val="00123218"/>
    <w:rsid w:val="0012327A"/>
    <w:rsid w:val="00123360"/>
    <w:rsid w:val="001233E0"/>
    <w:rsid w:val="001234CE"/>
    <w:rsid w:val="00123537"/>
    <w:rsid w:val="001235D3"/>
    <w:rsid w:val="0012375E"/>
    <w:rsid w:val="00123801"/>
    <w:rsid w:val="0012392D"/>
    <w:rsid w:val="00123A38"/>
    <w:rsid w:val="00123A6E"/>
    <w:rsid w:val="00123AD3"/>
    <w:rsid w:val="00123B45"/>
    <w:rsid w:val="00123B78"/>
    <w:rsid w:val="00123CDE"/>
    <w:rsid w:val="00123D39"/>
    <w:rsid w:val="00123DCE"/>
    <w:rsid w:val="00123E26"/>
    <w:rsid w:val="00123E90"/>
    <w:rsid w:val="00123EED"/>
    <w:rsid w:val="00123F9E"/>
    <w:rsid w:val="00124096"/>
    <w:rsid w:val="00124112"/>
    <w:rsid w:val="00124119"/>
    <w:rsid w:val="0012416F"/>
    <w:rsid w:val="001241E7"/>
    <w:rsid w:val="00124252"/>
    <w:rsid w:val="001242AA"/>
    <w:rsid w:val="0012434A"/>
    <w:rsid w:val="001245A0"/>
    <w:rsid w:val="0012460C"/>
    <w:rsid w:val="0012475F"/>
    <w:rsid w:val="00124778"/>
    <w:rsid w:val="00124796"/>
    <w:rsid w:val="001247A3"/>
    <w:rsid w:val="00124991"/>
    <w:rsid w:val="00124A9B"/>
    <w:rsid w:val="00124B34"/>
    <w:rsid w:val="00124B3A"/>
    <w:rsid w:val="00124B56"/>
    <w:rsid w:val="00124C2A"/>
    <w:rsid w:val="00124C32"/>
    <w:rsid w:val="00124C51"/>
    <w:rsid w:val="00124E4F"/>
    <w:rsid w:val="00124E8E"/>
    <w:rsid w:val="001250AC"/>
    <w:rsid w:val="00125178"/>
    <w:rsid w:val="001251F6"/>
    <w:rsid w:val="0012527C"/>
    <w:rsid w:val="00125287"/>
    <w:rsid w:val="0012531A"/>
    <w:rsid w:val="0012543C"/>
    <w:rsid w:val="001254AF"/>
    <w:rsid w:val="001255E8"/>
    <w:rsid w:val="00125641"/>
    <w:rsid w:val="00125690"/>
    <w:rsid w:val="001256AA"/>
    <w:rsid w:val="00125753"/>
    <w:rsid w:val="00125756"/>
    <w:rsid w:val="00125839"/>
    <w:rsid w:val="0012587B"/>
    <w:rsid w:val="001258E0"/>
    <w:rsid w:val="00125A73"/>
    <w:rsid w:val="00125A7E"/>
    <w:rsid w:val="00125AA2"/>
    <w:rsid w:val="00125B06"/>
    <w:rsid w:val="00125B96"/>
    <w:rsid w:val="00125B98"/>
    <w:rsid w:val="00125BB0"/>
    <w:rsid w:val="00125CDB"/>
    <w:rsid w:val="00125D53"/>
    <w:rsid w:val="00125E6E"/>
    <w:rsid w:val="00125E7F"/>
    <w:rsid w:val="00125ED4"/>
    <w:rsid w:val="00125F40"/>
    <w:rsid w:val="00125FBE"/>
    <w:rsid w:val="00125FD6"/>
    <w:rsid w:val="001260D1"/>
    <w:rsid w:val="001261AF"/>
    <w:rsid w:val="001261B3"/>
    <w:rsid w:val="001261B6"/>
    <w:rsid w:val="001261C7"/>
    <w:rsid w:val="00126390"/>
    <w:rsid w:val="001263BD"/>
    <w:rsid w:val="001265CF"/>
    <w:rsid w:val="00126660"/>
    <w:rsid w:val="001266E9"/>
    <w:rsid w:val="001266F5"/>
    <w:rsid w:val="0012676D"/>
    <w:rsid w:val="001267BD"/>
    <w:rsid w:val="001268D2"/>
    <w:rsid w:val="00126970"/>
    <w:rsid w:val="001269CE"/>
    <w:rsid w:val="001269D6"/>
    <w:rsid w:val="001269F0"/>
    <w:rsid w:val="00126A4B"/>
    <w:rsid w:val="00126B77"/>
    <w:rsid w:val="00126C22"/>
    <w:rsid w:val="00126CB0"/>
    <w:rsid w:val="00126D51"/>
    <w:rsid w:val="00126D6A"/>
    <w:rsid w:val="00126F1E"/>
    <w:rsid w:val="00126F2B"/>
    <w:rsid w:val="00126FFF"/>
    <w:rsid w:val="00127221"/>
    <w:rsid w:val="00127246"/>
    <w:rsid w:val="0012724C"/>
    <w:rsid w:val="00127459"/>
    <w:rsid w:val="001274C1"/>
    <w:rsid w:val="001274C7"/>
    <w:rsid w:val="001276C5"/>
    <w:rsid w:val="0012777B"/>
    <w:rsid w:val="0012778B"/>
    <w:rsid w:val="001277C5"/>
    <w:rsid w:val="00127821"/>
    <w:rsid w:val="00127833"/>
    <w:rsid w:val="0012783F"/>
    <w:rsid w:val="0012786E"/>
    <w:rsid w:val="0012788C"/>
    <w:rsid w:val="00127984"/>
    <w:rsid w:val="00127989"/>
    <w:rsid w:val="0012798C"/>
    <w:rsid w:val="00127996"/>
    <w:rsid w:val="00127A5D"/>
    <w:rsid w:val="00127B61"/>
    <w:rsid w:val="00127BBE"/>
    <w:rsid w:val="00127C02"/>
    <w:rsid w:val="00127D8A"/>
    <w:rsid w:val="00127DBA"/>
    <w:rsid w:val="00127DD3"/>
    <w:rsid w:val="00127E0A"/>
    <w:rsid w:val="00127E2B"/>
    <w:rsid w:val="00127E8E"/>
    <w:rsid w:val="00127ED2"/>
    <w:rsid w:val="0013001C"/>
    <w:rsid w:val="00130028"/>
    <w:rsid w:val="00130191"/>
    <w:rsid w:val="00130284"/>
    <w:rsid w:val="001302B5"/>
    <w:rsid w:val="0013033B"/>
    <w:rsid w:val="001303E6"/>
    <w:rsid w:val="00130406"/>
    <w:rsid w:val="0013042D"/>
    <w:rsid w:val="00130452"/>
    <w:rsid w:val="00130569"/>
    <w:rsid w:val="0013058A"/>
    <w:rsid w:val="001305A5"/>
    <w:rsid w:val="001305B4"/>
    <w:rsid w:val="0013061A"/>
    <w:rsid w:val="00130675"/>
    <w:rsid w:val="001306A1"/>
    <w:rsid w:val="00130799"/>
    <w:rsid w:val="00130939"/>
    <w:rsid w:val="001309D6"/>
    <w:rsid w:val="00130A10"/>
    <w:rsid w:val="00130A16"/>
    <w:rsid w:val="00130F66"/>
    <w:rsid w:val="00130FE4"/>
    <w:rsid w:val="0013104E"/>
    <w:rsid w:val="00131096"/>
    <w:rsid w:val="001310A8"/>
    <w:rsid w:val="001310AD"/>
    <w:rsid w:val="00131109"/>
    <w:rsid w:val="001311E6"/>
    <w:rsid w:val="001311F6"/>
    <w:rsid w:val="0013121C"/>
    <w:rsid w:val="00131387"/>
    <w:rsid w:val="00131458"/>
    <w:rsid w:val="001314E0"/>
    <w:rsid w:val="0013158F"/>
    <w:rsid w:val="0013162B"/>
    <w:rsid w:val="001316F6"/>
    <w:rsid w:val="00131743"/>
    <w:rsid w:val="001317FA"/>
    <w:rsid w:val="00131804"/>
    <w:rsid w:val="001318A3"/>
    <w:rsid w:val="001319A6"/>
    <w:rsid w:val="00131A68"/>
    <w:rsid w:val="00131A88"/>
    <w:rsid w:val="00131AA6"/>
    <w:rsid w:val="00131AA7"/>
    <w:rsid w:val="00131AF9"/>
    <w:rsid w:val="00131B38"/>
    <w:rsid w:val="00131B7E"/>
    <w:rsid w:val="00131BEC"/>
    <w:rsid w:val="00131CE5"/>
    <w:rsid w:val="00131CFF"/>
    <w:rsid w:val="00131D0F"/>
    <w:rsid w:val="00131D28"/>
    <w:rsid w:val="00131E84"/>
    <w:rsid w:val="00131ED0"/>
    <w:rsid w:val="00131F0C"/>
    <w:rsid w:val="00131F35"/>
    <w:rsid w:val="00131FA9"/>
    <w:rsid w:val="001320C8"/>
    <w:rsid w:val="00132190"/>
    <w:rsid w:val="001322BE"/>
    <w:rsid w:val="001323FC"/>
    <w:rsid w:val="00132459"/>
    <w:rsid w:val="00132487"/>
    <w:rsid w:val="001324FD"/>
    <w:rsid w:val="0013250A"/>
    <w:rsid w:val="00132534"/>
    <w:rsid w:val="00132597"/>
    <w:rsid w:val="001325D3"/>
    <w:rsid w:val="00132613"/>
    <w:rsid w:val="001326D8"/>
    <w:rsid w:val="0013271D"/>
    <w:rsid w:val="0013276D"/>
    <w:rsid w:val="00132A8B"/>
    <w:rsid w:val="00132A90"/>
    <w:rsid w:val="00132B11"/>
    <w:rsid w:val="00132B4D"/>
    <w:rsid w:val="00132B6B"/>
    <w:rsid w:val="00132B8C"/>
    <w:rsid w:val="00132BD3"/>
    <w:rsid w:val="00132C3D"/>
    <w:rsid w:val="00132D07"/>
    <w:rsid w:val="00132D93"/>
    <w:rsid w:val="00132E15"/>
    <w:rsid w:val="00132E8D"/>
    <w:rsid w:val="00132EB6"/>
    <w:rsid w:val="00132EF6"/>
    <w:rsid w:val="0013312D"/>
    <w:rsid w:val="00133189"/>
    <w:rsid w:val="001331A4"/>
    <w:rsid w:val="00133250"/>
    <w:rsid w:val="001333C8"/>
    <w:rsid w:val="001333CA"/>
    <w:rsid w:val="0013342D"/>
    <w:rsid w:val="001334FC"/>
    <w:rsid w:val="00133555"/>
    <w:rsid w:val="001335B5"/>
    <w:rsid w:val="0013373B"/>
    <w:rsid w:val="00133750"/>
    <w:rsid w:val="0013380D"/>
    <w:rsid w:val="00133968"/>
    <w:rsid w:val="00133B1F"/>
    <w:rsid w:val="00133BA4"/>
    <w:rsid w:val="00133BB5"/>
    <w:rsid w:val="00133BF9"/>
    <w:rsid w:val="00133C54"/>
    <w:rsid w:val="00133D63"/>
    <w:rsid w:val="00133E73"/>
    <w:rsid w:val="00133ED1"/>
    <w:rsid w:val="00133EEF"/>
    <w:rsid w:val="00133F47"/>
    <w:rsid w:val="00133FFE"/>
    <w:rsid w:val="001340A5"/>
    <w:rsid w:val="00134113"/>
    <w:rsid w:val="0013418D"/>
    <w:rsid w:val="00134271"/>
    <w:rsid w:val="00134398"/>
    <w:rsid w:val="00134564"/>
    <w:rsid w:val="00134594"/>
    <w:rsid w:val="00134658"/>
    <w:rsid w:val="0013467B"/>
    <w:rsid w:val="00134778"/>
    <w:rsid w:val="00134855"/>
    <w:rsid w:val="0013486C"/>
    <w:rsid w:val="00134892"/>
    <w:rsid w:val="001348A1"/>
    <w:rsid w:val="00134C6B"/>
    <w:rsid w:val="00134DDD"/>
    <w:rsid w:val="00134DFA"/>
    <w:rsid w:val="00134E52"/>
    <w:rsid w:val="00134EC3"/>
    <w:rsid w:val="00134F73"/>
    <w:rsid w:val="00134F88"/>
    <w:rsid w:val="0013501B"/>
    <w:rsid w:val="00135065"/>
    <w:rsid w:val="00135148"/>
    <w:rsid w:val="001353DC"/>
    <w:rsid w:val="001354EA"/>
    <w:rsid w:val="00135521"/>
    <w:rsid w:val="0013554E"/>
    <w:rsid w:val="0013555E"/>
    <w:rsid w:val="0013560D"/>
    <w:rsid w:val="001356D4"/>
    <w:rsid w:val="001357E6"/>
    <w:rsid w:val="0013581E"/>
    <w:rsid w:val="00135854"/>
    <w:rsid w:val="00135859"/>
    <w:rsid w:val="001358E0"/>
    <w:rsid w:val="00135925"/>
    <w:rsid w:val="00135943"/>
    <w:rsid w:val="001359CA"/>
    <w:rsid w:val="00135B7A"/>
    <w:rsid w:val="00135CAB"/>
    <w:rsid w:val="00135CB5"/>
    <w:rsid w:val="00135CFD"/>
    <w:rsid w:val="00135F70"/>
    <w:rsid w:val="00135FA1"/>
    <w:rsid w:val="00136072"/>
    <w:rsid w:val="001360C6"/>
    <w:rsid w:val="001360D0"/>
    <w:rsid w:val="00136138"/>
    <w:rsid w:val="00136294"/>
    <w:rsid w:val="001362F6"/>
    <w:rsid w:val="00136301"/>
    <w:rsid w:val="00136390"/>
    <w:rsid w:val="0013646F"/>
    <w:rsid w:val="00136525"/>
    <w:rsid w:val="00136576"/>
    <w:rsid w:val="0013686B"/>
    <w:rsid w:val="00136898"/>
    <w:rsid w:val="0013689F"/>
    <w:rsid w:val="001368F1"/>
    <w:rsid w:val="001369DE"/>
    <w:rsid w:val="00136A45"/>
    <w:rsid w:val="00136AFF"/>
    <w:rsid w:val="00136C2D"/>
    <w:rsid w:val="00136CDE"/>
    <w:rsid w:val="00136D13"/>
    <w:rsid w:val="00136D96"/>
    <w:rsid w:val="00136D97"/>
    <w:rsid w:val="00136E1E"/>
    <w:rsid w:val="0013707D"/>
    <w:rsid w:val="001371E4"/>
    <w:rsid w:val="0013724C"/>
    <w:rsid w:val="001372A0"/>
    <w:rsid w:val="00137314"/>
    <w:rsid w:val="0013738F"/>
    <w:rsid w:val="001373F4"/>
    <w:rsid w:val="001375E0"/>
    <w:rsid w:val="0013761B"/>
    <w:rsid w:val="00137653"/>
    <w:rsid w:val="00137662"/>
    <w:rsid w:val="00137676"/>
    <w:rsid w:val="00137936"/>
    <w:rsid w:val="00137A11"/>
    <w:rsid w:val="00137AB7"/>
    <w:rsid w:val="00137C7D"/>
    <w:rsid w:val="00137DD9"/>
    <w:rsid w:val="00137E4E"/>
    <w:rsid w:val="00137F51"/>
    <w:rsid w:val="001400C2"/>
    <w:rsid w:val="001400FD"/>
    <w:rsid w:val="00140220"/>
    <w:rsid w:val="00140230"/>
    <w:rsid w:val="00140259"/>
    <w:rsid w:val="00140356"/>
    <w:rsid w:val="001404D4"/>
    <w:rsid w:val="001405BB"/>
    <w:rsid w:val="001405BF"/>
    <w:rsid w:val="00140667"/>
    <w:rsid w:val="00140675"/>
    <w:rsid w:val="00140796"/>
    <w:rsid w:val="00140857"/>
    <w:rsid w:val="001408EA"/>
    <w:rsid w:val="001409A3"/>
    <w:rsid w:val="00140B05"/>
    <w:rsid w:val="00140C23"/>
    <w:rsid w:val="00140C48"/>
    <w:rsid w:val="00140C71"/>
    <w:rsid w:val="00140DB0"/>
    <w:rsid w:val="00140E04"/>
    <w:rsid w:val="00140E44"/>
    <w:rsid w:val="00140EA3"/>
    <w:rsid w:val="00140F08"/>
    <w:rsid w:val="00140F43"/>
    <w:rsid w:val="001410D7"/>
    <w:rsid w:val="00141195"/>
    <w:rsid w:val="00141205"/>
    <w:rsid w:val="001412FE"/>
    <w:rsid w:val="00141303"/>
    <w:rsid w:val="001413DB"/>
    <w:rsid w:val="001414D5"/>
    <w:rsid w:val="0014153F"/>
    <w:rsid w:val="00141579"/>
    <w:rsid w:val="00141707"/>
    <w:rsid w:val="00141776"/>
    <w:rsid w:val="001417EE"/>
    <w:rsid w:val="00141AFF"/>
    <w:rsid w:val="00141BFD"/>
    <w:rsid w:val="00141C1D"/>
    <w:rsid w:val="00141C80"/>
    <w:rsid w:val="00141D26"/>
    <w:rsid w:val="00141D54"/>
    <w:rsid w:val="00141EC8"/>
    <w:rsid w:val="00141F92"/>
    <w:rsid w:val="001420D4"/>
    <w:rsid w:val="0014218F"/>
    <w:rsid w:val="00142192"/>
    <w:rsid w:val="001423FD"/>
    <w:rsid w:val="00142455"/>
    <w:rsid w:val="001424FE"/>
    <w:rsid w:val="00142519"/>
    <w:rsid w:val="001425D8"/>
    <w:rsid w:val="00142616"/>
    <w:rsid w:val="001426A7"/>
    <w:rsid w:val="0014278D"/>
    <w:rsid w:val="0014299D"/>
    <w:rsid w:val="00142AA4"/>
    <w:rsid w:val="00142B55"/>
    <w:rsid w:val="00142B70"/>
    <w:rsid w:val="00142B88"/>
    <w:rsid w:val="00142B91"/>
    <w:rsid w:val="00142BAE"/>
    <w:rsid w:val="00142D4D"/>
    <w:rsid w:val="00142E8F"/>
    <w:rsid w:val="00142EEB"/>
    <w:rsid w:val="00142F27"/>
    <w:rsid w:val="00142F6F"/>
    <w:rsid w:val="00142F9B"/>
    <w:rsid w:val="00142FFF"/>
    <w:rsid w:val="00143006"/>
    <w:rsid w:val="001430E4"/>
    <w:rsid w:val="0014316A"/>
    <w:rsid w:val="001431C1"/>
    <w:rsid w:val="001431DF"/>
    <w:rsid w:val="00143230"/>
    <w:rsid w:val="00143368"/>
    <w:rsid w:val="001434DA"/>
    <w:rsid w:val="001435A4"/>
    <w:rsid w:val="00143713"/>
    <w:rsid w:val="0014378B"/>
    <w:rsid w:val="00143859"/>
    <w:rsid w:val="00143880"/>
    <w:rsid w:val="00143962"/>
    <w:rsid w:val="00143A0B"/>
    <w:rsid w:val="00143A56"/>
    <w:rsid w:val="00143AE5"/>
    <w:rsid w:val="00143C34"/>
    <w:rsid w:val="00143C83"/>
    <w:rsid w:val="00143CCC"/>
    <w:rsid w:val="00143F3A"/>
    <w:rsid w:val="00144029"/>
    <w:rsid w:val="00144137"/>
    <w:rsid w:val="00144203"/>
    <w:rsid w:val="00144231"/>
    <w:rsid w:val="001442AE"/>
    <w:rsid w:val="00144345"/>
    <w:rsid w:val="00144420"/>
    <w:rsid w:val="001444CF"/>
    <w:rsid w:val="00144624"/>
    <w:rsid w:val="0014467C"/>
    <w:rsid w:val="0014482B"/>
    <w:rsid w:val="00144853"/>
    <w:rsid w:val="0014485D"/>
    <w:rsid w:val="0014488E"/>
    <w:rsid w:val="001448DD"/>
    <w:rsid w:val="00144981"/>
    <w:rsid w:val="00144991"/>
    <w:rsid w:val="001449E9"/>
    <w:rsid w:val="00144A0E"/>
    <w:rsid w:val="00144BCA"/>
    <w:rsid w:val="00144CE1"/>
    <w:rsid w:val="00144D12"/>
    <w:rsid w:val="00144EBD"/>
    <w:rsid w:val="0014509D"/>
    <w:rsid w:val="001453F4"/>
    <w:rsid w:val="0014541D"/>
    <w:rsid w:val="00145435"/>
    <w:rsid w:val="0014545B"/>
    <w:rsid w:val="001454DD"/>
    <w:rsid w:val="00145596"/>
    <w:rsid w:val="001457BC"/>
    <w:rsid w:val="001457F2"/>
    <w:rsid w:val="001458DA"/>
    <w:rsid w:val="00145A6C"/>
    <w:rsid w:val="00145AAA"/>
    <w:rsid w:val="00145B7B"/>
    <w:rsid w:val="00145C47"/>
    <w:rsid w:val="00145C73"/>
    <w:rsid w:val="00145D10"/>
    <w:rsid w:val="00145D26"/>
    <w:rsid w:val="00145D2C"/>
    <w:rsid w:val="00145D2E"/>
    <w:rsid w:val="00145D33"/>
    <w:rsid w:val="00145D88"/>
    <w:rsid w:val="00145F19"/>
    <w:rsid w:val="00145FAE"/>
    <w:rsid w:val="0014605D"/>
    <w:rsid w:val="0014607C"/>
    <w:rsid w:val="00146234"/>
    <w:rsid w:val="0014628E"/>
    <w:rsid w:val="00146355"/>
    <w:rsid w:val="0014636E"/>
    <w:rsid w:val="001463AC"/>
    <w:rsid w:val="001463E1"/>
    <w:rsid w:val="0014651D"/>
    <w:rsid w:val="00146556"/>
    <w:rsid w:val="001465D0"/>
    <w:rsid w:val="00146610"/>
    <w:rsid w:val="001467D3"/>
    <w:rsid w:val="00146885"/>
    <w:rsid w:val="00146894"/>
    <w:rsid w:val="001468EC"/>
    <w:rsid w:val="00146986"/>
    <w:rsid w:val="00146A80"/>
    <w:rsid w:val="00146C8F"/>
    <w:rsid w:val="00146D55"/>
    <w:rsid w:val="00146DD1"/>
    <w:rsid w:val="00146EF9"/>
    <w:rsid w:val="00146F5A"/>
    <w:rsid w:val="00146FBA"/>
    <w:rsid w:val="00147035"/>
    <w:rsid w:val="00147037"/>
    <w:rsid w:val="0014712D"/>
    <w:rsid w:val="001471C3"/>
    <w:rsid w:val="001471D0"/>
    <w:rsid w:val="001471E7"/>
    <w:rsid w:val="0014721E"/>
    <w:rsid w:val="00147317"/>
    <w:rsid w:val="00147344"/>
    <w:rsid w:val="0014751A"/>
    <w:rsid w:val="0014756D"/>
    <w:rsid w:val="0014757A"/>
    <w:rsid w:val="001475CB"/>
    <w:rsid w:val="0014763B"/>
    <w:rsid w:val="00147648"/>
    <w:rsid w:val="0014770B"/>
    <w:rsid w:val="00147851"/>
    <w:rsid w:val="001478BE"/>
    <w:rsid w:val="001478D9"/>
    <w:rsid w:val="001478F5"/>
    <w:rsid w:val="0014792A"/>
    <w:rsid w:val="00147A70"/>
    <w:rsid w:val="00147B6A"/>
    <w:rsid w:val="00147D4D"/>
    <w:rsid w:val="00147EEE"/>
    <w:rsid w:val="00147F8B"/>
    <w:rsid w:val="001500A8"/>
    <w:rsid w:val="00150146"/>
    <w:rsid w:val="00150178"/>
    <w:rsid w:val="0015039B"/>
    <w:rsid w:val="00150426"/>
    <w:rsid w:val="00150442"/>
    <w:rsid w:val="001505A2"/>
    <w:rsid w:val="00150645"/>
    <w:rsid w:val="0015066E"/>
    <w:rsid w:val="001506DB"/>
    <w:rsid w:val="001506F9"/>
    <w:rsid w:val="00150853"/>
    <w:rsid w:val="0015094E"/>
    <w:rsid w:val="0015099C"/>
    <w:rsid w:val="00150B4F"/>
    <w:rsid w:val="00150B8C"/>
    <w:rsid w:val="00150C16"/>
    <w:rsid w:val="00150C6A"/>
    <w:rsid w:val="00150D8F"/>
    <w:rsid w:val="00150D99"/>
    <w:rsid w:val="00150D9B"/>
    <w:rsid w:val="00150DAA"/>
    <w:rsid w:val="00150E73"/>
    <w:rsid w:val="00150F5A"/>
    <w:rsid w:val="00150F9E"/>
    <w:rsid w:val="00150FEA"/>
    <w:rsid w:val="00151019"/>
    <w:rsid w:val="00151072"/>
    <w:rsid w:val="001510E7"/>
    <w:rsid w:val="001510E8"/>
    <w:rsid w:val="00151112"/>
    <w:rsid w:val="001511D3"/>
    <w:rsid w:val="001511FC"/>
    <w:rsid w:val="0015120D"/>
    <w:rsid w:val="0015136D"/>
    <w:rsid w:val="001513DB"/>
    <w:rsid w:val="00151573"/>
    <w:rsid w:val="001515D7"/>
    <w:rsid w:val="001516DC"/>
    <w:rsid w:val="001516EF"/>
    <w:rsid w:val="0015198C"/>
    <w:rsid w:val="001519A5"/>
    <w:rsid w:val="001519C1"/>
    <w:rsid w:val="00151AF3"/>
    <w:rsid w:val="00151AFE"/>
    <w:rsid w:val="00151B13"/>
    <w:rsid w:val="00151B23"/>
    <w:rsid w:val="00151CFB"/>
    <w:rsid w:val="00151D4E"/>
    <w:rsid w:val="00151D70"/>
    <w:rsid w:val="00151E1C"/>
    <w:rsid w:val="00151E25"/>
    <w:rsid w:val="00151E38"/>
    <w:rsid w:val="00151F19"/>
    <w:rsid w:val="00151F32"/>
    <w:rsid w:val="00151F7F"/>
    <w:rsid w:val="00151FE8"/>
    <w:rsid w:val="00151FF4"/>
    <w:rsid w:val="001520BF"/>
    <w:rsid w:val="00152154"/>
    <w:rsid w:val="001521FE"/>
    <w:rsid w:val="00152227"/>
    <w:rsid w:val="00152269"/>
    <w:rsid w:val="00152354"/>
    <w:rsid w:val="001523CB"/>
    <w:rsid w:val="001523F5"/>
    <w:rsid w:val="0015246E"/>
    <w:rsid w:val="001524F5"/>
    <w:rsid w:val="001524FF"/>
    <w:rsid w:val="0015261D"/>
    <w:rsid w:val="00152644"/>
    <w:rsid w:val="001526FA"/>
    <w:rsid w:val="001527CC"/>
    <w:rsid w:val="001527DC"/>
    <w:rsid w:val="0015287A"/>
    <w:rsid w:val="001528F7"/>
    <w:rsid w:val="001529B8"/>
    <w:rsid w:val="00152AC0"/>
    <w:rsid w:val="00152B75"/>
    <w:rsid w:val="00152B9A"/>
    <w:rsid w:val="00152BAF"/>
    <w:rsid w:val="00152BD4"/>
    <w:rsid w:val="00152D4F"/>
    <w:rsid w:val="00152D88"/>
    <w:rsid w:val="00152D89"/>
    <w:rsid w:val="00152DF4"/>
    <w:rsid w:val="00152E98"/>
    <w:rsid w:val="00152EC9"/>
    <w:rsid w:val="00152ED4"/>
    <w:rsid w:val="00152F1E"/>
    <w:rsid w:val="0015304C"/>
    <w:rsid w:val="001530C1"/>
    <w:rsid w:val="001530C3"/>
    <w:rsid w:val="00153153"/>
    <w:rsid w:val="00153305"/>
    <w:rsid w:val="001533DD"/>
    <w:rsid w:val="001533F1"/>
    <w:rsid w:val="00153467"/>
    <w:rsid w:val="001534B9"/>
    <w:rsid w:val="00153609"/>
    <w:rsid w:val="001536B9"/>
    <w:rsid w:val="001536F1"/>
    <w:rsid w:val="001537D3"/>
    <w:rsid w:val="00153806"/>
    <w:rsid w:val="0015383C"/>
    <w:rsid w:val="00153A0B"/>
    <w:rsid w:val="00153A42"/>
    <w:rsid w:val="00153B07"/>
    <w:rsid w:val="00153B21"/>
    <w:rsid w:val="00153BE8"/>
    <w:rsid w:val="00153C92"/>
    <w:rsid w:val="00153C94"/>
    <w:rsid w:val="00153DB8"/>
    <w:rsid w:val="00153EEB"/>
    <w:rsid w:val="00154057"/>
    <w:rsid w:val="00154094"/>
    <w:rsid w:val="001540C4"/>
    <w:rsid w:val="00154266"/>
    <w:rsid w:val="0015427B"/>
    <w:rsid w:val="0015429C"/>
    <w:rsid w:val="001542CB"/>
    <w:rsid w:val="001543AF"/>
    <w:rsid w:val="001543EE"/>
    <w:rsid w:val="00154482"/>
    <w:rsid w:val="001544BC"/>
    <w:rsid w:val="001545D8"/>
    <w:rsid w:val="001545DA"/>
    <w:rsid w:val="0015461B"/>
    <w:rsid w:val="0015475D"/>
    <w:rsid w:val="0015477D"/>
    <w:rsid w:val="00154871"/>
    <w:rsid w:val="001548C8"/>
    <w:rsid w:val="00154969"/>
    <w:rsid w:val="001549D9"/>
    <w:rsid w:val="00154A73"/>
    <w:rsid w:val="00154A79"/>
    <w:rsid w:val="00154B37"/>
    <w:rsid w:val="00154BF2"/>
    <w:rsid w:val="00154DC2"/>
    <w:rsid w:val="00154E1A"/>
    <w:rsid w:val="00154E2F"/>
    <w:rsid w:val="00154E3D"/>
    <w:rsid w:val="00154ED0"/>
    <w:rsid w:val="00154F6F"/>
    <w:rsid w:val="00154FC9"/>
    <w:rsid w:val="0015502C"/>
    <w:rsid w:val="001550AB"/>
    <w:rsid w:val="001551F7"/>
    <w:rsid w:val="00155202"/>
    <w:rsid w:val="0015534F"/>
    <w:rsid w:val="001553E7"/>
    <w:rsid w:val="00155495"/>
    <w:rsid w:val="00155527"/>
    <w:rsid w:val="001555EE"/>
    <w:rsid w:val="00155668"/>
    <w:rsid w:val="0015569E"/>
    <w:rsid w:val="0015570F"/>
    <w:rsid w:val="0015578D"/>
    <w:rsid w:val="0015579F"/>
    <w:rsid w:val="0015586B"/>
    <w:rsid w:val="001558B6"/>
    <w:rsid w:val="00155A00"/>
    <w:rsid w:val="00155A0B"/>
    <w:rsid w:val="00155AEC"/>
    <w:rsid w:val="00155BEA"/>
    <w:rsid w:val="00155CE7"/>
    <w:rsid w:val="00155CE9"/>
    <w:rsid w:val="00155CF8"/>
    <w:rsid w:val="00155D66"/>
    <w:rsid w:val="00155F60"/>
    <w:rsid w:val="00155F9C"/>
    <w:rsid w:val="00155F9E"/>
    <w:rsid w:val="00155FE9"/>
    <w:rsid w:val="0015600A"/>
    <w:rsid w:val="0015606F"/>
    <w:rsid w:val="001560B0"/>
    <w:rsid w:val="001560BD"/>
    <w:rsid w:val="0015613B"/>
    <w:rsid w:val="001562E9"/>
    <w:rsid w:val="00156331"/>
    <w:rsid w:val="0015636C"/>
    <w:rsid w:val="001563AD"/>
    <w:rsid w:val="00156480"/>
    <w:rsid w:val="00156542"/>
    <w:rsid w:val="0015656F"/>
    <w:rsid w:val="001567B5"/>
    <w:rsid w:val="00156844"/>
    <w:rsid w:val="00156861"/>
    <w:rsid w:val="001568C7"/>
    <w:rsid w:val="00156A34"/>
    <w:rsid w:val="00156A36"/>
    <w:rsid w:val="00156A8D"/>
    <w:rsid w:val="00156B26"/>
    <w:rsid w:val="00156B68"/>
    <w:rsid w:val="00156D00"/>
    <w:rsid w:val="00156D5B"/>
    <w:rsid w:val="00156D6C"/>
    <w:rsid w:val="00156DF4"/>
    <w:rsid w:val="00156E65"/>
    <w:rsid w:val="00156ED0"/>
    <w:rsid w:val="00156EEA"/>
    <w:rsid w:val="00156FAD"/>
    <w:rsid w:val="0015700F"/>
    <w:rsid w:val="0015701F"/>
    <w:rsid w:val="0015717C"/>
    <w:rsid w:val="0015734F"/>
    <w:rsid w:val="00157431"/>
    <w:rsid w:val="001575CF"/>
    <w:rsid w:val="00157659"/>
    <w:rsid w:val="001577FF"/>
    <w:rsid w:val="00157879"/>
    <w:rsid w:val="001578B3"/>
    <w:rsid w:val="001578B6"/>
    <w:rsid w:val="001578D4"/>
    <w:rsid w:val="0015792B"/>
    <w:rsid w:val="00157930"/>
    <w:rsid w:val="00157993"/>
    <w:rsid w:val="00157A82"/>
    <w:rsid w:val="00157B96"/>
    <w:rsid w:val="00157B97"/>
    <w:rsid w:val="00157BD7"/>
    <w:rsid w:val="00157C9E"/>
    <w:rsid w:val="00157CDA"/>
    <w:rsid w:val="00157D53"/>
    <w:rsid w:val="00157E6C"/>
    <w:rsid w:val="0016005F"/>
    <w:rsid w:val="001601B7"/>
    <w:rsid w:val="001602A6"/>
    <w:rsid w:val="00160405"/>
    <w:rsid w:val="001605E6"/>
    <w:rsid w:val="001606FA"/>
    <w:rsid w:val="00160731"/>
    <w:rsid w:val="0016073B"/>
    <w:rsid w:val="00160757"/>
    <w:rsid w:val="00160778"/>
    <w:rsid w:val="001607A9"/>
    <w:rsid w:val="0016081B"/>
    <w:rsid w:val="0016088E"/>
    <w:rsid w:val="001608C7"/>
    <w:rsid w:val="0016099B"/>
    <w:rsid w:val="001609FF"/>
    <w:rsid w:val="00160B38"/>
    <w:rsid w:val="00160C3D"/>
    <w:rsid w:val="00160E66"/>
    <w:rsid w:val="00160E7B"/>
    <w:rsid w:val="00160EAA"/>
    <w:rsid w:val="00160F4C"/>
    <w:rsid w:val="00160FEE"/>
    <w:rsid w:val="00161029"/>
    <w:rsid w:val="001610C2"/>
    <w:rsid w:val="00161172"/>
    <w:rsid w:val="001611FD"/>
    <w:rsid w:val="0016146B"/>
    <w:rsid w:val="00161665"/>
    <w:rsid w:val="001617EA"/>
    <w:rsid w:val="00161814"/>
    <w:rsid w:val="001618D6"/>
    <w:rsid w:val="001618EA"/>
    <w:rsid w:val="00161959"/>
    <w:rsid w:val="001619C2"/>
    <w:rsid w:val="00161BE3"/>
    <w:rsid w:val="00161C17"/>
    <w:rsid w:val="00161DAC"/>
    <w:rsid w:val="00161DE4"/>
    <w:rsid w:val="001620EE"/>
    <w:rsid w:val="00162265"/>
    <w:rsid w:val="00162272"/>
    <w:rsid w:val="001622C0"/>
    <w:rsid w:val="001622C9"/>
    <w:rsid w:val="001622F7"/>
    <w:rsid w:val="00162341"/>
    <w:rsid w:val="0016245C"/>
    <w:rsid w:val="001624D6"/>
    <w:rsid w:val="001624DB"/>
    <w:rsid w:val="001625C3"/>
    <w:rsid w:val="00162698"/>
    <w:rsid w:val="0016271C"/>
    <w:rsid w:val="001627D5"/>
    <w:rsid w:val="00162803"/>
    <w:rsid w:val="001628B7"/>
    <w:rsid w:val="00162920"/>
    <w:rsid w:val="0016293A"/>
    <w:rsid w:val="00162A5D"/>
    <w:rsid w:val="00162A80"/>
    <w:rsid w:val="00162C4C"/>
    <w:rsid w:val="00162C87"/>
    <w:rsid w:val="00162CE1"/>
    <w:rsid w:val="00162DFE"/>
    <w:rsid w:val="00162F83"/>
    <w:rsid w:val="00162F88"/>
    <w:rsid w:val="00163030"/>
    <w:rsid w:val="0016306A"/>
    <w:rsid w:val="0016307E"/>
    <w:rsid w:val="00163119"/>
    <w:rsid w:val="0016312E"/>
    <w:rsid w:val="00163134"/>
    <w:rsid w:val="00163152"/>
    <w:rsid w:val="0016315D"/>
    <w:rsid w:val="001631AC"/>
    <w:rsid w:val="0016322E"/>
    <w:rsid w:val="00163258"/>
    <w:rsid w:val="0016343E"/>
    <w:rsid w:val="001635A9"/>
    <w:rsid w:val="0016362E"/>
    <w:rsid w:val="001636E0"/>
    <w:rsid w:val="001637D0"/>
    <w:rsid w:val="001637D2"/>
    <w:rsid w:val="001637D7"/>
    <w:rsid w:val="00163881"/>
    <w:rsid w:val="001639E9"/>
    <w:rsid w:val="001639F1"/>
    <w:rsid w:val="00163A43"/>
    <w:rsid w:val="00163AC8"/>
    <w:rsid w:val="00163B3E"/>
    <w:rsid w:val="00163B5C"/>
    <w:rsid w:val="00163BB4"/>
    <w:rsid w:val="00163BC1"/>
    <w:rsid w:val="00163BFE"/>
    <w:rsid w:val="00163C88"/>
    <w:rsid w:val="00163EF5"/>
    <w:rsid w:val="00163F3C"/>
    <w:rsid w:val="00163FD9"/>
    <w:rsid w:val="00163FDD"/>
    <w:rsid w:val="00164037"/>
    <w:rsid w:val="00164038"/>
    <w:rsid w:val="001640DC"/>
    <w:rsid w:val="001641AD"/>
    <w:rsid w:val="001642BC"/>
    <w:rsid w:val="00164557"/>
    <w:rsid w:val="00164795"/>
    <w:rsid w:val="001647C4"/>
    <w:rsid w:val="00164808"/>
    <w:rsid w:val="001648B3"/>
    <w:rsid w:val="001648F1"/>
    <w:rsid w:val="00164931"/>
    <w:rsid w:val="001649B6"/>
    <w:rsid w:val="001649FB"/>
    <w:rsid w:val="00164A3B"/>
    <w:rsid w:val="00164ADC"/>
    <w:rsid w:val="00164B49"/>
    <w:rsid w:val="00164BC0"/>
    <w:rsid w:val="00164BC1"/>
    <w:rsid w:val="00164DFB"/>
    <w:rsid w:val="0016502D"/>
    <w:rsid w:val="001651C0"/>
    <w:rsid w:val="00165289"/>
    <w:rsid w:val="0016537C"/>
    <w:rsid w:val="001653D8"/>
    <w:rsid w:val="00165445"/>
    <w:rsid w:val="001654E8"/>
    <w:rsid w:val="00165556"/>
    <w:rsid w:val="001655D0"/>
    <w:rsid w:val="001655E7"/>
    <w:rsid w:val="0016562C"/>
    <w:rsid w:val="001656AB"/>
    <w:rsid w:val="0016579F"/>
    <w:rsid w:val="001657C0"/>
    <w:rsid w:val="00165837"/>
    <w:rsid w:val="00165855"/>
    <w:rsid w:val="00165900"/>
    <w:rsid w:val="00165936"/>
    <w:rsid w:val="001659E4"/>
    <w:rsid w:val="00165A86"/>
    <w:rsid w:val="00165AA7"/>
    <w:rsid w:val="00165B28"/>
    <w:rsid w:val="00165BCD"/>
    <w:rsid w:val="00165C5B"/>
    <w:rsid w:val="00165E22"/>
    <w:rsid w:val="00165E5F"/>
    <w:rsid w:val="00165ED6"/>
    <w:rsid w:val="00165F81"/>
    <w:rsid w:val="001660C3"/>
    <w:rsid w:val="001662C6"/>
    <w:rsid w:val="00166378"/>
    <w:rsid w:val="001663E8"/>
    <w:rsid w:val="001664B3"/>
    <w:rsid w:val="001664C2"/>
    <w:rsid w:val="0016651B"/>
    <w:rsid w:val="00166521"/>
    <w:rsid w:val="0016654E"/>
    <w:rsid w:val="001665AD"/>
    <w:rsid w:val="001665D3"/>
    <w:rsid w:val="001666BD"/>
    <w:rsid w:val="00166754"/>
    <w:rsid w:val="001667C8"/>
    <w:rsid w:val="001667FA"/>
    <w:rsid w:val="0016682E"/>
    <w:rsid w:val="0016685D"/>
    <w:rsid w:val="001668D5"/>
    <w:rsid w:val="00166960"/>
    <w:rsid w:val="00166979"/>
    <w:rsid w:val="00166A91"/>
    <w:rsid w:val="00166AE3"/>
    <w:rsid w:val="00166AFE"/>
    <w:rsid w:val="00166B70"/>
    <w:rsid w:val="00166B7D"/>
    <w:rsid w:val="00166C33"/>
    <w:rsid w:val="00166C61"/>
    <w:rsid w:val="00166C9E"/>
    <w:rsid w:val="00166CEE"/>
    <w:rsid w:val="00166E4F"/>
    <w:rsid w:val="00166EEB"/>
    <w:rsid w:val="00166F64"/>
    <w:rsid w:val="00166F81"/>
    <w:rsid w:val="0016701B"/>
    <w:rsid w:val="0016705D"/>
    <w:rsid w:val="0016707E"/>
    <w:rsid w:val="0016716F"/>
    <w:rsid w:val="00167196"/>
    <w:rsid w:val="001674FB"/>
    <w:rsid w:val="00167659"/>
    <w:rsid w:val="001676DF"/>
    <w:rsid w:val="0016781F"/>
    <w:rsid w:val="0016785C"/>
    <w:rsid w:val="00167869"/>
    <w:rsid w:val="00167874"/>
    <w:rsid w:val="00167973"/>
    <w:rsid w:val="00167A9D"/>
    <w:rsid w:val="00167F37"/>
    <w:rsid w:val="001700CF"/>
    <w:rsid w:val="001701DA"/>
    <w:rsid w:val="001702AD"/>
    <w:rsid w:val="001703DF"/>
    <w:rsid w:val="001703ED"/>
    <w:rsid w:val="00170656"/>
    <w:rsid w:val="0017068C"/>
    <w:rsid w:val="0017068F"/>
    <w:rsid w:val="00170692"/>
    <w:rsid w:val="00170716"/>
    <w:rsid w:val="001707D7"/>
    <w:rsid w:val="001708A1"/>
    <w:rsid w:val="001708B9"/>
    <w:rsid w:val="0017092B"/>
    <w:rsid w:val="00170974"/>
    <w:rsid w:val="001709A3"/>
    <w:rsid w:val="00170AC1"/>
    <w:rsid w:val="00170B3C"/>
    <w:rsid w:val="00170D33"/>
    <w:rsid w:val="00170D77"/>
    <w:rsid w:val="00170DD7"/>
    <w:rsid w:val="00170DD9"/>
    <w:rsid w:val="00170DF5"/>
    <w:rsid w:val="00170E06"/>
    <w:rsid w:val="00170E6C"/>
    <w:rsid w:val="00170EC6"/>
    <w:rsid w:val="00170F1A"/>
    <w:rsid w:val="00170F1D"/>
    <w:rsid w:val="0017102B"/>
    <w:rsid w:val="00171125"/>
    <w:rsid w:val="00171132"/>
    <w:rsid w:val="00171162"/>
    <w:rsid w:val="001711C6"/>
    <w:rsid w:val="001712B2"/>
    <w:rsid w:val="001712BE"/>
    <w:rsid w:val="0017141B"/>
    <w:rsid w:val="0017149C"/>
    <w:rsid w:val="001714E6"/>
    <w:rsid w:val="001715CD"/>
    <w:rsid w:val="001716BF"/>
    <w:rsid w:val="00171804"/>
    <w:rsid w:val="00171859"/>
    <w:rsid w:val="001719A0"/>
    <w:rsid w:val="00171A26"/>
    <w:rsid w:val="00171A68"/>
    <w:rsid w:val="00171B6F"/>
    <w:rsid w:val="00171B8C"/>
    <w:rsid w:val="00171C43"/>
    <w:rsid w:val="00171C8C"/>
    <w:rsid w:val="00171E14"/>
    <w:rsid w:val="00171E3B"/>
    <w:rsid w:val="001720C8"/>
    <w:rsid w:val="001720FE"/>
    <w:rsid w:val="00172113"/>
    <w:rsid w:val="001721A3"/>
    <w:rsid w:val="001721BB"/>
    <w:rsid w:val="001721DC"/>
    <w:rsid w:val="00172247"/>
    <w:rsid w:val="00172280"/>
    <w:rsid w:val="00172566"/>
    <w:rsid w:val="0017280D"/>
    <w:rsid w:val="0017288F"/>
    <w:rsid w:val="00172892"/>
    <w:rsid w:val="0017290E"/>
    <w:rsid w:val="001729E4"/>
    <w:rsid w:val="00172A37"/>
    <w:rsid w:val="00172AF5"/>
    <w:rsid w:val="00172AFF"/>
    <w:rsid w:val="00172BD2"/>
    <w:rsid w:val="00172C0B"/>
    <w:rsid w:val="00172C2B"/>
    <w:rsid w:val="00172D06"/>
    <w:rsid w:val="00172D49"/>
    <w:rsid w:val="00172EFA"/>
    <w:rsid w:val="00172F04"/>
    <w:rsid w:val="00172F3E"/>
    <w:rsid w:val="0017310C"/>
    <w:rsid w:val="00173178"/>
    <w:rsid w:val="001731F6"/>
    <w:rsid w:val="00173266"/>
    <w:rsid w:val="001732D2"/>
    <w:rsid w:val="0017335A"/>
    <w:rsid w:val="00173361"/>
    <w:rsid w:val="00173363"/>
    <w:rsid w:val="001733E4"/>
    <w:rsid w:val="00173778"/>
    <w:rsid w:val="00173871"/>
    <w:rsid w:val="00173894"/>
    <w:rsid w:val="001738AA"/>
    <w:rsid w:val="001738CF"/>
    <w:rsid w:val="00173904"/>
    <w:rsid w:val="00173B72"/>
    <w:rsid w:val="00173CE9"/>
    <w:rsid w:val="00173DF5"/>
    <w:rsid w:val="00173DFA"/>
    <w:rsid w:val="00173EC0"/>
    <w:rsid w:val="00173F08"/>
    <w:rsid w:val="00173F93"/>
    <w:rsid w:val="00173FDB"/>
    <w:rsid w:val="0017413E"/>
    <w:rsid w:val="00174297"/>
    <w:rsid w:val="001742D5"/>
    <w:rsid w:val="00174396"/>
    <w:rsid w:val="001743AE"/>
    <w:rsid w:val="00174454"/>
    <w:rsid w:val="001745F9"/>
    <w:rsid w:val="0017468D"/>
    <w:rsid w:val="001746B2"/>
    <w:rsid w:val="001747CD"/>
    <w:rsid w:val="0017481B"/>
    <w:rsid w:val="00174960"/>
    <w:rsid w:val="0017498A"/>
    <w:rsid w:val="00174AC7"/>
    <w:rsid w:val="00174B53"/>
    <w:rsid w:val="00174BAD"/>
    <w:rsid w:val="00174C0B"/>
    <w:rsid w:val="00174C7E"/>
    <w:rsid w:val="00174D2F"/>
    <w:rsid w:val="00174D6E"/>
    <w:rsid w:val="00174E8E"/>
    <w:rsid w:val="00174FC1"/>
    <w:rsid w:val="0017510F"/>
    <w:rsid w:val="001751FD"/>
    <w:rsid w:val="00175297"/>
    <w:rsid w:val="001752FC"/>
    <w:rsid w:val="00175349"/>
    <w:rsid w:val="00175527"/>
    <w:rsid w:val="0017554A"/>
    <w:rsid w:val="0017559F"/>
    <w:rsid w:val="0017562E"/>
    <w:rsid w:val="001756EF"/>
    <w:rsid w:val="001756FE"/>
    <w:rsid w:val="00175715"/>
    <w:rsid w:val="001757C8"/>
    <w:rsid w:val="001757CE"/>
    <w:rsid w:val="001757E3"/>
    <w:rsid w:val="001757F0"/>
    <w:rsid w:val="0017589C"/>
    <w:rsid w:val="001758A5"/>
    <w:rsid w:val="00175973"/>
    <w:rsid w:val="001759D1"/>
    <w:rsid w:val="00175A03"/>
    <w:rsid w:val="00175A32"/>
    <w:rsid w:val="00175A3D"/>
    <w:rsid w:val="00175A5E"/>
    <w:rsid w:val="00175BD8"/>
    <w:rsid w:val="00175C2C"/>
    <w:rsid w:val="00175C34"/>
    <w:rsid w:val="00175C3D"/>
    <w:rsid w:val="00175C8C"/>
    <w:rsid w:val="00175D29"/>
    <w:rsid w:val="00175D63"/>
    <w:rsid w:val="00175DF4"/>
    <w:rsid w:val="00175EAC"/>
    <w:rsid w:val="00175F42"/>
    <w:rsid w:val="0017604C"/>
    <w:rsid w:val="001760B5"/>
    <w:rsid w:val="001760DF"/>
    <w:rsid w:val="0017616F"/>
    <w:rsid w:val="00176198"/>
    <w:rsid w:val="001761A5"/>
    <w:rsid w:val="001761BC"/>
    <w:rsid w:val="001762A9"/>
    <w:rsid w:val="0017638B"/>
    <w:rsid w:val="001763B6"/>
    <w:rsid w:val="00176454"/>
    <w:rsid w:val="00176481"/>
    <w:rsid w:val="00176559"/>
    <w:rsid w:val="001765A9"/>
    <w:rsid w:val="001765E1"/>
    <w:rsid w:val="00176689"/>
    <w:rsid w:val="001767F3"/>
    <w:rsid w:val="00176800"/>
    <w:rsid w:val="00176806"/>
    <w:rsid w:val="00176898"/>
    <w:rsid w:val="00176956"/>
    <w:rsid w:val="001769A1"/>
    <w:rsid w:val="001769C0"/>
    <w:rsid w:val="00176B54"/>
    <w:rsid w:val="00176CAC"/>
    <w:rsid w:val="00176CB7"/>
    <w:rsid w:val="00176D9C"/>
    <w:rsid w:val="00176E1F"/>
    <w:rsid w:val="00176EA6"/>
    <w:rsid w:val="00176EE0"/>
    <w:rsid w:val="00176F1B"/>
    <w:rsid w:val="00176F41"/>
    <w:rsid w:val="00176F52"/>
    <w:rsid w:val="00176F91"/>
    <w:rsid w:val="00176FA7"/>
    <w:rsid w:val="0017704F"/>
    <w:rsid w:val="001770AF"/>
    <w:rsid w:val="0017715D"/>
    <w:rsid w:val="001772DE"/>
    <w:rsid w:val="00177368"/>
    <w:rsid w:val="00177426"/>
    <w:rsid w:val="0017761A"/>
    <w:rsid w:val="0017768D"/>
    <w:rsid w:val="00177965"/>
    <w:rsid w:val="00177AA4"/>
    <w:rsid w:val="00177AA5"/>
    <w:rsid w:val="00177B4B"/>
    <w:rsid w:val="00177C44"/>
    <w:rsid w:val="00177DAD"/>
    <w:rsid w:val="00177E50"/>
    <w:rsid w:val="00177E6F"/>
    <w:rsid w:val="00177E80"/>
    <w:rsid w:val="00177F8F"/>
    <w:rsid w:val="00177FD6"/>
    <w:rsid w:val="0018006E"/>
    <w:rsid w:val="001800FC"/>
    <w:rsid w:val="0018020D"/>
    <w:rsid w:val="00180236"/>
    <w:rsid w:val="0018031E"/>
    <w:rsid w:val="001803FD"/>
    <w:rsid w:val="001804F9"/>
    <w:rsid w:val="00180601"/>
    <w:rsid w:val="0018070C"/>
    <w:rsid w:val="0018072E"/>
    <w:rsid w:val="00180736"/>
    <w:rsid w:val="0018079D"/>
    <w:rsid w:val="001808B9"/>
    <w:rsid w:val="001808C4"/>
    <w:rsid w:val="001809D0"/>
    <w:rsid w:val="00180A19"/>
    <w:rsid w:val="00180A2A"/>
    <w:rsid w:val="00180BDA"/>
    <w:rsid w:val="00180C26"/>
    <w:rsid w:val="00180C6F"/>
    <w:rsid w:val="00180CB9"/>
    <w:rsid w:val="00180CC8"/>
    <w:rsid w:val="00180D1F"/>
    <w:rsid w:val="00180DB3"/>
    <w:rsid w:val="00181016"/>
    <w:rsid w:val="0018108F"/>
    <w:rsid w:val="0018109B"/>
    <w:rsid w:val="0018114C"/>
    <w:rsid w:val="001811E2"/>
    <w:rsid w:val="0018134E"/>
    <w:rsid w:val="00181365"/>
    <w:rsid w:val="00181375"/>
    <w:rsid w:val="001813E3"/>
    <w:rsid w:val="0018175C"/>
    <w:rsid w:val="00181880"/>
    <w:rsid w:val="00181899"/>
    <w:rsid w:val="00181948"/>
    <w:rsid w:val="00181A1E"/>
    <w:rsid w:val="00181A5D"/>
    <w:rsid w:val="00181A6D"/>
    <w:rsid w:val="00181A9A"/>
    <w:rsid w:val="00181B37"/>
    <w:rsid w:val="00181B42"/>
    <w:rsid w:val="00181CB9"/>
    <w:rsid w:val="00181CE9"/>
    <w:rsid w:val="00181D48"/>
    <w:rsid w:val="00181D7E"/>
    <w:rsid w:val="00181E89"/>
    <w:rsid w:val="00181ECD"/>
    <w:rsid w:val="00181F78"/>
    <w:rsid w:val="0018200C"/>
    <w:rsid w:val="00182132"/>
    <w:rsid w:val="0018219D"/>
    <w:rsid w:val="00182339"/>
    <w:rsid w:val="00182629"/>
    <w:rsid w:val="00182770"/>
    <w:rsid w:val="001827A6"/>
    <w:rsid w:val="0018281C"/>
    <w:rsid w:val="00182918"/>
    <w:rsid w:val="0018292B"/>
    <w:rsid w:val="00182BAC"/>
    <w:rsid w:val="00182C22"/>
    <w:rsid w:val="00182FD2"/>
    <w:rsid w:val="0018301A"/>
    <w:rsid w:val="00183104"/>
    <w:rsid w:val="0018326E"/>
    <w:rsid w:val="0018330A"/>
    <w:rsid w:val="00183373"/>
    <w:rsid w:val="00183406"/>
    <w:rsid w:val="001834B2"/>
    <w:rsid w:val="0018359E"/>
    <w:rsid w:val="0018363F"/>
    <w:rsid w:val="001836CB"/>
    <w:rsid w:val="001837D8"/>
    <w:rsid w:val="0018382D"/>
    <w:rsid w:val="001838EF"/>
    <w:rsid w:val="00183948"/>
    <w:rsid w:val="00183B19"/>
    <w:rsid w:val="00183B4C"/>
    <w:rsid w:val="00183C40"/>
    <w:rsid w:val="00183F11"/>
    <w:rsid w:val="00184009"/>
    <w:rsid w:val="0018400C"/>
    <w:rsid w:val="00184099"/>
    <w:rsid w:val="00184137"/>
    <w:rsid w:val="00184271"/>
    <w:rsid w:val="00184398"/>
    <w:rsid w:val="00184446"/>
    <w:rsid w:val="001844D7"/>
    <w:rsid w:val="00184514"/>
    <w:rsid w:val="00184644"/>
    <w:rsid w:val="0018464E"/>
    <w:rsid w:val="0018466A"/>
    <w:rsid w:val="001846CE"/>
    <w:rsid w:val="0018475D"/>
    <w:rsid w:val="00184775"/>
    <w:rsid w:val="00184806"/>
    <w:rsid w:val="001849BA"/>
    <w:rsid w:val="00184A44"/>
    <w:rsid w:val="00184ACA"/>
    <w:rsid w:val="00184AF2"/>
    <w:rsid w:val="00184C7C"/>
    <w:rsid w:val="00184C82"/>
    <w:rsid w:val="00184CB0"/>
    <w:rsid w:val="00184D29"/>
    <w:rsid w:val="00184D83"/>
    <w:rsid w:val="00184E48"/>
    <w:rsid w:val="00184F29"/>
    <w:rsid w:val="0018508C"/>
    <w:rsid w:val="0018512D"/>
    <w:rsid w:val="00185161"/>
    <w:rsid w:val="001851C0"/>
    <w:rsid w:val="00185215"/>
    <w:rsid w:val="00185224"/>
    <w:rsid w:val="0018525D"/>
    <w:rsid w:val="0018525E"/>
    <w:rsid w:val="001853E7"/>
    <w:rsid w:val="0018543E"/>
    <w:rsid w:val="00185487"/>
    <w:rsid w:val="001854B5"/>
    <w:rsid w:val="00185565"/>
    <w:rsid w:val="001855A8"/>
    <w:rsid w:val="001856C2"/>
    <w:rsid w:val="0018594B"/>
    <w:rsid w:val="00185C8C"/>
    <w:rsid w:val="00185D1A"/>
    <w:rsid w:val="00185D1B"/>
    <w:rsid w:val="00185DA0"/>
    <w:rsid w:val="00185DF7"/>
    <w:rsid w:val="00185E98"/>
    <w:rsid w:val="00185EDB"/>
    <w:rsid w:val="00185FED"/>
    <w:rsid w:val="0018614E"/>
    <w:rsid w:val="0018623A"/>
    <w:rsid w:val="001862E5"/>
    <w:rsid w:val="00186319"/>
    <w:rsid w:val="00186351"/>
    <w:rsid w:val="001863B1"/>
    <w:rsid w:val="00186428"/>
    <w:rsid w:val="001864BE"/>
    <w:rsid w:val="00186691"/>
    <w:rsid w:val="00186748"/>
    <w:rsid w:val="00186883"/>
    <w:rsid w:val="001868D8"/>
    <w:rsid w:val="00186951"/>
    <w:rsid w:val="00186A10"/>
    <w:rsid w:val="00186A3F"/>
    <w:rsid w:val="00186A42"/>
    <w:rsid w:val="00186B19"/>
    <w:rsid w:val="00186BB0"/>
    <w:rsid w:val="00186BD3"/>
    <w:rsid w:val="00186BE1"/>
    <w:rsid w:val="00186C84"/>
    <w:rsid w:val="00186D4A"/>
    <w:rsid w:val="00186EAC"/>
    <w:rsid w:val="00186F29"/>
    <w:rsid w:val="00186F72"/>
    <w:rsid w:val="00186F9A"/>
    <w:rsid w:val="00186FC8"/>
    <w:rsid w:val="00186FE3"/>
    <w:rsid w:val="00187032"/>
    <w:rsid w:val="00187136"/>
    <w:rsid w:val="00187196"/>
    <w:rsid w:val="001871A5"/>
    <w:rsid w:val="001871F9"/>
    <w:rsid w:val="00187207"/>
    <w:rsid w:val="001873A7"/>
    <w:rsid w:val="00187461"/>
    <w:rsid w:val="001875BE"/>
    <w:rsid w:val="0018764F"/>
    <w:rsid w:val="00187693"/>
    <w:rsid w:val="00187729"/>
    <w:rsid w:val="001877B6"/>
    <w:rsid w:val="00187909"/>
    <w:rsid w:val="0018794F"/>
    <w:rsid w:val="00187A03"/>
    <w:rsid w:val="00187A0D"/>
    <w:rsid w:val="00187AC4"/>
    <w:rsid w:val="00187B21"/>
    <w:rsid w:val="00187C35"/>
    <w:rsid w:val="00187D71"/>
    <w:rsid w:val="00187F79"/>
    <w:rsid w:val="00190117"/>
    <w:rsid w:val="0019013F"/>
    <w:rsid w:val="00190267"/>
    <w:rsid w:val="001902D3"/>
    <w:rsid w:val="00190326"/>
    <w:rsid w:val="00190329"/>
    <w:rsid w:val="00190359"/>
    <w:rsid w:val="001903F6"/>
    <w:rsid w:val="0019041F"/>
    <w:rsid w:val="00190540"/>
    <w:rsid w:val="00190620"/>
    <w:rsid w:val="001906A3"/>
    <w:rsid w:val="001906BD"/>
    <w:rsid w:val="00190893"/>
    <w:rsid w:val="001908B5"/>
    <w:rsid w:val="001908FC"/>
    <w:rsid w:val="00190A07"/>
    <w:rsid w:val="00190AA8"/>
    <w:rsid w:val="00190AD6"/>
    <w:rsid w:val="00190BE6"/>
    <w:rsid w:val="00190C24"/>
    <w:rsid w:val="00190D79"/>
    <w:rsid w:val="00190D7A"/>
    <w:rsid w:val="00190D84"/>
    <w:rsid w:val="00190D9C"/>
    <w:rsid w:val="00190E3F"/>
    <w:rsid w:val="00190E60"/>
    <w:rsid w:val="00190FCA"/>
    <w:rsid w:val="0019105F"/>
    <w:rsid w:val="001910C1"/>
    <w:rsid w:val="001912D3"/>
    <w:rsid w:val="00191375"/>
    <w:rsid w:val="001913D0"/>
    <w:rsid w:val="001914E9"/>
    <w:rsid w:val="0019155E"/>
    <w:rsid w:val="0019159E"/>
    <w:rsid w:val="001915B1"/>
    <w:rsid w:val="0019167C"/>
    <w:rsid w:val="001916EE"/>
    <w:rsid w:val="00191735"/>
    <w:rsid w:val="0019184E"/>
    <w:rsid w:val="00191873"/>
    <w:rsid w:val="001918D8"/>
    <w:rsid w:val="00191A2C"/>
    <w:rsid w:val="00191B9C"/>
    <w:rsid w:val="00191B9E"/>
    <w:rsid w:val="00192027"/>
    <w:rsid w:val="00192030"/>
    <w:rsid w:val="001920B8"/>
    <w:rsid w:val="001920CA"/>
    <w:rsid w:val="00192177"/>
    <w:rsid w:val="001921C0"/>
    <w:rsid w:val="00192274"/>
    <w:rsid w:val="001922BB"/>
    <w:rsid w:val="00192420"/>
    <w:rsid w:val="00192482"/>
    <w:rsid w:val="001924DF"/>
    <w:rsid w:val="001925C5"/>
    <w:rsid w:val="0019268F"/>
    <w:rsid w:val="0019288C"/>
    <w:rsid w:val="0019293D"/>
    <w:rsid w:val="00192AC4"/>
    <w:rsid w:val="00192B13"/>
    <w:rsid w:val="00192D80"/>
    <w:rsid w:val="00192D86"/>
    <w:rsid w:val="00192DD7"/>
    <w:rsid w:val="00192DE7"/>
    <w:rsid w:val="00192E26"/>
    <w:rsid w:val="00192E2D"/>
    <w:rsid w:val="00192E78"/>
    <w:rsid w:val="0019308D"/>
    <w:rsid w:val="001930E8"/>
    <w:rsid w:val="00193143"/>
    <w:rsid w:val="001931B3"/>
    <w:rsid w:val="0019333A"/>
    <w:rsid w:val="00193386"/>
    <w:rsid w:val="00193467"/>
    <w:rsid w:val="00193579"/>
    <w:rsid w:val="001935D6"/>
    <w:rsid w:val="001936EB"/>
    <w:rsid w:val="001937FE"/>
    <w:rsid w:val="00193870"/>
    <w:rsid w:val="001938C6"/>
    <w:rsid w:val="00193A4F"/>
    <w:rsid w:val="00193AEC"/>
    <w:rsid w:val="00193B93"/>
    <w:rsid w:val="00193B9B"/>
    <w:rsid w:val="00193DA3"/>
    <w:rsid w:val="00193F37"/>
    <w:rsid w:val="00194137"/>
    <w:rsid w:val="00194185"/>
    <w:rsid w:val="001941D6"/>
    <w:rsid w:val="0019426E"/>
    <w:rsid w:val="00194320"/>
    <w:rsid w:val="00194343"/>
    <w:rsid w:val="00194533"/>
    <w:rsid w:val="0019466D"/>
    <w:rsid w:val="001946CD"/>
    <w:rsid w:val="00194755"/>
    <w:rsid w:val="0019478A"/>
    <w:rsid w:val="001948DF"/>
    <w:rsid w:val="001949BA"/>
    <w:rsid w:val="001949D7"/>
    <w:rsid w:val="001949FD"/>
    <w:rsid w:val="00194A2E"/>
    <w:rsid w:val="00194B27"/>
    <w:rsid w:val="00194BB2"/>
    <w:rsid w:val="00194C77"/>
    <w:rsid w:val="00194C79"/>
    <w:rsid w:val="00194CAD"/>
    <w:rsid w:val="00194CE1"/>
    <w:rsid w:val="00194CF5"/>
    <w:rsid w:val="00194D6E"/>
    <w:rsid w:val="00194D74"/>
    <w:rsid w:val="00194E17"/>
    <w:rsid w:val="00194EFE"/>
    <w:rsid w:val="00194F20"/>
    <w:rsid w:val="00194F8B"/>
    <w:rsid w:val="00194FBE"/>
    <w:rsid w:val="00195033"/>
    <w:rsid w:val="0019506B"/>
    <w:rsid w:val="0019506E"/>
    <w:rsid w:val="00195085"/>
    <w:rsid w:val="001950DD"/>
    <w:rsid w:val="001950F4"/>
    <w:rsid w:val="0019519E"/>
    <w:rsid w:val="001951DD"/>
    <w:rsid w:val="00195230"/>
    <w:rsid w:val="00195269"/>
    <w:rsid w:val="001953B0"/>
    <w:rsid w:val="001955CB"/>
    <w:rsid w:val="00195682"/>
    <w:rsid w:val="001956A0"/>
    <w:rsid w:val="001956A1"/>
    <w:rsid w:val="001956C9"/>
    <w:rsid w:val="00195719"/>
    <w:rsid w:val="00195866"/>
    <w:rsid w:val="0019597C"/>
    <w:rsid w:val="00195992"/>
    <w:rsid w:val="001959E0"/>
    <w:rsid w:val="00195A2F"/>
    <w:rsid w:val="00195B78"/>
    <w:rsid w:val="00195BB2"/>
    <w:rsid w:val="00195BC3"/>
    <w:rsid w:val="00195C79"/>
    <w:rsid w:val="00195D07"/>
    <w:rsid w:val="00195DBE"/>
    <w:rsid w:val="00195DD6"/>
    <w:rsid w:val="00195DD8"/>
    <w:rsid w:val="00195F8C"/>
    <w:rsid w:val="001960AE"/>
    <w:rsid w:val="0019610F"/>
    <w:rsid w:val="00196168"/>
    <w:rsid w:val="001962C0"/>
    <w:rsid w:val="001963A6"/>
    <w:rsid w:val="00196459"/>
    <w:rsid w:val="001965E1"/>
    <w:rsid w:val="001966CE"/>
    <w:rsid w:val="001966E0"/>
    <w:rsid w:val="001967AF"/>
    <w:rsid w:val="001967CC"/>
    <w:rsid w:val="00196851"/>
    <w:rsid w:val="00196959"/>
    <w:rsid w:val="00196996"/>
    <w:rsid w:val="001969A4"/>
    <w:rsid w:val="00196A97"/>
    <w:rsid w:val="00196B4D"/>
    <w:rsid w:val="00196C89"/>
    <w:rsid w:val="00196CDD"/>
    <w:rsid w:val="00196D62"/>
    <w:rsid w:val="00196DA2"/>
    <w:rsid w:val="00196DFE"/>
    <w:rsid w:val="00196E42"/>
    <w:rsid w:val="00196E46"/>
    <w:rsid w:val="00196ECE"/>
    <w:rsid w:val="00196FCE"/>
    <w:rsid w:val="00196FE2"/>
    <w:rsid w:val="00197021"/>
    <w:rsid w:val="0019702C"/>
    <w:rsid w:val="001970AA"/>
    <w:rsid w:val="0019717C"/>
    <w:rsid w:val="00197456"/>
    <w:rsid w:val="00197457"/>
    <w:rsid w:val="001974C7"/>
    <w:rsid w:val="00197596"/>
    <w:rsid w:val="001975EF"/>
    <w:rsid w:val="0019765A"/>
    <w:rsid w:val="001976B0"/>
    <w:rsid w:val="00197723"/>
    <w:rsid w:val="0019786D"/>
    <w:rsid w:val="00197899"/>
    <w:rsid w:val="00197911"/>
    <w:rsid w:val="0019791F"/>
    <w:rsid w:val="00197B88"/>
    <w:rsid w:val="00197BE5"/>
    <w:rsid w:val="00197D73"/>
    <w:rsid w:val="00197E66"/>
    <w:rsid w:val="00197E97"/>
    <w:rsid w:val="00197EAB"/>
    <w:rsid w:val="001A0002"/>
    <w:rsid w:val="001A00DA"/>
    <w:rsid w:val="001A00F8"/>
    <w:rsid w:val="001A00FE"/>
    <w:rsid w:val="001A0155"/>
    <w:rsid w:val="001A0552"/>
    <w:rsid w:val="001A0590"/>
    <w:rsid w:val="001A06ED"/>
    <w:rsid w:val="001A0857"/>
    <w:rsid w:val="001A09D2"/>
    <w:rsid w:val="001A0C73"/>
    <w:rsid w:val="001A0C76"/>
    <w:rsid w:val="001A0CDD"/>
    <w:rsid w:val="001A0D6A"/>
    <w:rsid w:val="001A0DE7"/>
    <w:rsid w:val="001A0E03"/>
    <w:rsid w:val="001A0E5F"/>
    <w:rsid w:val="001A0E8A"/>
    <w:rsid w:val="001A0FA8"/>
    <w:rsid w:val="001A1004"/>
    <w:rsid w:val="001A1025"/>
    <w:rsid w:val="001A1159"/>
    <w:rsid w:val="001A1164"/>
    <w:rsid w:val="001A119E"/>
    <w:rsid w:val="001A1204"/>
    <w:rsid w:val="001A1286"/>
    <w:rsid w:val="001A134E"/>
    <w:rsid w:val="001A1395"/>
    <w:rsid w:val="001A13BD"/>
    <w:rsid w:val="001A143A"/>
    <w:rsid w:val="001A1445"/>
    <w:rsid w:val="001A14EC"/>
    <w:rsid w:val="001A153C"/>
    <w:rsid w:val="001A15A8"/>
    <w:rsid w:val="001A162A"/>
    <w:rsid w:val="001A16AB"/>
    <w:rsid w:val="001A18D6"/>
    <w:rsid w:val="001A191B"/>
    <w:rsid w:val="001A1974"/>
    <w:rsid w:val="001A1A1D"/>
    <w:rsid w:val="001A1AC8"/>
    <w:rsid w:val="001A1BFE"/>
    <w:rsid w:val="001A1CDC"/>
    <w:rsid w:val="001A1D28"/>
    <w:rsid w:val="001A1D77"/>
    <w:rsid w:val="001A1DEF"/>
    <w:rsid w:val="001A1E14"/>
    <w:rsid w:val="001A1EBB"/>
    <w:rsid w:val="001A1F64"/>
    <w:rsid w:val="001A1FB2"/>
    <w:rsid w:val="001A1FD3"/>
    <w:rsid w:val="001A1FFF"/>
    <w:rsid w:val="001A209C"/>
    <w:rsid w:val="001A21D6"/>
    <w:rsid w:val="001A2213"/>
    <w:rsid w:val="001A22B9"/>
    <w:rsid w:val="001A22D5"/>
    <w:rsid w:val="001A245A"/>
    <w:rsid w:val="001A2464"/>
    <w:rsid w:val="001A251C"/>
    <w:rsid w:val="001A25E8"/>
    <w:rsid w:val="001A2790"/>
    <w:rsid w:val="001A287B"/>
    <w:rsid w:val="001A2988"/>
    <w:rsid w:val="001A2B87"/>
    <w:rsid w:val="001A2D23"/>
    <w:rsid w:val="001A2D7A"/>
    <w:rsid w:val="001A2D92"/>
    <w:rsid w:val="001A2ECA"/>
    <w:rsid w:val="001A2F7D"/>
    <w:rsid w:val="001A3080"/>
    <w:rsid w:val="001A3161"/>
    <w:rsid w:val="001A316B"/>
    <w:rsid w:val="001A3197"/>
    <w:rsid w:val="001A31B9"/>
    <w:rsid w:val="001A322D"/>
    <w:rsid w:val="001A32AC"/>
    <w:rsid w:val="001A32E9"/>
    <w:rsid w:val="001A32F1"/>
    <w:rsid w:val="001A330D"/>
    <w:rsid w:val="001A348C"/>
    <w:rsid w:val="001A34A1"/>
    <w:rsid w:val="001A3633"/>
    <w:rsid w:val="001A3684"/>
    <w:rsid w:val="001A3844"/>
    <w:rsid w:val="001A394E"/>
    <w:rsid w:val="001A3A3E"/>
    <w:rsid w:val="001A3A65"/>
    <w:rsid w:val="001A3B1F"/>
    <w:rsid w:val="001A3BF3"/>
    <w:rsid w:val="001A3C48"/>
    <w:rsid w:val="001A3CC4"/>
    <w:rsid w:val="001A3CE6"/>
    <w:rsid w:val="001A3D86"/>
    <w:rsid w:val="001A3DBC"/>
    <w:rsid w:val="001A3EA0"/>
    <w:rsid w:val="001A3FB3"/>
    <w:rsid w:val="001A400B"/>
    <w:rsid w:val="001A4068"/>
    <w:rsid w:val="001A4084"/>
    <w:rsid w:val="001A4183"/>
    <w:rsid w:val="001A419A"/>
    <w:rsid w:val="001A4255"/>
    <w:rsid w:val="001A42E6"/>
    <w:rsid w:val="001A43AC"/>
    <w:rsid w:val="001A444D"/>
    <w:rsid w:val="001A455A"/>
    <w:rsid w:val="001A459C"/>
    <w:rsid w:val="001A45CF"/>
    <w:rsid w:val="001A45D5"/>
    <w:rsid w:val="001A463D"/>
    <w:rsid w:val="001A46B4"/>
    <w:rsid w:val="001A475C"/>
    <w:rsid w:val="001A4854"/>
    <w:rsid w:val="001A48F7"/>
    <w:rsid w:val="001A490B"/>
    <w:rsid w:val="001A4940"/>
    <w:rsid w:val="001A49C4"/>
    <w:rsid w:val="001A4A0F"/>
    <w:rsid w:val="001A4B7F"/>
    <w:rsid w:val="001A4BCC"/>
    <w:rsid w:val="001A4C5F"/>
    <w:rsid w:val="001A4C88"/>
    <w:rsid w:val="001A4CEE"/>
    <w:rsid w:val="001A4D42"/>
    <w:rsid w:val="001A4DC8"/>
    <w:rsid w:val="001A4E05"/>
    <w:rsid w:val="001A4E32"/>
    <w:rsid w:val="001A4E90"/>
    <w:rsid w:val="001A4EE7"/>
    <w:rsid w:val="001A4F49"/>
    <w:rsid w:val="001A4F6E"/>
    <w:rsid w:val="001A50D0"/>
    <w:rsid w:val="001A5128"/>
    <w:rsid w:val="001A5198"/>
    <w:rsid w:val="001A530D"/>
    <w:rsid w:val="001A5338"/>
    <w:rsid w:val="001A534F"/>
    <w:rsid w:val="001A5417"/>
    <w:rsid w:val="001A5429"/>
    <w:rsid w:val="001A55AE"/>
    <w:rsid w:val="001A55BE"/>
    <w:rsid w:val="001A5880"/>
    <w:rsid w:val="001A5894"/>
    <w:rsid w:val="001A5974"/>
    <w:rsid w:val="001A5B14"/>
    <w:rsid w:val="001A5B5D"/>
    <w:rsid w:val="001A5B85"/>
    <w:rsid w:val="001A5C9B"/>
    <w:rsid w:val="001A5F74"/>
    <w:rsid w:val="001A6009"/>
    <w:rsid w:val="001A6209"/>
    <w:rsid w:val="001A62BE"/>
    <w:rsid w:val="001A62C8"/>
    <w:rsid w:val="001A634A"/>
    <w:rsid w:val="001A6361"/>
    <w:rsid w:val="001A637E"/>
    <w:rsid w:val="001A63B1"/>
    <w:rsid w:val="001A6428"/>
    <w:rsid w:val="001A6433"/>
    <w:rsid w:val="001A64CB"/>
    <w:rsid w:val="001A64DB"/>
    <w:rsid w:val="001A64F6"/>
    <w:rsid w:val="001A670B"/>
    <w:rsid w:val="001A6787"/>
    <w:rsid w:val="001A68FF"/>
    <w:rsid w:val="001A697C"/>
    <w:rsid w:val="001A69B5"/>
    <w:rsid w:val="001A6A90"/>
    <w:rsid w:val="001A6AA3"/>
    <w:rsid w:val="001A6B27"/>
    <w:rsid w:val="001A6D80"/>
    <w:rsid w:val="001A6D95"/>
    <w:rsid w:val="001A6EB2"/>
    <w:rsid w:val="001A6EC2"/>
    <w:rsid w:val="001A6F3B"/>
    <w:rsid w:val="001A7007"/>
    <w:rsid w:val="001A72A3"/>
    <w:rsid w:val="001A73C8"/>
    <w:rsid w:val="001A74CC"/>
    <w:rsid w:val="001A74DB"/>
    <w:rsid w:val="001A757A"/>
    <w:rsid w:val="001A7599"/>
    <w:rsid w:val="001A7618"/>
    <w:rsid w:val="001A7844"/>
    <w:rsid w:val="001A7899"/>
    <w:rsid w:val="001A789C"/>
    <w:rsid w:val="001A7909"/>
    <w:rsid w:val="001A7940"/>
    <w:rsid w:val="001A7990"/>
    <w:rsid w:val="001A7A59"/>
    <w:rsid w:val="001A7B93"/>
    <w:rsid w:val="001A7CF0"/>
    <w:rsid w:val="001A7DDF"/>
    <w:rsid w:val="001A7E0A"/>
    <w:rsid w:val="001A7E7F"/>
    <w:rsid w:val="001A7EB3"/>
    <w:rsid w:val="001A7F12"/>
    <w:rsid w:val="001A7F7D"/>
    <w:rsid w:val="001B0021"/>
    <w:rsid w:val="001B0140"/>
    <w:rsid w:val="001B01EC"/>
    <w:rsid w:val="001B029E"/>
    <w:rsid w:val="001B02C0"/>
    <w:rsid w:val="001B031C"/>
    <w:rsid w:val="001B0427"/>
    <w:rsid w:val="001B052C"/>
    <w:rsid w:val="001B054C"/>
    <w:rsid w:val="001B05C7"/>
    <w:rsid w:val="001B0613"/>
    <w:rsid w:val="001B0720"/>
    <w:rsid w:val="001B0724"/>
    <w:rsid w:val="001B07CC"/>
    <w:rsid w:val="001B08CF"/>
    <w:rsid w:val="001B09C3"/>
    <w:rsid w:val="001B0A01"/>
    <w:rsid w:val="001B0AA7"/>
    <w:rsid w:val="001B0B31"/>
    <w:rsid w:val="001B0B7A"/>
    <w:rsid w:val="001B0C35"/>
    <w:rsid w:val="001B0CAC"/>
    <w:rsid w:val="001B0CD3"/>
    <w:rsid w:val="001B0D14"/>
    <w:rsid w:val="001B0D5C"/>
    <w:rsid w:val="001B0DD8"/>
    <w:rsid w:val="001B0E32"/>
    <w:rsid w:val="001B0F94"/>
    <w:rsid w:val="001B10E5"/>
    <w:rsid w:val="001B11FD"/>
    <w:rsid w:val="001B123D"/>
    <w:rsid w:val="001B12AC"/>
    <w:rsid w:val="001B15E4"/>
    <w:rsid w:val="001B160C"/>
    <w:rsid w:val="001B1648"/>
    <w:rsid w:val="001B16BA"/>
    <w:rsid w:val="001B16F6"/>
    <w:rsid w:val="001B1754"/>
    <w:rsid w:val="001B17AA"/>
    <w:rsid w:val="001B17E2"/>
    <w:rsid w:val="001B18A7"/>
    <w:rsid w:val="001B18B1"/>
    <w:rsid w:val="001B18ED"/>
    <w:rsid w:val="001B194A"/>
    <w:rsid w:val="001B1A56"/>
    <w:rsid w:val="001B1ADC"/>
    <w:rsid w:val="001B1B34"/>
    <w:rsid w:val="001B1CCF"/>
    <w:rsid w:val="001B1D9B"/>
    <w:rsid w:val="001B1DC6"/>
    <w:rsid w:val="001B1E00"/>
    <w:rsid w:val="001B1E80"/>
    <w:rsid w:val="001B1FB4"/>
    <w:rsid w:val="001B21EE"/>
    <w:rsid w:val="001B24DA"/>
    <w:rsid w:val="001B2509"/>
    <w:rsid w:val="001B263F"/>
    <w:rsid w:val="001B2672"/>
    <w:rsid w:val="001B27C5"/>
    <w:rsid w:val="001B291D"/>
    <w:rsid w:val="001B2A62"/>
    <w:rsid w:val="001B2C7C"/>
    <w:rsid w:val="001B2D18"/>
    <w:rsid w:val="001B2E66"/>
    <w:rsid w:val="001B2E88"/>
    <w:rsid w:val="001B2F62"/>
    <w:rsid w:val="001B2F91"/>
    <w:rsid w:val="001B304F"/>
    <w:rsid w:val="001B3169"/>
    <w:rsid w:val="001B33BA"/>
    <w:rsid w:val="001B3403"/>
    <w:rsid w:val="001B347E"/>
    <w:rsid w:val="001B34A1"/>
    <w:rsid w:val="001B351E"/>
    <w:rsid w:val="001B3550"/>
    <w:rsid w:val="001B36F8"/>
    <w:rsid w:val="001B3748"/>
    <w:rsid w:val="001B375F"/>
    <w:rsid w:val="001B37FB"/>
    <w:rsid w:val="001B385F"/>
    <w:rsid w:val="001B387B"/>
    <w:rsid w:val="001B3AF3"/>
    <w:rsid w:val="001B3BBD"/>
    <w:rsid w:val="001B3BE5"/>
    <w:rsid w:val="001B3C07"/>
    <w:rsid w:val="001B3C8E"/>
    <w:rsid w:val="001B3DD0"/>
    <w:rsid w:val="001B3DE9"/>
    <w:rsid w:val="001B3E84"/>
    <w:rsid w:val="001B3F33"/>
    <w:rsid w:val="001B3F71"/>
    <w:rsid w:val="001B407F"/>
    <w:rsid w:val="001B40D0"/>
    <w:rsid w:val="001B41F9"/>
    <w:rsid w:val="001B42F6"/>
    <w:rsid w:val="001B433C"/>
    <w:rsid w:val="001B454F"/>
    <w:rsid w:val="001B45BA"/>
    <w:rsid w:val="001B45CE"/>
    <w:rsid w:val="001B4719"/>
    <w:rsid w:val="001B4755"/>
    <w:rsid w:val="001B4781"/>
    <w:rsid w:val="001B47F3"/>
    <w:rsid w:val="001B48CF"/>
    <w:rsid w:val="001B49B9"/>
    <w:rsid w:val="001B4AB6"/>
    <w:rsid w:val="001B4B58"/>
    <w:rsid w:val="001B4BBA"/>
    <w:rsid w:val="001B4BF9"/>
    <w:rsid w:val="001B4C56"/>
    <w:rsid w:val="001B4CAD"/>
    <w:rsid w:val="001B4D35"/>
    <w:rsid w:val="001B4EC6"/>
    <w:rsid w:val="001B4F4D"/>
    <w:rsid w:val="001B4F86"/>
    <w:rsid w:val="001B502B"/>
    <w:rsid w:val="001B50C2"/>
    <w:rsid w:val="001B514C"/>
    <w:rsid w:val="001B5295"/>
    <w:rsid w:val="001B52C2"/>
    <w:rsid w:val="001B5336"/>
    <w:rsid w:val="001B573C"/>
    <w:rsid w:val="001B5749"/>
    <w:rsid w:val="001B5888"/>
    <w:rsid w:val="001B589F"/>
    <w:rsid w:val="001B59E2"/>
    <w:rsid w:val="001B5A30"/>
    <w:rsid w:val="001B5ADB"/>
    <w:rsid w:val="001B5B8F"/>
    <w:rsid w:val="001B5C19"/>
    <w:rsid w:val="001B5C66"/>
    <w:rsid w:val="001B5C74"/>
    <w:rsid w:val="001B5E6B"/>
    <w:rsid w:val="001B5FF5"/>
    <w:rsid w:val="001B60AD"/>
    <w:rsid w:val="001B6115"/>
    <w:rsid w:val="001B6194"/>
    <w:rsid w:val="001B63A2"/>
    <w:rsid w:val="001B6433"/>
    <w:rsid w:val="001B64B9"/>
    <w:rsid w:val="001B65B6"/>
    <w:rsid w:val="001B68CC"/>
    <w:rsid w:val="001B6937"/>
    <w:rsid w:val="001B694A"/>
    <w:rsid w:val="001B69F7"/>
    <w:rsid w:val="001B6AAF"/>
    <w:rsid w:val="001B6B2A"/>
    <w:rsid w:val="001B6CA2"/>
    <w:rsid w:val="001B6CB3"/>
    <w:rsid w:val="001B6DE7"/>
    <w:rsid w:val="001B6DFC"/>
    <w:rsid w:val="001B6E05"/>
    <w:rsid w:val="001B6E79"/>
    <w:rsid w:val="001B6EBE"/>
    <w:rsid w:val="001B6ED5"/>
    <w:rsid w:val="001B6FA2"/>
    <w:rsid w:val="001B6FAE"/>
    <w:rsid w:val="001B7126"/>
    <w:rsid w:val="001B71B8"/>
    <w:rsid w:val="001B729A"/>
    <w:rsid w:val="001B7370"/>
    <w:rsid w:val="001B7479"/>
    <w:rsid w:val="001B74EF"/>
    <w:rsid w:val="001B75E6"/>
    <w:rsid w:val="001B760B"/>
    <w:rsid w:val="001B76B2"/>
    <w:rsid w:val="001B779A"/>
    <w:rsid w:val="001B7819"/>
    <w:rsid w:val="001B784F"/>
    <w:rsid w:val="001B7AC7"/>
    <w:rsid w:val="001B7C3B"/>
    <w:rsid w:val="001B7D96"/>
    <w:rsid w:val="001B7DFD"/>
    <w:rsid w:val="001B7E25"/>
    <w:rsid w:val="001B7EFA"/>
    <w:rsid w:val="001C0042"/>
    <w:rsid w:val="001C0136"/>
    <w:rsid w:val="001C02A5"/>
    <w:rsid w:val="001C02B4"/>
    <w:rsid w:val="001C03C0"/>
    <w:rsid w:val="001C0400"/>
    <w:rsid w:val="001C0412"/>
    <w:rsid w:val="001C05D7"/>
    <w:rsid w:val="001C06E5"/>
    <w:rsid w:val="001C072A"/>
    <w:rsid w:val="001C07DD"/>
    <w:rsid w:val="001C07F5"/>
    <w:rsid w:val="001C0922"/>
    <w:rsid w:val="001C0A3F"/>
    <w:rsid w:val="001C0B6D"/>
    <w:rsid w:val="001C0C38"/>
    <w:rsid w:val="001C0DB3"/>
    <w:rsid w:val="001C0DF4"/>
    <w:rsid w:val="001C0E65"/>
    <w:rsid w:val="001C0EF5"/>
    <w:rsid w:val="001C1212"/>
    <w:rsid w:val="001C1269"/>
    <w:rsid w:val="001C127E"/>
    <w:rsid w:val="001C12EE"/>
    <w:rsid w:val="001C13BA"/>
    <w:rsid w:val="001C14A9"/>
    <w:rsid w:val="001C14E5"/>
    <w:rsid w:val="001C15EA"/>
    <w:rsid w:val="001C1628"/>
    <w:rsid w:val="001C16AB"/>
    <w:rsid w:val="001C179C"/>
    <w:rsid w:val="001C1823"/>
    <w:rsid w:val="001C1879"/>
    <w:rsid w:val="001C1941"/>
    <w:rsid w:val="001C19AD"/>
    <w:rsid w:val="001C1A4D"/>
    <w:rsid w:val="001C1A5D"/>
    <w:rsid w:val="001C1AE5"/>
    <w:rsid w:val="001C1B6E"/>
    <w:rsid w:val="001C1C1C"/>
    <w:rsid w:val="001C1CED"/>
    <w:rsid w:val="001C1F36"/>
    <w:rsid w:val="001C1FA4"/>
    <w:rsid w:val="001C2047"/>
    <w:rsid w:val="001C2117"/>
    <w:rsid w:val="001C228D"/>
    <w:rsid w:val="001C24BB"/>
    <w:rsid w:val="001C24CB"/>
    <w:rsid w:val="001C2516"/>
    <w:rsid w:val="001C2583"/>
    <w:rsid w:val="001C25B2"/>
    <w:rsid w:val="001C25E8"/>
    <w:rsid w:val="001C262A"/>
    <w:rsid w:val="001C2635"/>
    <w:rsid w:val="001C2699"/>
    <w:rsid w:val="001C2721"/>
    <w:rsid w:val="001C276A"/>
    <w:rsid w:val="001C27FB"/>
    <w:rsid w:val="001C27FE"/>
    <w:rsid w:val="001C282C"/>
    <w:rsid w:val="001C293C"/>
    <w:rsid w:val="001C2995"/>
    <w:rsid w:val="001C2C10"/>
    <w:rsid w:val="001C2CEE"/>
    <w:rsid w:val="001C2D0C"/>
    <w:rsid w:val="001C2DDA"/>
    <w:rsid w:val="001C2E9F"/>
    <w:rsid w:val="001C2ED4"/>
    <w:rsid w:val="001C2ED8"/>
    <w:rsid w:val="001C339C"/>
    <w:rsid w:val="001C33B2"/>
    <w:rsid w:val="001C33E3"/>
    <w:rsid w:val="001C3482"/>
    <w:rsid w:val="001C349F"/>
    <w:rsid w:val="001C3556"/>
    <w:rsid w:val="001C359B"/>
    <w:rsid w:val="001C36CF"/>
    <w:rsid w:val="001C37F4"/>
    <w:rsid w:val="001C3800"/>
    <w:rsid w:val="001C38C5"/>
    <w:rsid w:val="001C38E1"/>
    <w:rsid w:val="001C392B"/>
    <w:rsid w:val="001C3932"/>
    <w:rsid w:val="001C3933"/>
    <w:rsid w:val="001C3A49"/>
    <w:rsid w:val="001C3A61"/>
    <w:rsid w:val="001C3AC1"/>
    <w:rsid w:val="001C3BA7"/>
    <w:rsid w:val="001C3BC7"/>
    <w:rsid w:val="001C3BEA"/>
    <w:rsid w:val="001C3C27"/>
    <w:rsid w:val="001C3C42"/>
    <w:rsid w:val="001C3CD8"/>
    <w:rsid w:val="001C3D78"/>
    <w:rsid w:val="001C3E1B"/>
    <w:rsid w:val="001C3E7E"/>
    <w:rsid w:val="001C3F5A"/>
    <w:rsid w:val="001C3F90"/>
    <w:rsid w:val="001C4134"/>
    <w:rsid w:val="001C4342"/>
    <w:rsid w:val="001C4458"/>
    <w:rsid w:val="001C4479"/>
    <w:rsid w:val="001C44EA"/>
    <w:rsid w:val="001C46AE"/>
    <w:rsid w:val="001C46C2"/>
    <w:rsid w:val="001C46E1"/>
    <w:rsid w:val="001C4770"/>
    <w:rsid w:val="001C48B8"/>
    <w:rsid w:val="001C4A16"/>
    <w:rsid w:val="001C4A9C"/>
    <w:rsid w:val="001C4AB3"/>
    <w:rsid w:val="001C4B35"/>
    <w:rsid w:val="001C4C53"/>
    <w:rsid w:val="001C4C5D"/>
    <w:rsid w:val="001C4D11"/>
    <w:rsid w:val="001C4D38"/>
    <w:rsid w:val="001C4D3D"/>
    <w:rsid w:val="001C4D61"/>
    <w:rsid w:val="001C4E9E"/>
    <w:rsid w:val="001C4F13"/>
    <w:rsid w:val="001C4F99"/>
    <w:rsid w:val="001C4FD3"/>
    <w:rsid w:val="001C5027"/>
    <w:rsid w:val="001C5043"/>
    <w:rsid w:val="001C50A2"/>
    <w:rsid w:val="001C5179"/>
    <w:rsid w:val="001C517C"/>
    <w:rsid w:val="001C51A3"/>
    <w:rsid w:val="001C5354"/>
    <w:rsid w:val="001C5443"/>
    <w:rsid w:val="001C5448"/>
    <w:rsid w:val="001C54E1"/>
    <w:rsid w:val="001C556E"/>
    <w:rsid w:val="001C55B4"/>
    <w:rsid w:val="001C5609"/>
    <w:rsid w:val="001C5623"/>
    <w:rsid w:val="001C5681"/>
    <w:rsid w:val="001C57C8"/>
    <w:rsid w:val="001C5920"/>
    <w:rsid w:val="001C5A56"/>
    <w:rsid w:val="001C5A62"/>
    <w:rsid w:val="001C5A8D"/>
    <w:rsid w:val="001C5A91"/>
    <w:rsid w:val="001C5C24"/>
    <w:rsid w:val="001C5C5A"/>
    <w:rsid w:val="001C5C98"/>
    <w:rsid w:val="001C5D08"/>
    <w:rsid w:val="001C5DDC"/>
    <w:rsid w:val="001C5E39"/>
    <w:rsid w:val="001C5E49"/>
    <w:rsid w:val="001C5E5A"/>
    <w:rsid w:val="001C5E7E"/>
    <w:rsid w:val="001C5FAC"/>
    <w:rsid w:val="001C5FB1"/>
    <w:rsid w:val="001C627F"/>
    <w:rsid w:val="001C62AD"/>
    <w:rsid w:val="001C62BE"/>
    <w:rsid w:val="001C63EC"/>
    <w:rsid w:val="001C640C"/>
    <w:rsid w:val="001C6447"/>
    <w:rsid w:val="001C6553"/>
    <w:rsid w:val="001C6595"/>
    <w:rsid w:val="001C65CE"/>
    <w:rsid w:val="001C6716"/>
    <w:rsid w:val="001C6780"/>
    <w:rsid w:val="001C67F6"/>
    <w:rsid w:val="001C688A"/>
    <w:rsid w:val="001C6937"/>
    <w:rsid w:val="001C6957"/>
    <w:rsid w:val="001C6AA4"/>
    <w:rsid w:val="001C6AAD"/>
    <w:rsid w:val="001C6AEB"/>
    <w:rsid w:val="001C6BB6"/>
    <w:rsid w:val="001C6C55"/>
    <w:rsid w:val="001C6D1E"/>
    <w:rsid w:val="001C6D1F"/>
    <w:rsid w:val="001C6EF0"/>
    <w:rsid w:val="001C6F07"/>
    <w:rsid w:val="001C6FBC"/>
    <w:rsid w:val="001C706F"/>
    <w:rsid w:val="001C70B4"/>
    <w:rsid w:val="001C70F0"/>
    <w:rsid w:val="001C7111"/>
    <w:rsid w:val="001C716E"/>
    <w:rsid w:val="001C7221"/>
    <w:rsid w:val="001C7341"/>
    <w:rsid w:val="001C734D"/>
    <w:rsid w:val="001C7372"/>
    <w:rsid w:val="001C7412"/>
    <w:rsid w:val="001C7454"/>
    <w:rsid w:val="001C7489"/>
    <w:rsid w:val="001C7535"/>
    <w:rsid w:val="001C75A4"/>
    <w:rsid w:val="001C75F6"/>
    <w:rsid w:val="001C7667"/>
    <w:rsid w:val="001C76D5"/>
    <w:rsid w:val="001C7990"/>
    <w:rsid w:val="001C7A2C"/>
    <w:rsid w:val="001C7B3E"/>
    <w:rsid w:val="001C7D76"/>
    <w:rsid w:val="001C7EC7"/>
    <w:rsid w:val="001C7EE6"/>
    <w:rsid w:val="001D0041"/>
    <w:rsid w:val="001D007A"/>
    <w:rsid w:val="001D0089"/>
    <w:rsid w:val="001D011E"/>
    <w:rsid w:val="001D01D7"/>
    <w:rsid w:val="001D01DA"/>
    <w:rsid w:val="001D026E"/>
    <w:rsid w:val="001D034C"/>
    <w:rsid w:val="001D0391"/>
    <w:rsid w:val="001D03A7"/>
    <w:rsid w:val="001D03D1"/>
    <w:rsid w:val="001D05D3"/>
    <w:rsid w:val="001D0641"/>
    <w:rsid w:val="001D06BA"/>
    <w:rsid w:val="001D06BD"/>
    <w:rsid w:val="001D06E5"/>
    <w:rsid w:val="001D0709"/>
    <w:rsid w:val="001D0779"/>
    <w:rsid w:val="001D078C"/>
    <w:rsid w:val="001D07A3"/>
    <w:rsid w:val="001D07DD"/>
    <w:rsid w:val="001D07E5"/>
    <w:rsid w:val="001D0874"/>
    <w:rsid w:val="001D08C2"/>
    <w:rsid w:val="001D099A"/>
    <w:rsid w:val="001D09A3"/>
    <w:rsid w:val="001D0A2E"/>
    <w:rsid w:val="001D0A91"/>
    <w:rsid w:val="001D0B27"/>
    <w:rsid w:val="001D0B85"/>
    <w:rsid w:val="001D0BA8"/>
    <w:rsid w:val="001D0CD4"/>
    <w:rsid w:val="001D0CEB"/>
    <w:rsid w:val="001D0CF6"/>
    <w:rsid w:val="001D0D10"/>
    <w:rsid w:val="001D0ECC"/>
    <w:rsid w:val="001D0FF6"/>
    <w:rsid w:val="001D1093"/>
    <w:rsid w:val="001D10FE"/>
    <w:rsid w:val="001D1105"/>
    <w:rsid w:val="001D11D3"/>
    <w:rsid w:val="001D11EC"/>
    <w:rsid w:val="001D124B"/>
    <w:rsid w:val="001D1276"/>
    <w:rsid w:val="001D127D"/>
    <w:rsid w:val="001D12A6"/>
    <w:rsid w:val="001D13B3"/>
    <w:rsid w:val="001D1435"/>
    <w:rsid w:val="001D16F6"/>
    <w:rsid w:val="001D1982"/>
    <w:rsid w:val="001D1AF4"/>
    <w:rsid w:val="001D1B0E"/>
    <w:rsid w:val="001D1B28"/>
    <w:rsid w:val="001D1C7F"/>
    <w:rsid w:val="001D1CB6"/>
    <w:rsid w:val="001D1CDF"/>
    <w:rsid w:val="001D1D94"/>
    <w:rsid w:val="001D1E45"/>
    <w:rsid w:val="001D2060"/>
    <w:rsid w:val="001D206E"/>
    <w:rsid w:val="001D208B"/>
    <w:rsid w:val="001D2214"/>
    <w:rsid w:val="001D2275"/>
    <w:rsid w:val="001D227D"/>
    <w:rsid w:val="001D235B"/>
    <w:rsid w:val="001D243D"/>
    <w:rsid w:val="001D2490"/>
    <w:rsid w:val="001D2601"/>
    <w:rsid w:val="001D2815"/>
    <w:rsid w:val="001D2884"/>
    <w:rsid w:val="001D2914"/>
    <w:rsid w:val="001D2938"/>
    <w:rsid w:val="001D2B3F"/>
    <w:rsid w:val="001D2C36"/>
    <w:rsid w:val="001D2C7F"/>
    <w:rsid w:val="001D2D0A"/>
    <w:rsid w:val="001D2D96"/>
    <w:rsid w:val="001D2DD8"/>
    <w:rsid w:val="001D2E31"/>
    <w:rsid w:val="001D3059"/>
    <w:rsid w:val="001D3198"/>
    <w:rsid w:val="001D31DB"/>
    <w:rsid w:val="001D31FB"/>
    <w:rsid w:val="001D321C"/>
    <w:rsid w:val="001D33E5"/>
    <w:rsid w:val="001D33F8"/>
    <w:rsid w:val="001D347E"/>
    <w:rsid w:val="001D34A5"/>
    <w:rsid w:val="001D34BE"/>
    <w:rsid w:val="001D35A0"/>
    <w:rsid w:val="001D35AB"/>
    <w:rsid w:val="001D3660"/>
    <w:rsid w:val="001D366A"/>
    <w:rsid w:val="001D379E"/>
    <w:rsid w:val="001D3824"/>
    <w:rsid w:val="001D3878"/>
    <w:rsid w:val="001D38DC"/>
    <w:rsid w:val="001D396A"/>
    <w:rsid w:val="001D3973"/>
    <w:rsid w:val="001D3A7D"/>
    <w:rsid w:val="001D3A7F"/>
    <w:rsid w:val="001D3AA5"/>
    <w:rsid w:val="001D3AE0"/>
    <w:rsid w:val="001D3B2C"/>
    <w:rsid w:val="001D3B36"/>
    <w:rsid w:val="001D3C53"/>
    <w:rsid w:val="001D3C55"/>
    <w:rsid w:val="001D3D87"/>
    <w:rsid w:val="001D3E64"/>
    <w:rsid w:val="001D3F40"/>
    <w:rsid w:val="001D3F9E"/>
    <w:rsid w:val="001D3FD6"/>
    <w:rsid w:val="001D40E5"/>
    <w:rsid w:val="001D41D9"/>
    <w:rsid w:val="001D41E8"/>
    <w:rsid w:val="001D422F"/>
    <w:rsid w:val="001D444F"/>
    <w:rsid w:val="001D4789"/>
    <w:rsid w:val="001D47AA"/>
    <w:rsid w:val="001D481B"/>
    <w:rsid w:val="001D492A"/>
    <w:rsid w:val="001D49BF"/>
    <w:rsid w:val="001D4B7D"/>
    <w:rsid w:val="001D4BD8"/>
    <w:rsid w:val="001D4D22"/>
    <w:rsid w:val="001D4DF8"/>
    <w:rsid w:val="001D4E6A"/>
    <w:rsid w:val="001D4E91"/>
    <w:rsid w:val="001D4EC1"/>
    <w:rsid w:val="001D4F35"/>
    <w:rsid w:val="001D4FFB"/>
    <w:rsid w:val="001D5038"/>
    <w:rsid w:val="001D50F7"/>
    <w:rsid w:val="001D5124"/>
    <w:rsid w:val="001D51D1"/>
    <w:rsid w:val="001D5265"/>
    <w:rsid w:val="001D52E6"/>
    <w:rsid w:val="001D53BB"/>
    <w:rsid w:val="001D5414"/>
    <w:rsid w:val="001D54C7"/>
    <w:rsid w:val="001D5509"/>
    <w:rsid w:val="001D5568"/>
    <w:rsid w:val="001D5646"/>
    <w:rsid w:val="001D566F"/>
    <w:rsid w:val="001D56AD"/>
    <w:rsid w:val="001D583E"/>
    <w:rsid w:val="001D5894"/>
    <w:rsid w:val="001D58C4"/>
    <w:rsid w:val="001D58D8"/>
    <w:rsid w:val="001D58EB"/>
    <w:rsid w:val="001D5901"/>
    <w:rsid w:val="001D5959"/>
    <w:rsid w:val="001D59FF"/>
    <w:rsid w:val="001D5BE6"/>
    <w:rsid w:val="001D5BEE"/>
    <w:rsid w:val="001D5C12"/>
    <w:rsid w:val="001D5CBE"/>
    <w:rsid w:val="001D5D14"/>
    <w:rsid w:val="001D5E23"/>
    <w:rsid w:val="001D5E63"/>
    <w:rsid w:val="001D5EAE"/>
    <w:rsid w:val="001D5EC8"/>
    <w:rsid w:val="001D5ECE"/>
    <w:rsid w:val="001D5F5F"/>
    <w:rsid w:val="001D5F67"/>
    <w:rsid w:val="001D609C"/>
    <w:rsid w:val="001D60F2"/>
    <w:rsid w:val="001D6176"/>
    <w:rsid w:val="001D6177"/>
    <w:rsid w:val="001D625A"/>
    <w:rsid w:val="001D63F2"/>
    <w:rsid w:val="001D6427"/>
    <w:rsid w:val="001D64C8"/>
    <w:rsid w:val="001D64CC"/>
    <w:rsid w:val="001D6580"/>
    <w:rsid w:val="001D662F"/>
    <w:rsid w:val="001D670D"/>
    <w:rsid w:val="001D677C"/>
    <w:rsid w:val="001D6873"/>
    <w:rsid w:val="001D68CC"/>
    <w:rsid w:val="001D697E"/>
    <w:rsid w:val="001D6A07"/>
    <w:rsid w:val="001D6AFE"/>
    <w:rsid w:val="001D6BA4"/>
    <w:rsid w:val="001D6BF9"/>
    <w:rsid w:val="001D6C20"/>
    <w:rsid w:val="001D6C80"/>
    <w:rsid w:val="001D6DB4"/>
    <w:rsid w:val="001D6DB6"/>
    <w:rsid w:val="001D6E2F"/>
    <w:rsid w:val="001D6E65"/>
    <w:rsid w:val="001D6F05"/>
    <w:rsid w:val="001D6F42"/>
    <w:rsid w:val="001D7064"/>
    <w:rsid w:val="001D7077"/>
    <w:rsid w:val="001D707D"/>
    <w:rsid w:val="001D7162"/>
    <w:rsid w:val="001D717B"/>
    <w:rsid w:val="001D71AF"/>
    <w:rsid w:val="001D7239"/>
    <w:rsid w:val="001D73B0"/>
    <w:rsid w:val="001D74AC"/>
    <w:rsid w:val="001D74C2"/>
    <w:rsid w:val="001D74F7"/>
    <w:rsid w:val="001D758F"/>
    <w:rsid w:val="001D7594"/>
    <w:rsid w:val="001D75CD"/>
    <w:rsid w:val="001D75FB"/>
    <w:rsid w:val="001D76CC"/>
    <w:rsid w:val="001D76ED"/>
    <w:rsid w:val="001D778E"/>
    <w:rsid w:val="001D7800"/>
    <w:rsid w:val="001D7838"/>
    <w:rsid w:val="001D78E6"/>
    <w:rsid w:val="001D7ACC"/>
    <w:rsid w:val="001D7AEB"/>
    <w:rsid w:val="001D7B01"/>
    <w:rsid w:val="001D7B32"/>
    <w:rsid w:val="001D7B8F"/>
    <w:rsid w:val="001D7CC1"/>
    <w:rsid w:val="001D7CCA"/>
    <w:rsid w:val="001D7D40"/>
    <w:rsid w:val="001D7DB3"/>
    <w:rsid w:val="001D7EF3"/>
    <w:rsid w:val="001E0050"/>
    <w:rsid w:val="001E00C0"/>
    <w:rsid w:val="001E0126"/>
    <w:rsid w:val="001E0148"/>
    <w:rsid w:val="001E016B"/>
    <w:rsid w:val="001E03E8"/>
    <w:rsid w:val="001E04A4"/>
    <w:rsid w:val="001E053B"/>
    <w:rsid w:val="001E0596"/>
    <w:rsid w:val="001E0599"/>
    <w:rsid w:val="001E0643"/>
    <w:rsid w:val="001E0651"/>
    <w:rsid w:val="001E066F"/>
    <w:rsid w:val="001E069F"/>
    <w:rsid w:val="001E0931"/>
    <w:rsid w:val="001E0972"/>
    <w:rsid w:val="001E0A4E"/>
    <w:rsid w:val="001E0B27"/>
    <w:rsid w:val="001E0C16"/>
    <w:rsid w:val="001E0C62"/>
    <w:rsid w:val="001E0D4C"/>
    <w:rsid w:val="001E0E45"/>
    <w:rsid w:val="001E0F91"/>
    <w:rsid w:val="001E0F9C"/>
    <w:rsid w:val="001E1061"/>
    <w:rsid w:val="001E1063"/>
    <w:rsid w:val="001E10E7"/>
    <w:rsid w:val="001E1190"/>
    <w:rsid w:val="001E1192"/>
    <w:rsid w:val="001E1266"/>
    <w:rsid w:val="001E12C7"/>
    <w:rsid w:val="001E147D"/>
    <w:rsid w:val="001E1499"/>
    <w:rsid w:val="001E1510"/>
    <w:rsid w:val="001E160A"/>
    <w:rsid w:val="001E1638"/>
    <w:rsid w:val="001E166C"/>
    <w:rsid w:val="001E16CF"/>
    <w:rsid w:val="001E17CF"/>
    <w:rsid w:val="001E17EA"/>
    <w:rsid w:val="001E184E"/>
    <w:rsid w:val="001E18F2"/>
    <w:rsid w:val="001E19F4"/>
    <w:rsid w:val="001E1BB6"/>
    <w:rsid w:val="001E1ECF"/>
    <w:rsid w:val="001E1F50"/>
    <w:rsid w:val="001E20AD"/>
    <w:rsid w:val="001E2349"/>
    <w:rsid w:val="001E23EC"/>
    <w:rsid w:val="001E2487"/>
    <w:rsid w:val="001E24EF"/>
    <w:rsid w:val="001E253F"/>
    <w:rsid w:val="001E2593"/>
    <w:rsid w:val="001E2629"/>
    <w:rsid w:val="001E2640"/>
    <w:rsid w:val="001E269D"/>
    <w:rsid w:val="001E2737"/>
    <w:rsid w:val="001E2764"/>
    <w:rsid w:val="001E2790"/>
    <w:rsid w:val="001E27DB"/>
    <w:rsid w:val="001E2851"/>
    <w:rsid w:val="001E2972"/>
    <w:rsid w:val="001E2974"/>
    <w:rsid w:val="001E29D1"/>
    <w:rsid w:val="001E2B2B"/>
    <w:rsid w:val="001E2B35"/>
    <w:rsid w:val="001E2BB7"/>
    <w:rsid w:val="001E2C54"/>
    <w:rsid w:val="001E2D3F"/>
    <w:rsid w:val="001E2E13"/>
    <w:rsid w:val="001E2EFE"/>
    <w:rsid w:val="001E3059"/>
    <w:rsid w:val="001E3071"/>
    <w:rsid w:val="001E310B"/>
    <w:rsid w:val="001E31DA"/>
    <w:rsid w:val="001E32B5"/>
    <w:rsid w:val="001E32F1"/>
    <w:rsid w:val="001E334D"/>
    <w:rsid w:val="001E3494"/>
    <w:rsid w:val="001E349B"/>
    <w:rsid w:val="001E34C6"/>
    <w:rsid w:val="001E35CC"/>
    <w:rsid w:val="001E38DB"/>
    <w:rsid w:val="001E3940"/>
    <w:rsid w:val="001E396B"/>
    <w:rsid w:val="001E39DF"/>
    <w:rsid w:val="001E3A56"/>
    <w:rsid w:val="001E3A89"/>
    <w:rsid w:val="001E3B27"/>
    <w:rsid w:val="001E3B67"/>
    <w:rsid w:val="001E3B87"/>
    <w:rsid w:val="001E3B9E"/>
    <w:rsid w:val="001E3BE9"/>
    <w:rsid w:val="001E3BF7"/>
    <w:rsid w:val="001E3C9B"/>
    <w:rsid w:val="001E3F82"/>
    <w:rsid w:val="001E3F8F"/>
    <w:rsid w:val="001E4011"/>
    <w:rsid w:val="001E4074"/>
    <w:rsid w:val="001E410C"/>
    <w:rsid w:val="001E4127"/>
    <w:rsid w:val="001E41BF"/>
    <w:rsid w:val="001E41E3"/>
    <w:rsid w:val="001E4242"/>
    <w:rsid w:val="001E428D"/>
    <w:rsid w:val="001E43B7"/>
    <w:rsid w:val="001E43BD"/>
    <w:rsid w:val="001E44E1"/>
    <w:rsid w:val="001E450A"/>
    <w:rsid w:val="001E455D"/>
    <w:rsid w:val="001E456E"/>
    <w:rsid w:val="001E45CC"/>
    <w:rsid w:val="001E4730"/>
    <w:rsid w:val="001E47A1"/>
    <w:rsid w:val="001E4808"/>
    <w:rsid w:val="001E4916"/>
    <w:rsid w:val="001E4AB9"/>
    <w:rsid w:val="001E4AF7"/>
    <w:rsid w:val="001E4B73"/>
    <w:rsid w:val="001E4BBC"/>
    <w:rsid w:val="001E4C18"/>
    <w:rsid w:val="001E4C66"/>
    <w:rsid w:val="001E4D8D"/>
    <w:rsid w:val="001E4E8D"/>
    <w:rsid w:val="001E5106"/>
    <w:rsid w:val="001E5167"/>
    <w:rsid w:val="001E5177"/>
    <w:rsid w:val="001E51B8"/>
    <w:rsid w:val="001E51C5"/>
    <w:rsid w:val="001E523F"/>
    <w:rsid w:val="001E52BF"/>
    <w:rsid w:val="001E5393"/>
    <w:rsid w:val="001E53FC"/>
    <w:rsid w:val="001E55A9"/>
    <w:rsid w:val="001E564B"/>
    <w:rsid w:val="001E5723"/>
    <w:rsid w:val="001E5780"/>
    <w:rsid w:val="001E57C7"/>
    <w:rsid w:val="001E57F1"/>
    <w:rsid w:val="001E57FB"/>
    <w:rsid w:val="001E5806"/>
    <w:rsid w:val="001E582E"/>
    <w:rsid w:val="001E58A3"/>
    <w:rsid w:val="001E58D0"/>
    <w:rsid w:val="001E596B"/>
    <w:rsid w:val="001E59C0"/>
    <w:rsid w:val="001E5A1B"/>
    <w:rsid w:val="001E5BA5"/>
    <w:rsid w:val="001E5BCE"/>
    <w:rsid w:val="001E5BD0"/>
    <w:rsid w:val="001E5CDD"/>
    <w:rsid w:val="001E5DA2"/>
    <w:rsid w:val="001E5EA4"/>
    <w:rsid w:val="001E5EB9"/>
    <w:rsid w:val="001E5F24"/>
    <w:rsid w:val="001E5F48"/>
    <w:rsid w:val="001E5F7C"/>
    <w:rsid w:val="001E5F98"/>
    <w:rsid w:val="001E5F9B"/>
    <w:rsid w:val="001E6040"/>
    <w:rsid w:val="001E60D6"/>
    <w:rsid w:val="001E619C"/>
    <w:rsid w:val="001E61B7"/>
    <w:rsid w:val="001E62A5"/>
    <w:rsid w:val="001E63B9"/>
    <w:rsid w:val="001E63F7"/>
    <w:rsid w:val="001E6488"/>
    <w:rsid w:val="001E648C"/>
    <w:rsid w:val="001E650D"/>
    <w:rsid w:val="001E655A"/>
    <w:rsid w:val="001E658A"/>
    <w:rsid w:val="001E674B"/>
    <w:rsid w:val="001E6769"/>
    <w:rsid w:val="001E67EC"/>
    <w:rsid w:val="001E6803"/>
    <w:rsid w:val="001E6894"/>
    <w:rsid w:val="001E69BF"/>
    <w:rsid w:val="001E69C0"/>
    <w:rsid w:val="001E6A33"/>
    <w:rsid w:val="001E6A79"/>
    <w:rsid w:val="001E6AF3"/>
    <w:rsid w:val="001E6B16"/>
    <w:rsid w:val="001E6BB4"/>
    <w:rsid w:val="001E6C70"/>
    <w:rsid w:val="001E6CF8"/>
    <w:rsid w:val="001E6D00"/>
    <w:rsid w:val="001E6D37"/>
    <w:rsid w:val="001E6D97"/>
    <w:rsid w:val="001E6EB9"/>
    <w:rsid w:val="001E6F2A"/>
    <w:rsid w:val="001E6F6E"/>
    <w:rsid w:val="001E7033"/>
    <w:rsid w:val="001E7046"/>
    <w:rsid w:val="001E712B"/>
    <w:rsid w:val="001E7235"/>
    <w:rsid w:val="001E7260"/>
    <w:rsid w:val="001E72E9"/>
    <w:rsid w:val="001E73BB"/>
    <w:rsid w:val="001E74FE"/>
    <w:rsid w:val="001E7566"/>
    <w:rsid w:val="001E7693"/>
    <w:rsid w:val="001E7871"/>
    <w:rsid w:val="001E7893"/>
    <w:rsid w:val="001E78F2"/>
    <w:rsid w:val="001E791B"/>
    <w:rsid w:val="001E7969"/>
    <w:rsid w:val="001E79AC"/>
    <w:rsid w:val="001E7A7A"/>
    <w:rsid w:val="001E7A85"/>
    <w:rsid w:val="001E7C0F"/>
    <w:rsid w:val="001E7C3D"/>
    <w:rsid w:val="001E7C4F"/>
    <w:rsid w:val="001E7D3E"/>
    <w:rsid w:val="001E7D55"/>
    <w:rsid w:val="001E7E1C"/>
    <w:rsid w:val="001E7EC8"/>
    <w:rsid w:val="001E7F2E"/>
    <w:rsid w:val="001E7F37"/>
    <w:rsid w:val="001F004A"/>
    <w:rsid w:val="001F0103"/>
    <w:rsid w:val="001F0460"/>
    <w:rsid w:val="001F05F7"/>
    <w:rsid w:val="001F060F"/>
    <w:rsid w:val="001F074D"/>
    <w:rsid w:val="001F0771"/>
    <w:rsid w:val="001F0793"/>
    <w:rsid w:val="001F086F"/>
    <w:rsid w:val="001F08BC"/>
    <w:rsid w:val="001F08BF"/>
    <w:rsid w:val="001F090F"/>
    <w:rsid w:val="001F09B9"/>
    <w:rsid w:val="001F09CF"/>
    <w:rsid w:val="001F09E0"/>
    <w:rsid w:val="001F0A2E"/>
    <w:rsid w:val="001F0A88"/>
    <w:rsid w:val="001F0ABE"/>
    <w:rsid w:val="001F0B8E"/>
    <w:rsid w:val="001F0DBD"/>
    <w:rsid w:val="001F0E31"/>
    <w:rsid w:val="001F0F10"/>
    <w:rsid w:val="001F0F13"/>
    <w:rsid w:val="001F0F33"/>
    <w:rsid w:val="001F101B"/>
    <w:rsid w:val="001F11D6"/>
    <w:rsid w:val="001F12AF"/>
    <w:rsid w:val="001F12F2"/>
    <w:rsid w:val="001F1310"/>
    <w:rsid w:val="001F1390"/>
    <w:rsid w:val="001F1433"/>
    <w:rsid w:val="001F14D6"/>
    <w:rsid w:val="001F1518"/>
    <w:rsid w:val="001F1520"/>
    <w:rsid w:val="001F1572"/>
    <w:rsid w:val="001F15EC"/>
    <w:rsid w:val="001F1634"/>
    <w:rsid w:val="001F176F"/>
    <w:rsid w:val="001F1774"/>
    <w:rsid w:val="001F17AF"/>
    <w:rsid w:val="001F17B7"/>
    <w:rsid w:val="001F17C6"/>
    <w:rsid w:val="001F17FB"/>
    <w:rsid w:val="001F1813"/>
    <w:rsid w:val="001F1814"/>
    <w:rsid w:val="001F1A53"/>
    <w:rsid w:val="001F1A64"/>
    <w:rsid w:val="001F1A65"/>
    <w:rsid w:val="001F1A73"/>
    <w:rsid w:val="001F1ADB"/>
    <w:rsid w:val="001F1C01"/>
    <w:rsid w:val="001F1D02"/>
    <w:rsid w:val="001F1EB4"/>
    <w:rsid w:val="001F1FC5"/>
    <w:rsid w:val="001F1FCD"/>
    <w:rsid w:val="001F2050"/>
    <w:rsid w:val="001F234F"/>
    <w:rsid w:val="001F255A"/>
    <w:rsid w:val="001F257D"/>
    <w:rsid w:val="001F25DF"/>
    <w:rsid w:val="001F266F"/>
    <w:rsid w:val="001F284B"/>
    <w:rsid w:val="001F28AE"/>
    <w:rsid w:val="001F2933"/>
    <w:rsid w:val="001F29C7"/>
    <w:rsid w:val="001F2B00"/>
    <w:rsid w:val="001F2C7B"/>
    <w:rsid w:val="001F2C7F"/>
    <w:rsid w:val="001F2CB6"/>
    <w:rsid w:val="001F2D24"/>
    <w:rsid w:val="001F2D64"/>
    <w:rsid w:val="001F2DCF"/>
    <w:rsid w:val="001F2E00"/>
    <w:rsid w:val="001F2E2A"/>
    <w:rsid w:val="001F2FD9"/>
    <w:rsid w:val="001F3189"/>
    <w:rsid w:val="001F3235"/>
    <w:rsid w:val="001F3267"/>
    <w:rsid w:val="001F351B"/>
    <w:rsid w:val="001F35A6"/>
    <w:rsid w:val="001F361A"/>
    <w:rsid w:val="001F362F"/>
    <w:rsid w:val="001F364C"/>
    <w:rsid w:val="001F36AA"/>
    <w:rsid w:val="001F384C"/>
    <w:rsid w:val="001F38B3"/>
    <w:rsid w:val="001F38BE"/>
    <w:rsid w:val="001F3942"/>
    <w:rsid w:val="001F39BE"/>
    <w:rsid w:val="001F39C0"/>
    <w:rsid w:val="001F3A0A"/>
    <w:rsid w:val="001F3A7D"/>
    <w:rsid w:val="001F3AF1"/>
    <w:rsid w:val="001F3B9A"/>
    <w:rsid w:val="001F3BB6"/>
    <w:rsid w:val="001F3BDB"/>
    <w:rsid w:val="001F3C6F"/>
    <w:rsid w:val="001F3CAE"/>
    <w:rsid w:val="001F3D29"/>
    <w:rsid w:val="001F3D6D"/>
    <w:rsid w:val="001F3D85"/>
    <w:rsid w:val="001F3E43"/>
    <w:rsid w:val="001F3F84"/>
    <w:rsid w:val="001F40D2"/>
    <w:rsid w:val="001F41F0"/>
    <w:rsid w:val="001F436C"/>
    <w:rsid w:val="001F43EB"/>
    <w:rsid w:val="001F4521"/>
    <w:rsid w:val="001F452C"/>
    <w:rsid w:val="001F457B"/>
    <w:rsid w:val="001F45CD"/>
    <w:rsid w:val="001F45D6"/>
    <w:rsid w:val="001F46BC"/>
    <w:rsid w:val="001F4966"/>
    <w:rsid w:val="001F497C"/>
    <w:rsid w:val="001F49B1"/>
    <w:rsid w:val="001F49DA"/>
    <w:rsid w:val="001F4A35"/>
    <w:rsid w:val="001F4AEA"/>
    <w:rsid w:val="001F4B4B"/>
    <w:rsid w:val="001F4B59"/>
    <w:rsid w:val="001F4B8A"/>
    <w:rsid w:val="001F4B99"/>
    <w:rsid w:val="001F4BF3"/>
    <w:rsid w:val="001F4BF9"/>
    <w:rsid w:val="001F4C2D"/>
    <w:rsid w:val="001F4D03"/>
    <w:rsid w:val="001F4D6F"/>
    <w:rsid w:val="001F4E70"/>
    <w:rsid w:val="001F4E9D"/>
    <w:rsid w:val="001F4F50"/>
    <w:rsid w:val="001F4F78"/>
    <w:rsid w:val="001F4F91"/>
    <w:rsid w:val="001F4FC7"/>
    <w:rsid w:val="001F5044"/>
    <w:rsid w:val="001F5088"/>
    <w:rsid w:val="001F5091"/>
    <w:rsid w:val="001F50C7"/>
    <w:rsid w:val="001F5138"/>
    <w:rsid w:val="001F52BF"/>
    <w:rsid w:val="001F55B6"/>
    <w:rsid w:val="001F5737"/>
    <w:rsid w:val="001F593B"/>
    <w:rsid w:val="001F599F"/>
    <w:rsid w:val="001F59B0"/>
    <w:rsid w:val="001F59B8"/>
    <w:rsid w:val="001F59D6"/>
    <w:rsid w:val="001F59F5"/>
    <w:rsid w:val="001F59F9"/>
    <w:rsid w:val="001F5A22"/>
    <w:rsid w:val="001F5AE6"/>
    <w:rsid w:val="001F5B9F"/>
    <w:rsid w:val="001F5BD8"/>
    <w:rsid w:val="001F5BE7"/>
    <w:rsid w:val="001F5C23"/>
    <w:rsid w:val="001F5C49"/>
    <w:rsid w:val="001F5C91"/>
    <w:rsid w:val="001F5CBB"/>
    <w:rsid w:val="001F5DFA"/>
    <w:rsid w:val="001F5E59"/>
    <w:rsid w:val="001F5E5F"/>
    <w:rsid w:val="001F5E80"/>
    <w:rsid w:val="001F5F24"/>
    <w:rsid w:val="001F5FB1"/>
    <w:rsid w:val="001F5FC5"/>
    <w:rsid w:val="001F605A"/>
    <w:rsid w:val="001F6085"/>
    <w:rsid w:val="001F6179"/>
    <w:rsid w:val="001F6197"/>
    <w:rsid w:val="001F61B8"/>
    <w:rsid w:val="001F62A1"/>
    <w:rsid w:val="001F62A9"/>
    <w:rsid w:val="001F62DD"/>
    <w:rsid w:val="001F6493"/>
    <w:rsid w:val="001F6523"/>
    <w:rsid w:val="001F656B"/>
    <w:rsid w:val="001F65CC"/>
    <w:rsid w:val="001F6654"/>
    <w:rsid w:val="001F66CD"/>
    <w:rsid w:val="001F66F2"/>
    <w:rsid w:val="001F6839"/>
    <w:rsid w:val="001F6868"/>
    <w:rsid w:val="001F687F"/>
    <w:rsid w:val="001F68B0"/>
    <w:rsid w:val="001F6A68"/>
    <w:rsid w:val="001F6ADB"/>
    <w:rsid w:val="001F6AEA"/>
    <w:rsid w:val="001F6B14"/>
    <w:rsid w:val="001F6BBA"/>
    <w:rsid w:val="001F6E17"/>
    <w:rsid w:val="001F6E86"/>
    <w:rsid w:val="001F6E88"/>
    <w:rsid w:val="001F6F54"/>
    <w:rsid w:val="001F6F63"/>
    <w:rsid w:val="001F6F9D"/>
    <w:rsid w:val="001F6FA4"/>
    <w:rsid w:val="001F6FDC"/>
    <w:rsid w:val="001F7010"/>
    <w:rsid w:val="001F70D2"/>
    <w:rsid w:val="001F71F5"/>
    <w:rsid w:val="001F7324"/>
    <w:rsid w:val="001F7364"/>
    <w:rsid w:val="001F736A"/>
    <w:rsid w:val="001F73A3"/>
    <w:rsid w:val="001F74C0"/>
    <w:rsid w:val="001F767C"/>
    <w:rsid w:val="001F7703"/>
    <w:rsid w:val="001F775B"/>
    <w:rsid w:val="001F78B1"/>
    <w:rsid w:val="001F79D0"/>
    <w:rsid w:val="001F79FD"/>
    <w:rsid w:val="001F7A0F"/>
    <w:rsid w:val="001F7AAD"/>
    <w:rsid w:val="001F7ABB"/>
    <w:rsid w:val="001F7ADA"/>
    <w:rsid w:val="001F7B2B"/>
    <w:rsid w:val="001F7B9D"/>
    <w:rsid w:val="001F7CA3"/>
    <w:rsid w:val="001F7D07"/>
    <w:rsid w:val="001F7D76"/>
    <w:rsid w:val="001F7DD9"/>
    <w:rsid w:val="001F7DE8"/>
    <w:rsid w:val="001F7EDD"/>
    <w:rsid w:val="001F7F39"/>
    <w:rsid w:val="001F7F47"/>
    <w:rsid w:val="001F7F90"/>
    <w:rsid w:val="0020002A"/>
    <w:rsid w:val="00200053"/>
    <w:rsid w:val="0020013D"/>
    <w:rsid w:val="0020016C"/>
    <w:rsid w:val="00200263"/>
    <w:rsid w:val="002002AF"/>
    <w:rsid w:val="0020039F"/>
    <w:rsid w:val="0020049E"/>
    <w:rsid w:val="002004E1"/>
    <w:rsid w:val="0020055D"/>
    <w:rsid w:val="002006B1"/>
    <w:rsid w:val="002007A4"/>
    <w:rsid w:val="00200849"/>
    <w:rsid w:val="0020089D"/>
    <w:rsid w:val="00200B5E"/>
    <w:rsid w:val="00200B91"/>
    <w:rsid w:val="00200BA4"/>
    <w:rsid w:val="00200C30"/>
    <w:rsid w:val="00200C9B"/>
    <w:rsid w:val="00200CD5"/>
    <w:rsid w:val="00200D22"/>
    <w:rsid w:val="00200D32"/>
    <w:rsid w:val="00200D55"/>
    <w:rsid w:val="00200D92"/>
    <w:rsid w:val="00200E51"/>
    <w:rsid w:val="00200F1B"/>
    <w:rsid w:val="00200F3E"/>
    <w:rsid w:val="00200F88"/>
    <w:rsid w:val="00200FC2"/>
    <w:rsid w:val="00201035"/>
    <w:rsid w:val="0020109F"/>
    <w:rsid w:val="002011D1"/>
    <w:rsid w:val="002011DF"/>
    <w:rsid w:val="00201341"/>
    <w:rsid w:val="002013BA"/>
    <w:rsid w:val="002014D2"/>
    <w:rsid w:val="002015F6"/>
    <w:rsid w:val="0020177B"/>
    <w:rsid w:val="002017D5"/>
    <w:rsid w:val="00201834"/>
    <w:rsid w:val="00201975"/>
    <w:rsid w:val="00201A11"/>
    <w:rsid w:val="00201AE1"/>
    <w:rsid w:val="00201B4F"/>
    <w:rsid w:val="00201CBE"/>
    <w:rsid w:val="00201D68"/>
    <w:rsid w:val="00201DAA"/>
    <w:rsid w:val="00201E7E"/>
    <w:rsid w:val="00201F87"/>
    <w:rsid w:val="00201FDA"/>
    <w:rsid w:val="00202159"/>
    <w:rsid w:val="002022CD"/>
    <w:rsid w:val="0020231A"/>
    <w:rsid w:val="0020247C"/>
    <w:rsid w:val="002025ED"/>
    <w:rsid w:val="002026FF"/>
    <w:rsid w:val="00202796"/>
    <w:rsid w:val="00202805"/>
    <w:rsid w:val="00202837"/>
    <w:rsid w:val="00202853"/>
    <w:rsid w:val="0020299E"/>
    <w:rsid w:val="00202A11"/>
    <w:rsid w:val="00202A50"/>
    <w:rsid w:val="00202AAA"/>
    <w:rsid w:val="00202C5C"/>
    <w:rsid w:val="00202C6C"/>
    <w:rsid w:val="00202CB0"/>
    <w:rsid w:val="00202DE7"/>
    <w:rsid w:val="00202E22"/>
    <w:rsid w:val="00202F56"/>
    <w:rsid w:val="00202F80"/>
    <w:rsid w:val="0020300E"/>
    <w:rsid w:val="00203014"/>
    <w:rsid w:val="0020311E"/>
    <w:rsid w:val="00203177"/>
    <w:rsid w:val="00203190"/>
    <w:rsid w:val="00203282"/>
    <w:rsid w:val="0020333E"/>
    <w:rsid w:val="002033AE"/>
    <w:rsid w:val="002034A8"/>
    <w:rsid w:val="002034FE"/>
    <w:rsid w:val="002035EF"/>
    <w:rsid w:val="002036E5"/>
    <w:rsid w:val="00203856"/>
    <w:rsid w:val="00203A2F"/>
    <w:rsid w:val="00203B2A"/>
    <w:rsid w:val="00203B3A"/>
    <w:rsid w:val="00203B71"/>
    <w:rsid w:val="00203B8E"/>
    <w:rsid w:val="00203BB3"/>
    <w:rsid w:val="00203BEE"/>
    <w:rsid w:val="00203C42"/>
    <w:rsid w:val="00203E4B"/>
    <w:rsid w:val="00203EB0"/>
    <w:rsid w:val="00203F98"/>
    <w:rsid w:val="0020400B"/>
    <w:rsid w:val="0020404C"/>
    <w:rsid w:val="002040CB"/>
    <w:rsid w:val="002040D4"/>
    <w:rsid w:val="0020416F"/>
    <w:rsid w:val="0020418B"/>
    <w:rsid w:val="00204192"/>
    <w:rsid w:val="0020419A"/>
    <w:rsid w:val="002041D4"/>
    <w:rsid w:val="00204246"/>
    <w:rsid w:val="002042A0"/>
    <w:rsid w:val="00204327"/>
    <w:rsid w:val="00204363"/>
    <w:rsid w:val="00204371"/>
    <w:rsid w:val="002044B4"/>
    <w:rsid w:val="002045B3"/>
    <w:rsid w:val="002045BD"/>
    <w:rsid w:val="00204645"/>
    <w:rsid w:val="00204677"/>
    <w:rsid w:val="00204AC1"/>
    <w:rsid w:val="00204AC8"/>
    <w:rsid w:val="00204B04"/>
    <w:rsid w:val="00204B8C"/>
    <w:rsid w:val="00204C54"/>
    <w:rsid w:val="00204CB3"/>
    <w:rsid w:val="00204CBA"/>
    <w:rsid w:val="00204D28"/>
    <w:rsid w:val="00205080"/>
    <w:rsid w:val="00205207"/>
    <w:rsid w:val="00205250"/>
    <w:rsid w:val="0020540A"/>
    <w:rsid w:val="00205423"/>
    <w:rsid w:val="00205435"/>
    <w:rsid w:val="002054AD"/>
    <w:rsid w:val="00205930"/>
    <w:rsid w:val="0020599F"/>
    <w:rsid w:val="002059C5"/>
    <w:rsid w:val="00205A38"/>
    <w:rsid w:val="00205A9F"/>
    <w:rsid w:val="00205B38"/>
    <w:rsid w:val="00205C46"/>
    <w:rsid w:val="00205C67"/>
    <w:rsid w:val="00205D6B"/>
    <w:rsid w:val="00205D84"/>
    <w:rsid w:val="00205D95"/>
    <w:rsid w:val="00205DD3"/>
    <w:rsid w:val="00205E24"/>
    <w:rsid w:val="00205F24"/>
    <w:rsid w:val="00205FD7"/>
    <w:rsid w:val="0020602E"/>
    <w:rsid w:val="0020607A"/>
    <w:rsid w:val="002060C7"/>
    <w:rsid w:val="00206186"/>
    <w:rsid w:val="002062E2"/>
    <w:rsid w:val="0020649E"/>
    <w:rsid w:val="00206502"/>
    <w:rsid w:val="002065C6"/>
    <w:rsid w:val="002065E6"/>
    <w:rsid w:val="0020665D"/>
    <w:rsid w:val="0020668E"/>
    <w:rsid w:val="002066C3"/>
    <w:rsid w:val="002067AF"/>
    <w:rsid w:val="00206856"/>
    <w:rsid w:val="00206875"/>
    <w:rsid w:val="00206921"/>
    <w:rsid w:val="002069CE"/>
    <w:rsid w:val="00206AF8"/>
    <w:rsid w:val="00206AFE"/>
    <w:rsid w:val="00206B5B"/>
    <w:rsid w:val="00206BB8"/>
    <w:rsid w:val="00206C7A"/>
    <w:rsid w:val="00206DCB"/>
    <w:rsid w:val="00206E93"/>
    <w:rsid w:val="00206EEA"/>
    <w:rsid w:val="00207018"/>
    <w:rsid w:val="0020711A"/>
    <w:rsid w:val="002071B2"/>
    <w:rsid w:val="00207292"/>
    <w:rsid w:val="00207293"/>
    <w:rsid w:val="00207401"/>
    <w:rsid w:val="002074CE"/>
    <w:rsid w:val="0020768D"/>
    <w:rsid w:val="002076C6"/>
    <w:rsid w:val="00207895"/>
    <w:rsid w:val="002078F5"/>
    <w:rsid w:val="002078FF"/>
    <w:rsid w:val="00207AFD"/>
    <w:rsid w:val="00207B61"/>
    <w:rsid w:val="00207C84"/>
    <w:rsid w:val="00207D81"/>
    <w:rsid w:val="00207D88"/>
    <w:rsid w:val="00207E57"/>
    <w:rsid w:val="00207E92"/>
    <w:rsid w:val="00207FE0"/>
    <w:rsid w:val="0021020F"/>
    <w:rsid w:val="00210264"/>
    <w:rsid w:val="002103D0"/>
    <w:rsid w:val="002103DB"/>
    <w:rsid w:val="002105CA"/>
    <w:rsid w:val="0021066F"/>
    <w:rsid w:val="00210722"/>
    <w:rsid w:val="00210807"/>
    <w:rsid w:val="00210823"/>
    <w:rsid w:val="00210896"/>
    <w:rsid w:val="00210914"/>
    <w:rsid w:val="00210996"/>
    <w:rsid w:val="002109DA"/>
    <w:rsid w:val="00210A64"/>
    <w:rsid w:val="00210AAA"/>
    <w:rsid w:val="00210B6B"/>
    <w:rsid w:val="00210C27"/>
    <w:rsid w:val="00210D32"/>
    <w:rsid w:val="00210DFA"/>
    <w:rsid w:val="00210E23"/>
    <w:rsid w:val="00210EF3"/>
    <w:rsid w:val="00210EF5"/>
    <w:rsid w:val="00210EFB"/>
    <w:rsid w:val="00210F0C"/>
    <w:rsid w:val="00210F63"/>
    <w:rsid w:val="00210FCB"/>
    <w:rsid w:val="00211095"/>
    <w:rsid w:val="002110A1"/>
    <w:rsid w:val="002110BE"/>
    <w:rsid w:val="00211112"/>
    <w:rsid w:val="0021117C"/>
    <w:rsid w:val="002111B4"/>
    <w:rsid w:val="002111B9"/>
    <w:rsid w:val="002111EC"/>
    <w:rsid w:val="002111EE"/>
    <w:rsid w:val="00211307"/>
    <w:rsid w:val="002113A4"/>
    <w:rsid w:val="002113CA"/>
    <w:rsid w:val="002115BD"/>
    <w:rsid w:val="00211624"/>
    <w:rsid w:val="0021169C"/>
    <w:rsid w:val="0021176B"/>
    <w:rsid w:val="002117C7"/>
    <w:rsid w:val="002117F3"/>
    <w:rsid w:val="00211866"/>
    <w:rsid w:val="0021188C"/>
    <w:rsid w:val="0021189B"/>
    <w:rsid w:val="0021189E"/>
    <w:rsid w:val="00211967"/>
    <w:rsid w:val="0021198D"/>
    <w:rsid w:val="00211996"/>
    <w:rsid w:val="002119B6"/>
    <w:rsid w:val="002119D4"/>
    <w:rsid w:val="00211A4A"/>
    <w:rsid w:val="00211C00"/>
    <w:rsid w:val="00211C03"/>
    <w:rsid w:val="00211C63"/>
    <w:rsid w:val="00211CC9"/>
    <w:rsid w:val="00211CD5"/>
    <w:rsid w:val="00211CE1"/>
    <w:rsid w:val="00211EA1"/>
    <w:rsid w:val="00211EA9"/>
    <w:rsid w:val="00211EF4"/>
    <w:rsid w:val="0021205E"/>
    <w:rsid w:val="002120D3"/>
    <w:rsid w:val="00212293"/>
    <w:rsid w:val="002122F2"/>
    <w:rsid w:val="00212406"/>
    <w:rsid w:val="002125B0"/>
    <w:rsid w:val="002125E4"/>
    <w:rsid w:val="002125F7"/>
    <w:rsid w:val="002126F0"/>
    <w:rsid w:val="002126FC"/>
    <w:rsid w:val="0021272C"/>
    <w:rsid w:val="00212852"/>
    <w:rsid w:val="00212925"/>
    <w:rsid w:val="0021296A"/>
    <w:rsid w:val="002129CD"/>
    <w:rsid w:val="00212A74"/>
    <w:rsid w:val="00212AB0"/>
    <w:rsid w:val="00212B60"/>
    <w:rsid w:val="00212B69"/>
    <w:rsid w:val="00212CC9"/>
    <w:rsid w:val="00212CE7"/>
    <w:rsid w:val="00212D0C"/>
    <w:rsid w:val="00212D7D"/>
    <w:rsid w:val="00212DDC"/>
    <w:rsid w:val="00212DE0"/>
    <w:rsid w:val="00212E49"/>
    <w:rsid w:val="00212E9D"/>
    <w:rsid w:val="00212F80"/>
    <w:rsid w:val="00212F86"/>
    <w:rsid w:val="00212F8E"/>
    <w:rsid w:val="002130AD"/>
    <w:rsid w:val="00213169"/>
    <w:rsid w:val="00213176"/>
    <w:rsid w:val="002131E8"/>
    <w:rsid w:val="0021320D"/>
    <w:rsid w:val="002132D8"/>
    <w:rsid w:val="002133F7"/>
    <w:rsid w:val="00213480"/>
    <w:rsid w:val="00213543"/>
    <w:rsid w:val="002135B8"/>
    <w:rsid w:val="00213619"/>
    <w:rsid w:val="002136C0"/>
    <w:rsid w:val="00213714"/>
    <w:rsid w:val="00213777"/>
    <w:rsid w:val="0021379F"/>
    <w:rsid w:val="002137E3"/>
    <w:rsid w:val="00213896"/>
    <w:rsid w:val="00213A20"/>
    <w:rsid w:val="00213A4A"/>
    <w:rsid w:val="00213CC2"/>
    <w:rsid w:val="00213D85"/>
    <w:rsid w:val="00213DF2"/>
    <w:rsid w:val="00213FD9"/>
    <w:rsid w:val="0021404F"/>
    <w:rsid w:val="00214197"/>
    <w:rsid w:val="00214216"/>
    <w:rsid w:val="00214287"/>
    <w:rsid w:val="002142D5"/>
    <w:rsid w:val="002142F3"/>
    <w:rsid w:val="00214317"/>
    <w:rsid w:val="002143E8"/>
    <w:rsid w:val="00214440"/>
    <w:rsid w:val="002144A1"/>
    <w:rsid w:val="002144B0"/>
    <w:rsid w:val="002144F9"/>
    <w:rsid w:val="002146A7"/>
    <w:rsid w:val="00214858"/>
    <w:rsid w:val="00214881"/>
    <w:rsid w:val="002148D4"/>
    <w:rsid w:val="00214967"/>
    <w:rsid w:val="00214BA9"/>
    <w:rsid w:val="00214CDC"/>
    <w:rsid w:val="00214D61"/>
    <w:rsid w:val="00214F0C"/>
    <w:rsid w:val="00214F1E"/>
    <w:rsid w:val="00214F93"/>
    <w:rsid w:val="002150CC"/>
    <w:rsid w:val="00215168"/>
    <w:rsid w:val="0021519F"/>
    <w:rsid w:val="002151A7"/>
    <w:rsid w:val="002151D0"/>
    <w:rsid w:val="0021534E"/>
    <w:rsid w:val="00215464"/>
    <w:rsid w:val="002154C7"/>
    <w:rsid w:val="00215548"/>
    <w:rsid w:val="0021555F"/>
    <w:rsid w:val="002155B2"/>
    <w:rsid w:val="00215639"/>
    <w:rsid w:val="0021565F"/>
    <w:rsid w:val="00215664"/>
    <w:rsid w:val="0021567F"/>
    <w:rsid w:val="002156C2"/>
    <w:rsid w:val="00215784"/>
    <w:rsid w:val="00215796"/>
    <w:rsid w:val="002158F1"/>
    <w:rsid w:val="00215A17"/>
    <w:rsid w:val="00215B4F"/>
    <w:rsid w:val="00215BFB"/>
    <w:rsid w:val="00215C20"/>
    <w:rsid w:val="00215C64"/>
    <w:rsid w:val="00215D6C"/>
    <w:rsid w:val="00215E64"/>
    <w:rsid w:val="00215F25"/>
    <w:rsid w:val="00215FA1"/>
    <w:rsid w:val="002160FA"/>
    <w:rsid w:val="00216105"/>
    <w:rsid w:val="0021619A"/>
    <w:rsid w:val="002161D3"/>
    <w:rsid w:val="002161F3"/>
    <w:rsid w:val="00216264"/>
    <w:rsid w:val="002162EF"/>
    <w:rsid w:val="0021648F"/>
    <w:rsid w:val="002164D4"/>
    <w:rsid w:val="00216743"/>
    <w:rsid w:val="00216751"/>
    <w:rsid w:val="00216A22"/>
    <w:rsid w:val="00216C57"/>
    <w:rsid w:val="00216CF6"/>
    <w:rsid w:val="00216D1D"/>
    <w:rsid w:val="00216D6A"/>
    <w:rsid w:val="00216E56"/>
    <w:rsid w:val="00216E65"/>
    <w:rsid w:val="00216E74"/>
    <w:rsid w:val="00216F32"/>
    <w:rsid w:val="00216FEB"/>
    <w:rsid w:val="0021711B"/>
    <w:rsid w:val="002172B6"/>
    <w:rsid w:val="0021759C"/>
    <w:rsid w:val="002175A6"/>
    <w:rsid w:val="002177F0"/>
    <w:rsid w:val="0021781C"/>
    <w:rsid w:val="00217833"/>
    <w:rsid w:val="00217893"/>
    <w:rsid w:val="002178BF"/>
    <w:rsid w:val="00217A00"/>
    <w:rsid w:val="00217A54"/>
    <w:rsid w:val="00217B02"/>
    <w:rsid w:val="00217B8F"/>
    <w:rsid w:val="00217BBE"/>
    <w:rsid w:val="00217BF3"/>
    <w:rsid w:val="00217CD7"/>
    <w:rsid w:val="00217DFD"/>
    <w:rsid w:val="00217E1B"/>
    <w:rsid w:val="00217E23"/>
    <w:rsid w:val="00217E25"/>
    <w:rsid w:val="00217E77"/>
    <w:rsid w:val="00220061"/>
    <w:rsid w:val="00220165"/>
    <w:rsid w:val="0022017F"/>
    <w:rsid w:val="002202C1"/>
    <w:rsid w:val="00220321"/>
    <w:rsid w:val="002203A2"/>
    <w:rsid w:val="002203E2"/>
    <w:rsid w:val="0022040F"/>
    <w:rsid w:val="002205C9"/>
    <w:rsid w:val="002205F5"/>
    <w:rsid w:val="0022065A"/>
    <w:rsid w:val="00220706"/>
    <w:rsid w:val="00220713"/>
    <w:rsid w:val="00220731"/>
    <w:rsid w:val="002207C7"/>
    <w:rsid w:val="00220802"/>
    <w:rsid w:val="00220810"/>
    <w:rsid w:val="0022081B"/>
    <w:rsid w:val="00220820"/>
    <w:rsid w:val="00220871"/>
    <w:rsid w:val="0022087D"/>
    <w:rsid w:val="002208C1"/>
    <w:rsid w:val="00220940"/>
    <w:rsid w:val="00220A53"/>
    <w:rsid w:val="00220BD0"/>
    <w:rsid w:val="00220BEA"/>
    <w:rsid w:val="00220BF9"/>
    <w:rsid w:val="00220CB9"/>
    <w:rsid w:val="00220CCF"/>
    <w:rsid w:val="00220D8C"/>
    <w:rsid w:val="00220DF3"/>
    <w:rsid w:val="00220E4A"/>
    <w:rsid w:val="00220E4B"/>
    <w:rsid w:val="00220FC7"/>
    <w:rsid w:val="00221025"/>
    <w:rsid w:val="002210B6"/>
    <w:rsid w:val="002210C5"/>
    <w:rsid w:val="00221174"/>
    <w:rsid w:val="0022117E"/>
    <w:rsid w:val="002212EA"/>
    <w:rsid w:val="0022132C"/>
    <w:rsid w:val="00221330"/>
    <w:rsid w:val="00221486"/>
    <w:rsid w:val="0022157C"/>
    <w:rsid w:val="002215DB"/>
    <w:rsid w:val="002216BA"/>
    <w:rsid w:val="002216F3"/>
    <w:rsid w:val="00221769"/>
    <w:rsid w:val="0022176A"/>
    <w:rsid w:val="002218A9"/>
    <w:rsid w:val="002218CC"/>
    <w:rsid w:val="002218EC"/>
    <w:rsid w:val="002218F0"/>
    <w:rsid w:val="00221904"/>
    <w:rsid w:val="00221A04"/>
    <w:rsid w:val="00221A05"/>
    <w:rsid w:val="00221A1E"/>
    <w:rsid w:val="00221AAD"/>
    <w:rsid w:val="00221BFE"/>
    <w:rsid w:val="00221CB7"/>
    <w:rsid w:val="00221DFF"/>
    <w:rsid w:val="00221F35"/>
    <w:rsid w:val="00221FEE"/>
    <w:rsid w:val="00221FF8"/>
    <w:rsid w:val="00222018"/>
    <w:rsid w:val="00222091"/>
    <w:rsid w:val="002220DD"/>
    <w:rsid w:val="002222B2"/>
    <w:rsid w:val="002223C7"/>
    <w:rsid w:val="002224A8"/>
    <w:rsid w:val="0022250A"/>
    <w:rsid w:val="0022251F"/>
    <w:rsid w:val="0022258A"/>
    <w:rsid w:val="002227EE"/>
    <w:rsid w:val="00222844"/>
    <w:rsid w:val="002228DE"/>
    <w:rsid w:val="00222A41"/>
    <w:rsid w:val="00222AA2"/>
    <w:rsid w:val="00222AE9"/>
    <w:rsid w:val="00222BC9"/>
    <w:rsid w:val="00222BD0"/>
    <w:rsid w:val="00222C46"/>
    <w:rsid w:val="00222C5F"/>
    <w:rsid w:val="00222CAF"/>
    <w:rsid w:val="00222DDC"/>
    <w:rsid w:val="0022310D"/>
    <w:rsid w:val="00223111"/>
    <w:rsid w:val="00223180"/>
    <w:rsid w:val="00223189"/>
    <w:rsid w:val="002231A4"/>
    <w:rsid w:val="002231A8"/>
    <w:rsid w:val="002231FB"/>
    <w:rsid w:val="00223270"/>
    <w:rsid w:val="002232AC"/>
    <w:rsid w:val="002232F5"/>
    <w:rsid w:val="0022335B"/>
    <w:rsid w:val="00223447"/>
    <w:rsid w:val="002234E9"/>
    <w:rsid w:val="002235C2"/>
    <w:rsid w:val="002235C4"/>
    <w:rsid w:val="002235C6"/>
    <w:rsid w:val="002235F6"/>
    <w:rsid w:val="002236E0"/>
    <w:rsid w:val="002236F0"/>
    <w:rsid w:val="0022373C"/>
    <w:rsid w:val="00223750"/>
    <w:rsid w:val="002237D9"/>
    <w:rsid w:val="00223844"/>
    <w:rsid w:val="00223A45"/>
    <w:rsid w:val="00223ACD"/>
    <w:rsid w:val="00223ADE"/>
    <w:rsid w:val="00223BAC"/>
    <w:rsid w:val="00223C1D"/>
    <w:rsid w:val="00223C35"/>
    <w:rsid w:val="00223C9F"/>
    <w:rsid w:val="00223D83"/>
    <w:rsid w:val="00223D9F"/>
    <w:rsid w:val="00223EE3"/>
    <w:rsid w:val="00223F20"/>
    <w:rsid w:val="00223FD3"/>
    <w:rsid w:val="0022400F"/>
    <w:rsid w:val="0022406E"/>
    <w:rsid w:val="00224079"/>
    <w:rsid w:val="002240B4"/>
    <w:rsid w:val="0022410A"/>
    <w:rsid w:val="00224129"/>
    <w:rsid w:val="0022418F"/>
    <w:rsid w:val="002241A6"/>
    <w:rsid w:val="002241B0"/>
    <w:rsid w:val="0022427E"/>
    <w:rsid w:val="00224409"/>
    <w:rsid w:val="00224420"/>
    <w:rsid w:val="002244EB"/>
    <w:rsid w:val="0022456C"/>
    <w:rsid w:val="002245ED"/>
    <w:rsid w:val="00224726"/>
    <w:rsid w:val="002247E9"/>
    <w:rsid w:val="002247F9"/>
    <w:rsid w:val="002248E0"/>
    <w:rsid w:val="002248FB"/>
    <w:rsid w:val="00224964"/>
    <w:rsid w:val="00224B78"/>
    <w:rsid w:val="00224BCB"/>
    <w:rsid w:val="00224C9E"/>
    <w:rsid w:val="00224D82"/>
    <w:rsid w:val="00224E6D"/>
    <w:rsid w:val="00224F0D"/>
    <w:rsid w:val="00224F14"/>
    <w:rsid w:val="00225068"/>
    <w:rsid w:val="002250E5"/>
    <w:rsid w:val="00225352"/>
    <w:rsid w:val="002253D3"/>
    <w:rsid w:val="002253E2"/>
    <w:rsid w:val="00225429"/>
    <w:rsid w:val="002254CB"/>
    <w:rsid w:val="00225666"/>
    <w:rsid w:val="0022591C"/>
    <w:rsid w:val="002259D7"/>
    <w:rsid w:val="002259F9"/>
    <w:rsid w:val="00225A46"/>
    <w:rsid w:val="00225A70"/>
    <w:rsid w:val="00225BAE"/>
    <w:rsid w:val="00225EAC"/>
    <w:rsid w:val="00225F50"/>
    <w:rsid w:val="00225FC3"/>
    <w:rsid w:val="002260B0"/>
    <w:rsid w:val="00226167"/>
    <w:rsid w:val="00226214"/>
    <w:rsid w:val="00226233"/>
    <w:rsid w:val="00226308"/>
    <w:rsid w:val="002263D5"/>
    <w:rsid w:val="002264B3"/>
    <w:rsid w:val="002264F0"/>
    <w:rsid w:val="00226502"/>
    <w:rsid w:val="002265BC"/>
    <w:rsid w:val="00226627"/>
    <w:rsid w:val="00226763"/>
    <w:rsid w:val="0022682B"/>
    <w:rsid w:val="002268CC"/>
    <w:rsid w:val="00226910"/>
    <w:rsid w:val="0022694E"/>
    <w:rsid w:val="00226A5C"/>
    <w:rsid w:val="00226A72"/>
    <w:rsid w:val="00226A94"/>
    <w:rsid w:val="00226B3D"/>
    <w:rsid w:val="00226B6D"/>
    <w:rsid w:val="00226B7B"/>
    <w:rsid w:val="00226B92"/>
    <w:rsid w:val="00226B9A"/>
    <w:rsid w:val="00226BF1"/>
    <w:rsid w:val="00226FB0"/>
    <w:rsid w:val="00227044"/>
    <w:rsid w:val="0022707E"/>
    <w:rsid w:val="00227086"/>
    <w:rsid w:val="0022727E"/>
    <w:rsid w:val="00227383"/>
    <w:rsid w:val="0022749A"/>
    <w:rsid w:val="00227632"/>
    <w:rsid w:val="00227637"/>
    <w:rsid w:val="002276A7"/>
    <w:rsid w:val="0022778E"/>
    <w:rsid w:val="00227830"/>
    <w:rsid w:val="00227A80"/>
    <w:rsid w:val="00227B00"/>
    <w:rsid w:val="00227B16"/>
    <w:rsid w:val="00227B83"/>
    <w:rsid w:val="00227C4C"/>
    <w:rsid w:val="00227CD9"/>
    <w:rsid w:val="00227DB2"/>
    <w:rsid w:val="00227DC3"/>
    <w:rsid w:val="00227DE2"/>
    <w:rsid w:val="00227E22"/>
    <w:rsid w:val="00227E6E"/>
    <w:rsid w:val="00227E8A"/>
    <w:rsid w:val="00227EDF"/>
    <w:rsid w:val="00227F01"/>
    <w:rsid w:val="00227F1F"/>
    <w:rsid w:val="00227F5F"/>
    <w:rsid w:val="00227F81"/>
    <w:rsid w:val="002300BD"/>
    <w:rsid w:val="0023011A"/>
    <w:rsid w:val="00230143"/>
    <w:rsid w:val="00230162"/>
    <w:rsid w:val="002301F8"/>
    <w:rsid w:val="00230245"/>
    <w:rsid w:val="0023027B"/>
    <w:rsid w:val="002302B4"/>
    <w:rsid w:val="002303FC"/>
    <w:rsid w:val="002304C7"/>
    <w:rsid w:val="002305F3"/>
    <w:rsid w:val="002307A2"/>
    <w:rsid w:val="00230804"/>
    <w:rsid w:val="00230856"/>
    <w:rsid w:val="0023098B"/>
    <w:rsid w:val="002309DB"/>
    <w:rsid w:val="00230A0E"/>
    <w:rsid w:val="00230A72"/>
    <w:rsid w:val="00230AEF"/>
    <w:rsid w:val="00230B5D"/>
    <w:rsid w:val="00230BAE"/>
    <w:rsid w:val="00230BB0"/>
    <w:rsid w:val="00230BB5"/>
    <w:rsid w:val="00230C3B"/>
    <w:rsid w:val="00230C70"/>
    <w:rsid w:val="00230D15"/>
    <w:rsid w:val="00230E4B"/>
    <w:rsid w:val="00230E58"/>
    <w:rsid w:val="00230FC6"/>
    <w:rsid w:val="00230FD8"/>
    <w:rsid w:val="00230FF2"/>
    <w:rsid w:val="002310AA"/>
    <w:rsid w:val="002310AF"/>
    <w:rsid w:val="00231151"/>
    <w:rsid w:val="00231154"/>
    <w:rsid w:val="002311A3"/>
    <w:rsid w:val="00231253"/>
    <w:rsid w:val="0023127F"/>
    <w:rsid w:val="00231398"/>
    <w:rsid w:val="00231439"/>
    <w:rsid w:val="0023148B"/>
    <w:rsid w:val="002314BD"/>
    <w:rsid w:val="002315EE"/>
    <w:rsid w:val="00231658"/>
    <w:rsid w:val="00231703"/>
    <w:rsid w:val="00231706"/>
    <w:rsid w:val="002317A4"/>
    <w:rsid w:val="00231814"/>
    <w:rsid w:val="00231889"/>
    <w:rsid w:val="00231A53"/>
    <w:rsid w:val="00231A67"/>
    <w:rsid w:val="00231A94"/>
    <w:rsid w:val="00231B44"/>
    <w:rsid w:val="00231BBA"/>
    <w:rsid w:val="00231BEF"/>
    <w:rsid w:val="00231C2E"/>
    <w:rsid w:val="00231DD7"/>
    <w:rsid w:val="00231E32"/>
    <w:rsid w:val="00231F13"/>
    <w:rsid w:val="00231F9A"/>
    <w:rsid w:val="00231FCC"/>
    <w:rsid w:val="002320B8"/>
    <w:rsid w:val="002320C1"/>
    <w:rsid w:val="00232106"/>
    <w:rsid w:val="00232126"/>
    <w:rsid w:val="00232170"/>
    <w:rsid w:val="002321F1"/>
    <w:rsid w:val="00232218"/>
    <w:rsid w:val="00232305"/>
    <w:rsid w:val="00232307"/>
    <w:rsid w:val="002323AC"/>
    <w:rsid w:val="002323E8"/>
    <w:rsid w:val="002323F0"/>
    <w:rsid w:val="00232515"/>
    <w:rsid w:val="002325BB"/>
    <w:rsid w:val="002325C7"/>
    <w:rsid w:val="002326ED"/>
    <w:rsid w:val="002326F3"/>
    <w:rsid w:val="002327A7"/>
    <w:rsid w:val="00232817"/>
    <w:rsid w:val="00232866"/>
    <w:rsid w:val="002328BA"/>
    <w:rsid w:val="00232978"/>
    <w:rsid w:val="00232979"/>
    <w:rsid w:val="00232A71"/>
    <w:rsid w:val="00232A8A"/>
    <w:rsid w:val="00232AA6"/>
    <w:rsid w:val="00232B76"/>
    <w:rsid w:val="00232B80"/>
    <w:rsid w:val="00232CFE"/>
    <w:rsid w:val="00232D86"/>
    <w:rsid w:val="00232D94"/>
    <w:rsid w:val="00232E43"/>
    <w:rsid w:val="00232F0E"/>
    <w:rsid w:val="00232F84"/>
    <w:rsid w:val="0023309D"/>
    <w:rsid w:val="002332A3"/>
    <w:rsid w:val="0023330E"/>
    <w:rsid w:val="002333A5"/>
    <w:rsid w:val="002333B0"/>
    <w:rsid w:val="002334CF"/>
    <w:rsid w:val="002334EC"/>
    <w:rsid w:val="00233552"/>
    <w:rsid w:val="0023363D"/>
    <w:rsid w:val="00233661"/>
    <w:rsid w:val="0023369C"/>
    <w:rsid w:val="002336C1"/>
    <w:rsid w:val="00233780"/>
    <w:rsid w:val="0023379D"/>
    <w:rsid w:val="002337F7"/>
    <w:rsid w:val="00233853"/>
    <w:rsid w:val="00233CBA"/>
    <w:rsid w:val="00233CCB"/>
    <w:rsid w:val="00233D31"/>
    <w:rsid w:val="00233EDC"/>
    <w:rsid w:val="00233F0F"/>
    <w:rsid w:val="00233F27"/>
    <w:rsid w:val="00233F83"/>
    <w:rsid w:val="00233FCC"/>
    <w:rsid w:val="00234019"/>
    <w:rsid w:val="0023404F"/>
    <w:rsid w:val="00234062"/>
    <w:rsid w:val="0023406B"/>
    <w:rsid w:val="0023408E"/>
    <w:rsid w:val="00234090"/>
    <w:rsid w:val="00234098"/>
    <w:rsid w:val="002340B6"/>
    <w:rsid w:val="0023413F"/>
    <w:rsid w:val="00234150"/>
    <w:rsid w:val="0023419D"/>
    <w:rsid w:val="002341A8"/>
    <w:rsid w:val="00234214"/>
    <w:rsid w:val="00234273"/>
    <w:rsid w:val="0023428A"/>
    <w:rsid w:val="002343A1"/>
    <w:rsid w:val="00234464"/>
    <w:rsid w:val="0023446B"/>
    <w:rsid w:val="002345BC"/>
    <w:rsid w:val="0023465E"/>
    <w:rsid w:val="00234669"/>
    <w:rsid w:val="00234709"/>
    <w:rsid w:val="00234771"/>
    <w:rsid w:val="00234851"/>
    <w:rsid w:val="00234879"/>
    <w:rsid w:val="002348B0"/>
    <w:rsid w:val="0023499B"/>
    <w:rsid w:val="002349D4"/>
    <w:rsid w:val="00234B62"/>
    <w:rsid w:val="00234BA2"/>
    <w:rsid w:val="00234BDF"/>
    <w:rsid w:val="00234D8A"/>
    <w:rsid w:val="00234D96"/>
    <w:rsid w:val="00234E5B"/>
    <w:rsid w:val="00234E9E"/>
    <w:rsid w:val="00234F49"/>
    <w:rsid w:val="00235003"/>
    <w:rsid w:val="002350BF"/>
    <w:rsid w:val="00235105"/>
    <w:rsid w:val="0023531D"/>
    <w:rsid w:val="00235394"/>
    <w:rsid w:val="00235504"/>
    <w:rsid w:val="00235582"/>
    <w:rsid w:val="00235591"/>
    <w:rsid w:val="002355BD"/>
    <w:rsid w:val="002355C8"/>
    <w:rsid w:val="002357E3"/>
    <w:rsid w:val="00235874"/>
    <w:rsid w:val="002359E3"/>
    <w:rsid w:val="002359F1"/>
    <w:rsid w:val="00235A89"/>
    <w:rsid w:val="00235AE8"/>
    <w:rsid w:val="00235B61"/>
    <w:rsid w:val="00235D00"/>
    <w:rsid w:val="00235D17"/>
    <w:rsid w:val="002360A4"/>
    <w:rsid w:val="00236101"/>
    <w:rsid w:val="002361C9"/>
    <w:rsid w:val="0023625A"/>
    <w:rsid w:val="00236278"/>
    <w:rsid w:val="00236306"/>
    <w:rsid w:val="002363E7"/>
    <w:rsid w:val="00236480"/>
    <w:rsid w:val="002364C5"/>
    <w:rsid w:val="002364F1"/>
    <w:rsid w:val="0023650B"/>
    <w:rsid w:val="0023659D"/>
    <w:rsid w:val="002365EA"/>
    <w:rsid w:val="0023661E"/>
    <w:rsid w:val="00236625"/>
    <w:rsid w:val="00236646"/>
    <w:rsid w:val="0023684F"/>
    <w:rsid w:val="002368E2"/>
    <w:rsid w:val="00236A7C"/>
    <w:rsid w:val="00236B2A"/>
    <w:rsid w:val="00236C0B"/>
    <w:rsid w:val="00236C83"/>
    <w:rsid w:val="00236CD7"/>
    <w:rsid w:val="00236F9D"/>
    <w:rsid w:val="00237037"/>
    <w:rsid w:val="00237040"/>
    <w:rsid w:val="0023707F"/>
    <w:rsid w:val="002370AB"/>
    <w:rsid w:val="002370AD"/>
    <w:rsid w:val="00237206"/>
    <w:rsid w:val="0023736F"/>
    <w:rsid w:val="002373F2"/>
    <w:rsid w:val="0023741A"/>
    <w:rsid w:val="002374F7"/>
    <w:rsid w:val="002374FE"/>
    <w:rsid w:val="002375D1"/>
    <w:rsid w:val="002376D6"/>
    <w:rsid w:val="0023782B"/>
    <w:rsid w:val="00237872"/>
    <w:rsid w:val="002379CF"/>
    <w:rsid w:val="00237CA2"/>
    <w:rsid w:val="00237CAD"/>
    <w:rsid w:val="00237CB1"/>
    <w:rsid w:val="00237D27"/>
    <w:rsid w:val="00237D89"/>
    <w:rsid w:val="00237E6B"/>
    <w:rsid w:val="00237FE0"/>
    <w:rsid w:val="002400D3"/>
    <w:rsid w:val="00240129"/>
    <w:rsid w:val="00240164"/>
    <w:rsid w:val="002401D4"/>
    <w:rsid w:val="0024022D"/>
    <w:rsid w:val="002402DA"/>
    <w:rsid w:val="002403BB"/>
    <w:rsid w:val="002403F6"/>
    <w:rsid w:val="00240444"/>
    <w:rsid w:val="0024046D"/>
    <w:rsid w:val="002405F5"/>
    <w:rsid w:val="00240728"/>
    <w:rsid w:val="002407BE"/>
    <w:rsid w:val="0024094C"/>
    <w:rsid w:val="002409EA"/>
    <w:rsid w:val="00240A79"/>
    <w:rsid w:val="00240B3D"/>
    <w:rsid w:val="00240B6F"/>
    <w:rsid w:val="00240C8E"/>
    <w:rsid w:val="00240CE2"/>
    <w:rsid w:val="00240EFA"/>
    <w:rsid w:val="0024100C"/>
    <w:rsid w:val="00241021"/>
    <w:rsid w:val="00241067"/>
    <w:rsid w:val="002410CC"/>
    <w:rsid w:val="0024111E"/>
    <w:rsid w:val="0024111F"/>
    <w:rsid w:val="00241149"/>
    <w:rsid w:val="002411B7"/>
    <w:rsid w:val="002413EF"/>
    <w:rsid w:val="00241495"/>
    <w:rsid w:val="002414A6"/>
    <w:rsid w:val="002415D6"/>
    <w:rsid w:val="00241623"/>
    <w:rsid w:val="002416CE"/>
    <w:rsid w:val="002417B9"/>
    <w:rsid w:val="002417FF"/>
    <w:rsid w:val="00241A44"/>
    <w:rsid w:val="00241AB2"/>
    <w:rsid w:val="00241AF2"/>
    <w:rsid w:val="00241B2B"/>
    <w:rsid w:val="00241DF0"/>
    <w:rsid w:val="00241E2E"/>
    <w:rsid w:val="00241E96"/>
    <w:rsid w:val="00241ED9"/>
    <w:rsid w:val="00241EDC"/>
    <w:rsid w:val="00241F4F"/>
    <w:rsid w:val="00241FA2"/>
    <w:rsid w:val="00242014"/>
    <w:rsid w:val="0024205B"/>
    <w:rsid w:val="002420D7"/>
    <w:rsid w:val="00242193"/>
    <w:rsid w:val="00242235"/>
    <w:rsid w:val="0024225A"/>
    <w:rsid w:val="00242371"/>
    <w:rsid w:val="002423C3"/>
    <w:rsid w:val="00242515"/>
    <w:rsid w:val="00242573"/>
    <w:rsid w:val="00242634"/>
    <w:rsid w:val="00242636"/>
    <w:rsid w:val="00242658"/>
    <w:rsid w:val="002427E9"/>
    <w:rsid w:val="0024283F"/>
    <w:rsid w:val="002428B4"/>
    <w:rsid w:val="0024296A"/>
    <w:rsid w:val="00242BA5"/>
    <w:rsid w:val="00242BF6"/>
    <w:rsid w:val="00242D7B"/>
    <w:rsid w:val="00242DA4"/>
    <w:rsid w:val="00242DAA"/>
    <w:rsid w:val="00242F31"/>
    <w:rsid w:val="00242F76"/>
    <w:rsid w:val="00242FDB"/>
    <w:rsid w:val="00243105"/>
    <w:rsid w:val="0024322E"/>
    <w:rsid w:val="00243255"/>
    <w:rsid w:val="00243305"/>
    <w:rsid w:val="002433C2"/>
    <w:rsid w:val="0024353D"/>
    <w:rsid w:val="002435E5"/>
    <w:rsid w:val="00243611"/>
    <w:rsid w:val="0024367E"/>
    <w:rsid w:val="00243688"/>
    <w:rsid w:val="00243722"/>
    <w:rsid w:val="002437E1"/>
    <w:rsid w:val="00243AA6"/>
    <w:rsid w:val="00243AD7"/>
    <w:rsid w:val="00243B0E"/>
    <w:rsid w:val="00243B82"/>
    <w:rsid w:val="00243BFF"/>
    <w:rsid w:val="00243C2E"/>
    <w:rsid w:val="00243CEB"/>
    <w:rsid w:val="00243D31"/>
    <w:rsid w:val="00243DC6"/>
    <w:rsid w:val="00243E0D"/>
    <w:rsid w:val="00243E2E"/>
    <w:rsid w:val="00243ECA"/>
    <w:rsid w:val="00243F3F"/>
    <w:rsid w:val="00243F8F"/>
    <w:rsid w:val="00244010"/>
    <w:rsid w:val="002440B8"/>
    <w:rsid w:val="00244184"/>
    <w:rsid w:val="002441F6"/>
    <w:rsid w:val="0024433B"/>
    <w:rsid w:val="00244460"/>
    <w:rsid w:val="002444BB"/>
    <w:rsid w:val="002444D0"/>
    <w:rsid w:val="002444ED"/>
    <w:rsid w:val="002445A5"/>
    <w:rsid w:val="002445E4"/>
    <w:rsid w:val="002445ED"/>
    <w:rsid w:val="0024469F"/>
    <w:rsid w:val="00244724"/>
    <w:rsid w:val="00244792"/>
    <w:rsid w:val="0024491D"/>
    <w:rsid w:val="002449D6"/>
    <w:rsid w:val="00244A6E"/>
    <w:rsid w:val="00244A98"/>
    <w:rsid w:val="00244ABE"/>
    <w:rsid w:val="00244ACC"/>
    <w:rsid w:val="00244C4A"/>
    <w:rsid w:val="00244CBF"/>
    <w:rsid w:val="00244DB1"/>
    <w:rsid w:val="00244DC7"/>
    <w:rsid w:val="00244E0A"/>
    <w:rsid w:val="00244E55"/>
    <w:rsid w:val="00244FC0"/>
    <w:rsid w:val="002451AF"/>
    <w:rsid w:val="002452A9"/>
    <w:rsid w:val="002452B1"/>
    <w:rsid w:val="002452F9"/>
    <w:rsid w:val="00245343"/>
    <w:rsid w:val="002454D9"/>
    <w:rsid w:val="00245506"/>
    <w:rsid w:val="00245748"/>
    <w:rsid w:val="00245866"/>
    <w:rsid w:val="002458B5"/>
    <w:rsid w:val="002458E7"/>
    <w:rsid w:val="0024592F"/>
    <w:rsid w:val="00245A22"/>
    <w:rsid w:val="00245A44"/>
    <w:rsid w:val="00245A81"/>
    <w:rsid w:val="00245ABF"/>
    <w:rsid w:val="00245ADB"/>
    <w:rsid w:val="00245B2F"/>
    <w:rsid w:val="00245BD2"/>
    <w:rsid w:val="00245DB3"/>
    <w:rsid w:val="00245DCD"/>
    <w:rsid w:val="00245E1A"/>
    <w:rsid w:val="00245F4D"/>
    <w:rsid w:val="00245F5B"/>
    <w:rsid w:val="00245F69"/>
    <w:rsid w:val="00245FEF"/>
    <w:rsid w:val="00246055"/>
    <w:rsid w:val="00246063"/>
    <w:rsid w:val="002461EA"/>
    <w:rsid w:val="00246211"/>
    <w:rsid w:val="00246268"/>
    <w:rsid w:val="00246278"/>
    <w:rsid w:val="00246359"/>
    <w:rsid w:val="002463A4"/>
    <w:rsid w:val="002463E4"/>
    <w:rsid w:val="00246475"/>
    <w:rsid w:val="002464E5"/>
    <w:rsid w:val="00246535"/>
    <w:rsid w:val="002465F6"/>
    <w:rsid w:val="00246693"/>
    <w:rsid w:val="002466AC"/>
    <w:rsid w:val="002466BD"/>
    <w:rsid w:val="002466CF"/>
    <w:rsid w:val="002468CF"/>
    <w:rsid w:val="00246912"/>
    <w:rsid w:val="0024698E"/>
    <w:rsid w:val="00246B57"/>
    <w:rsid w:val="00246C36"/>
    <w:rsid w:val="00246CA6"/>
    <w:rsid w:val="00246E3F"/>
    <w:rsid w:val="00246E78"/>
    <w:rsid w:val="00246F7F"/>
    <w:rsid w:val="00246FDE"/>
    <w:rsid w:val="00247065"/>
    <w:rsid w:val="0024708F"/>
    <w:rsid w:val="002470BD"/>
    <w:rsid w:val="00247139"/>
    <w:rsid w:val="00247176"/>
    <w:rsid w:val="0024731E"/>
    <w:rsid w:val="00247324"/>
    <w:rsid w:val="00247400"/>
    <w:rsid w:val="00247402"/>
    <w:rsid w:val="0024762D"/>
    <w:rsid w:val="002476FE"/>
    <w:rsid w:val="00247748"/>
    <w:rsid w:val="0024779F"/>
    <w:rsid w:val="00247825"/>
    <w:rsid w:val="0024786D"/>
    <w:rsid w:val="00247923"/>
    <w:rsid w:val="0024792A"/>
    <w:rsid w:val="002479CD"/>
    <w:rsid w:val="002479ED"/>
    <w:rsid w:val="00247A7F"/>
    <w:rsid w:val="00247AF3"/>
    <w:rsid w:val="00247E47"/>
    <w:rsid w:val="00247E6D"/>
    <w:rsid w:val="00247E7B"/>
    <w:rsid w:val="00247EAF"/>
    <w:rsid w:val="00247EB4"/>
    <w:rsid w:val="00250064"/>
    <w:rsid w:val="00250069"/>
    <w:rsid w:val="002500A6"/>
    <w:rsid w:val="002500AC"/>
    <w:rsid w:val="0025010D"/>
    <w:rsid w:val="002502D9"/>
    <w:rsid w:val="00250317"/>
    <w:rsid w:val="00250341"/>
    <w:rsid w:val="002503AD"/>
    <w:rsid w:val="002503B7"/>
    <w:rsid w:val="0025045C"/>
    <w:rsid w:val="00250490"/>
    <w:rsid w:val="0025050A"/>
    <w:rsid w:val="0025050F"/>
    <w:rsid w:val="002505A4"/>
    <w:rsid w:val="00250636"/>
    <w:rsid w:val="0025063E"/>
    <w:rsid w:val="0025064E"/>
    <w:rsid w:val="002506D9"/>
    <w:rsid w:val="00250762"/>
    <w:rsid w:val="00250863"/>
    <w:rsid w:val="00250918"/>
    <w:rsid w:val="00250928"/>
    <w:rsid w:val="0025093C"/>
    <w:rsid w:val="0025098A"/>
    <w:rsid w:val="00250B58"/>
    <w:rsid w:val="00250CE5"/>
    <w:rsid w:val="00250D15"/>
    <w:rsid w:val="00250D7F"/>
    <w:rsid w:val="00250D8F"/>
    <w:rsid w:val="00250F06"/>
    <w:rsid w:val="002510A9"/>
    <w:rsid w:val="00251156"/>
    <w:rsid w:val="00251316"/>
    <w:rsid w:val="0025135A"/>
    <w:rsid w:val="0025143D"/>
    <w:rsid w:val="00251559"/>
    <w:rsid w:val="0025160D"/>
    <w:rsid w:val="00251633"/>
    <w:rsid w:val="0025172E"/>
    <w:rsid w:val="0025183D"/>
    <w:rsid w:val="002518E1"/>
    <w:rsid w:val="0025191E"/>
    <w:rsid w:val="00251941"/>
    <w:rsid w:val="0025199E"/>
    <w:rsid w:val="00251A02"/>
    <w:rsid w:val="00251A26"/>
    <w:rsid w:val="00251C63"/>
    <w:rsid w:val="00251D11"/>
    <w:rsid w:val="00251D7A"/>
    <w:rsid w:val="00251E6E"/>
    <w:rsid w:val="00251EFA"/>
    <w:rsid w:val="00251EFD"/>
    <w:rsid w:val="00251FA4"/>
    <w:rsid w:val="00252012"/>
    <w:rsid w:val="0025205C"/>
    <w:rsid w:val="00252096"/>
    <w:rsid w:val="002520B1"/>
    <w:rsid w:val="00252132"/>
    <w:rsid w:val="002521AB"/>
    <w:rsid w:val="002521FD"/>
    <w:rsid w:val="00252261"/>
    <w:rsid w:val="002523D7"/>
    <w:rsid w:val="00252467"/>
    <w:rsid w:val="002526BC"/>
    <w:rsid w:val="002526CE"/>
    <w:rsid w:val="0025272F"/>
    <w:rsid w:val="0025278C"/>
    <w:rsid w:val="002529B9"/>
    <w:rsid w:val="00252A3A"/>
    <w:rsid w:val="00252A4A"/>
    <w:rsid w:val="00252A8E"/>
    <w:rsid w:val="00252AEB"/>
    <w:rsid w:val="00252B7D"/>
    <w:rsid w:val="00252BDD"/>
    <w:rsid w:val="00252C1D"/>
    <w:rsid w:val="00252C8D"/>
    <w:rsid w:val="00252CF0"/>
    <w:rsid w:val="00252DC3"/>
    <w:rsid w:val="00252E13"/>
    <w:rsid w:val="00252E5D"/>
    <w:rsid w:val="0025300F"/>
    <w:rsid w:val="002530FF"/>
    <w:rsid w:val="0025324A"/>
    <w:rsid w:val="002534A2"/>
    <w:rsid w:val="002534CA"/>
    <w:rsid w:val="00253621"/>
    <w:rsid w:val="0025374B"/>
    <w:rsid w:val="00253806"/>
    <w:rsid w:val="00253844"/>
    <w:rsid w:val="00253888"/>
    <w:rsid w:val="00253A35"/>
    <w:rsid w:val="00253A5F"/>
    <w:rsid w:val="00253B13"/>
    <w:rsid w:val="00253B1E"/>
    <w:rsid w:val="00253CB4"/>
    <w:rsid w:val="00253D2A"/>
    <w:rsid w:val="00253DED"/>
    <w:rsid w:val="00254112"/>
    <w:rsid w:val="0025417F"/>
    <w:rsid w:val="00254224"/>
    <w:rsid w:val="00254257"/>
    <w:rsid w:val="002543AD"/>
    <w:rsid w:val="002544E1"/>
    <w:rsid w:val="0025454C"/>
    <w:rsid w:val="002545B2"/>
    <w:rsid w:val="002545F4"/>
    <w:rsid w:val="00254616"/>
    <w:rsid w:val="00254666"/>
    <w:rsid w:val="002546B7"/>
    <w:rsid w:val="0025475B"/>
    <w:rsid w:val="0025482C"/>
    <w:rsid w:val="0025483B"/>
    <w:rsid w:val="00254920"/>
    <w:rsid w:val="00254959"/>
    <w:rsid w:val="00254982"/>
    <w:rsid w:val="00254A2F"/>
    <w:rsid w:val="00254B0A"/>
    <w:rsid w:val="00254BB3"/>
    <w:rsid w:val="00254BF9"/>
    <w:rsid w:val="00254C49"/>
    <w:rsid w:val="00254D95"/>
    <w:rsid w:val="00254DB1"/>
    <w:rsid w:val="00254E70"/>
    <w:rsid w:val="00254F54"/>
    <w:rsid w:val="00255056"/>
    <w:rsid w:val="00255088"/>
    <w:rsid w:val="00255219"/>
    <w:rsid w:val="002552A8"/>
    <w:rsid w:val="002552D9"/>
    <w:rsid w:val="00255442"/>
    <w:rsid w:val="00255539"/>
    <w:rsid w:val="00255576"/>
    <w:rsid w:val="0025559B"/>
    <w:rsid w:val="002555CF"/>
    <w:rsid w:val="0025568C"/>
    <w:rsid w:val="00255696"/>
    <w:rsid w:val="0025569A"/>
    <w:rsid w:val="0025579F"/>
    <w:rsid w:val="0025581E"/>
    <w:rsid w:val="00255835"/>
    <w:rsid w:val="00255875"/>
    <w:rsid w:val="002559B1"/>
    <w:rsid w:val="00255AE8"/>
    <w:rsid w:val="00255B4A"/>
    <w:rsid w:val="00255C1F"/>
    <w:rsid w:val="00255D2F"/>
    <w:rsid w:val="00255D53"/>
    <w:rsid w:val="00255DD7"/>
    <w:rsid w:val="00255DF7"/>
    <w:rsid w:val="00255E01"/>
    <w:rsid w:val="00256108"/>
    <w:rsid w:val="0025614A"/>
    <w:rsid w:val="0025614C"/>
    <w:rsid w:val="0025614D"/>
    <w:rsid w:val="00256281"/>
    <w:rsid w:val="00256286"/>
    <w:rsid w:val="0025631A"/>
    <w:rsid w:val="0025639A"/>
    <w:rsid w:val="002563D8"/>
    <w:rsid w:val="0025640F"/>
    <w:rsid w:val="00256413"/>
    <w:rsid w:val="00256420"/>
    <w:rsid w:val="0025642E"/>
    <w:rsid w:val="00256477"/>
    <w:rsid w:val="0025649A"/>
    <w:rsid w:val="002564B6"/>
    <w:rsid w:val="00256615"/>
    <w:rsid w:val="00256718"/>
    <w:rsid w:val="002567E4"/>
    <w:rsid w:val="002567FF"/>
    <w:rsid w:val="0025680B"/>
    <w:rsid w:val="00256874"/>
    <w:rsid w:val="002568EA"/>
    <w:rsid w:val="002569E5"/>
    <w:rsid w:val="00256A72"/>
    <w:rsid w:val="00256B2F"/>
    <w:rsid w:val="00256C6F"/>
    <w:rsid w:val="00256C71"/>
    <w:rsid w:val="00256C9A"/>
    <w:rsid w:val="00256D20"/>
    <w:rsid w:val="00256DCD"/>
    <w:rsid w:val="00256F15"/>
    <w:rsid w:val="00257267"/>
    <w:rsid w:val="0025726E"/>
    <w:rsid w:val="0025727F"/>
    <w:rsid w:val="00257394"/>
    <w:rsid w:val="002573B7"/>
    <w:rsid w:val="0025741A"/>
    <w:rsid w:val="0025753B"/>
    <w:rsid w:val="00257596"/>
    <w:rsid w:val="002575F6"/>
    <w:rsid w:val="00257670"/>
    <w:rsid w:val="00257675"/>
    <w:rsid w:val="002576B3"/>
    <w:rsid w:val="00257845"/>
    <w:rsid w:val="002578AD"/>
    <w:rsid w:val="002578CB"/>
    <w:rsid w:val="00257A93"/>
    <w:rsid w:val="00257B05"/>
    <w:rsid w:val="00257BA1"/>
    <w:rsid w:val="00257BA2"/>
    <w:rsid w:val="00257C0C"/>
    <w:rsid w:val="00257C58"/>
    <w:rsid w:val="00257C7C"/>
    <w:rsid w:val="00257CD0"/>
    <w:rsid w:val="00257CF6"/>
    <w:rsid w:val="00257DCD"/>
    <w:rsid w:val="00257ED4"/>
    <w:rsid w:val="00260026"/>
    <w:rsid w:val="002600A7"/>
    <w:rsid w:val="002601A0"/>
    <w:rsid w:val="00260203"/>
    <w:rsid w:val="00260264"/>
    <w:rsid w:val="002602EB"/>
    <w:rsid w:val="002603D4"/>
    <w:rsid w:val="00260502"/>
    <w:rsid w:val="00260537"/>
    <w:rsid w:val="0026060B"/>
    <w:rsid w:val="002606AC"/>
    <w:rsid w:val="0026077E"/>
    <w:rsid w:val="00260865"/>
    <w:rsid w:val="002608F0"/>
    <w:rsid w:val="0026092E"/>
    <w:rsid w:val="00260937"/>
    <w:rsid w:val="002609F3"/>
    <w:rsid w:val="00260A54"/>
    <w:rsid w:val="00260BA7"/>
    <w:rsid w:val="00260BAD"/>
    <w:rsid w:val="00260C47"/>
    <w:rsid w:val="00260C62"/>
    <w:rsid w:val="00260CA7"/>
    <w:rsid w:val="00260CDE"/>
    <w:rsid w:val="00260DBF"/>
    <w:rsid w:val="00260E51"/>
    <w:rsid w:val="00260EE5"/>
    <w:rsid w:val="00260F9A"/>
    <w:rsid w:val="0026104C"/>
    <w:rsid w:val="00261066"/>
    <w:rsid w:val="00261118"/>
    <w:rsid w:val="0026117D"/>
    <w:rsid w:val="002611B8"/>
    <w:rsid w:val="002611E0"/>
    <w:rsid w:val="00261287"/>
    <w:rsid w:val="002612CF"/>
    <w:rsid w:val="00261315"/>
    <w:rsid w:val="002613A7"/>
    <w:rsid w:val="002614E8"/>
    <w:rsid w:val="002615C8"/>
    <w:rsid w:val="002616C0"/>
    <w:rsid w:val="002617DC"/>
    <w:rsid w:val="002617E8"/>
    <w:rsid w:val="00261958"/>
    <w:rsid w:val="00261A93"/>
    <w:rsid w:val="00261D22"/>
    <w:rsid w:val="00261DA6"/>
    <w:rsid w:val="00261E7A"/>
    <w:rsid w:val="00261FB2"/>
    <w:rsid w:val="00262082"/>
    <w:rsid w:val="00262136"/>
    <w:rsid w:val="00262169"/>
    <w:rsid w:val="002621D2"/>
    <w:rsid w:val="00262304"/>
    <w:rsid w:val="002623A0"/>
    <w:rsid w:val="0026241A"/>
    <w:rsid w:val="0026257B"/>
    <w:rsid w:val="0026266C"/>
    <w:rsid w:val="002626B6"/>
    <w:rsid w:val="002628E0"/>
    <w:rsid w:val="00262996"/>
    <w:rsid w:val="00262A71"/>
    <w:rsid w:val="00262A98"/>
    <w:rsid w:val="00262B93"/>
    <w:rsid w:val="00262C7E"/>
    <w:rsid w:val="00262C91"/>
    <w:rsid w:val="00262D5F"/>
    <w:rsid w:val="00262DB6"/>
    <w:rsid w:val="00262F12"/>
    <w:rsid w:val="00262F4A"/>
    <w:rsid w:val="00262F7A"/>
    <w:rsid w:val="00262FED"/>
    <w:rsid w:val="0026302B"/>
    <w:rsid w:val="0026302C"/>
    <w:rsid w:val="0026302D"/>
    <w:rsid w:val="0026308C"/>
    <w:rsid w:val="0026308F"/>
    <w:rsid w:val="0026319E"/>
    <w:rsid w:val="00263239"/>
    <w:rsid w:val="002632C2"/>
    <w:rsid w:val="00263337"/>
    <w:rsid w:val="0026335D"/>
    <w:rsid w:val="00263492"/>
    <w:rsid w:val="00263505"/>
    <w:rsid w:val="002635F3"/>
    <w:rsid w:val="00263612"/>
    <w:rsid w:val="00263655"/>
    <w:rsid w:val="00263660"/>
    <w:rsid w:val="00263712"/>
    <w:rsid w:val="0026371E"/>
    <w:rsid w:val="00263817"/>
    <w:rsid w:val="0026388C"/>
    <w:rsid w:val="002638B0"/>
    <w:rsid w:val="002638BA"/>
    <w:rsid w:val="002638BE"/>
    <w:rsid w:val="002638C0"/>
    <w:rsid w:val="0026395B"/>
    <w:rsid w:val="002639BC"/>
    <w:rsid w:val="00263A64"/>
    <w:rsid w:val="00263A79"/>
    <w:rsid w:val="00263B68"/>
    <w:rsid w:val="00263B88"/>
    <w:rsid w:val="00263BE8"/>
    <w:rsid w:val="00263BFB"/>
    <w:rsid w:val="00263C76"/>
    <w:rsid w:val="00263F59"/>
    <w:rsid w:val="0026427C"/>
    <w:rsid w:val="002643A6"/>
    <w:rsid w:val="002645A6"/>
    <w:rsid w:val="002645BB"/>
    <w:rsid w:val="002645E7"/>
    <w:rsid w:val="002645EB"/>
    <w:rsid w:val="0026475C"/>
    <w:rsid w:val="00264793"/>
    <w:rsid w:val="002647D2"/>
    <w:rsid w:val="00264866"/>
    <w:rsid w:val="0026487D"/>
    <w:rsid w:val="002649B7"/>
    <w:rsid w:val="002649D2"/>
    <w:rsid w:val="002649E7"/>
    <w:rsid w:val="00264B05"/>
    <w:rsid w:val="00264BC8"/>
    <w:rsid w:val="00264C80"/>
    <w:rsid w:val="00264C90"/>
    <w:rsid w:val="00264CA2"/>
    <w:rsid w:val="00264CC2"/>
    <w:rsid w:val="00264CC5"/>
    <w:rsid w:val="00264D80"/>
    <w:rsid w:val="0026505A"/>
    <w:rsid w:val="00265066"/>
    <w:rsid w:val="0026508D"/>
    <w:rsid w:val="0026551E"/>
    <w:rsid w:val="002655BB"/>
    <w:rsid w:val="002656D4"/>
    <w:rsid w:val="002658C9"/>
    <w:rsid w:val="002659EF"/>
    <w:rsid w:val="00265B0B"/>
    <w:rsid w:val="00265C39"/>
    <w:rsid w:val="00265C59"/>
    <w:rsid w:val="00265CEC"/>
    <w:rsid w:val="00265DBE"/>
    <w:rsid w:val="00265EAF"/>
    <w:rsid w:val="00265EE0"/>
    <w:rsid w:val="00265F42"/>
    <w:rsid w:val="00265FF1"/>
    <w:rsid w:val="00266009"/>
    <w:rsid w:val="0026616E"/>
    <w:rsid w:val="00266275"/>
    <w:rsid w:val="0026627F"/>
    <w:rsid w:val="00266285"/>
    <w:rsid w:val="0026634A"/>
    <w:rsid w:val="0026634F"/>
    <w:rsid w:val="00266361"/>
    <w:rsid w:val="00266440"/>
    <w:rsid w:val="00266497"/>
    <w:rsid w:val="002664B6"/>
    <w:rsid w:val="0026652C"/>
    <w:rsid w:val="0026656D"/>
    <w:rsid w:val="002665A0"/>
    <w:rsid w:val="00266709"/>
    <w:rsid w:val="002668A0"/>
    <w:rsid w:val="002668E2"/>
    <w:rsid w:val="002669A8"/>
    <w:rsid w:val="00266B20"/>
    <w:rsid w:val="00266B80"/>
    <w:rsid w:val="00266B85"/>
    <w:rsid w:val="00266D7B"/>
    <w:rsid w:val="00266DCD"/>
    <w:rsid w:val="00266E3E"/>
    <w:rsid w:val="00266F4F"/>
    <w:rsid w:val="002670AA"/>
    <w:rsid w:val="002670AF"/>
    <w:rsid w:val="00267186"/>
    <w:rsid w:val="00267189"/>
    <w:rsid w:val="002671DA"/>
    <w:rsid w:val="0026723B"/>
    <w:rsid w:val="00267240"/>
    <w:rsid w:val="0026728D"/>
    <w:rsid w:val="002672CB"/>
    <w:rsid w:val="002672E9"/>
    <w:rsid w:val="0026732B"/>
    <w:rsid w:val="00267402"/>
    <w:rsid w:val="00267403"/>
    <w:rsid w:val="00267476"/>
    <w:rsid w:val="00267544"/>
    <w:rsid w:val="00267630"/>
    <w:rsid w:val="0026783C"/>
    <w:rsid w:val="0026786D"/>
    <w:rsid w:val="0026788D"/>
    <w:rsid w:val="002678E9"/>
    <w:rsid w:val="00267947"/>
    <w:rsid w:val="00267A9E"/>
    <w:rsid w:val="00267B81"/>
    <w:rsid w:val="00267BB8"/>
    <w:rsid w:val="00267CD4"/>
    <w:rsid w:val="00267DDF"/>
    <w:rsid w:val="00267E80"/>
    <w:rsid w:val="00267EDD"/>
    <w:rsid w:val="00267F5B"/>
    <w:rsid w:val="00270042"/>
    <w:rsid w:val="00270094"/>
    <w:rsid w:val="0027009D"/>
    <w:rsid w:val="002701F3"/>
    <w:rsid w:val="0027021B"/>
    <w:rsid w:val="00270294"/>
    <w:rsid w:val="00270491"/>
    <w:rsid w:val="0027057F"/>
    <w:rsid w:val="00270781"/>
    <w:rsid w:val="002707E0"/>
    <w:rsid w:val="002707EC"/>
    <w:rsid w:val="00270983"/>
    <w:rsid w:val="0027099A"/>
    <w:rsid w:val="002709D2"/>
    <w:rsid w:val="00270A32"/>
    <w:rsid w:val="00270B6F"/>
    <w:rsid w:val="00270C76"/>
    <w:rsid w:val="00270CB6"/>
    <w:rsid w:val="00270D38"/>
    <w:rsid w:val="00270D64"/>
    <w:rsid w:val="00270E17"/>
    <w:rsid w:val="00270E2F"/>
    <w:rsid w:val="00270E9C"/>
    <w:rsid w:val="00270FD3"/>
    <w:rsid w:val="00270FF7"/>
    <w:rsid w:val="00271214"/>
    <w:rsid w:val="002713A0"/>
    <w:rsid w:val="002713F2"/>
    <w:rsid w:val="002716F4"/>
    <w:rsid w:val="002717A8"/>
    <w:rsid w:val="002717EE"/>
    <w:rsid w:val="002718CA"/>
    <w:rsid w:val="00271AE8"/>
    <w:rsid w:val="00271B3C"/>
    <w:rsid w:val="00271B9A"/>
    <w:rsid w:val="00271BDC"/>
    <w:rsid w:val="00271D0C"/>
    <w:rsid w:val="00271D10"/>
    <w:rsid w:val="00271E78"/>
    <w:rsid w:val="00271F88"/>
    <w:rsid w:val="00271FC6"/>
    <w:rsid w:val="00272026"/>
    <w:rsid w:val="00272045"/>
    <w:rsid w:val="00272140"/>
    <w:rsid w:val="002721B4"/>
    <w:rsid w:val="002722AB"/>
    <w:rsid w:val="0027237D"/>
    <w:rsid w:val="00272397"/>
    <w:rsid w:val="0027240E"/>
    <w:rsid w:val="002724DC"/>
    <w:rsid w:val="00272613"/>
    <w:rsid w:val="00272693"/>
    <w:rsid w:val="00272726"/>
    <w:rsid w:val="0027275A"/>
    <w:rsid w:val="0027281C"/>
    <w:rsid w:val="00272B44"/>
    <w:rsid w:val="00272B4B"/>
    <w:rsid w:val="00272BD0"/>
    <w:rsid w:val="00272D44"/>
    <w:rsid w:val="00272DC4"/>
    <w:rsid w:val="00272E3B"/>
    <w:rsid w:val="00272EF4"/>
    <w:rsid w:val="00272EFB"/>
    <w:rsid w:val="00273171"/>
    <w:rsid w:val="00273188"/>
    <w:rsid w:val="00273240"/>
    <w:rsid w:val="002732CF"/>
    <w:rsid w:val="00273433"/>
    <w:rsid w:val="002734E5"/>
    <w:rsid w:val="002735D6"/>
    <w:rsid w:val="002735E0"/>
    <w:rsid w:val="002735E9"/>
    <w:rsid w:val="00273650"/>
    <w:rsid w:val="00273901"/>
    <w:rsid w:val="00273948"/>
    <w:rsid w:val="002739AF"/>
    <w:rsid w:val="00273B66"/>
    <w:rsid w:val="00273C15"/>
    <w:rsid w:val="00273C17"/>
    <w:rsid w:val="00273C97"/>
    <w:rsid w:val="00273D10"/>
    <w:rsid w:val="00273D36"/>
    <w:rsid w:val="00273E73"/>
    <w:rsid w:val="00273EE8"/>
    <w:rsid w:val="00273F30"/>
    <w:rsid w:val="00274036"/>
    <w:rsid w:val="00274081"/>
    <w:rsid w:val="00274141"/>
    <w:rsid w:val="002741FF"/>
    <w:rsid w:val="002743ED"/>
    <w:rsid w:val="00274419"/>
    <w:rsid w:val="002744D8"/>
    <w:rsid w:val="00274508"/>
    <w:rsid w:val="00274535"/>
    <w:rsid w:val="00274644"/>
    <w:rsid w:val="002747BB"/>
    <w:rsid w:val="002747E8"/>
    <w:rsid w:val="002748A5"/>
    <w:rsid w:val="002748F0"/>
    <w:rsid w:val="00274904"/>
    <w:rsid w:val="00274984"/>
    <w:rsid w:val="002749B2"/>
    <w:rsid w:val="00274A6D"/>
    <w:rsid w:val="00274ABA"/>
    <w:rsid w:val="00274AD1"/>
    <w:rsid w:val="00274BB6"/>
    <w:rsid w:val="00274C4D"/>
    <w:rsid w:val="00274DD9"/>
    <w:rsid w:val="00274E5A"/>
    <w:rsid w:val="00274F18"/>
    <w:rsid w:val="00275096"/>
    <w:rsid w:val="0027519C"/>
    <w:rsid w:val="00275250"/>
    <w:rsid w:val="00275263"/>
    <w:rsid w:val="00275283"/>
    <w:rsid w:val="00275289"/>
    <w:rsid w:val="002753DA"/>
    <w:rsid w:val="002754A4"/>
    <w:rsid w:val="00275543"/>
    <w:rsid w:val="0027556C"/>
    <w:rsid w:val="002755F0"/>
    <w:rsid w:val="002756EA"/>
    <w:rsid w:val="0027576B"/>
    <w:rsid w:val="0027578F"/>
    <w:rsid w:val="00275897"/>
    <w:rsid w:val="002758F5"/>
    <w:rsid w:val="0027591C"/>
    <w:rsid w:val="002759A2"/>
    <w:rsid w:val="002759B2"/>
    <w:rsid w:val="002759D8"/>
    <w:rsid w:val="00275A62"/>
    <w:rsid w:val="00275AA4"/>
    <w:rsid w:val="00275AE2"/>
    <w:rsid w:val="00275B52"/>
    <w:rsid w:val="00275C61"/>
    <w:rsid w:val="00275D3E"/>
    <w:rsid w:val="00275D6E"/>
    <w:rsid w:val="00275E6A"/>
    <w:rsid w:val="00275F3B"/>
    <w:rsid w:val="00275F4F"/>
    <w:rsid w:val="00276048"/>
    <w:rsid w:val="00276109"/>
    <w:rsid w:val="002763CC"/>
    <w:rsid w:val="002764FA"/>
    <w:rsid w:val="00276564"/>
    <w:rsid w:val="00276613"/>
    <w:rsid w:val="00276614"/>
    <w:rsid w:val="0027668A"/>
    <w:rsid w:val="002766D1"/>
    <w:rsid w:val="0027671F"/>
    <w:rsid w:val="00276830"/>
    <w:rsid w:val="002768E8"/>
    <w:rsid w:val="0027691B"/>
    <w:rsid w:val="002769A5"/>
    <w:rsid w:val="00276A19"/>
    <w:rsid w:val="00276A67"/>
    <w:rsid w:val="00276A88"/>
    <w:rsid w:val="00276AD5"/>
    <w:rsid w:val="00276C00"/>
    <w:rsid w:val="00276D4C"/>
    <w:rsid w:val="00276E09"/>
    <w:rsid w:val="00276E42"/>
    <w:rsid w:val="00276E95"/>
    <w:rsid w:val="00276FF7"/>
    <w:rsid w:val="00277010"/>
    <w:rsid w:val="0027712B"/>
    <w:rsid w:val="00277170"/>
    <w:rsid w:val="0027734B"/>
    <w:rsid w:val="002773D2"/>
    <w:rsid w:val="002774FD"/>
    <w:rsid w:val="0027752F"/>
    <w:rsid w:val="0027762C"/>
    <w:rsid w:val="002776B9"/>
    <w:rsid w:val="002776BC"/>
    <w:rsid w:val="002776E3"/>
    <w:rsid w:val="00277968"/>
    <w:rsid w:val="00277A36"/>
    <w:rsid w:val="00277A4D"/>
    <w:rsid w:val="00277A89"/>
    <w:rsid w:val="00277B71"/>
    <w:rsid w:val="00277D2B"/>
    <w:rsid w:val="00277DB4"/>
    <w:rsid w:val="00277DFD"/>
    <w:rsid w:val="00277E7C"/>
    <w:rsid w:val="00277E91"/>
    <w:rsid w:val="00277EAB"/>
    <w:rsid w:val="00280041"/>
    <w:rsid w:val="00280093"/>
    <w:rsid w:val="002800B0"/>
    <w:rsid w:val="002801DB"/>
    <w:rsid w:val="0028020D"/>
    <w:rsid w:val="00280318"/>
    <w:rsid w:val="00280491"/>
    <w:rsid w:val="002804DE"/>
    <w:rsid w:val="0028057D"/>
    <w:rsid w:val="00280683"/>
    <w:rsid w:val="002807D9"/>
    <w:rsid w:val="0028082C"/>
    <w:rsid w:val="002808EE"/>
    <w:rsid w:val="0028098D"/>
    <w:rsid w:val="002809F7"/>
    <w:rsid w:val="00280AC2"/>
    <w:rsid w:val="00280AD6"/>
    <w:rsid w:val="00280B02"/>
    <w:rsid w:val="00280BF9"/>
    <w:rsid w:val="00280C1A"/>
    <w:rsid w:val="00280C65"/>
    <w:rsid w:val="00280ECC"/>
    <w:rsid w:val="00280F14"/>
    <w:rsid w:val="00280FD6"/>
    <w:rsid w:val="00280FDF"/>
    <w:rsid w:val="00281032"/>
    <w:rsid w:val="002810EF"/>
    <w:rsid w:val="002810F3"/>
    <w:rsid w:val="00281160"/>
    <w:rsid w:val="00281170"/>
    <w:rsid w:val="00281174"/>
    <w:rsid w:val="0028126A"/>
    <w:rsid w:val="0028139E"/>
    <w:rsid w:val="002814DA"/>
    <w:rsid w:val="002815BB"/>
    <w:rsid w:val="002815BF"/>
    <w:rsid w:val="002815D1"/>
    <w:rsid w:val="00281680"/>
    <w:rsid w:val="002816FD"/>
    <w:rsid w:val="00281717"/>
    <w:rsid w:val="002817DE"/>
    <w:rsid w:val="00281939"/>
    <w:rsid w:val="002819EA"/>
    <w:rsid w:val="00281A45"/>
    <w:rsid w:val="00281A4E"/>
    <w:rsid w:val="00281B28"/>
    <w:rsid w:val="00281C92"/>
    <w:rsid w:val="00281CA2"/>
    <w:rsid w:val="00281F92"/>
    <w:rsid w:val="00281FA9"/>
    <w:rsid w:val="0028208C"/>
    <w:rsid w:val="002820BB"/>
    <w:rsid w:val="00282190"/>
    <w:rsid w:val="0028219E"/>
    <w:rsid w:val="002821A6"/>
    <w:rsid w:val="002821FB"/>
    <w:rsid w:val="0028224D"/>
    <w:rsid w:val="00282275"/>
    <w:rsid w:val="00282342"/>
    <w:rsid w:val="002823EE"/>
    <w:rsid w:val="00282556"/>
    <w:rsid w:val="002825DE"/>
    <w:rsid w:val="002825FF"/>
    <w:rsid w:val="0028285C"/>
    <w:rsid w:val="002828D0"/>
    <w:rsid w:val="002829D7"/>
    <w:rsid w:val="00282C3F"/>
    <w:rsid w:val="00282C4B"/>
    <w:rsid w:val="00282C62"/>
    <w:rsid w:val="00282C9A"/>
    <w:rsid w:val="00282D5B"/>
    <w:rsid w:val="00282E9D"/>
    <w:rsid w:val="00282EF4"/>
    <w:rsid w:val="00282F1C"/>
    <w:rsid w:val="0028315E"/>
    <w:rsid w:val="0028341B"/>
    <w:rsid w:val="00283460"/>
    <w:rsid w:val="00283505"/>
    <w:rsid w:val="00283636"/>
    <w:rsid w:val="002836DA"/>
    <w:rsid w:val="00283712"/>
    <w:rsid w:val="00283728"/>
    <w:rsid w:val="00283774"/>
    <w:rsid w:val="002837DD"/>
    <w:rsid w:val="002838B6"/>
    <w:rsid w:val="002838BB"/>
    <w:rsid w:val="00283984"/>
    <w:rsid w:val="002839C7"/>
    <w:rsid w:val="002839DF"/>
    <w:rsid w:val="00283A76"/>
    <w:rsid w:val="00283AFF"/>
    <w:rsid w:val="00283B95"/>
    <w:rsid w:val="00283DD7"/>
    <w:rsid w:val="00283EA2"/>
    <w:rsid w:val="00283EAF"/>
    <w:rsid w:val="00283FCD"/>
    <w:rsid w:val="0028400D"/>
    <w:rsid w:val="0028403E"/>
    <w:rsid w:val="0028412C"/>
    <w:rsid w:val="002841CB"/>
    <w:rsid w:val="002842AA"/>
    <w:rsid w:val="002842AC"/>
    <w:rsid w:val="0028436A"/>
    <w:rsid w:val="00284422"/>
    <w:rsid w:val="00284457"/>
    <w:rsid w:val="002845BD"/>
    <w:rsid w:val="002845E5"/>
    <w:rsid w:val="002846B4"/>
    <w:rsid w:val="002847C3"/>
    <w:rsid w:val="002847DC"/>
    <w:rsid w:val="002847F4"/>
    <w:rsid w:val="00284847"/>
    <w:rsid w:val="002848ED"/>
    <w:rsid w:val="0028498A"/>
    <w:rsid w:val="00284A3B"/>
    <w:rsid w:val="00284A75"/>
    <w:rsid w:val="00284A94"/>
    <w:rsid w:val="00284A98"/>
    <w:rsid w:val="00284B67"/>
    <w:rsid w:val="00284B83"/>
    <w:rsid w:val="00284B8B"/>
    <w:rsid w:val="00284CBC"/>
    <w:rsid w:val="00284CC9"/>
    <w:rsid w:val="00284CE7"/>
    <w:rsid w:val="00284D5C"/>
    <w:rsid w:val="00284DBF"/>
    <w:rsid w:val="00284DCE"/>
    <w:rsid w:val="00284EDD"/>
    <w:rsid w:val="0028509B"/>
    <w:rsid w:val="002850C8"/>
    <w:rsid w:val="0028510F"/>
    <w:rsid w:val="0028514E"/>
    <w:rsid w:val="002851B8"/>
    <w:rsid w:val="002852C6"/>
    <w:rsid w:val="00285322"/>
    <w:rsid w:val="00285356"/>
    <w:rsid w:val="0028536B"/>
    <w:rsid w:val="0028570D"/>
    <w:rsid w:val="00285726"/>
    <w:rsid w:val="002857EA"/>
    <w:rsid w:val="002858CC"/>
    <w:rsid w:val="002858DF"/>
    <w:rsid w:val="002859A4"/>
    <w:rsid w:val="00285AB9"/>
    <w:rsid w:val="00285ADE"/>
    <w:rsid w:val="00285ADF"/>
    <w:rsid w:val="00285B4E"/>
    <w:rsid w:val="00285BA6"/>
    <w:rsid w:val="00285BDF"/>
    <w:rsid w:val="00285BE8"/>
    <w:rsid w:val="00285C7B"/>
    <w:rsid w:val="00285C86"/>
    <w:rsid w:val="00285CAE"/>
    <w:rsid w:val="00285D3A"/>
    <w:rsid w:val="00285DAB"/>
    <w:rsid w:val="00285DDE"/>
    <w:rsid w:val="00285DE9"/>
    <w:rsid w:val="00285DF3"/>
    <w:rsid w:val="00285DFC"/>
    <w:rsid w:val="00285E26"/>
    <w:rsid w:val="00285E3C"/>
    <w:rsid w:val="00285F6A"/>
    <w:rsid w:val="00285FBD"/>
    <w:rsid w:val="00286003"/>
    <w:rsid w:val="00286057"/>
    <w:rsid w:val="00286139"/>
    <w:rsid w:val="00286233"/>
    <w:rsid w:val="0028633A"/>
    <w:rsid w:val="002864C7"/>
    <w:rsid w:val="002864C9"/>
    <w:rsid w:val="00286516"/>
    <w:rsid w:val="00286603"/>
    <w:rsid w:val="00286662"/>
    <w:rsid w:val="0028671C"/>
    <w:rsid w:val="00286A9D"/>
    <w:rsid w:val="00286AEF"/>
    <w:rsid w:val="00286B0F"/>
    <w:rsid w:val="00286C28"/>
    <w:rsid w:val="00286C68"/>
    <w:rsid w:val="00286CD1"/>
    <w:rsid w:val="00286CD6"/>
    <w:rsid w:val="00286D20"/>
    <w:rsid w:val="00286D32"/>
    <w:rsid w:val="00286D5B"/>
    <w:rsid w:val="00286E45"/>
    <w:rsid w:val="00286E58"/>
    <w:rsid w:val="00286F9D"/>
    <w:rsid w:val="002870ED"/>
    <w:rsid w:val="00287187"/>
    <w:rsid w:val="002871D7"/>
    <w:rsid w:val="00287218"/>
    <w:rsid w:val="0028728E"/>
    <w:rsid w:val="00287334"/>
    <w:rsid w:val="0028752E"/>
    <w:rsid w:val="0028755B"/>
    <w:rsid w:val="002875D8"/>
    <w:rsid w:val="00287712"/>
    <w:rsid w:val="00287823"/>
    <w:rsid w:val="00287874"/>
    <w:rsid w:val="002878AC"/>
    <w:rsid w:val="0028794D"/>
    <w:rsid w:val="0028795F"/>
    <w:rsid w:val="00287981"/>
    <w:rsid w:val="00287A00"/>
    <w:rsid w:val="00287C1C"/>
    <w:rsid w:val="00287C98"/>
    <w:rsid w:val="00287CE2"/>
    <w:rsid w:val="00287D5B"/>
    <w:rsid w:val="00287D92"/>
    <w:rsid w:val="00287DC7"/>
    <w:rsid w:val="00287E1F"/>
    <w:rsid w:val="00287E69"/>
    <w:rsid w:val="00287E80"/>
    <w:rsid w:val="00287EBC"/>
    <w:rsid w:val="0029006A"/>
    <w:rsid w:val="002902B6"/>
    <w:rsid w:val="00290328"/>
    <w:rsid w:val="0029043C"/>
    <w:rsid w:val="00290494"/>
    <w:rsid w:val="002904E1"/>
    <w:rsid w:val="002905FC"/>
    <w:rsid w:val="0029066E"/>
    <w:rsid w:val="002906DB"/>
    <w:rsid w:val="002907F6"/>
    <w:rsid w:val="00290804"/>
    <w:rsid w:val="00290809"/>
    <w:rsid w:val="00290831"/>
    <w:rsid w:val="002908B9"/>
    <w:rsid w:val="0029093D"/>
    <w:rsid w:val="0029097A"/>
    <w:rsid w:val="002909E3"/>
    <w:rsid w:val="00290AE7"/>
    <w:rsid w:val="00290C1F"/>
    <w:rsid w:val="00290CC3"/>
    <w:rsid w:val="00290ECC"/>
    <w:rsid w:val="00290F6C"/>
    <w:rsid w:val="002910BA"/>
    <w:rsid w:val="0029114D"/>
    <w:rsid w:val="00291256"/>
    <w:rsid w:val="002912D8"/>
    <w:rsid w:val="00291366"/>
    <w:rsid w:val="00291385"/>
    <w:rsid w:val="0029138D"/>
    <w:rsid w:val="002913BF"/>
    <w:rsid w:val="00291611"/>
    <w:rsid w:val="00291813"/>
    <w:rsid w:val="00291A2B"/>
    <w:rsid w:val="00291A3B"/>
    <w:rsid w:val="00291A5A"/>
    <w:rsid w:val="00291AAC"/>
    <w:rsid w:val="00291AD2"/>
    <w:rsid w:val="00291AFE"/>
    <w:rsid w:val="00291B30"/>
    <w:rsid w:val="00291C97"/>
    <w:rsid w:val="00291CAA"/>
    <w:rsid w:val="00291CD3"/>
    <w:rsid w:val="00291CFC"/>
    <w:rsid w:val="00291D84"/>
    <w:rsid w:val="00291DF8"/>
    <w:rsid w:val="00291E08"/>
    <w:rsid w:val="00291EC6"/>
    <w:rsid w:val="00291F30"/>
    <w:rsid w:val="00291FBA"/>
    <w:rsid w:val="00292001"/>
    <w:rsid w:val="00292014"/>
    <w:rsid w:val="00292079"/>
    <w:rsid w:val="0029219F"/>
    <w:rsid w:val="002921DD"/>
    <w:rsid w:val="00292222"/>
    <w:rsid w:val="00292257"/>
    <w:rsid w:val="00292261"/>
    <w:rsid w:val="00292317"/>
    <w:rsid w:val="0029242A"/>
    <w:rsid w:val="00292657"/>
    <w:rsid w:val="00292658"/>
    <w:rsid w:val="00292832"/>
    <w:rsid w:val="00292843"/>
    <w:rsid w:val="002928D9"/>
    <w:rsid w:val="00292995"/>
    <w:rsid w:val="00292D30"/>
    <w:rsid w:val="00292D83"/>
    <w:rsid w:val="00292F1B"/>
    <w:rsid w:val="002930B2"/>
    <w:rsid w:val="002930ED"/>
    <w:rsid w:val="00293148"/>
    <w:rsid w:val="002931BE"/>
    <w:rsid w:val="002931E2"/>
    <w:rsid w:val="00293224"/>
    <w:rsid w:val="00293261"/>
    <w:rsid w:val="002932D3"/>
    <w:rsid w:val="00293301"/>
    <w:rsid w:val="002933C9"/>
    <w:rsid w:val="00293440"/>
    <w:rsid w:val="002934F1"/>
    <w:rsid w:val="00293557"/>
    <w:rsid w:val="002935B2"/>
    <w:rsid w:val="00293645"/>
    <w:rsid w:val="00293765"/>
    <w:rsid w:val="0029376B"/>
    <w:rsid w:val="00293770"/>
    <w:rsid w:val="002937EE"/>
    <w:rsid w:val="00293874"/>
    <w:rsid w:val="002938CF"/>
    <w:rsid w:val="002939C7"/>
    <w:rsid w:val="00293A1C"/>
    <w:rsid w:val="00293A26"/>
    <w:rsid w:val="00293A53"/>
    <w:rsid w:val="00293AFE"/>
    <w:rsid w:val="00293B24"/>
    <w:rsid w:val="00293B2B"/>
    <w:rsid w:val="00293B54"/>
    <w:rsid w:val="00293B5E"/>
    <w:rsid w:val="00293B86"/>
    <w:rsid w:val="00293BC4"/>
    <w:rsid w:val="00293C26"/>
    <w:rsid w:val="00293C4D"/>
    <w:rsid w:val="00293C53"/>
    <w:rsid w:val="00293C71"/>
    <w:rsid w:val="00293D12"/>
    <w:rsid w:val="00293D8C"/>
    <w:rsid w:val="00293DB9"/>
    <w:rsid w:val="00293DFD"/>
    <w:rsid w:val="00293E9F"/>
    <w:rsid w:val="00294056"/>
    <w:rsid w:val="0029419E"/>
    <w:rsid w:val="002941A4"/>
    <w:rsid w:val="00294382"/>
    <w:rsid w:val="0029438E"/>
    <w:rsid w:val="002943B0"/>
    <w:rsid w:val="0029441E"/>
    <w:rsid w:val="0029442B"/>
    <w:rsid w:val="0029443F"/>
    <w:rsid w:val="00294450"/>
    <w:rsid w:val="002944FC"/>
    <w:rsid w:val="00294560"/>
    <w:rsid w:val="002945C7"/>
    <w:rsid w:val="002945DF"/>
    <w:rsid w:val="0029462D"/>
    <w:rsid w:val="00294679"/>
    <w:rsid w:val="002946FA"/>
    <w:rsid w:val="00294730"/>
    <w:rsid w:val="00294760"/>
    <w:rsid w:val="00294878"/>
    <w:rsid w:val="0029491D"/>
    <w:rsid w:val="002949DC"/>
    <w:rsid w:val="00294A14"/>
    <w:rsid w:val="00294A99"/>
    <w:rsid w:val="00294AC9"/>
    <w:rsid w:val="00294B17"/>
    <w:rsid w:val="00294B89"/>
    <w:rsid w:val="00294BBA"/>
    <w:rsid w:val="00294BCA"/>
    <w:rsid w:val="00294C58"/>
    <w:rsid w:val="00294CFE"/>
    <w:rsid w:val="00294DB7"/>
    <w:rsid w:val="00294DD7"/>
    <w:rsid w:val="00294DE6"/>
    <w:rsid w:val="00294DF8"/>
    <w:rsid w:val="00294E8C"/>
    <w:rsid w:val="00294F63"/>
    <w:rsid w:val="00295001"/>
    <w:rsid w:val="00295268"/>
    <w:rsid w:val="002952E7"/>
    <w:rsid w:val="00295335"/>
    <w:rsid w:val="002953FA"/>
    <w:rsid w:val="00295420"/>
    <w:rsid w:val="0029549D"/>
    <w:rsid w:val="002955BA"/>
    <w:rsid w:val="002956A5"/>
    <w:rsid w:val="002956AC"/>
    <w:rsid w:val="002956C3"/>
    <w:rsid w:val="00295ADD"/>
    <w:rsid w:val="00295B20"/>
    <w:rsid w:val="00295D3D"/>
    <w:rsid w:val="00295EC3"/>
    <w:rsid w:val="00296050"/>
    <w:rsid w:val="0029609C"/>
    <w:rsid w:val="002960F3"/>
    <w:rsid w:val="00296179"/>
    <w:rsid w:val="002961BA"/>
    <w:rsid w:val="002963C2"/>
    <w:rsid w:val="0029646A"/>
    <w:rsid w:val="002964A5"/>
    <w:rsid w:val="002965A2"/>
    <w:rsid w:val="002965CC"/>
    <w:rsid w:val="00296735"/>
    <w:rsid w:val="00296752"/>
    <w:rsid w:val="002967B4"/>
    <w:rsid w:val="00296811"/>
    <w:rsid w:val="0029684D"/>
    <w:rsid w:val="0029686B"/>
    <w:rsid w:val="002968A1"/>
    <w:rsid w:val="00296947"/>
    <w:rsid w:val="00296990"/>
    <w:rsid w:val="002969CF"/>
    <w:rsid w:val="002969FC"/>
    <w:rsid w:val="00296A44"/>
    <w:rsid w:val="00296AD5"/>
    <w:rsid w:val="00296C99"/>
    <w:rsid w:val="00296CD9"/>
    <w:rsid w:val="00296DFA"/>
    <w:rsid w:val="00296E9C"/>
    <w:rsid w:val="00296F19"/>
    <w:rsid w:val="00296F29"/>
    <w:rsid w:val="00296F73"/>
    <w:rsid w:val="00297083"/>
    <w:rsid w:val="00297197"/>
    <w:rsid w:val="00297214"/>
    <w:rsid w:val="0029723E"/>
    <w:rsid w:val="00297269"/>
    <w:rsid w:val="00297374"/>
    <w:rsid w:val="002973AF"/>
    <w:rsid w:val="002973BE"/>
    <w:rsid w:val="00297465"/>
    <w:rsid w:val="002975E9"/>
    <w:rsid w:val="00297765"/>
    <w:rsid w:val="00297865"/>
    <w:rsid w:val="0029794B"/>
    <w:rsid w:val="00297A67"/>
    <w:rsid w:val="00297B54"/>
    <w:rsid w:val="00297B7C"/>
    <w:rsid w:val="00297BF6"/>
    <w:rsid w:val="00297BFB"/>
    <w:rsid w:val="00297D52"/>
    <w:rsid w:val="00297DDD"/>
    <w:rsid w:val="002A018C"/>
    <w:rsid w:val="002A01C4"/>
    <w:rsid w:val="002A0201"/>
    <w:rsid w:val="002A02CA"/>
    <w:rsid w:val="002A0368"/>
    <w:rsid w:val="002A0382"/>
    <w:rsid w:val="002A03A7"/>
    <w:rsid w:val="002A03BF"/>
    <w:rsid w:val="002A03C0"/>
    <w:rsid w:val="002A03CB"/>
    <w:rsid w:val="002A049B"/>
    <w:rsid w:val="002A07FD"/>
    <w:rsid w:val="002A0825"/>
    <w:rsid w:val="002A086C"/>
    <w:rsid w:val="002A086E"/>
    <w:rsid w:val="002A0905"/>
    <w:rsid w:val="002A0928"/>
    <w:rsid w:val="002A0940"/>
    <w:rsid w:val="002A0974"/>
    <w:rsid w:val="002A09E0"/>
    <w:rsid w:val="002A0A93"/>
    <w:rsid w:val="002A0AE9"/>
    <w:rsid w:val="002A0B42"/>
    <w:rsid w:val="002A0CB3"/>
    <w:rsid w:val="002A0CBB"/>
    <w:rsid w:val="002A0CEB"/>
    <w:rsid w:val="002A0D28"/>
    <w:rsid w:val="002A0D71"/>
    <w:rsid w:val="002A0D8D"/>
    <w:rsid w:val="002A0EAA"/>
    <w:rsid w:val="002A0F08"/>
    <w:rsid w:val="002A1082"/>
    <w:rsid w:val="002A11A4"/>
    <w:rsid w:val="002A139E"/>
    <w:rsid w:val="002A1413"/>
    <w:rsid w:val="002A141E"/>
    <w:rsid w:val="002A1558"/>
    <w:rsid w:val="002A1580"/>
    <w:rsid w:val="002A174A"/>
    <w:rsid w:val="002A17CD"/>
    <w:rsid w:val="002A1891"/>
    <w:rsid w:val="002A1984"/>
    <w:rsid w:val="002A1B10"/>
    <w:rsid w:val="002A1B5A"/>
    <w:rsid w:val="002A1B65"/>
    <w:rsid w:val="002A1B76"/>
    <w:rsid w:val="002A1C5C"/>
    <w:rsid w:val="002A1CEF"/>
    <w:rsid w:val="002A1D6F"/>
    <w:rsid w:val="002A1D78"/>
    <w:rsid w:val="002A1F9D"/>
    <w:rsid w:val="002A2073"/>
    <w:rsid w:val="002A20A4"/>
    <w:rsid w:val="002A21AF"/>
    <w:rsid w:val="002A2202"/>
    <w:rsid w:val="002A2343"/>
    <w:rsid w:val="002A244E"/>
    <w:rsid w:val="002A2526"/>
    <w:rsid w:val="002A254A"/>
    <w:rsid w:val="002A256E"/>
    <w:rsid w:val="002A2581"/>
    <w:rsid w:val="002A25CF"/>
    <w:rsid w:val="002A2620"/>
    <w:rsid w:val="002A2663"/>
    <w:rsid w:val="002A26D3"/>
    <w:rsid w:val="002A271C"/>
    <w:rsid w:val="002A2802"/>
    <w:rsid w:val="002A281C"/>
    <w:rsid w:val="002A2831"/>
    <w:rsid w:val="002A28D8"/>
    <w:rsid w:val="002A299E"/>
    <w:rsid w:val="002A29E1"/>
    <w:rsid w:val="002A2ABC"/>
    <w:rsid w:val="002A2AF0"/>
    <w:rsid w:val="002A2B58"/>
    <w:rsid w:val="002A2B64"/>
    <w:rsid w:val="002A2BD2"/>
    <w:rsid w:val="002A2C21"/>
    <w:rsid w:val="002A2C61"/>
    <w:rsid w:val="002A2D16"/>
    <w:rsid w:val="002A2E00"/>
    <w:rsid w:val="002A2E2B"/>
    <w:rsid w:val="002A2EB0"/>
    <w:rsid w:val="002A2ED7"/>
    <w:rsid w:val="002A2F57"/>
    <w:rsid w:val="002A2FF1"/>
    <w:rsid w:val="002A300A"/>
    <w:rsid w:val="002A3030"/>
    <w:rsid w:val="002A3046"/>
    <w:rsid w:val="002A309C"/>
    <w:rsid w:val="002A3205"/>
    <w:rsid w:val="002A3244"/>
    <w:rsid w:val="002A32B3"/>
    <w:rsid w:val="002A334E"/>
    <w:rsid w:val="002A3384"/>
    <w:rsid w:val="002A33F1"/>
    <w:rsid w:val="002A36C3"/>
    <w:rsid w:val="002A378C"/>
    <w:rsid w:val="002A3887"/>
    <w:rsid w:val="002A396E"/>
    <w:rsid w:val="002A3978"/>
    <w:rsid w:val="002A39FC"/>
    <w:rsid w:val="002A3A17"/>
    <w:rsid w:val="002A3A9C"/>
    <w:rsid w:val="002A3B41"/>
    <w:rsid w:val="002A3B6A"/>
    <w:rsid w:val="002A3C07"/>
    <w:rsid w:val="002A3C4E"/>
    <w:rsid w:val="002A3D98"/>
    <w:rsid w:val="002A3DC1"/>
    <w:rsid w:val="002A3E3A"/>
    <w:rsid w:val="002A3E98"/>
    <w:rsid w:val="002A3EC8"/>
    <w:rsid w:val="002A400B"/>
    <w:rsid w:val="002A4117"/>
    <w:rsid w:val="002A4183"/>
    <w:rsid w:val="002A4209"/>
    <w:rsid w:val="002A42CE"/>
    <w:rsid w:val="002A440F"/>
    <w:rsid w:val="002A4441"/>
    <w:rsid w:val="002A44B2"/>
    <w:rsid w:val="002A44E4"/>
    <w:rsid w:val="002A4521"/>
    <w:rsid w:val="002A45CD"/>
    <w:rsid w:val="002A466E"/>
    <w:rsid w:val="002A476E"/>
    <w:rsid w:val="002A4816"/>
    <w:rsid w:val="002A484B"/>
    <w:rsid w:val="002A4891"/>
    <w:rsid w:val="002A48B3"/>
    <w:rsid w:val="002A4A2D"/>
    <w:rsid w:val="002A4AC2"/>
    <w:rsid w:val="002A4B22"/>
    <w:rsid w:val="002A4B3B"/>
    <w:rsid w:val="002A4C31"/>
    <w:rsid w:val="002A4C52"/>
    <w:rsid w:val="002A4C64"/>
    <w:rsid w:val="002A4D4B"/>
    <w:rsid w:val="002A4D78"/>
    <w:rsid w:val="002A4E96"/>
    <w:rsid w:val="002A4F08"/>
    <w:rsid w:val="002A4F09"/>
    <w:rsid w:val="002A5105"/>
    <w:rsid w:val="002A51A0"/>
    <w:rsid w:val="002A528D"/>
    <w:rsid w:val="002A5355"/>
    <w:rsid w:val="002A53EC"/>
    <w:rsid w:val="002A5435"/>
    <w:rsid w:val="002A54E6"/>
    <w:rsid w:val="002A5550"/>
    <w:rsid w:val="002A56AF"/>
    <w:rsid w:val="002A574B"/>
    <w:rsid w:val="002A5846"/>
    <w:rsid w:val="002A586A"/>
    <w:rsid w:val="002A59CF"/>
    <w:rsid w:val="002A5A38"/>
    <w:rsid w:val="002A5A97"/>
    <w:rsid w:val="002A5AFF"/>
    <w:rsid w:val="002A5BB3"/>
    <w:rsid w:val="002A5BD1"/>
    <w:rsid w:val="002A5C04"/>
    <w:rsid w:val="002A5C05"/>
    <w:rsid w:val="002A5C59"/>
    <w:rsid w:val="002A5C8C"/>
    <w:rsid w:val="002A5D49"/>
    <w:rsid w:val="002A5D9D"/>
    <w:rsid w:val="002A5E35"/>
    <w:rsid w:val="002A5F32"/>
    <w:rsid w:val="002A5FFB"/>
    <w:rsid w:val="002A60C0"/>
    <w:rsid w:val="002A61C2"/>
    <w:rsid w:val="002A61C3"/>
    <w:rsid w:val="002A6353"/>
    <w:rsid w:val="002A648E"/>
    <w:rsid w:val="002A65BE"/>
    <w:rsid w:val="002A65D3"/>
    <w:rsid w:val="002A66A3"/>
    <w:rsid w:val="002A674E"/>
    <w:rsid w:val="002A675A"/>
    <w:rsid w:val="002A676D"/>
    <w:rsid w:val="002A6858"/>
    <w:rsid w:val="002A693D"/>
    <w:rsid w:val="002A694B"/>
    <w:rsid w:val="002A697D"/>
    <w:rsid w:val="002A6A26"/>
    <w:rsid w:val="002A6BED"/>
    <w:rsid w:val="002A6D59"/>
    <w:rsid w:val="002A6EC0"/>
    <w:rsid w:val="002A6ECF"/>
    <w:rsid w:val="002A6F9C"/>
    <w:rsid w:val="002A705C"/>
    <w:rsid w:val="002A709A"/>
    <w:rsid w:val="002A734A"/>
    <w:rsid w:val="002A744B"/>
    <w:rsid w:val="002A745D"/>
    <w:rsid w:val="002A7482"/>
    <w:rsid w:val="002A748F"/>
    <w:rsid w:val="002A7518"/>
    <w:rsid w:val="002A770C"/>
    <w:rsid w:val="002A7783"/>
    <w:rsid w:val="002A79A9"/>
    <w:rsid w:val="002A7A48"/>
    <w:rsid w:val="002A7B93"/>
    <w:rsid w:val="002A7D94"/>
    <w:rsid w:val="002A7DD1"/>
    <w:rsid w:val="002A7F09"/>
    <w:rsid w:val="002A7F5F"/>
    <w:rsid w:val="002A7F9C"/>
    <w:rsid w:val="002B0150"/>
    <w:rsid w:val="002B0182"/>
    <w:rsid w:val="002B020B"/>
    <w:rsid w:val="002B037A"/>
    <w:rsid w:val="002B0398"/>
    <w:rsid w:val="002B03A8"/>
    <w:rsid w:val="002B04DD"/>
    <w:rsid w:val="002B0503"/>
    <w:rsid w:val="002B064E"/>
    <w:rsid w:val="002B0784"/>
    <w:rsid w:val="002B078B"/>
    <w:rsid w:val="002B0885"/>
    <w:rsid w:val="002B08F9"/>
    <w:rsid w:val="002B0A25"/>
    <w:rsid w:val="002B0BDC"/>
    <w:rsid w:val="002B0EE7"/>
    <w:rsid w:val="002B0F80"/>
    <w:rsid w:val="002B1044"/>
    <w:rsid w:val="002B10CE"/>
    <w:rsid w:val="002B10FA"/>
    <w:rsid w:val="002B1113"/>
    <w:rsid w:val="002B11FE"/>
    <w:rsid w:val="002B13D4"/>
    <w:rsid w:val="002B14AE"/>
    <w:rsid w:val="002B14D4"/>
    <w:rsid w:val="002B1504"/>
    <w:rsid w:val="002B16F2"/>
    <w:rsid w:val="002B1937"/>
    <w:rsid w:val="002B197E"/>
    <w:rsid w:val="002B198E"/>
    <w:rsid w:val="002B1AA3"/>
    <w:rsid w:val="002B1B13"/>
    <w:rsid w:val="002B1B55"/>
    <w:rsid w:val="002B1BBA"/>
    <w:rsid w:val="002B1BC7"/>
    <w:rsid w:val="002B1DCC"/>
    <w:rsid w:val="002B1EB3"/>
    <w:rsid w:val="002B1F7B"/>
    <w:rsid w:val="002B1FA4"/>
    <w:rsid w:val="002B20E9"/>
    <w:rsid w:val="002B21EA"/>
    <w:rsid w:val="002B21EB"/>
    <w:rsid w:val="002B22CF"/>
    <w:rsid w:val="002B231D"/>
    <w:rsid w:val="002B233F"/>
    <w:rsid w:val="002B234B"/>
    <w:rsid w:val="002B2376"/>
    <w:rsid w:val="002B23D7"/>
    <w:rsid w:val="002B2428"/>
    <w:rsid w:val="002B244D"/>
    <w:rsid w:val="002B24D0"/>
    <w:rsid w:val="002B24DF"/>
    <w:rsid w:val="002B25A4"/>
    <w:rsid w:val="002B266E"/>
    <w:rsid w:val="002B26C7"/>
    <w:rsid w:val="002B26E1"/>
    <w:rsid w:val="002B28FA"/>
    <w:rsid w:val="002B29BD"/>
    <w:rsid w:val="002B2B36"/>
    <w:rsid w:val="002B2B40"/>
    <w:rsid w:val="002B2BAF"/>
    <w:rsid w:val="002B2C85"/>
    <w:rsid w:val="002B2C8E"/>
    <w:rsid w:val="002B2D3C"/>
    <w:rsid w:val="002B3084"/>
    <w:rsid w:val="002B30E9"/>
    <w:rsid w:val="002B322D"/>
    <w:rsid w:val="002B32B2"/>
    <w:rsid w:val="002B333D"/>
    <w:rsid w:val="002B342A"/>
    <w:rsid w:val="002B346B"/>
    <w:rsid w:val="002B3475"/>
    <w:rsid w:val="002B3489"/>
    <w:rsid w:val="002B3544"/>
    <w:rsid w:val="002B355B"/>
    <w:rsid w:val="002B3648"/>
    <w:rsid w:val="002B374C"/>
    <w:rsid w:val="002B37A3"/>
    <w:rsid w:val="002B37BB"/>
    <w:rsid w:val="002B37E9"/>
    <w:rsid w:val="002B3809"/>
    <w:rsid w:val="002B390F"/>
    <w:rsid w:val="002B3918"/>
    <w:rsid w:val="002B3926"/>
    <w:rsid w:val="002B3A0E"/>
    <w:rsid w:val="002B3A55"/>
    <w:rsid w:val="002B3A94"/>
    <w:rsid w:val="002B3AA0"/>
    <w:rsid w:val="002B3CEF"/>
    <w:rsid w:val="002B3DB2"/>
    <w:rsid w:val="002B3EB2"/>
    <w:rsid w:val="002B3EC9"/>
    <w:rsid w:val="002B3F6E"/>
    <w:rsid w:val="002B3FA2"/>
    <w:rsid w:val="002B4054"/>
    <w:rsid w:val="002B40F0"/>
    <w:rsid w:val="002B411D"/>
    <w:rsid w:val="002B4164"/>
    <w:rsid w:val="002B4398"/>
    <w:rsid w:val="002B43BF"/>
    <w:rsid w:val="002B44F0"/>
    <w:rsid w:val="002B4560"/>
    <w:rsid w:val="002B4577"/>
    <w:rsid w:val="002B45A4"/>
    <w:rsid w:val="002B463D"/>
    <w:rsid w:val="002B466A"/>
    <w:rsid w:val="002B47FC"/>
    <w:rsid w:val="002B485C"/>
    <w:rsid w:val="002B4880"/>
    <w:rsid w:val="002B48CD"/>
    <w:rsid w:val="002B491E"/>
    <w:rsid w:val="002B4B24"/>
    <w:rsid w:val="002B4C74"/>
    <w:rsid w:val="002B4CD7"/>
    <w:rsid w:val="002B4D02"/>
    <w:rsid w:val="002B4D26"/>
    <w:rsid w:val="002B4E41"/>
    <w:rsid w:val="002B4EFF"/>
    <w:rsid w:val="002B4FEF"/>
    <w:rsid w:val="002B4FF9"/>
    <w:rsid w:val="002B502A"/>
    <w:rsid w:val="002B510C"/>
    <w:rsid w:val="002B52C5"/>
    <w:rsid w:val="002B537F"/>
    <w:rsid w:val="002B53C4"/>
    <w:rsid w:val="002B543E"/>
    <w:rsid w:val="002B5464"/>
    <w:rsid w:val="002B557F"/>
    <w:rsid w:val="002B56C5"/>
    <w:rsid w:val="002B5705"/>
    <w:rsid w:val="002B5A23"/>
    <w:rsid w:val="002B5C49"/>
    <w:rsid w:val="002B5C81"/>
    <w:rsid w:val="002B5CCB"/>
    <w:rsid w:val="002B5D3E"/>
    <w:rsid w:val="002B5DA6"/>
    <w:rsid w:val="002B5FC1"/>
    <w:rsid w:val="002B5FDF"/>
    <w:rsid w:val="002B601D"/>
    <w:rsid w:val="002B60AE"/>
    <w:rsid w:val="002B63ED"/>
    <w:rsid w:val="002B6475"/>
    <w:rsid w:val="002B64DD"/>
    <w:rsid w:val="002B658C"/>
    <w:rsid w:val="002B6590"/>
    <w:rsid w:val="002B66BB"/>
    <w:rsid w:val="002B670D"/>
    <w:rsid w:val="002B6730"/>
    <w:rsid w:val="002B6808"/>
    <w:rsid w:val="002B683D"/>
    <w:rsid w:val="002B6A8A"/>
    <w:rsid w:val="002B6BE6"/>
    <w:rsid w:val="002B6C1A"/>
    <w:rsid w:val="002B6C53"/>
    <w:rsid w:val="002B6CC6"/>
    <w:rsid w:val="002B6CF5"/>
    <w:rsid w:val="002B6D0D"/>
    <w:rsid w:val="002B6D2E"/>
    <w:rsid w:val="002B6DCD"/>
    <w:rsid w:val="002B703B"/>
    <w:rsid w:val="002B725B"/>
    <w:rsid w:val="002B732D"/>
    <w:rsid w:val="002B736A"/>
    <w:rsid w:val="002B73B2"/>
    <w:rsid w:val="002B73B5"/>
    <w:rsid w:val="002B7422"/>
    <w:rsid w:val="002B7504"/>
    <w:rsid w:val="002B7516"/>
    <w:rsid w:val="002B7545"/>
    <w:rsid w:val="002B7672"/>
    <w:rsid w:val="002B76C4"/>
    <w:rsid w:val="002B7756"/>
    <w:rsid w:val="002B77C6"/>
    <w:rsid w:val="002B788C"/>
    <w:rsid w:val="002B78B3"/>
    <w:rsid w:val="002B7AAD"/>
    <w:rsid w:val="002B7BBB"/>
    <w:rsid w:val="002B7CA8"/>
    <w:rsid w:val="002B7CBA"/>
    <w:rsid w:val="002B7CD9"/>
    <w:rsid w:val="002B7D32"/>
    <w:rsid w:val="002B7D44"/>
    <w:rsid w:val="002B7E72"/>
    <w:rsid w:val="002C0056"/>
    <w:rsid w:val="002C0173"/>
    <w:rsid w:val="002C02EC"/>
    <w:rsid w:val="002C054D"/>
    <w:rsid w:val="002C0578"/>
    <w:rsid w:val="002C071B"/>
    <w:rsid w:val="002C0720"/>
    <w:rsid w:val="002C0815"/>
    <w:rsid w:val="002C08DD"/>
    <w:rsid w:val="002C0992"/>
    <w:rsid w:val="002C09A5"/>
    <w:rsid w:val="002C0A8E"/>
    <w:rsid w:val="002C0AD0"/>
    <w:rsid w:val="002C0B3D"/>
    <w:rsid w:val="002C0C14"/>
    <w:rsid w:val="002C0C1D"/>
    <w:rsid w:val="002C0C34"/>
    <w:rsid w:val="002C0C82"/>
    <w:rsid w:val="002C0C8A"/>
    <w:rsid w:val="002C0C93"/>
    <w:rsid w:val="002C0D48"/>
    <w:rsid w:val="002C0E4F"/>
    <w:rsid w:val="002C0FDA"/>
    <w:rsid w:val="002C107B"/>
    <w:rsid w:val="002C10A0"/>
    <w:rsid w:val="002C1140"/>
    <w:rsid w:val="002C1158"/>
    <w:rsid w:val="002C11EF"/>
    <w:rsid w:val="002C124F"/>
    <w:rsid w:val="002C1379"/>
    <w:rsid w:val="002C1380"/>
    <w:rsid w:val="002C138A"/>
    <w:rsid w:val="002C13C3"/>
    <w:rsid w:val="002C14B6"/>
    <w:rsid w:val="002C1579"/>
    <w:rsid w:val="002C1584"/>
    <w:rsid w:val="002C164C"/>
    <w:rsid w:val="002C167F"/>
    <w:rsid w:val="002C172B"/>
    <w:rsid w:val="002C17CB"/>
    <w:rsid w:val="002C180E"/>
    <w:rsid w:val="002C1956"/>
    <w:rsid w:val="002C1978"/>
    <w:rsid w:val="002C19A8"/>
    <w:rsid w:val="002C1A20"/>
    <w:rsid w:val="002C1B2B"/>
    <w:rsid w:val="002C1B3E"/>
    <w:rsid w:val="002C1B57"/>
    <w:rsid w:val="002C1C14"/>
    <w:rsid w:val="002C1C65"/>
    <w:rsid w:val="002C1D93"/>
    <w:rsid w:val="002C1DE6"/>
    <w:rsid w:val="002C1F18"/>
    <w:rsid w:val="002C1F25"/>
    <w:rsid w:val="002C2168"/>
    <w:rsid w:val="002C21A3"/>
    <w:rsid w:val="002C2227"/>
    <w:rsid w:val="002C23BB"/>
    <w:rsid w:val="002C2458"/>
    <w:rsid w:val="002C26F4"/>
    <w:rsid w:val="002C27B9"/>
    <w:rsid w:val="002C27D3"/>
    <w:rsid w:val="002C29A0"/>
    <w:rsid w:val="002C29DA"/>
    <w:rsid w:val="002C2A01"/>
    <w:rsid w:val="002C2AA9"/>
    <w:rsid w:val="002C2B6F"/>
    <w:rsid w:val="002C2B7E"/>
    <w:rsid w:val="002C2BC6"/>
    <w:rsid w:val="002C2BD6"/>
    <w:rsid w:val="002C2D46"/>
    <w:rsid w:val="002C2F35"/>
    <w:rsid w:val="002C2F62"/>
    <w:rsid w:val="002C3081"/>
    <w:rsid w:val="002C3092"/>
    <w:rsid w:val="002C315A"/>
    <w:rsid w:val="002C31F5"/>
    <w:rsid w:val="002C3218"/>
    <w:rsid w:val="002C32D3"/>
    <w:rsid w:val="002C32FF"/>
    <w:rsid w:val="002C3337"/>
    <w:rsid w:val="002C369E"/>
    <w:rsid w:val="002C3700"/>
    <w:rsid w:val="002C3723"/>
    <w:rsid w:val="002C37EE"/>
    <w:rsid w:val="002C3904"/>
    <w:rsid w:val="002C3916"/>
    <w:rsid w:val="002C392A"/>
    <w:rsid w:val="002C3959"/>
    <w:rsid w:val="002C395D"/>
    <w:rsid w:val="002C397B"/>
    <w:rsid w:val="002C39A4"/>
    <w:rsid w:val="002C39FB"/>
    <w:rsid w:val="002C3AC6"/>
    <w:rsid w:val="002C3C11"/>
    <w:rsid w:val="002C3D99"/>
    <w:rsid w:val="002C3E13"/>
    <w:rsid w:val="002C3F79"/>
    <w:rsid w:val="002C401A"/>
    <w:rsid w:val="002C41C3"/>
    <w:rsid w:val="002C42CF"/>
    <w:rsid w:val="002C42F7"/>
    <w:rsid w:val="002C432D"/>
    <w:rsid w:val="002C436F"/>
    <w:rsid w:val="002C4373"/>
    <w:rsid w:val="002C43E1"/>
    <w:rsid w:val="002C44A5"/>
    <w:rsid w:val="002C4511"/>
    <w:rsid w:val="002C4629"/>
    <w:rsid w:val="002C46C1"/>
    <w:rsid w:val="002C4733"/>
    <w:rsid w:val="002C4777"/>
    <w:rsid w:val="002C47CF"/>
    <w:rsid w:val="002C4839"/>
    <w:rsid w:val="002C4881"/>
    <w:rsid w:val="002C4891"/>
    <w:rsid w:val="002C496B"/>
    <w:rsid w:val="002C4A3F"/>
    <w:rsid w:val="002C4AF6"/>
    <w:rsid w:val="002C4BD1"/>
    <w:rsid w:val="002C4C23"/>
    <w:rsid w:val="002C4CE1"/>
    <w:rsid w:val="002C4CFF"/>
    <w:rsid w:val="002C4D51"/>
    <w:rsid w:val="002C4DA6"/>
    <w:rsid w:val="002C4DB6"/>
    <w:rsid w:val="002C4EB3"/>
    <w:rsid w:val="002C4F13"/>
    <w:rsid w:val="002C4F7A"/>
    <w:rsid w:val="002C4FDC"/>
    <w:rsid w:val="002C5007"/>
    <w:rsid w:val="002C5094"/>
    <w:rsid w:val="002C5138"/>
    <w:rsid w:val="002C5148"/>
    <w:rsid w:val="002C51A9"/>
    <w:rsid w:val="002C529A"/>
    <w:rsid w:val="002C52F8"/>
    <w:rsid w:val="002C53C9"/>
    <w:rsid w:val="002C53E3"/>
    <w:rsid w:val="002C5527"/>
    <w:rsid w:val="002C55DD"/>
    <w:rsid w:val="002C5686"/>
    <w:rsid w:val="002C56B8"/>
    <w:rsid w:val="002C570E"/>
    <w:rsid w:val="002C5779"/>
    <w:rsid w:val="002C5786"/>
    <w:rsid w:val="002C5818"/>
    <w:rsid w:val="002C5863"/>
    <w:rsid w:val="002C5943"/>
    <w:rsid w:val="002C59AC"/>
    <w:rsid w:val="002C5A92"/>
    <w:rsid w:val="002C5AC7"/>
    <w:rsid w:val="002C5B86"/>
    <w:rsid w:val="002C5D04"/>
    <w:rsid w:val="002C5D39"/>
    <w:rsid w:val="002C5D4B"/>
    <w:rsid w:val="002C5D89"/>
    <w:rsid w:val="002C5DD8"/>
    <w:rsid w:val="002C5DEA"/>
    <w:rsid w:val="002C5F2F"/>
    <w:rsid w:val="002C5F6E"/>
    <w:rsid w:val="002C5FDC"/>
    <w:rsid w:val="002C5FEA"/>
    <w:rsid w:val="002C6028"/>
    <w:rsid w:val="002C6052"/>
    <w:rsid w:val="002C608B"/>
    <w:rsid w:val="002C60CF"/>
    <w:rsid w:val="002C6155"/>
    <w:rsid w:val="002C6164"/>
    <w:rsid w:val="002C630C"/>
    <w:rsid w:val="002C64B5"/>
    <w:rsid w:val="002C64C0"/>
    <w:rsid w:val="002C6721"/>
    <w:rsid w:val="002C675D"/>
    <w:rsid w:val="002C67FA"/>
    <w:rsid w:val="002C68D5"/>
    <w:rsid w:val="002C690A"/>
    <w:rsid w:val="002C6917"/>
    <w:rsid w:val="002C6A28"/>
    <w:rsid w:val="002C6B65"/>
    <w:rsid w:val="002C6B66"/>
    <w:rsid w:val="002C6DB5"/>
    <w:rsid w:val="002C6E38"/>
    <w:rsid w:val="002C6EEA"/>
    <w:rsid w:val="002C6F50"/>
    <w:rsid w:val="002C70F2"/>
    <w:rsid w:val="002C7180"/>
    <w:rsid w:val="002C72BB"/>
    <w:rsid w:val="002C7431"/>
    <w:rsid w:val="002C75B7"/>
    <w:rsid w:val="002C76C0"/>
    <w:rsid w:val="002C7768"/>
    <w:rsid w:val="002C781E"/>
    <w:rsid w:val="002C781F"/>
    <w:rsid w:val="002C7832"/>
    <w:rsid w:val="002C783F"/>
    <w:rsid w:val="002C7864"/>
    <w:rsid w:val="002C79A1"/>
    <w:rsid w:val="002C79A3"/>
    <w:rsid w:val="002C79BF"/>
    <w:rsid w:val="002C7A23"/>
    <w:rsid w:val="002C7ACE"/>
    <w:rsid w:val="002C7C20"/>
    <w:rsid w:val="002C7C70"/>
    <w:rsid w:val="002C7C79"/>
    <w:rsid w:val="002C7D34"/>
    <w:rsid w:val="002C7D57"/>
    <w:rsid w:val="002C7D9D"/>
    <w:rsid w:val="002C7D9E"/>
    <w:rsid w:val="002C7E0B"/>
    <w:rsid w:val="002C7E6E"/>
    <w:rsid w:val="002C7ECE"/>
    <w:rsid w:val="002C7F14"/>
    <w:rsid w:val="002C7FED"/>
    <w:rsid w:val="002D00A0"/>
    <w:rsid w:val="002D00B7"/>
    <w:rsid w:val="002D012B"/>
    <w:rsid w:val="002D0175"/>
    <w:rsid w:val="002D01B2"/>
    <w:rsid w:val="002D01F4"/>
    <w:rsid w:val="002D022A"/>
    <w:rsid w:val="002D023D"/>
    <w:rsid w:val="002D031F"/>
    <w:rsid w:val="002D035F"/>
    <w:rsid w:val="002D03FD"/>
    <w:rsid w:val="002D04A9"/>
    <w:rsid w:val="002D04F4"/>
    <w:rsid w:val="002D053A"/>
    <w:rsid w:val="002D0624"/>
    <w:rsid w:val="002D0632"/>
    <w:rsid w:val="002D088E"/>
    <w:rsid w:val="002D08E2"/>
    <w:rsid w:val="002D091B"/>
    <w:rsid w:val="002D09D6"/>
    <w:rsid w:val="002D0AE1"/>
    <w:rsid w:val="002D0B4D"/>
    <w:rsid w:val="002D0BF8"/>
    <w:rsid w:val="002D0C59"/>
    <w:rsid w:val="002D0D44"/>
    <w:rsid w:val="002D0D46"/>
    <w:rsid w:val="002D0E4E"/>
    <w:rsid w:val="002D0EBD"/>
    <w:rsid w:val="002D0F62"/>
    <w:rsid w:val="002D0FAA"/>
    <w:rsid w:val="002D0FBD"/>
    <w:rsid w:val="002D0FD4"/>
    <w:rsid w:val="002D0FD8"/>
    <w:rsid w:val="002D0FFB"/>
    <w:rsid w:val="002D1031"/>
    <w:rsid w:val="002D1099"/>
    <w:rsid w:val="002D10F2"/>
    <w:rsid w:val="002D1127"/>
    <w:rsid w:val="002D11D2"/>
    <w:rsid w:val="002D1521"/>
    <w:rsid w:val="002D1632"/>
    <w:rsid w:val="002D1637"/>
    <w:rsid w:val="002D1865"/>
    <w:rsid w:val="002D186F"/>
    <w:rsid w:val="002D19B9"/>
    <w:rsid w:val="002D1A22"/>
    <w:rsid w:val="002D1C92"/>
    <w:rsid w:val="002D1D56"/>
    <w:rsid w:val="002D1D60"/>
    <w:rsid w:val="002D1E9A"/>
    <w:rsid w:val="002D20DD"/>
    <w:rsid w:val="002D211F"/>
    <w:rsid w:val="002D214E"/>
    <w:rsid w:val="002D217C"/>
    <w:rsid w:val="002D21BD"/>
    <w:rsid w:val="002D21D5"/>
    <w:rsid w:val="002D223B"/>
    <w:rsid w:val="002D22FF"/>
    <w:rsid w:val="002D2301"/>
    <w:rsid w:val="002D248D"/>
    <w:rsid w:val="002D2544"/>
    <w:rsid w:val="002D2602"/>
    <w:rsid w:val="002D2640"/>
    <w:rsid w:val="002D26A3"/>
    <w:rsid w:val="002D26BD"/>
    <w:rsid w:val="002D26C6"/>
    <w:rsid w:val="002D2819"/>
    <w:rsid w:val="002D2825"/>
    <w:rsid w:val="002D285C"/>
    <w:rsid w:val="002D2875"/>
    <w:rsid w:val="002D2890"/>
    <w:rsid w:val="002D28F7"/>
    <w:rsid w:val="002D2980"/>
    <w:rsid w:val="002D2999"/>
    <w:rsid w:val="002D2B30"/>
    <w:rsid w:val="002D2C60"/>
    <w:rsid w:val="002D2C73"/>
    <w:rsid w:val="002D2C80"/>
    <w:rsid w:val="002D2CC7"/>
    <w:rsid w:val="002D2D52"/>
    <w:rsid w:val="002D2EE7"/>
    <w:rsid w:val="002D300E"/>
    <w:rsid w:val="002D3112"/>
    <w:rsid w:val="002D318D"/>
    <w:rsid w:val="002D3335"/>
    <w:rsid w:val="002D33B5"/>
    <w:rsid w:val="002D34AE"/>
    <w:rsid w:val="002D34EC"/>
    <w:rsid w:val="002D3616"/>
    <w:rsid w:val="002D363B"/>
    <w:rsid w:val="002D3658"/>
    <w:rsid w:val="002D37AE"/>
    <w:rsid w:val="002D38CA"/>
    <w:rsid w:val="002D38F0"/>
    <w:rsid w:val="002D3941"/>
    <w:rsid w:val="002D3971"/>
    <w:rsid w:val="002D3991"/>
    <w:rsid w:val="002D39B3"/>
    <w:rsid w:val="002D39D9"/>
    <w:rsid w:val="002D3A5B"/>
    <w:rsid w:val="002D3A75"/>
    <w:rsid w:val="002D3A99"/>
    <w:rsid w:val="002D3AA4"/>
    <w:rsid w:val="002D3AE2"/>
    <w:rsid w:val="002D3AE8"/>
    <w:rsid w:val="002D3C2B"/>
    <w:rsid w:val="002D3C2E"/>
    <w:rsid w:val="002D3E29"/>
    <w:rsid w:val="002D3E3A"/>
    <w:rsid w:val="002D3EA9"/>
    <w:rsid w:val="002D3F50"/>
    <w:rsid w:val="002D3FA4"/>
    <w:rsid w:val="002D3FCC"/>
    <w:rsid w:val="002D4074"/>
    <w:rsid w:val="002D4113"/>
    <w:rsid w:val="002D414E"/>
    <w:rsid w:val="002D41BF"/>
    <w:rsid w:val="002D41EC"/>
    <w:rsid w:val="002D41F7"/>
    <w:rsid w:val="002D4335"/>
    <w:rsid w:val="002D43BE"/>
    <w:rsid w:val="002D4403"/>
    <w:rsid w:val="002D444E"/>
    <w:rsid w:val="002D475B"/>
    <w:rsid w:val="002D4956"/>
    <w:rsid w:val="002D4960"/>
    <w:rsid w:val="002D49A2"/>
    <w:rsid w:val="002D4A0D"/>
    <w:rsid w:val="002D4B4A"/>
    <w:rsid w:val="002D4C69"/>
    <w:rsid w:val="002D4D4E"/>
    <w:rsid w:val="002D4DA4"/>
    <w:rsid w:val="002D4E24"/>
    <w:rsid w:val="002D4FCA"/>
    <w:rsid w:val="002D4FF8"/>
    <w:rsid w:val="002D5033"/>
    <w:rsid w:val="002D522C"/>
    <w:rsid w:val="002D5400"/>
    <w:rsid w:val="002D545C"/>
    <w:rsid w:val="002D5485"/>
    <w:rsid w:val="002D555E"/>
    <w:rsid w:val="002D5712"/>
    <w:rsid w:val="002D5755"/>
    <w:rsid w:val="002D5951"/>
    <w:rsid w:val="002D59DA"/>
    <w:rsid w:val="002D59FC"/>
    <w:rsid w:val="002D5AE1"/>
    <w:rsid w:val="002D5AE5"/>
    <w:rsid w:val="002D5AF7"/>
    <w:rsid w:val="002D5B24"/>
    <w:rsid w:val="002D5BEE"/>
    <w:rsid w:val="002D5C31"/>
    <w:rsid w:val="002D5C57"/>
    <w:rsid w:val="002D5CAA"/>
    <w:rsid w:val="002D5CB0"/>
    <w:rsid w:val="002D5CB7"/>
    <w:rsid w:val="002D5D65"/>
    <w:rsid w:val="002D5D6B"/>
    <w:rsid w:val="002D5E4B"/>
    <w:rsid w:val="002D5F94"/>
    <w:rsid w:val="002D619D"/>
    <w:rsid w:val="002D61EB"/>
    <w:rsid w:val="002D625D"/>
    <w:rsid w:val="002D62C2"/>
    <w:rsid w:val="002D6371"/>
    <w:rsid w:val="002D659A"/>
    <w:rsid w:val="002D6620"/>
    <w:rsid w:val="002D6635"/>
    <w:rsid w:val="002D663B"/>
    <w:rsid w:val="002D6711"/>
    <w:rsid w:val="002D6791"/>
    <w:rsid w:val="002D67D2"/>
    <w:rsid w:val="002D6928"/>
    <w:rsid w:val="002D69A8"/>
    <w:rsid w:val="002D6A1F"/>
    <w:rsid w:val="002D6A26"/>
    <w:rsid w:val="002D6A94"/>
    <w:rsid w:val="002D6CD3"/>
    <w:rsid w:val="002D6D50"/>
    <w:rsid w:val="002D6D9C"/>
    <w:rsid w:val="002D6E4C"/>
    <w:rsid w:val="002D6EF1"/>
    <w:rsid w:val="002D6F12"/>
    <w:rsid w:val="002D6F13"/>
    <w:rsid w:val="002D6F52"/>
    <w:rsid w:val="002D6F70"/>
    <w:rsid w:val="002D7090"/>
    <w:rsid w:val="002D715C"/>
    <w:rsid w:val="002D727C"/>
    <w:rsid w:val="002D72CA"/>
    <w:rsid w:val="002D7415"/>
    <w:rsid w:val="002D75A0"/>
    <w:rsid w:val="002D76DC"/>
    <w:rsid w:val="002D7890"/>
    <w:rsid w:val="002D791E"/>
    <w:rsid w:val="002D7962"/>
    <w:rsid w:val="002D79F3"/>
    <w:rsid w:val="002D7AE3"/>
    <w:rsid w:val="002D7AED"/>
    <w:rsid w:val="002D7C9F"/>
    <w:rsid w:val="002D7D45"/>
    <w:rsid w:val="002D7D7B"/>
    <w:rsid w:val="002D7DC8"/>
    <w:rsid w:val="002D7E99"/>
    <w:rsid w:val="002D7FCC"/>
    <w:rsid w:val="002E00A5"/>
    <w:rsid w:val="002E011A"/>
    <w:rsid w:val="002E0137"/>
    <w:rsid w:val="002E018B"/>
    <w:rsid w:val="002E022C"/>
    <w:rsid w:val="002E02B5"/>
    <w:rsid w:val="002E03BC"/>
    <w:rsid w:val="002E0413"/>
    <w:rsid w:val="002E047C"/>
    <w:rsid w:val="002E0492"/>
    <w:rsid w:val="002E0525"/>
    <w:rsid w:val="002E0538"/>
    <w:rsid w:val="002E0543"/>
    <w:rsid w:val="002E055E"/>
    <w:rsid w:val="002E0670"/>
    <w:rsid w:val="002E06B8"/>
    <w:rsid w:val="002E0740"/>
    <w:rsid w:val="002E074B"/>
    <w:rsid w:val="002E081A"/>
    <w:rsid w:val="002E0831"/>
    <w:rsid w:val="002E087D"/>
    <w:rsid w:val="002E0961"/>
    <w:rsid w:val="002E09B5"/>
    <w:rsid w:val="002E09CE"/>
    <w:rsid w:val="002E0A53"/>
    <w:rsid w:val="002E0A7D"/>
    <w:rsid w:val="002E0BB7"/>
    <w:rsid w:val="002E0CA0"/>
    <w:rsid w:val="002E0DEF"/>
    <w:rsid w:val="002E0F57"/>
    <w:rsid w:val="002E0F68"/>
    <w:rsid w:val="002E108E"/>
    <w:rsid w:val="002E1199"/>
    <w:rsid w:val="002E11C6"/>
    <w:rsid w:val="002E12AF"/>
    <w:rsid w:val="002E12C4"/>
    <w:rsid w:val="002E132D"/>
    <w:rsid w:val="002E1372"/>
    <w:rsid w:val="002E14D2"/>
    <w:rsid w:val="002E151F"/>
    <w:rsid w:val="002E15E6"/>
    <w:rsid w:val="002E1667"/>
    <w:rsid w:val="002E1830"/>
    <w:rsid w:val="002E199D"/>
    <w:rsid w:val="002E1A34"/>
    <w:rsid w:val="002E1A8B"/>
    <w:rsid w:val="002E1B74"/>
    <w:rsid w:val="002E1B9B"/>
    <w:rsid w:val="002E1C00"/>
    <w:rsid w:val="002E1C07"/>
    <w:rsid w:val="002E1C42"/>
    <w:rsid w:val="002E1D3B"/>
    <w:rsid w:val="002E1F33"/>
    <w:rsid w:val="002E1FDB"/>
    <w:rsid w:val="002E20E6"/>
    <w:rsid w:val="002E2135"/>
    <w:rsid w:val="002E2328"/>
    <w:rsid w:val="002E2387"/>
    <w:rsid w:val="002E238E"/>
    <w:rsid w:val="002E23F2"/>
    <w:rsid w:val="002E2495"/>
    <w:rsid w:val="002E2580"/>
    <w:rsid w:val="002E26F9"/>
    <w:rsid w:val="002E2738"/>
    <w:rsid w:val="002E2759"/>
    <w:rsid w:val="002E27A0"/>
    <w:rsid w:val="002E2807"/>
    <w:rsid w:val="002E282C"/>
    <w:rsid w:val="002E28D3"/>
    <w:rsid w:val="002E2A0C"/>
    <w:rsid w:val="002E2CF2"/>
    <w:rsid w:val="002E2D4A"/>
    <w:rsid w:val="002E2DCD"/>
    <w:rsid w:val="002E2E2C"/>
    <w:rsid w:val="002E2E77"/>
    <w:rsid w:val="002E2E8C"/>
    <w:rsid w:val="002E2F05"/>
    <w:rsid w:val="002E2F07"/>
    <w:rsid w:val="002E3041"/>
    <w:rsid w:val="002E3082"/>
    <w:rsid w:val="002E30F6"/>
    <w:rsid w:val="002E31C9"/>
    <w:rsid w:val="002E321D"/>
    <w:rsid w:val="002E351A"/>
    <w:rsid w:val="002E3544"/>
    <w:rsid w:val="002E35D6"/>
    <w:rsid w:val="002E369F"/>
    <w:rsid w:val="002E37A8"/>
    <w:rsid w:val="002E37F1"/>
    <w:rsid w:val="002E3868"/>
    <w:rsid w:val="002E3872"/>
    <w:rsid w:val="002E38FB"/>
    <w:rsid w:val="002E397C"/>
    <w:rsid w:val="002E39D8"/>
    <w:rsid w:val="002E39E5"/>
    <w:rsid w:val="002E3B7F"/>
    <w:rsid w:val="002E3CB9"/>
    <w:rsid w:val="002E3D15"/>
    <w:rsid w:val="002E3D60"/>
    <w:rsid w:val="002E3DDC"/>
    <w:rsid w:val="002E3E44"/>
    <w:rsid w:val="002E3E51"/>
    <w:rsid w:val="002E3E7C"/>
    <w:rsid w:val="002E3E96"/>
    <w:rsid w:val="002E3EE8"/>
    <w:rsid w:val="002E3EEC"/>
    <w:rsid w:val="002E3F29"/>
    <w:rsid w:val="002E40C1"/>
    <w:rsid w:val="002E4172"/>
    <w:rsid w:val="002E41A8"/>
    <w:rsid w:val="002E41AD"/>
    <w:rsid w:val="002E432F"/>
    <w:rsid w:val="002E43D8"/>
    <w:rsid w:val="002E4409"/>
    <w:rsid w:val="002E448E"/>
    <w:rsid w:val="002E449A"/>
    <w:rsid w:val="002E4577"/>
    <w:rsid w:val="002E458C"/>
    <w:rsid w:val="002E459E"/>
    <w:rsid w:val="002E46A7"/>
    <w:rsid w:val="002E46FB"/>
    <w:rsid w:val="002E4865"/>
    <w:rsid w:val="002E489F"/>
    <w:rsid w:val="002E4963"/>
    <w:rsid w:val="002E4A00"/>
    <w:rsid w:val="002E4B70"/>
    <w:rsid w:val="002E4B76"/>
    <w:rsid w:val="002E4BC0"/>
    <w:rsid w:val="002E4C64"/>
    <w:rsid w:val="002E4CA3"/>
    <w:rsid w:val="002E4F5F"/>
    <w:rsid w:val="002E506F"/>
    <w:rsid w:val="002E507B"/>
    <w:rsid w:val="002E50E3"/>
    <w:rsid w:val="002E5570"/>
    <w:rsid w:val="002E55CD"/>
    <w:rsid w:val="002E566B"/>
    <w:rsid w:val="002E56BF"/>
    <w:rsid w:val="002E56D8"/>
    <w:rsid w:val="002E5702"/>
    <w:rsid w:val="002E57DB"/>
    <w:rsid w:val="002E5879"/>
    <w:rsid w:val="002E58B5"/>
    <w:rsid w:val="002E593B"/>
    <w:rsid w:val="002E5944"/>
    <w:rsid w:val="002E5A43"/>
    <w:rsid w:val="002E5B53"/>
    <w:rsid w:val="002E5B9A"/>
    <w:rsid w:val="002E5DC6"/>
    <w:rsid w:val="002E5E2F"/>
    <w:rsid w:val="002E602B"/>
    <w:rsid w:val="002E6057"/>
    <w:rsid w:val="002E605C"/>
    <w:rsid w:val="002E6076"/>
    <w:rsid w:val="002E612F"/>
    <w:rsid w:val="002E6199"/>
    <w:rsid w:val="002E61D0"/>
    <w:rsid w:val="002E6244"/>
    <w:rsid w:val="002E6366"/>
    <w:rsid w:val="002E63C4"/>
    <w:rsid w:val="002E6479"/>
    <w:rsid w:val="002E64C2"/>
    <w:rsid w:val="002E657F"/>
    <w:rsid w:val="002E6580"/>
    <w:rsid w:val="002E65FD"/>
    <w:rsid w:val="002E66EC"/>
    <w:rsid w:val="002E67AB"/>
    <w:rsid w:val="002E67BC"/>
    <w:rsid w:val="002E6811"/>
    <w:rsid w:val="002E6815"/>
    <w:rsid w:val="002E681F"/>
    <w:rsid w:val="002E688B"/>
    <w:rsid w:val="002E693C"/>
    <w:rsid w:val="002E6A9D"/>
    <w:rsid w:val="002E6AE4"/>
    <w:rsid w:val="002E6CAC"/>
    <w:rsid w:val="002E6CF6"/>
    <w:rsid w:val="002E6CF9"/>
    <w:rsid w:val="002E6D89"/>
    <w:rsid w:val="002E6E9D"/>
    <w:rsid w:val="002E7087"/>
    <w:rsid w:val="002E7094"/>
    <w:rsid w:val="002E7099"/>
    <w:rsid w:val="002E717C"/>
    <w:rsid w:val="002E72E1"/>
    <w:rsid w:val="002E736B"/>
    <w:rsid w:val="002E7558"/>
    <w:rsid w:val="002E7618"/>
    <w:rsid w:val="002E77A9"/>
    <w:rsid w:val="002E77FB"/>
    <w:rsid w:val="002E791C"/>
    <w:rsid w:val="002E79A4"/>
    <w:rsid w:val="002E79CA"/>
    <w:rsid w:val="002E7A23"/>
    <w:rsid w:val="002E7AC7"/>
    <w:rsid w:val="002E7B69"/>
    <w:rsid w:val="002E7C00"/>
    <w:rsid w:val="002E7C38"/>
    <w:rsid w:val="002E7C47"/>
    <w:rsid w:val="002E7D1E"/>
    <w:rsid w:val="002E7D51"/>
    <w:rsid w:val="002E7E11"/>
    <w:rsid w:val="002E7E2A"/>
    <w:rsid w:val="002E7E37"/>
    <w:rsid w:val="002F0079"/>
    <w:rsid w:val="002F0120"/>
    <w:rsid w:val="002F0387"/>
    <w:rsid w:val="002F0417"/>
    <w:rsid w:val="002F053B"/>
    <w:rsid w:val="002F0544"/>
    <w:rsid w:val="002F0560"/>
    <w:rsid w:val="002F0579"/>
    <w:rsid w:val="002F058E"/>
    <w:rsid w:val="002F05F8"/>
    <w:rsid w:val="002F061B"/>
    <w:rsid w:val="002F0654"/>
    <w:rsid w:val="002F0666"/>
    <w:rsid w:val="002F0710"/>
    <w:rsid w:val="002F0719"/>
    <w:rsid w:val="002F0785"/>
    <w:rsid w:val="002F079C"/>
    <w:rsid w:val="002F07D5"/>
    <w:rsid w:val="002F0805"/>
    <w:rsid w:val="002F0859"/>
    <w:rsid w:val="002F08D6"/>
    <w:rsid w:val="002F0925"/>
    <w:rsid w:val="002F0C87"/>
    <w:rsid w:val="002F0CBC"/>
    <w:rsid w:val="002F0D1F"/>
    <w:rsid w:val="002F0D58"/>
    <w:rsid w:val="002F0DEA"/>
    <w:rsid w:val="002F0E16"/>
    <w:rsid w:val="002F0E44"/>
    <w:rsid w:val="002F0E6D"/>
    <w:rsid w:val="002F0EBD"/>
    <w:rsid w:val="002F0EC6"/>
    <w:rsid w:val="002F0F00"/>
    <w:rsid w:val="002F0F4C"/>
    <w:rsid w:val="002F1136"/>
    <w:rsid w:val="002F1140"/>
    <w:rsid w:val="002F1194"/>
    <w:rsid w:val="002F13C6"/>
    <w:rsid w:val="002F14BB"/>
    <w:rsid w:val="002F1574"/>
    <w:rsid w:val="002F1681"/>
    <w:rsid w:val="002F17A1"/>
    <w:rsid w:val="002F1884"/>
    <w:rsid w:val="002F1944"/>
    <w:rsid w:val="002F1967"/>
    <w:rsid w:val="002F19C9"/>
    <w:rsid w:val="002F1AED"/>
    <w:rsid w:val="002F1B58"/>
    <w:rsid w:val="002F1B5B"/>
    <w:rsid w:val="002F1C74"/>
    <w:rsid w:val="002F1E14"/>
    <w:rsid w:val="002F1EDD"/>
    <w:rsid w:val="002F1EE4"/>
    <w:rsid w:val="002F2053"/>
    <w:rsid w:val="002F20F7"/>
    <w:rsid w:val="002F21BD"/>
    <w:rsid w:val="002F21D7"/>
    <w:rsid w:val="002F2336"/>
    <w:rsid w:val="002F2353"/>
    <w:rsid w:val="002F2364"/>
    <w:rsid w:val="002F23B7"/>
    <w:rsid w:val="002F245A"/>
    <w:rsid w:val="002F2499"/>
    <w:rsid w:val="002F24CB"/>
    <w:rsid w:val="002F2587"/>
    <w:rsid w:val="002F258E"/>
    <w:rsid w:val="002F25E2"/>
    <w:rsid w:val="002F265E"/>
    <w:rsid w:val="002F26F3"/>
    <w:rsid w:val="002F272F"/>
    <w:rsid w:val="002F2771"/>
    <w:rsid w:val="002F27C5"/>
    <w:rsid w:val="002F2896"/>
    <w:rsid w:val="002F28D7"/>
    <w:rsid w:val="002F2BB3"/>
    <w:rsid w:val="002F2C29"/>
    <w:rsid w:val="002F2CD7"/>
    <w:rsid w:val="002F2D5E"/>
    <w:rsid w:val="002F2D9A"/>
    <w:rsid w:val="002F2E4C"/>
    <w:rsid w:val="002F2E9E"/>
    <w:rsid w:val="002F2F1E"/>
    <w:rsid w:val="002F2F45"/>
    <w:rsid w:val="002F301F"/>
    <w:rsid w:val="002F30FE"/>
    <w:rsid w:val="002F3195"/>
    <w:rsid w:val="002F340B"/>
    <w:rsid w:val="002F34FC"/>
    <w:rsid w:val="002F351B"/>
    <w:rsid w:val="002F37AE"/>
    <w:rsid w:val="002F37F1"/>
    <w:rsid w:val="002F3933"/>
    <w:rsid w:val="002F39DC"/>
    <w:rsid w:val="002F39FC"/>
    <w:rsid w:val="002F3A21"/>
    <w:rsid w:val="002F3C98"/>
    <w:rsid w:val="002F3CD0"/>
    <w:rsid w:val="002F3DDB"/>
    <w:rsid w:val="002F3DE1"/>
    <w:rsid w:val="002F3E23"/>
    <w:rsid w:val="002F3EC5"/>
    <w:rsid w:val="002F3EE6"/>
    <w:rsid w:val="002F3FD6"/>
    <w:rsid w:val="002F401D"/>
    <w:rsid w:val="002F4034"/>
    <w:rsid w:val="002F406D"/>
    <w:rsid w:val="002F4186"/>
    <w:rsid w:val="002F41A9"/>
    <w:rsid w:val="002F43CB"/>
    <w:rsid w:val="002F476F"/>
    <w:rsid w:val="002F489F"/>
    <w:rsid w:val="002F48C8"/>
    <w:rsid w:val="002F48D0"/>
    <w:rsid w:val="002F4938"/>
    <w:rsid w:val="002F49CE"/>
    <w:rsid w:val="002F4AB1"/>
    <w:rsid w:val="002F4AE2"/>
    <w:rsid w:val="002F4B48"/>
    <w:rsid w:val="002F4B62"/>
    <w:rsid w:val="002F4D23"/>
    <w:rsid w:val="002F4D65"/>
    <w:rsid w:val="002F4EAD"/>
    <w:rsid w:val="002F4F43"/>
    <w:rsid w:val="002F4F97"/>
    <w:rsid w:val="002F5028"/>
    <w:rsid w:val="002F50BA"/>
    <w:rsid w:val="002F510A"/>
    <w:rsid w:val="002F5462"/>
    <w:rsid w:val="002F54D4"/>
    <w:rsid w:val="002F552C"/>
    <w:rsid w:val="002F554E"/>
    <w:rsid w:val="002F55B2"/>
    <w:rsid w:val="002F55F7"/>
    <w:rsid w:val="002F564C"/>
    <w:rsid w:val="002F568D"/>
    <w:rsid w:val="002F56EB"/>
    <w:rsid w:val="002F5788"/>
    <w:rsid w:val="002F5879"/>
    <w:rsid w:val="002F58E9"/>
    <w:rsid w:val="002F59CD"/>
    <w:rsid w:val="002F59F6"/>
    <w:rsid w:val="002F5A0E"/>
    <w:rsid w:val="002F5AEC"/>
    <w:rsid w:val="002F5AF4"/>
    <w:rsid w:val="002F5B29"/>
    <w:rsid w:val="002F5BC9"/>
    <w:rsid w:val="002F5D2D"/>
    <w:rsid w:val="002F5D7B"/>
    <w:rsid w:val="002F6076"/>
    <w:rsid w:val="002F60B1"/>
    <w:rsid w:val="002F60E5"/>
    <w:rsid w:val="002F6104"/>
    <w:rsid w:val="002F6140"/>
    <w:rsid w:val="002F614A"/>
    <w:rsid w:val="002F6160"/>
    <w:rsid w:val="002F61C6"/>
    <w:rsid w:val="002F61E5"/>
    <w:rsid w:val="002F61F6"/>
    <w:rsid w:val="002F622D"/>
    <w:rsid w:val="002F62D1"/>
    <w:rsid w:val="002F63F4"/>
    <w:rsid w:val="002F640C"/>
    <w:rsid w:val="002F66E5"/>
    <w:rsid w:val="002F67DB"/>
    <w:rsid w:val="002F6825"/>
    <w:rsid w:val="002F688D"/>
    <w:rsid w:val="002F68E6"/>
    <w:rsid w:val="002F6964"/>
    <w:rsid w:val="002F6BA5"/>
    <w:rsid w:val="002F6CC3"/>
    <w:rsid w:val="002F6D66"/>
    <w:rsid w:val="002F6D6D"/>
    <w:rsid w:val="002F6D74"/>
    <w:rsid w:val="002F6F31"/>
    <w:rsid w:val="002F6F67"/>
    <w:rsid w:val="002F6FE4"/>
    <w:rsid w:val="002F7352"/>
    <w:rsid w:val="002F7382"/>
    <w:rsid w:val="002F73B2"/>
    <w:rsid w:val="002F7406"/>
    <w:rsid w:val="002F746F"/>
    <w:rsid w:val="002F74B8"/>
    <w:rsid w:val="002F74D9"/>
    <w:rsid w:val="002F74F7"/>
    <w:rsid w:val="002F755B"/>
    <w:rsid w:val="002F7582"/>
    <w:rsid w:val="002F765E"/>
    <w:rsid w:val="002F76CA"/>
    <w:rsid w:val="002F78AD"/>
    <w:rsid w:val="002F794D"/>
    <w:rsid w:val="002F7987"/>
    <w:rsid w:val="002F7A68"/>
    <w:rsid w:val="002F7ADD"/>
    <w:rsid w:val="002F7B1C"/>
    <w:rsid w:val="002F7B25"/>
    <w:rsid w:val="002F7B77"/>
    <w:rsid w:val="002F7BD6"/>
    <w:rsid w:val="002F7CAA"/>
    <w:rsid w:val="002F7CE2"/>
    <w:rsid w:val="002F7D6F"/>
    <w:rsid w:val="002F7DF3"/>
    <w:rsid w:val="002F7DFC"/>
    <w:rsid w:val="002F7E81"/>
    <w:rsid w:val="002F7ECA"/>
    <w:rsid w:val="002F7EEE"/>
    <w:rsid w:val="002F7F9D"/>
    <w:rsid w:val="00300004"/>
    <w:rsid w:val="0030000D"/>
    <w:rsid w:val="00300016"/>
    <w:rsid w:val="0030003E"/>
    <w:rsid w:val="0030005F"/>
    <w:rsid w:val="003000B6"/>
    <w:rsid w:val="00300232"/>
    <w:rsid w:val="00300238"/>
    <w:rsid w:val="003002DF"/>
    <w:rsid w:val="00300437"/>
    <w:rsid w:val="003006E0"/>
    <w:rsid w:val="00300706"/>
    <w:rsid w:val="0030078B"/>
    <w:rsid w:val="003007C1"/>
    <w:rsid w:val="003008F0"/>
    <w:rsid w:val="0030093A"/>
    <w:rsid w:val="00300AC6"/>
    <w:rsid w:val="00300C5F"/>
    <w:rsid w:val="00300CAD"/>
    <w:rsid w:val="00300CC1"/>
    <w:rsid w:val="00300E52"/>
    <w:rsid w:val="00300E5C"/>
    <w:rsid w:val="00300E7F"/>
    <w:rsid w:val="00300F2C"/>
    <w:rsid w:val="00300F99"/>
    <w:rsid w:val="003010B6"/>
    <w:rsid w:val="003012BE"/>
    <w:rsid w:val="003012C3"/>
    <w:rsid w:val="003012D2"/>
    <w:rsid w:val="003012E1"/>
    <w:rsid w:val="00301414"/>
    <w:rsid w:val="00301429"/>
    <w:rsid w:val="00301444"/>
    <w:rsid w:val="0030156B"/>
    <w:rsid w:val="003015F3"/>
    <w:rsid w:val="0030164F"/>
    <w:rsid w:val="00301722"/>
    <w:rsid w:val="00301751"/>
    <w:rsid w:val="00301832"/>
    <w:rsid w:val="00301B89"/>
    <w:rsid w:val="00301D0A"/>
    <w:rsid w:val="00301E21"/>
    <w:rsid w:val="00301E3A"/>
    <w:rsid w:val="00301F8A"/>
    <w:rsid w:val="00302126"/>
    <w:rsid w:val="00302230"/>
    <w:rsid w:val="00302258"/>
    <w:rsid w:val="003022D1"/>
    <w:rsid w:val="0030230F"/>
    <w:rsid w:val="003023BD"/>
    <w:rsid w:val="00302469"/>
    <w:rsid w:val="003024F8"/>
    <w:rsid w:val="00302679"/>
    <w:rsid w:val="003026FA"/>
    <w:rsid w:val="003027F0"/>
    <w:rsid w:val="0030283A"/>
    <w:rsid w:val="003028C3"/>
    <w:rsid w:val="003028E0"/>
    <w:rsid w:val="0030295A"/>
    <w:rsid w:val="003029A6"/>
    <w:rsid w:val="003029FA"/>
    <w:rsid w:val="00302A39"/>
    <w:rsid w:val="00302AE8"/>
    <w:rsid w:val="00302B28"/>
    <w:rsid w:val="00302B9A"/>
    <w:rsid w:val="00302BAC"/>
    <w:rsid w:val="00302BB4"/>
    <w:rsid w:val="00302BF1"/>
    <w:rsid w:val="00302C40"/>
    <w:rsid w:val="00302CB4"/>
    <w:rsid w:val="00302D62"/>
    <w:rsid w:val="00302E04"/>
    <w:rsid w:val="00302E4C"/>
    <w:rsid w:val="00302EC5"/>
    <w:rsid w:val="00302EED"/>
    <w:rsid w:val="00302F2D"/>
    <w:rsid w:val="00302FC3"/>
    <w:rsid w:val="00302FF9"/>
    <w:rsid w:val="0030310C"/>
    <w:rsid w:val="003032A5"/>
    <w:rsid w:val="003032D4"/>
    <w:rsid w:val="00303385"/>
    <w:rsid w:val="003033F6"/>
    <w:rsid w:val="00303496"/>
    <w:rsid w:val="003034E5"/>
    <w:rsid w:val="00303512"/>
    <w:rsid w:val="0030351B"/>
    <w:rsid w:val="0030364E"/>
    <w:rsid w:val="00303712"/>
    <w:rsid w:val="00303742"/>
    <w:rsid w:val="003037E9"/>
    <w:rsid w:val="00303850"/>
    <w:rsid w:val="003038CB"/>
    <w:rsid w:val="003039EE"/>
    <w:rsid w:val="00303A0B"/>
    <w:rsid w:val="00303A68"/>
    <w:rsid w:val="00303A90"/>
    <w:rsid w:val="00303AC7"/>
    <w:rsid w:val="00303AC9"/>
    <w:rsid w:val="00303B1A"/>
    <w:rsid w:val="00303C2A"/>
    <w:rsid w:val="00303CC4"/>
    <w:rsid w:val="00303D34"/>
    <w:rsid w:val="00303D5C"/>
    <w:rsid w:val="00303E94"/>
    <w:rsid w:val="00303EA1"/>
    <w:rsid w:val="0030413E"/>
    <w:rsid w:val="00304194"/>
    <w:rsid w:val="003041E8"/>
    <w:rsid w:val="0030422F"/>
    <w:rsid w:val="003042B0"/>
    <w:rsid w:val="0030435E"/>
    <w:rsid w:val="00304364"/>
    <w:rsid w:val="0030447F"/>
    <w:rsid w:val="0030454D"/>
    <w:rsid w:val="0030463E"/>
    <w:rsid w:val="00304660"/>
    <w:rsid w:val="00304725"/>
    <w:rsid w:val="0030477C"/>
    <w:rsid w:val="00304780"/>
    <w:rsid w:val="003047B6"/>
    <w:rsid w:val="00304890"/>
    <w:rsid w:val="00304969"/>
    <w:rsid w:val="00304978"/>
    <w:rsid w:val="003049D6"/>
    <w:rsid w:val="00304A3A"/>
    <w:rsid w:val="00304A90"/>
    <w:rsid w:val="00304AA9"/>
    <w:rsid w:val="00304D28"/>
    <w:rsid w:val="0030505C"/>
    <w:rsid w:val="00305073"/>
    <w:rsid w:val="0030513E"/>
    <w:rsid w:val="00305209"/>
    <w:rsid w:val="00305212"/>
    <w:rsid w:val="00305274"/>
    <w:rsid w:val="00305315"/>
    <w:rsid w:val="00305395"/>
    <w:rsid w:val="003053BF"/>
    <w:rsid w:val="0030540A"/>
    <w:rsid w:val="003054E0"/>
    <w:rsid w:val="003055A8"/>
    <w:rsid w:val="0030560D"/>
    <w:rsid w:val="00305646"/>
    <w:rsid w:val="003056A7"/>
    <w:rsid w:val="0030581C"/>
    <w:rsid w:val="0030595A"/>
    <w:rsid w:val="00305B76"/>
    <w:rsid w:val="00305C44"/>
    <w:rsid w:val="00305CDF"/>
    <w:rsid w:val="00305E4C"/>
    <w:rsid w:val="00305E72"/>
    <w:rsid w:val="00305E88"/>
    <w:rsid w:val="00305ED3"/>
    <w:rsid w:val="00305F04"/>
    <w:rsid w:val="00305FAC"/>
    <w:rsid w:val="003060AA"/>
    <w:rsid w:val="0030610B"/>
    <w:rsid w:val="0030612F"/>
    <w:rsid w:val="00306151"/>
    <w:rsid w:val="0030619F"/>
    <w:rsid w:val="0030621E"/>
    <w:rsid w:val="003063DA"/>
    <w:rsid w:val="00306543"/>
    <w:rsid w:val="003065A6"/>
    <w:rsid w:val="003066D1"/>
    <w:rsid w:val="003066F8"/>
    <w:rsid w:val="00306750"/>
    <w:rsid w:val="003067B7"/>
    <w:rsid w:val="0030692B"/>
    <w:rsid w:val="003069BC"/>
    <w:rsid w:val="003069CE"/>
    <w:rsid w:val="00306AB7"/>
    <w:rsid w:val="00306AD1"/>
    <w:rsid w:val="00306B2B"/>
    <w:rsid w:val="00306B63"/>
    <w:rsid w:val="00306BD8"/>
    <w:rsid w:val="00306BFD"/>
    <w:rsid w:val="00306C0B"/>
    <w:rsid w:val="00306D04"/>
    <w:rsid w:val="00306D10"/>
    <w:rsid w:val="00306F94"/>
    <w:rsid w:val="0030706D"/>
    <w:rsid w:val="003070D7"/>
    <w:rsid w:val="00307227"/>
    <w:rsid w:val="00307260"/>
    <w:rsid w:val="003072E1"/>
    <w:rsid w:val="003073BE"/>
    <w:rsid w:val="003073F1"/>
    <w:rsid w:val="003074F5"/>
    <w:rsid w:val="0030752C"/>
    <w:rsid w:val="00307536"/>
    <w:rsid w:val="003075F9"/>
    <w:rsid w:val="00307650"/>
    <w:rsid w:val="0030766F"/>
    <w:rsid w:val="00307714"/>
    <w:rsid w:val="003077D0"/>
    <w:rsid w:val="003077F9"/>
    <w:rsid w:val="0030783D"/>
    <w:rsid w:val="00307998"/>
    <w:rsid w:val="003079D3"/>
    <w:rsid w:val="00307A41"/>
    <w:rsid w:val="00307BEE"/>
    <w:rsid w:val="00307C04"/>
    <w:rsid w:val="00307C0B"/>
    <w:rsid w:val="00307C41"/>
    <w:rsid w:val="00307C79"/>
    <w:rsid w:val="00307D13"/>
    <w:rsid w:val="00307D32"/>
    <w:rsid w:val="00307D5B"/>
    <w:rsid w:val="00307D7A"/>
    <w:rsid w:val="00307DEB"/>
    <w:rsid w:val="00307E89"/>
    <w:rsid w:val="00307EA0"/>
    <w:rsid w:val="00307FCD"/>
    <w:rsid w:val="00307FE7"/>
    <w:rsid w:val="00307FF2"/>
    <w:rsid w:val="0031005E"/>
    <w:rsid w:val="0031008E"/>
    <w:rsid w:val="003100BB"/>
    <w:rsid w:val="00310155"/>
    <w:rsid w:val="003101AB"/>
    <w:rsid w:val="003101CD"/>
    <w:rsid w:val="00310287"/>
    <w:rsid w:val="00310310"/>
    <w:rsid w:val="0031031B"/>
    <w:rsid w:val="003104A9"/>
    <w:rsid w:val="00310553"/>
    <w:rsid w:val="00310705"/>
    <w:rsid w:val="00310795"/>
    <w:rsid w:val="00310873"/>
    <w:rsid w:val="003108D6"/>
    <w:rsid w:val="003108F4"/>
    <w:rsid w:val="003109EC"/>
    <w:rsid w:val="00310BC8"/>
    <w:rsid w:val="00310C54"/>
    <w:rsid w:val="00310C79"/>
    <w:rsid w:val="00310DE7"/>
    <w:rsid w:val="00310F06"/>
    <w:rsid w:val="00310F6E"/>
    <w:rsid w:val="00310FA9"/>
    <w:rsid w:val="00310FC6"/>
    <w:rsid w:val="00310FEF"/>
    <w:rsid w:val="00311040"/>
    <w:rsid w:val="0031106F"/>
    <w:rsid w:val="0031116E"/>
    <w:rsid w:val="003111B4"/>
    <w:rsid w:val="003111D3"/>
    <w:rsid w:val="00311227"/>
    <w:rsid w:val="00311352"/>
    <w:rsid w:val="003113FB"/>
    <w:rsid w:val="00311409"/>
    <w:rsid w:val="00311471"/>
    <w:rsid w:val="003114BB"/>
    <w:rsid w:val="003114E8"/>
    <w:rsid w:val="003116DE"/>
    <w:rsid w:val="00311757"/>
    <w:rsid w:val="00311883"/>
    <w:rsid w:val="003118C8"/>
    <w:rsid w:val="00311B74"/>
    <w:rsid w:val="00311B92"/>
    <w:rsid w:val="00311BCB"/>
    <w:rsid w:val="00311C79"/>
    <w:rsid w:val="00311C7C"/>
    <w:rsid w:val="00311CF9"/>
    <w:rsid w:val="00311D86"/>
    <w:rsid w:val="00311DC4"/>
    <w:rsid w:val="00311DEB"/>
    <w:rsid w:val="00311DF5"/>
    <w:rsid w:val="00311E03"/>
    <w:rsid w:val="00311E5D"/>
    <w:rsid w:val="00311F70"/>
    <w:rsid w:val="00311FBE"/>
    <w:rsid w:val="00311FEE"/>
    <w:rsid w:val="0031201A"/>
    <w:rsid w:val="003121C1"/>
    <w:rsid w:val="00312277"/>
    <w:rsid w:val="003122C2"/>
    <w:rsid w:val="0031230B"/>
    <w:rsid w:val="00312546"/>
    <w:rsid w:val="003125B4"/>
    <w:rsid w:val="0031263D"/>
    <w:rsid w:val="00312719"/>
    <w:rsid w:val="003127CA"/>
    <w:rsid w:val="003128F3"/>
    <w:rsid w:val="003128F8"/>
    <w:rsid w:val="00312902"/>
    <w:rsid w:val="00312A97"/>
    <w:rsid w:val="00312AD2"/>
    <w:rsid w:val="00312B22"/>
    <w:rsid w:val="00312B48"/>
    <w:rsid w:val="00312CD9"/>
    <w:rsid w:val="00312CF2"/>
    <w:rsid w:val="00312D6D"/>
    <w:rsid w:val="00312D90"/>
    <w:rsid w:val="00312DEC"/>
    <w:rsid w:val="00312E13"/>
    <w:rsid w:val="00312F6A"/>
    <w:rsid w:val="00313089"/>
    <w:rsid w:val="003130C2"/>
    <w:rsid w:val="003130E4"/>
    <w:rsid w:val="00313165"/>
    <w:rsid w:val="003131F9"/>
    <w:rsid w:val="0031330A"/>
    <w:rsid w:val="00313401"/>
    <w:rsid w:val="00313420"/>
    <w:rsid w:val="00313435"/>
    <w:rsid w:val="003134C5"/>
    <w:rsid w:val="00313665"/>
    <w:rsid w:val="0031370A"/>
    <w:rsid w:val="003138C5"/>
    <w:rsid w:val="00313901"/>
    <w:rsid w:val="00313908"/>
    <w:rsid w:val="00313945"/>
    <w:rsid w:val="00313B17"/>
    <w:rsid w:val="00313BAF"/>
    <w:rsid w:val="00313C37"/>
    <w:rsid w:val="00313CB8"/>
    <w:rsid w:val="00313CBA"/>
    <w:rsid w:val="00313DF6"/>
    <w:rsid w:val="00313EA0"/>
    <w:rsid w:val="00313F17"/>
    <w:rsid w:val="00313F1E"/>
    <w:rsid w:val="00313F3D"/>
    <w:rsid w:val="00313FD9"/>
    <w:rsid w:val="00314033"/>
    <w:rsid w:val="003140A1"/>
    <w:rsid w:val="003140C9"/>
    <w:rsid w:val="0031414C"/>
    <w:rsid w:val="00314201"/>
    <w:rsid w:val="0031423F"/>
    <w:rsid w:val="00314283"/>
    <w:rsid w:val="00314292"/>
    <w:rsid w:val="003142FB"/>
    <w:rsid w:val="00314308"/>
    <w:rsid w:val="00314340"/>
    <w:rsid w:val="0031434A"/>
    <w:rsid w:val="003143C7"/>
    <w:rsid w:val="003143E0"/>
    <w:rsid w:val="00314532"/>
    <w:rsid w:val="003145B5"/>
    <w:rsid w:val="003145CC"/>
    <w:rsid w:val="00314612"/>
    <w:rsid w:val="0031465F"/>
    <w:rsid w:val="0031478D"/>
    <w:rsid w:val="003147A3"/>
    <w:rsid w:val="003147B9"/>
    <w:rsid w:val="003147C1"/>
    <w:rsid w:val="003148DC"/>
    <w:rsid w:val="0031494B"/>
    <w:rsid w:val="00314951"/>
    <w:rsid w:val="003149B5"/>
    <w:rsid w:val="00314BA7"/>
    <w:rsid w:val="00314BC2"/>
    <w:rsid w:val="00314DDB"/>
    <w:rsid w:val="00314F3D"/>
    <w:rsid w:val="0031507C"/>
    <w:rsid w:val="003150B4"/>
    <w:rsid w:val="00315143"/>
    <w:rsid w:val="0031529E"/>
    <w:rsid w:val="003152FA"/>
    <w:rsid w:val="0031531B"/>
    <w:rsid w:val="003153BB"/>
    <w:rsid w:val="003153C3"/>
    <w:rsid w:val="003153DA"/>
    <w:rsid w:val="00315427"/>
    <w:rsid w:val="003154E3"/>
    <w:rsid w:val="0031551B"/>
    <w:rsid w:val="0031556D"/>
    <w:rsid w:val="003155CD"/>
    <w:rsid w:val="0031563A"/>
    <w:rsid w:val="0031568D"/>
    <w:rsid w:val="003156AE"/>
    <w:rsid w:val="003156DB"/>
    <w:rsid w:val="00315707"/>
    <w:rsid w:val="0031570C"/>
    <w:rsid w:val="00315777"/>
    <w:rsid w:val="0031578D"/>
    <w:rsid w:val="00315871"/>
    <w:rsid w:val="003158B8"/>
    <w:rsid w:val="003159E2"/>
    <w:rsid w:val="00315B25"/>
    <w:rsid w:val="00315B5C"/>
    <w:rsid w:val="00315BCB"/>
    <w:rsid w:val="00315C25"/>
    <w:rsid w:val="00315C2A"/>
    <w:rsid w:val="00315D1E"/>
    <w:rsid w:val="00315E11"/>
    <w:rsid w:val="00316120"/>
    <w:rsid w:val="00316150"/>
    <w:rsid w:val="003161EB"/>
    <w:rsid w:val="00316303"/>
    <w:rsid w:val="003163D1"/>
    <w:rsid w:val="00316500"/>
    <w:rsid w:val="00316579"/>
    <w:rsid w:val="00316704"/>
    <w:rsid w:val="003167FB"/>
    <w:rsid w:val="0031680A"/>
    <w:rsid w:val="00316A85"/>
    <w:rsid w:val="00316A9C"/>
    <w:rsid w:val="00316B19"/>
    <w:rsid w:val="00316B3F"/>
    <w:rsid w:val="00316B4B"/>
    <w:rsid w:val="00316B55"/>
    <w:rsid w:val="00316B91"/>
    <w:rsid w:val="00316C92"/>
    <w:rsid w:val="00316DA4"/>
    <w:rsid w:val="00316ECE"/>
    <w:rsid w:val="00316F77"/>
    <w:rsid w:val="00316F7A"/>
    <w:rsid w:val="00316F80"/>
    <w:rsid w:val="003170D2"/>
    <w:rsid w:val="00317104"/>
    <w:rsid w:val="0031719A"/>
    <w:rsid w:val="003171F0"/>
    <w:rsid w:val="00317307"/>
    <w:rsid w:val="003173B3"/>
    <w:rsid w:val="003173C4"/>
    <w:rsid w:val="00317436"/>
    <w:rsid w:val="00317504"/>
    <w:rsid w:val="003175DA"/>
    <w:rsid w:val="0031761E"/>
    <w:rsid w:val="00317646"/>
    <w:rsid w:val="0031766C"/>
    <w:rsid w:val="003176C4"/>
    <w:rsid w:val="00317703"/>
    <w:rsid w:val="00317760"/>
    <w:rsid w:val="00317792"/>
    <w:rsid w:val="003178F3"/>
    <w:rsid w:val="00317972"/>
    <w:rsid w:val="00317A64"/>
    <w:rsid w:val="00317CE7"/>
    <w:rsid w:val="00317D0F"/>
    <w:rsid w:val="00317E02"/>
    <w:rsid w:val="00317E15"/>
    <w:rsid w:val="00317E9E"/>
    <w:rsid w:val="00317EAB"/>
    <w:rsid w:val="00317F45"/>
    <w:rsid w:val="00320025"/>
    <w:rsid w:val="00320193"/>
    <w:rsid w:val="003201F6"/>
    <w:rsid w:val="0032022B"/>
    <w:rsid w:val="0032022C"/>
    <w:rsid w:val="003206CB"/>
    <w:rsid w:val="0032070D"/>
    <w:rsid w:val="0032088F"/>
    <w:rsid w:val="00320A89"/>
    <w:rsid w:val="00320A9B"/>
    <w:rsid w:val="00320AE2"/>
    <w:rsid w:val="00320B26"/>
    <w:rsid w:val="00320C02"/>
    <w:rsid w:val="00320D4F"/>
    <w:rsid w:val="00320D74"/>
    <w:rsid w:val="00320DB5"/>
    <w:rsid w:val="00320EDC"/>
    <w:rsid w:val="00320EDD"/>
    <w:rsid w:val="00320EE7"/>
    <w:rsid w:val="00320F32"/>
    <w:rsid w:val="00320F7B"/>
    <w:rsid w:val="00321087"/>
    <w:rsid w:val="00321273"/>
    <w:rsid w:val="003212C7"/>
    <w:rsid w:val="00321462"/>
    <w:rsid w:val="003215CC"/>
    <w:rsid w:val="00321609"/>
    <w:rsid w:val="00321610"/>
    <w:rsid w:val="00321627"/>
    <w:rsid w:val="00321656"/>
    <w:rsid w:val="00321679"/>
    <w:rsid w:val="003216FA"/>
    <w:rsid w:val="003217C6"/>
    <w:rsid w:val="003217E8"/>
    <w:rsid w:val="003218C2"/>
    <w:rsid w:val="00321985"/>
    <w:rsid w:val="003219C1"/>
    <w:rsid w:val="00321AFB"/>
    <w:rsid w:val="00321C35"/>
    <w:rsid w:val="00321D5F"/>
    <w:rsid w:val="00321D9E"/>
    <w:rsid w:val="00321DA5"/>
    <w:rsid w:val="00321DE4"/>
    <w:rsid w:val="00321DE8"/>
    <w:rsid w:val="00321E10"/>
    <w:rsid w:val="00321E58"/>
    <w:rsid w:val="00321E62"/>
    <w:rsid w:val="00321E83"/>
    <w:rsid w:val="00321EA9"/>
    <w:rsid w:val="00321F69"/>
    <w:rsid w:val="003221B7"/>
    <w:rsid w:val="003221C2"/>
    <w:rsid w:val="00322287"/>
    <w:rsid w:val="0032239E"/>
    <w:rsid w:val="003223A1"/>
    <w:rsid w:val="003223B8"/>
    <w:rsid w:val="00322439"/>
    <w:rsid w:val="003224F0"/>
    <w:rsid w:val="003225C6"/>
    <w:rsid w:val="003225EA"/>
    <w:rsid w:val="00322729"/>
    <w:rsid w:val="0032284B"/>
    <w:rsid w:val="0032289E"/>
    <w:rsid w:val="00322A4A"/>
    <w:rsid w:val="00322A7D"/>
    <w:rsid w:val="00322B82"/>
    <w:rsid w:val="00322BFB"/>
    <w:rsid w:val="00322C64"/>
    <w:rsid w:val="00322D0C"/>
    <w:rsid w:val="00322D1B"/>
    <w:rsid w:val="00322DEE"/>
    <w:rsid w:val="00322E65"/>
    <w:rsid w:val="00322F43"/>
    <w:rsid w:val="00322FD1"/>
    <w:rsid w:val="003230C6"/>
    <w:rsid w:val="0032311D"/>
    <w:rsid w:val="00323166"/>
    <w:rsid w:val="0032318B"/>
    <w:rsid w:val="00323196"/>
    <w:rsid w:val="0032323F"/>
    <w:rsid w:val="0032334F"/>
    <w:rsid w:val="003233C6"/>
    <w:rsid w:val="00323438"/>
    <w:rsid w:val="003234ED"/>
    <w:rsid w:val="0032352E"/>
    <w:rsid w:val="0032371D"/>
    <w:rsid w:val="0032373B"/>
    <w:rsid w:val="003238C6"/>
    <w:rsid w:val="003239A8"/>
    <w:rsid w:val="00323AC3"/>
    <w:rsid w:val="00323AC6"/>
    <w:rsid w:val="00323B29"/>
    <w:rsid w:val="00323B34"/>
    <w:rsid w:val="00323B7A"/>
    <w:rsid w:val="00323B9B"/>
    <w:rsid w:val="00323BBD"/>
    <w:rsid w:val="00323BEF"/>
    <w:rsid w:val="00323C05"/>
    <w:rsid w:val="00323C5E"/>
    <w:rsid w:val="00323E12"/>
    <w:rsid w:val="00323E77"/>
    <w:rsid w:val="00323E7F"/>
    <w:rsid w:val="00323EC9"/>
    <w:rsid w:val="00323F18"/>
    <w:rsid w:val="00323F4A"/>
    <w:rsid w:val="00323FFB"/>
    <w:rsid w:val="003240D0"/>
    <w:rsid w:val="003241A5"/>
    <w:rsid w:val="003242B2"/>
    <w:rsid w:val="003242B8"/>
    <w:rsid w:val="003242F7"/>
    <w:rsid w:val="00324317"/>
    <w:rsid w:val="0032431F"/>
    <w:rsid w:val="0032436D"/>
    <w:rsid w:val="003243E7"/>
    <w:rsid w:val="00324449"/>
    <w:rsid w:val="0032459C"/>
    <w:rsid w:val="003245A6"/>
    <w:rsid w:val="00324636"/>
    <w:rsid w:val="00324665"/>
    <w:rsid w:val="0032468A"/>
    <w:rsid w:val="003246C5"/>
    <w:rsid w:val="0032474A"/>
    <w:rsid w:val="0032477D"/>
    <w:rsid w:val="00324781"/>
    <w:rsid w:val="003247FF"/>
    <w:rsid w:val="00324808"/>
    <w:rsid w:val="00324AF4"/>
    <w:rsid w:val="00324BAF"/>
    <w:rsid w:val="00324BB4"/>
    <w:rsid w:val="00324BEB"/>
    <w:rsid w:val="00324C7A"/>
    <w:rsid w:val="00324C99"/>
    <w:rsid w:val="00324DE9"/>
    <w:rsid w:val="00324FE8"/>
    <w:rsid w:val="0032518F"/>
    <w:rsid w:val="003253D9"/>
    <w:rsid w:val="00325411"/>
    <w:rsid w:val="00325551"/>
    <w:rsid w:val="00325575"/>
    <w:rsid w:val="00325577"/>
    <w:rsid w:val="00325643"/>
    <w:rsid w:val="00325757"/>
    <w:rsid w:val="003257CE"/>
    <w:rsid w:val="003257D0"/>
    <w:rsid w:val="00325807"/>
    <w:rsid w:val="003258B4"/>
    <w:rsid w:val="0032594F"/>
    <w:rsid w:val="00325A1F"/>
    <w:rsid w:val="00325A5E"/>
    <w:rsid w:val="00325A84"/>
    <w:rsid w:val="00325AFF"/>
    <w:rsid w:val="00325B6E"/>
    <w:rsid w:val="00325B8D"/>
    <w:rsid w:val="00325C39"/>
    <w:rsid w:val="003261E6"/>
    <w:rsid w:val="0032628D"/>
    <w:rsid w:val="00326293"/>
    <w:rsid w:val="003264AA"/>
    <w:rsid w:val="003265A1"/>
    <w:rsid w:val="0032672B"/>
    <w:rsid w:val="0032674A"/>
    <w:rsid w:val="003267F9"/>
    <w:rsid w:val="00326818"/>
    <w:rsid w:val="0032687F"/>
    <w:rsid w:val="003268F3"/>
    <w:rsid w:val="00326960"/>
    <w:rsid w:val="003269CD"/>
    <w:rsid w:val="00326A10"/>
    <w:rsid w:val="00326B51"/>
    <w:rsid w:val="00326BDE"/>
    <w:rsid w:val="00326BEC"/>
    <w:rsid w:val="00326C66"/>
    <w:rsid w:val="00326D2E"/>
    <w:rsid w:val="00326D7D"/>
    <w:rsid w:val="00326EBA"/>
    <w:rsid w:val="00326FB6"/>
    <w:rsid w:val="00326FC4"/>
    <w:rsid w:val="00327126"/>
    <w:rsid w:val="003271D6"/>
    <w:rsid w:val="00327376"/>
    <w:rsid w:val="00327378"/>
    <w:rsid w:val="003273C2"/>
    <w:rsid w:val="003273F9"/>
    <w:rsid w:val="00327489"/>
    <w:rsid w:val="003276D9"/>
    <w:rsid w:val="0032771F"/>
    <w:rsid w:val="003277E7"/>
    <w:rsid w:val="00327821"/>
    <w:rsid w:val="00327846"/>
    <w:rsid w:val="003279CD"/>
    <w:rsid w:val="00327AE5"/>
    <w:rsid w:val="00327AE8"/>
    <w:rsid w:val="00327AF2"/>
    <w:rsid w:val="00327BC0"/>
    <w:rsid w:val="00327BDA"/>
    <w:rsid w:val="00327C01"/>
    <w:rsid w:val="00327E64"/>
    <w:rsid w:val="00327F32"/>
    <w:rsid w:val="00327F3C"/>
    <w:rsid w:val="00327FEA"/>
    <w:rsid w:val="00330055"/>
    <w:rsid w:val="00330059"/>
    <w:rsid w:val="003300E3"/>
    <w:rsid w:val="0033012A"/>
    <w:rsid w:val="00330146"/>
    <w:rsid w:val="003301E8"/>
    <w:rsid w:val="00330220"/>
    <w:rsid w:val="0033025D"/>
    <w:rsid w:val="00330279"/>
    <w:rsid w:val="003303D1"/>
    <w:rsid w:val="0033051C"/>
    <w:rsid w:val="0033071D"/>
    <w:rsid w:val="00330867"/>
    <w:rsid w:val="003308AE"/>
    <w:rsid w:val="00330CBA"/>
    <w:rsid w:val="00330D0F"/>
    <w:rsid w:val="00330D30"/>
    <w:rsid w:val="00330DC8"/>
    <w:rsid w:val="00330E43"/>
    <w:rsid w:val="00330F31"/>
    <w:rsid w:val="00330F32"/>
    <w:rsid w:val="00331001"/>
    <w:rsid w:val="00331031"/>
    <w:rsid w:val="0033104F"/>
    <w:rsid w:val="0033107E"/>
    <w:rsid w:val="0033111F"/>
    <w:rsid w:val="0033114C"/>
    <w:rsid w:val="0033122C"/>
    <w:rsid w:val="003313A4"/>
    <w:rsid w:val="003313C3"/>
    <w:rsid w:val="0033144C"/>
    <w:rsid w:val="00331481"/>
    <w:rsid w:val="0033149E"/>
    <w:rsid w:val="003314B9"/>
    <w:rsid w:val="003316BE"/>
    <w:rsid w:val="00331707"/>
    <w:rsid w:val="0033170F"/>
    <w:rsid w:val="0033171F"/>
    <w:rsid w:val="00331759"/>
    <w:rsid w:val="003318E1"/>
    <w:rsid w:val="003319E0"/>
    <w:rsid w:val="003319F3"/>
    <w:rsid w:val="00331A78"/>
    <w:rsid w:val="00331AC0"/>
    <w:rsid w:val="00331C00"/>
    <w:rsid w:val="00331C31"/>
    <w:rsid w:val="00331CA6"/>
    <w:rsid w:val="00331D1F"/>
    <w:rsid w:val="00331D20"/>
    <w:rsid w:val="00331E03"/>
    <w:rsid w:val="00331EBD"/>
    <w:rsid w:val="00331F99"/>
    <w:rsid w:val="00331FF4"/>
    <w:rsid w:val="0033212D"/>
    <w:rsid w:val="0033218C"/>
    <w:rsid w:val="00332378"/>
    <w:rsid w:val="0033238F"/>
    <w:rsid w:val="0033243F"/>
    <w:rsid w:val="00332502"/>
    <w:rsid w:val="0033252C"/>
    <w:rsid w:val="0033256E"/>
    <w:rsid w:val="00332630"/>
    <w:rsid w:val="003329D4"/>
    <w:rsid w:val="003329F8"/>
    <w:rsid w:val="00332B38"/>
    <w:rsid w:val="00332C27"/>
    <w:rsid w:val="00332D11"/>
    <w:rsid w:val="00332D83"/>
    <w:rsid w:val="00332FFC"/>
    <w:rsid w:val="00333052"/>
    <w:rsid w:val="003330FA"/>
    <w:rsid w:val="003331B4"/>
    <w:rsid w:val="00333214"/>
    <w:rsid w:val="003334DE"/>
    <w:rsid w:val="00333588"/>
    <w:rsid w:val="003335E0"/>
    <w:rsid w:val="0033367C"/>
    <w:rsid w:val="00333740"/>
    <w:rsid w:val="0033378C"/>
    <w:rsid w:val="0033386F"/>
    <w:rsid w:val="00333985"/>
    <w:rsid w:val="003339A4"/>
    <w:rsid w:val="00333A8C"/>
    <w:rsid w:val="00333ABF"/>
    <w:rsid w:val="00333B39"/>
    <w:rsid w:val="00333BDB"/>
    <w:rsid w:val="00333C63"/>
    <w:rsid w:val="00333D69"/>
    <w:rsid w:val="00333D6C"/>
    <w:rsid w:val="00333DA1"/>
    <w:rsid w:val="00333E15"/>
    <w:rsid w:val="00333EF7"/>
    <w:rsid w:val="0033400B"/>
    <w:rsid w:val="0033404D"/>
    <w:rsid w:val="003340C6"/>
    <w:rsid w:val="003342CC"/>
    <w:rsid w:val="003342CF"/>
    <w:rsid w:val="00334304"/>
    <w:rsid w:val="00334394"/>
    <w:rsid w:val="0033448F"/>
    <w:rsid w:val="003344CC"/>
    <w:rsid w:val="00334590"/>
    <w:rsid w:val="0033466B"/>
    <w:rsid w:val="00334709"/>
    <w:rsid w:val="00334720"/>
    <w:rsid w:val="003347E6"/>
    <w:rsid w:val="0033482B"/>
    <w:rsid w:val="003349DA"/>
    <w:rsid w:val="00334C69"/>
    <w:rsid w:val="00334C97"/>
    <w:rsid w:val="00334D37"/>
    <w:rsid w:val="00334E5D"/>
    <w:rsid w:val="00334EA0"/>
    <w:rsid w:val="00334F2E"/>
    <w:rsid w:val="003350AD"/>
    <w:rsid w:val="003351A6"/>
    <w:rsid w:val="003351BB"/>
    <w:rsid w:val="003351F8"/>
    <w:rsid w:val="003351FF"/>
    <w:rsid w:val="0033524F"/>
    <w:rsid w:val="003352DE"/>
    <w:rsid w:val="003353AD"/>
    <w:rsid w:val="00335408"/>
    <w:rsid w:val="0033543E"/>
    <w:rsid w:val="00335441"/>
    <w:rsid w:val="003354B8"/>
    <w:rsid w:val="00335703"/>
    <w:rsid w:val="00335952"/>
    <w:rsid w:val="003359CA"/>
    <w:rsid w:val="00335C20"/>
    <w:rsid w:val="00335D61"/>
    <w:rsid w:val="00335E38"/>
    <w:rsid w:val="00335F16"/>
    <w:rsid w:val="00335FF2"/>
    <w:rsid w:val="00336067"/>
    <w:rsid w:val="003360AE"/>
    <w:rsid w:val="00336108"/>
    <w:rsid w:val="0033617D"/>
    <w:rsid w:val="003361C2"/>
    <w:rsid w:val="0033622E"/>
    <w:rsid w:val="00336324"/>
    <w:rsid w:val="00336344"/>
    <w:rsid w:val="003363C8"/>
    <w:rsid w:val="00336420"/>
    <w:rsid w:val="0033647E"/>
    <w:rsid w:val="0033652F"/>
    <w:rsid w:val="003365BB"/>
    <w:rsid w:val="00336604"/>
    <w:rsid w:val="0033664A"/>
    <w:rsid w:val="00336673"/>
    <w:rsid w:val="00336687"/>
    <w:rsid w:val="003366B6"/>
    <w:rsid w:val="003366C0"/>
    <w:rsid w:val="003366FB"/>
    <w:rsid w:val="00336849"/>
    <w:rsid w:val="003369B4"/>
    <w:rsid w:val="00336B8B"/>
    <w:rsid w:val="00336C80"/>
    <w:rsid w:val="00336C8A"/>
    <w:rsid w:val="00336DDD"/>
    <w:rsid w:val="00336E38"/>
    <w:rsid w:val="00336E7D"/>
    <w:rsid w:val="00336EAB"/>
    <w:rsid w:val="00336F1C"/>
    <w:rsid w:val="00336F65"/>
    <w:rsid w:val="0033706B"/>
    <w:rsid w:val="00337089"/>
    <w:rsid w:val="003370D5"/>
    <w:rsid w:val="00337294"/>
    <w:rsid w:val="00337680"/>
    <w:rsid w:val="0033774D"/>
    <w:rsid w:val="003377F3"/>
    <w:rsid w:val="00337948"/>
    <w:rsid w:val="00337962"/>
    <w:rsid w:val="00337993"/>
    <w:rsid w:val="00337A3A"/>
    <w:rsid w:val="00337A41"/>
    <w:rsid w:val="00337A98"/>
    <w:rsid w:val="00337B1E"/>
    <w:rsid w:val="00337B69"/>
    <w:rsid w:val="00337B8B"/>
    <w:rsid w:val="00337C66"/>
    <w:rsid w:val="00337CDA"/>
    <w:rsid w:val="00337D97"/>
    <w:rsid w:val="00337E44"/>
    <w:rsid w:val="00337E92"/>
    <w:rsid w:val="00337F8A"/>
    <w:rsid w:val="00340042"/>
    <w:rsid w:val="0034005D"/>
    <w:rsid w:val="003400B1"/>
    <w:rsid w:val="00340182"/>
    <w:rsid w:val="0034018D"/>
    <w:rsid w:val="0034019E"/>
    <w:rsid w:val="0034021A"/>
    <w:rsid w:val="0034024A"/>
    <w:rsid w:val="003402B7"/>
    <w:rsid w:val="00340448"/>
    <w:rsid w:val="0034050F"/>
    <w:rsid w:val="00340607"/>
    <w:rsid w:val="00340649"/>
    <w:rsid w:val="0034065E"/>
    <w:rsid w:val="003406D6"/>
    <w:rsid w:val="003406D9"/>
    <w:rsid w:val="0034073B"/>
    <w:rsid w:val="003407A0"/>
    <w:rsid w:val="00340875"/>
    <w:rsid w:val="003409EB"/>
    <w:rsid w:val="00340A36"/>
    <w:rsid w:val="00340ADC"/>
    <w:rsid w:val="00340B03"/>
    <w:rsid w:val="00340B26"/>
    <w:rsid w:val="00340B33"/>
    <w:rsid w:val="00340C9A"/>
    <w:rsid w:val="00340E15"/>
    <w:rsid w:val="00340E26"/>
    <w:rsid w:val="00340EEC"/>
    <w:rsid w:val="00340EFD"/>
    <w:rsid w:val="00340F62"/>
    <w:rsid w:val="0034100A"/>
    <w:rsid w:val="0034112C"/>
    <w:rsid w:val="0034119E"/>
    <w:rsid w:val="003411B6"/>
    <w:rsid w:val="003411C4"/>
    <w:rsid w:val="00341234"/>
    <w:rsid w:val="00341577"/>
    <w:rsid w:val="00341581"/>
    <w:rsid w:val="003415B5"/>
    <w:rsid w:val="00341623"/>
    <w:rsid w:val="0034168F"/>
    <w:rsid w:val="003417A8"/>
    <w:rsid w:val="00341827"/>
    <w:rsid w:val="00341895"/>
    <w:rsid w:val="003418BD"/>
    <w:rsid w:val="00341982"/>
    <w:rsid w:val="003419C1"/>
    <w:rsid w:val="00341AA3"/>
    <w:rsid w:val="00341AB5"/>
    <w:rsid w:val="00341B9D"/>
    <w:rsid w:val="00341C10"/>
    <w:rsid w:val="00341D26"/>
    <w:rsid w:val="00341D83"/>
    <w:rsid w:val="00341D9C"/>
    <w:rsid w:val="00341E7A"/>
    <w:rsid w:val="00341F83"/>
    <w:rsid w:val="003420E1"/>
    <w:rsid w:val="00342163"/>
    <w:rsid w:val="00342388"/>
    <w:rsid w:val="00342432"/>
    <w:rsid w:val="00342448"/>
    <w:rsid w:val="003424D2"/>
    <w:rsid w:val="003426BC"/>
    <w:rsid w:val="0034274C"/>
    <w:rsid w:val="0034282A"/>
    <w:rsid w:val="0034283A"/>
    <w:rsid w:val="00342892"/>
    <w:rsid w:val="00342A01"/>
    <w:rsid w:val="00342A05"/>
    <w:rsid w:val="00342AAB"/>
    <w:rsid w:val="00342B63"/>
    <w:rsid w:val="00342BE4"/>
    <w:rsid w:val="00342C02"/>
    <w:rsid w:val="00342C94"/>
    <w:rsid w:val="00342CDD"/>
    <w:rsid w:val="00342D66"/>
    <w:rsid w:val="00342D6D"/>
    <w:rsid w:val="00342EE2"/>
    <w:rsid w:val="00342F3A"/>
    <w:rsid w:val="00342FC7"/>
    <w:rsid w:val="00342FF8"/>
    <w:rsid w:val="00343010"/>
    <w:rsid w:val="00343088"/>
    <w:rsid w:val="00343121"/>
    <w:rsid w:val="0034318D"/>
    <w:rsid w:val="003431BB"/>
    <w:rsid w:val="003431E2"/>
    <w:rsid w:val="00343295"/>
    <w:rsid w:val="00343315"/>
    <w:rsid w:val="00343395"/>
    <w:rsid w:val="003433FF"/>
    <w:rsid w:val="00343495"/>
    <w:rsid w:val="003434AC"/>
    <w:rsid w:val="003434E0"/>
    <w:rsid w:val="003434FE"/>
    <w:rsid w:val="0034356D"/>
    <w:rsid w:val="003435FA"/>
    <w:rsid w:val="00343607"/>
    <w:rsid w:val="003436B6"/>
    <w:rsid w:val="003436BC"/>
    <w:rsid w:val="0034371E"/>
    <w:rsid w:val="003438E5"/>
    <w:rsid w:val="0034391B"/>
    <w:rsid w:val="003439A1"/>
    <w:rsid w:val="003439F6"/>
    <w:rsid w:val="00343AF2"/>
    <w:rsid w:val="00343B77"/>
    <w:rsid w:val="00343CC9"/>
    <w:rsid w:val="00343CEB"/>
    <w:rsid w:val="00343DC6"/>
    <w:rsid w:val="00343DFA"/>
    <w:rsid w:val="00343F35"/>
    <w:rsid w:val="00343FB9"/>
    <w:rsid w:val="00343FE3"/>
    <w:rsid w:val="0034403B"/>
    <w:rsid w:val="00344053"/>
    <w:rsid w:val="003441F4"/>
    <w:rsid w:val="003442C6"/>
    <w:rsid w:val="003442DB"/>
    <w:rsid w:val="003442E1"/>
    <w:rsid w:val="003444B2"/>
    <w:rsid w:val="0034471D"/>
    <w:rsid w:val="003447CC"/>
    <w:rsid w:val="003447E8"/>
    <w:rsid w:val="003447FC"/>
    <w:rsid w:val="00344815"/>
    <w:rsid w:val="003448E3"/>
    <w:rsid w:val="00344B3B"/>
    <w:rsid w:val="00344C7A"/>
    <w:rsid w:val="00344D14"/>
    <w:rsid w:val="00344D7C"/>
    <w:rsid w:val="00344D81"/>
    <w:rsid w:val="00344DB8"/>
    <w:rsid w:val="00344F8C"/>
    <w:rsid w:val="00344F96"/>
    <w:rsid w:val="003450D9"/>
    <w:rsid w:val="0034513C"/>
    <w:rsid w:val="00345162"/>
    <w:rsid w:val="0034523C"/>
    <w:rsid w:val="00345267"/>
    <w:rsid w:val="00345305"/>
    <w:rsid w:val="00345328"/>
    <w:rsid w:val="0034539C"/>
    <w:rsid w:val="0034546D"/>
    <w:rsid w:val="003455F0"/>
    <w:rsid w:val="00345688"/>
    <w:rsid w:val="003457DB"/>
    <w:rsid w:val="00345890"/>
    <w:rsid w:val="00345977"/>
    <w:rsid w:val="0034598A"/>
    <w:rsid w:val="003459F6"/>
    <w:rsid w:val="00345A09"/>
    <w:rsid w:val="00345A38"/>
    <w:rsid w:val="00345A40"/>
    <w:rsid w:val="00345A55"/>
    <w:rsid w:val="00345B03"/>
    <w:rsid w:val="00345B34"/>
    <w:rsid w:val="00345B43"/>
    <w:rsid w:val="00345BA9"/>
    <w:rsid w:val="00345D70"/>
    <w:rsid w:val="00345DF5"/>
    <w:rsid w:val="0034619D"/>
    <w:rsid w:val="003461D3"/>
    <w:rsid w:val="003461FF"/>
    <w:rsid w:val="00346232"/>
    <w:rsid w:val="003462FC"/>
    <w:rsid w:val="0034634B"/>
    <w:rsid w:val="0034637E"/>
    <w:rsid w:val="00346540"/>
    <w:rsid w:val="00346582"/>
    <w:rsid w:val="003465F9"/>
    <w:rsid w:val="00346761"/>
    <w:rsid w:val="0034680A"/>
    <w:rsid w:val="003468A2"/>
    <w:rsid w:val="00346917"/>
    <w:rsid w:val="0034692F"/>
    <w:rsid w:val="003469AD"/>
    <w:rsid w:val="003469FB"/>
    <w:rsid w:val="00346A50"/>
    <w:rsid w:val="00346A7E"/>
    <w:rsid w:val="00346B8E"/>
    <w:rsid w:val="00346C9D"/>
    <w:rsid w:val="00346EFF"/>
    <w:rsid w:val="0034704F"/>
    <w:rsid w:val="0034707E"/>
    <w:rsid w:val="0034708F"/>
    <w:rsid w:val="00347174"/>
    <w:rsid w:val="00347199"/>
    <w:rsid w:val="003471B3"/>
    <w:rsid w:val="0034723D"/>
    <w:rsid w:val="003472C2"/>
    <w:rsid w:val="00347360"/>
    <w:rsid w:val="00347402"/>
    <w:rsid w:val="003474B0"/>
    <w:rsid w:val="003474C2"/>
    <w:rsid w:val="003475FB"/>
    <w:rsid w:val="003476E9"/>
    <w:rsid w:val="0034793B"/>
    <w:rsid w:val="00347989"/>
    <w:rsid w:val="00347A48"/>
    <w:rsid w:val="00347BC2"/>
    <w:rsid w:val="00347C6B"/>
    <w:rsid w:val="00347C74"/>
    <w:rsid w:val="00347D19"/>
    <w:rsid w:val="00347E3D"/>
    <w:rsid w:val="00347F38"/>
    <w:rsid w:val="00347F82"/>
    <w:rsid w:val="003500B4"/>
    <w:rsid w:val="0035013A"/>
    <w:rsid w:val="0035014F"/>
    <w:rsid w:val="00350197"/>
    <w:rsid w:val="003501C0"/>
    <w:rsid w:val="003501D2"/>
    <w:rsid w:val="003501E1"/>
    <w:rsid w:val="0035022E"/>
    <w:rsid w:val="003502F1"/>
    <w:rsid w:val="003504FB"/>
    <w:rsid w:val="003505CD"/>
    <w:rsid w:val="003505D7"/>
    <w:rsid w:val="00350640"/>
    <w:rsid w:val="0035064F"/>
    <w:rsid w:val="0035082E"/>
    <w:rsid w:val="00350867"/>
    <w:rsid w:val="00350916"/>
    <w:rsid w:val="003509B5"/>
    <w:rsid w:val="00350AB4"/>
    <w:rsid w:val="00350AF2"/>
    <w:rsid w:val="00350AFE"/>
    <w:rsid w:val="00350BFF"/>
    <w:rsid w:val="00350C42"/>
    <w:rsid w:val="00350D19"/>
    <w:rsid w:val="00350D44"/>
    <w:rsid w:val="00350D6C"/>
    <w:rsid w:val="00350D7A"/>
    <w:rsid w:val="00350DB1"/>
    <w:rsid w:val="00350E59"/>
    <w:rsid w:val="00350E76"/>
    <w:rsid w:val="00350ECE"/>
    <w:rsid w:val="00350ED9"/>
    <w:rsid w:val="00350FF5"/>
    <w:rsid w:val="00351074"/>
    <w:rsid w:val="0035111D"/>
    <w:rsid w:val="00351163"/>
    <w:rsid w:val="00351241"/>
    <w:rsid w:val="0035126E"/>
    <w:rsid w:val="003514B2"/>
    <w:rsid w:val="003514DA"/>
    <w:rsid w:val="00351581"/>
    <w:rsid w:val="0035159F"/>
    <w:rsid w:val="003517E1"/>
    <w:rsid w:val="00351805"/>
    <w:rsid w:val="00351842"/>
    <w:rsid w:val="0035184A"/>
    <w:rsid w:val="00351890"/>
    <w:rsid w:val="003518FC"/>
    <w:rsid w:val="00351AF7"/>
    <w:rsid w:val="00351C9B"/>
    <w:rsid w:val="00351CFD"/>
    <w:rsid w:val="00351D72"/>
    <w:rsid w:val="00351DB4"/>
    <w:rsid w:val="00351E45"/>
    <w:rsid w:val="00351F39"/>
    <w:rsid w:val="00351F96"/>
    <w:rsid w:val="0035217A"/>
    <w:rsid w:val="00352180"/>
    <w:rsid w:val="00352206"/>
    <w:rsid w:val="00352297"/>
    <w:rsid w:val="00352299"/>
    <w:rsid w:val="003522FD"/>
    <w:rsid w:val="00352441"/>
    <w:rsid w:val="0035253B"/>
    <w:rsid w:val="0035268E"/>
    <w:rsid w:val="0035271F"/>
    <w:rsid w:val="00352735"/>
    <w:rsid w:val="0035279C"/>
    <w:rsid w:val="003528A3"/>
    <w:rsid w:val="003528F0"/>
    <w:rsid w:val="00352A60"/>
    <w:rsid w:val="00352B0B"/>
    <w:rsid w:val="00352B3B"/>
    <w:rsid w:val="00352B8D"/>
    <w:rsid w:val="00352BFD"/>
    <w:rsid w:val="00352C36"/>
    <w:rsid w:val="00352D09"/>
    <w:rsid w:val="00352E19"/>
    <w:rsid w:val="00352F31"/>
    <w:rsid w:val="00352F82"/>
    <w:rsid w:val="00352FF5"/>
    <w:rsid w:val="00353068"/>
    <w:rsid w:val="003530CC"/>
    <w:rsid w:val="00353109"/>
    <w:rsid w:val="00353112"/>
    <w:rsid w:val="0035312A"/>
    <w:rsid w:val="00353199"/>
    <w:rsid w:val="0035320D"/>
    <w:rsid w:val="0035331A"/>
    <w:rsid w:val="003533E3"/>
    <w:rsid w:val="003533F2"/>
    <w:rsid w:val="0035344F"/>
    <w:rsid w:val="00353476"/>
    <w:rsid w:val="0035348A"/>
    <w:rsid w:val="0035367E"/>
    <w:rsid w:val="00353692"/>
    <w:rsid w:val="003536E1"/>
    <w:rsid w:val="0035370A"/>
    <w:rsid w:val="00353895"/>
    <w:rsid w:val="003538E3"/>
    <w:rsid w:val="003538F9"/>
    <w:rsid w:val="003539A5"/>
    <w:rsid w:val="00353B20"/>
    <w:rsid w:val="00353B59"/>
    <w:rsid w:val="00353CA6"/>
    <w:rsid w:val="00353E41"/>
    <w:rsid w:val="00353F1D"/>
    <w:rsid w:val="00354027"/>
    <w:rsid w:val="00354099"/>
    <w:rsid w:val="003540E5"/>
    <w:rsid w:val="00354234"/>
    <w:rsid w:val="003542C7"/>
    <w:rsid w:val="003543E8"/>
    <w:rsid w:val="00354544"/>
    <w:rsid w:val="00354579"/>
    <w:rsid w:val="00354589"/>
    <w:rsid w:val="0035462B"/>
    <w:rsid w:val="00354652"/>
    <w:rsid w:val="00354675"/>
    <w:rsid w:val="00354676"/>
    <w:rsid w:val="0035478B"/>
    <w:rsid w:val="0035483A"/>
    <w:rsid w:val="0035483F"/>
    <w:rsid w:val="003548C5"/>
    <w:rsid w:val="0035495C"/>
    <w:rsid w:val="0035495E"/>
    <w:rsid w:val="00354B9C"/>
    <w:rsid w:val="00354C58"/>
    <w:rsid w:val="00354CBC"/>
    <w:rsid w:val="00354DA3"/>
    <w:rsid w:val="00354DEA"/>
    <w:rsid w:val="00354E15"/>
    <w:rsid w:val="00354E8F"/>
    <w:rsid w:val="00354ED8"/>
    <w:rsid w:val="00354F53"/>
    <w:rsid w:val="00355068"/>
    <w:rsid w:val="0035507C"/>
    <w:rsid w:val="00355131"/>
    <w:rsid w:val="003552E4"/>
    <w:rsid w:val="00355321"/>
    <w:rsid w:val="00355383"/>
    <w:rsid w:val="00355387"/>
    <w:rsid w:val="003553C3"/>
    <w:rsid w:val="00355447"/>
    <w:rsid w:val="0035545F"/>
    <w:rsid w:val="0035548C"/>
    <w:rsid w:val="00355554"/>
    <w:rsid w:val="003555DA"/>
    <w:rsid w:val="0035565B"/>
    <w:rsid w:val="00355678"/>
    <w:rsid w:val="003556C5"/>
    <w:rsid w:val="0035576E"/>
    <w:rsid w:val="003557E8"/>
    <w:rsid w:val="00355831"/>
    <w:rsid w:val="003558E2"/>
    <w:rsid w:val="003558F0"/>
    <w:rsid w:val="0035596F"/>
    <w:rsid w:val="00355AC3"/>
    <w:rsid w:val="00355AC6"/>
    <w:rsid w:val="00355AD5"/>
    <w:rsid w:val="00355B2D"/>
    <w:rsid w:val="00355B41"/>
    <w:rsid w:val="00355C6B"/>
    <w:rsid w:val="00355CD5"/>
    <w:rsid w:val="00355D8C"/>
    <w:rsid w:val="00355E70"/>
    <w:rsid w:val="00355FC8"/>
    <w:rsid w:val="0035605F"/>
    <w:rsid w:val="003560DF"/>
    <w:rsid w:val="003562A1"/>
    <w:rsid w:val="0035630E"/>
    <w:rsid w:val="00356435"/>
    <w:rsid w:val="0035644B"/>
    <w:rsid w:val="003564A5"/>
    <w:rsid w:val="00356506"/>
    <w:rsid w:val="003565CB"/>
    <w:rsid w:val="003566B2"/>
    <w:rsid w:val="00356730"/>
    <w:rsid w:val="00356787"/>
    <w:rsid w:val="003567BC"/>
    <w:rsid w:val="00356834"/>
    <w:rsid w:val="003568F4"/>
    <w:rsid w:val="00356940"/>
    <w:rsid w:val="0035698E"/>
    <w:rsid w:val="00356ACF"/>
    <w:rsid w:val="00356C46"/>
    <w:rsid w:val="00356D2D"/>
    <w:rsid w:val="00356DB9"/>
    <w:rsid w:val="00356DE8"/>
    <w:rsid w:val="00356E6E"/>
    <w:rsid w:val="00356E78"/>
    <w:rsid w:val="00356E97"/>
    <w:rsid w:val="00356E99"/>
    <w:rsid w:val="00356ED8"/>
    <w:rsid w:val="00356EDA"/>
    <w:rsid w:val="00356F10"/>
    <w:rsid w:val="00356FD4"/>
    <w:rsid w:val="003571BB"/>
    <w:rsid w:val="00357380"/>
    <w:rsid w:val="003573E3"/>
    <w:rsid w:val="00357458"/>
    <w:rsid w:val="003575D8"/>
    <w:rsid w:val="00357674"/>
    <w:rsid w:val="003576CB"/>
    <w:rsid w:val="003576E5"/>
    <w:rsid w:val="0035773F"/>
    <w:rsid w:val="00357989"/>
    <w:rsid w:val="003579A2"/>
    <w:rsid w:val="00357B23"/>
    <w:rsid w:val="00357C4D"/>
    <w:rsid w:val="00357C68"/>
    <w:rsid w:val="00357C6D"/>
    <w:rsid w:val="00357CC0"/>
    <w:rsid w:val="00357D2C"/>
    <w:rsid w:val="00357DCF"/>
    <w:rsid w:val="00357E4F"/>
    <w:rsid w:val="00357E9D"/>
    <w:rsid w:val="00357F37"/>
    <w:rsid w:val="00357F49"/>
    <w:rsid w:val="00357F8B"/>
    <w:rsid w:val="00360195"/>
    <w:rsid w:val="00360291"/>
    <w:rsid w:val="00360301"/>
    <w:rsid w:val="00360343"/>
    <w:rsid w:val="00360409"/>
    <w:rsid w:val="003605CB"/>
    <w:rsid w:val="00360664"/>
    <w:rsid w:val="003606DD"/>
    <w:rsid w:val="003607BE"/>
    <w:rsid w:val="00360892"/>
    <w:rsid w:val="003608BE"/>
    <w:rsid w:val="0036091F"/>
    <w:rsid w:val="00360937"/>
    <w:rsid w:val="00360A81"/>
    <w:rsid w:val="00360AE3"/>
    <w:rsid w:val="00360C70"/>
    <w:rsid w:val="00360CBD"/>
    <w:rsid w:val="00360DCB"/>
    <w:rsid w:val="00360E4F"/>
    <w:rsid w:val="00360E5A"/>
    <w:rsid w:val="00360F87"/>
    <w:rsid w:val="003611AD"/>
    <w:rsid w:val="00361435"/>
    <w:rsid w:val="00361568"/>
    <w:rsid w:val="0036159E"/>
    <w:rsid w:val="003615A5"/>
    <w:rsid w:val="0036176E"/>
    <w:rsid w:val="00361A55"/>
    <w:rsid w:val="00361B9B"/>
    <w:rsid w:val="00361BBC"/>
    <w:rsid w:val="00361CEF"/>
    <w:rsid w:val="00361D69"/>
    <w:rsid w:val="00361D9A"/>
    <w:rsid w:val="00361ECF"/>
    <w:rsid w:val="00361F35"/>
    <w:rsid w:val="00361F9D"/>
    <w:rsid w:val="00361FA5"/>
    <w:rsid w:val="003620F1"/>
    <w:rsid w:val="003622C6"/>
    <w:rsid w:val="0036241C"/>
    <w:rsid w:val="00362455"/>
    <w:rsid w:val="00362469"/>
    <w:rsid w:val="003624ED"/>
    <w:rsid w:val="00362750"/>
    <w:rsid w:val="00362860"/>
    <w:rsid w:val="0036292A"/>
    <w:rsid w:val="003629FF"/>
    <w:rsid w:val="00362AAC"/>
    <w:rsid w:val="00362AC8"/>
    <w:rsid w:val="00362C0F"/>
    <w:rsid w:val="00362CEC"/>
    <w:rsid w:val="00362E1C"/>
    <w:rsid w:val="00362E8C"/>
    <w:rsid w:val="00362E9A"/>
    <w:rsid w:val="00362EC0"/>
    <w:rsid w:val="0036302E"/>
    <w:rsid w:val="00363067"/>
    <w:rsid w:val="003631B5"/>
    <w:rsid w:val="003631F1"/>
    <w:rsid w:val="00363203"/>
    <w:rsid w:val="003632EA"/>
    <w:rsid w:val="00363303"/>
    <w:rsid w:val="003633F5"/>
    <w:rsid w:val="00363443"/>
    <w:rsid w:val="00363504"/>
    <w:rsid w:val="0036350F"/>
    <w:rsid w:val="00363688"/>
    <w:rsid w:val="0036370D"/>
    <w:rsid w:val="0036373B"/>
    <w:rsid w:val="003638A6"/>
    <w:rsid w:val="00363A07"/>
    <w:rsid w:val="00363A7F"/>
    <w:rsid w:val="00363ABD"/>
    <w:rsid w:val="00363AD3"/>
    <w:rsid w:val="00363B0C"/>
    <w:rsid w:val="00363BB3"/>
    <w:rsid w:val="00363BF9"/>
    <w:rsid w:val="00363C1F"/>
    <w:rsid w:val="00363CE0"/>
    <w:rsid w:val="00363DFF"/>
    <w:rsid w:val="00363EBC"/>
    <w:rsid w:val="003640FB"/>
    <w:rsid w:val="00364121"/>
    <w:rsid w:val="003641B2"/>
    <w:rsid w:val="003641F3"/>
    <w:rsid w:val="003642B3"/>
    <w:rsid w:val="003642EF"/>
    <w:rsid w:val="00364394"/>
    <w:rsid w:val="00364397"/>
    <w:rsid w:val="003643E3"/>
    <w:rsid w:val="00364404"/>
    <w:rsid w:val="0036442F"/>
    <w:rsid w:val="00364431"/>
    <w:rsid w:val="00364460"/>
    <w:rsid w:val="00364565"/>
    <w:rsid w:val="00364569"/>
    <w:rsid w:val="003645D8"/>
    <w:rsid w:val="0036462A"/>
    <w:rsid w:val="00364635"/>
    <w:rsid w:val="003647B3"/>
    <w:rsid w:val="003649A6"/>
    <w:rsid w:val="003649E9"/>
    <w:rsid w:val="00364A9B"/>
    <w:rsid w:val="00364AD0"/>
    <w:rsid w:val="00364B0E"/>
    <w:rsid w:val="00364B19"/>
    <w:rsid w:val="00364B49"/>
    <w:rsid w:val="00364C2D"/>
    <w:rsid w:val="00364D3C"/>
    <w:rsid w:val="00364E23"/>
    <w:rsid w:val="00364EB0"/>
    <w:rsid w:val="00364EFA"/>
    <w:rsid w:val="00364F50"/>
    <w:rsid w:val="0036505D"/>
    <w:rsid w:val="003650CD"/>
    <w:rsid w:val="003650F0"/>
    <w:rsid w:val="00365188"/>
    <w:rsid w:val="00365189"/>
    <w:rsid w:val="00365241"/>
    <w:rsid w:val="00365274"/>
    <w:rsid w:val="003653EB"/>
    <w:rsid w:val="0036540A"/>
    <w:rsid w:val="0036544A"/>
    <w:rsid w:val="00365467"/>
    <w:rsid w:val="00365519"/>
    <w:rsid w:val="0036551A"/>
    <w:rsid w:val="00365534"/>
    <w:rsid w:val="003655D3"/>
    <w:rsid w:val="003655E8"/>
    <w:rsid w:val="00365606"/>
    <w:rsid w:val="00365607"/>
    <w:rsid w:val="0036576B"/>
    <w:rsid w:val="0036581B"/>
    <w:rsid w:val="003658BA"/>
    <w:rsid w:val="00365918"/>
    <w:rsid w:val="00365B27"/>
    <w:rsid w:val="00365C60"/>
    <w:rsid w:val="00365C91"/>
    <w:rsid w:val="00365CA4"/>
    <w:rsid w:val="00365CC9"/>
    <w:rsid w:val="00365CD1"/>
    <w:rsid w:val="00365CD8"/>
    <w:rsid w:val="00365CF3"/>
    <w:rsid w:val="00365E12"/>
    <w:rsid w:val="00365EDD"/>
    <w:rsid w:val="00366040"/>
    <w:rsid w:val="00366059"/>
    <w:rsid w:val="0036607C"/>
    <w:rsid w:val="003660CB"/>
    <w:rsid w:val="003660D6"/>
    <w:rsid w:val="0036610F"/>
    <w:rsid w:val="00366120"/>
    <w:rsid w:val="00366127"/>
    <w:rsid w:val="00366141"/>
    <w:rsid w:val="00366342"/>
    <w:rsid w:val="003663C9"/>
    <w:rsid w:val="003663DA"/>
    <w:rsid w:val="00366611"/>
    <w:rsid w:val="0036663F"/>
    <w:rsid w:val="0036684B"/>
    <w:rsid w:val="00366884"/>
    <w:rsid w:val="00366958"/>
    <w:rsid w:val="00366AAB"/>
    <w:rsid w:val="00366B13"/>
    <w:rsid w:val="00366D79"/>
    <w:rsid w:val="00366D84"/>
    <w:rsid w:val="00366F5E"/>
    <w:rsid w:val="00366F9E"/>
    <w:rsid w:val="00366FA2"/>
    <w:rsid w:val="003670B9"/>
    <w:rsid w:val="00367137"/>
    <w:rsid w:val="0036733B"/>
    <w:rsid w:val="003673E4"/>
    <w:rsid w:val="0036740F"/>
    <w:rsid w:val="0036754D"/>
    <w:rsid w:val="00367594"/>
    <w:rsid w:val="00367614"/>
    <w:rsid w:val="00367853"/>
    <w:rsid w:val="00367861"/>
    <w:rsid w:val="00367963"/>
    <w:rsid w:val="00367A37"/>
    <w:rsid w:val="00367A73"/>
    <w:rsid w:val="00367ABE"/>
    <w:rsid w:val="00367B69"/>
    <w:rsid w:val="00367BA6"/>
    <w:rsid w:val="00367BD4"/>
    <w:rsid w:val="00367CC2"/>
    <w:rsid w:val="00367D88"/>
    <w:rsid w:val="00367DC5"/>
    <w:rsid w:val="00367E05"/>
    <w:rsid w:val="00367E3B"/>
    <w:rsid w:val="00367F3E"/>
    <w:rsid w:val="003700AF"/>
    <w:rsid w:val="003700C4"/>
    <w:rsid w:val="0037012E"/>
    <w:rsid w:val="00370163"/>
    <w:rsid w:val="003701AC"/>
    <w:rsid w:val="00370334"/>
    <w:rsid w:val="00370351"/>
    <w:rsid w:val="00370517"/>
    <w:rsid w:val="0037054A"/>
    <w:rsid w:val="0037070F"/>
    <w:rsid w:val="0037076A"/>
    <w:rsid w:val="003707B9"/>
    <w:rsid w:val="00370824"/>
    <w:rsid w:val="003708A7"/>
    <w:rsid w:val="003708BC"/>
    <w:rsid w:val="003708E5"/>
    <w:rsid w:val="003708FD"/>
    <w:rsid w:val="00370A21"/>
    <w:rsid w:val="00370A26"/>
    <w:rsid w:val="00370AD6"/>
    <w:rsid w:val="00370BE6"/>
    <w:rsid w:val="00370C91"/>
    <w:rsid w:val="00370CE4"/>
    <w:rsid w:val="00370DB2"/>
    <w:rsid w:val="00370DC1"/>
    <w:rsid w:val="00370EA0"/>
    <w:rsid w:val="00370EA5"/>
    <w:rsid w:val="00370EBF"/>
    <w:rsid w:val="00370EDD"/>
    <w:rsid w:val="00370F90"/>
    <w:rsid w:val="00371024"/>
    <w:rsid w:val="00371248"/>
    <w:rsid w:val="003712E9"/>
    <w:rsid w:val="003713E1"/>
    <w:rsid w:val="003713E3"/>
    <w:rsid w:val="00371577"/>
    <w:rsid w:val="003715E2"/>
    <w:rsid w:val="003715EB"/>
    <w:rsid w:val="0037173D"/>
    <w:rsid w:val="003717ED"/>
    <w:rsid w:val="00371803"/>
    <w:rsid w:val="00371806"/>
    <w:rsid w:val="003718A0"/>
    <w:rsid w:val="003719E9"/>
    <w:rsid w:val="00371A33"/>
    <w:rsid w:val="00371A57"/>
    <w:rsid w:val="00371A79"/>
    <w:rsid w:val="00371A97"/>
    <w:rsid w:val="00371AB2"/>
    <w:rsid w:val="00371AFD"/>
    <w:rsid w:val="00371B0D"/>
    <w:rsid w:val="00371BE4"/>
    <w:rsid w:val="00371CB2"/>
    <w:rsid w:val="00371CBE"/>
    <w:rsid w:val="00371CDB"/>
    <w:rsid w:val="00371D11"/>
    <w:rsid w:val="00371E06"/>
    <w:rsid w:val="00371E7A"/>
    <w:rsid w:val="00371E81"/>
    <w:rsid w:val="00371ED2"/>
    <w:rsid w:val="0037214F"/>
    <w:rsid w:val="003721F5"/>
    <w:rsid w:val="00372238"/>
    <w:rsid w:val="0037227E"/>
    <w:rsid w:val="00372362"/>
    <w:rsid w:val="00372365"/>
    <w:rsid w:val="0037243A"/>
    <w:rsid w:val="003725EB"/>
    <w:rsid w:val="0037260D"/>
    <w:rsid w:val="0037269A"/>
    <w:rsid w:val="003726A5"/>
    <w:rsid w:val="00372766"/>
    <w:rsid w:val="0037278D"/>
    <w:rsid w:val="00372825"/>
    <w:rsid w:val="00372A6E"/>
    <w:rsid w:val="00372B34"/>
    <w:rsid w:val="00372B46"/>
    <w:rsid w:val="00372D2E"/>
    <w:rsid w:val="00372EAF"/>
    <w:rsid w:val="00372F7A"/>
    <w:rsid w:val="0037306E"/>
    <w:rsid w:val="00373075"/>
    <w:rsid w:val="00373170"/>
    <w:rsid w:val="00373232"/>
    <w:rsid w:val="003732CD"/>
    <w:rsid w:val="00373320"/>
    <w:rsid w:val="00373545"/>
    <w:rsid w:val="00373594"/>
    <w:rsid w:val="00373601"/>
    <w:rsid w:val="0037360F"/>
    <w:rsid w:val="00373644"/>
    <w:rsid w:val="003736F6"/>
    <w:rsid w:val="00373708"/>
    <w:rsid w:val="0037371E"/>
    <w:rsid w:val="0037382C"/>
    <w:rsid w:val="00373871"/>
    <w:rsid w:val="003739E5"/>
    <w:rsid w:val="00373A45"/>
    <w:rsid w:val="00373A57"/>
    <w:rsid w:val="00373A59"/>
    <w:rsid w:val="00373A96"/>
    <w:rsid w:val="00373B5A"/>
    <w:rsid w:val="00373B8C"/>
    <w:rsid w:val="00373D60"/>
    <w:rsid w:val="00373D61"/>
    <w:rsid w:val="00373E38"/>
    <w:rsid w:val="00373E3C"/>
    <w:rsid w:val="00373E85"/>
    <w:rsid w:val="00373EB4"/>
    <w:rsid w:val="00373F25"/>
    <w:rsid w:val="00373F3A"/>
    <w:rsid w:val="00374020"/>
    <w:rsid w:val="0037408B"/>
    <w:rsid w:val="003740DD"/>
    <w:rsid w:val="00374150"/>
    <w:rsid w:val="00374210"/>
    <w:rsid w:val="00374222"/>
    <w:rsid w:val="00374224"/>
    <w:rsid w:val="003743CB"/>
    <w:rsid w:val="003744B6"/>
    <w:rsid w:val="003744C4"/>
    <w:rsid w:val="003744DA"/>
    <w:rsid w:val="0037452E"/>
    <w:rsid w:val="00374593"/>
    <w:rsid w:val="00374612"/>
    <w:rsid w:val="00374734"/>
    <w:rsid w:val="003747A5"/>
    <w:rsid w:val="003747AA"/>
    <w:rsid w:val="00374880"/>
    <w:rsid w:val="003748C3"/>
    <w:rsid w:val="00374974"/>
    <w:rsid w:val="00374A94"/>
    <w:rsid w:val="00374AA5"/>
    <w:rsid w:val="00374ACF"/>
    <w:rsid w:val="00374B45"/>
    <w:rsid w:val="00374B6B"/>
    <w:rsid w:val="00374BE4"/>
    <w:rsid w:val="00374C12"/>
    <w:rsid w:val="00374C34"/>
    <w:rsid w:val="00374C87"/>
    <w:rsid w:val="00374CA3"/>
    <w:rsid w:val="00374E47"/>
    <w:rsid w:val="00374EA4"/>
    <w:rsid w:val="0037500C"/>
    <w:rsid w:val="003751F8"/>
    <w:rsid w:val="00375250"/>
    <w:rsid w:val="003752DA"/>
    <w:rsid w:val="003752EB"/>
    <w:rsid w:val="00375366"/>
    <w:rsid w:val="003753B1"/>
    <w:rsid w:val="0037548C"/>
    <w:rsid w:val="003754F5"/>
    <w:rsid w:val="00375603"/>
    <w:rsid w:val="0037576B"/>
    <w:rsid w:val="00375889"/>
    <w:rsid w:val="0037597E"/>
    <w:rsid w:val="003759B2"/>
    <w:rsid w:val="003759BB"/>
    <w:rsid w:val="003759FE"/>
    <w:rsid w:val="00375A24"/>
    <w:rsid w:val="00375B51"/>
    <w:rsid w:val="00375C06"/>
    <w:rsid w:val="00375DE6"/>
    <w:rsid w:val="00375E46"/>
    <w:rsid w:val="00375EB8"/>
    <w:rsid w:val="00375F64"/>
    <w:rsid w:val="003760AD"/>
    <w:rsid w:val="003760B9"/>
    <w:rsid w:val="0037612B"/>
    <w:rsid w:val="0037615E"/>
    <w:rsid w:val="003761AB"/>
    <w:rsid w:val="003761BB"/>
    <w:rsid w:val="00376224"/>
    <w:rsid w:val="003762A7"/>
    <w:rsid w:val="00376317"/>
    <w:rsid w:val="00376451"/>
    <w:rsid w:val="003764B6"/>
    <w:rsid w:val="0037657D"/>
    <w:rsid w:val="003765D7"/>
    <w:rsid w:val="00376741"/>
    <w:rsid w:val="0037676A"/>
    <w:rsid w:val="003767E4"/>
    <w:rsid w:val="0037684C"/>
    <w:rsid w:val="003768ED"/>
    <w:rsid w:val="003769DB"/>
    <w:rsid w:val="003769FC"/>
    <w:rsid w:val="00376A40"/>
    <w:rsid w:val="00376B26"/>
    <w:rsid w:val="00376B30"/>
    <w:rsid w:val="00376C74"/>
    <w:rsid w:val="00376EA5"/>
    <w:rsid w:val="00376EB2"/>
    <w:rsid w:val="0037706C"/>
    <w:rsid w:val="0037729C"/>
    <w:rsid w:val="0037740D"/>
    <w:rsid w:val="0037752B"/>
    <w:rsid w:val="00377554"/>
    <w:rsid w:val="003775C4"/>
    <w:rsid w:val="00377669"/>
    <w:rsid w:val="00377680"/>
    <w:rsid w:val="003776A2"/>
    <w:rsid w:val="00377700"/>
    <w:rsid w:val="0037771C"/>
    <w:rsid w:val="00377731"/>
    <w:rsid w:val="003777A4"/>
    <w:rsid w:val="003777D0"/>
    <w:rsid w:val="0037783F"/>
    <w:rsid w:val="0037786A"/>
    <w:rsid w:val="00377936"/>
    <w:rsid w:val="00377AE4"/>
    <w:rsid w:val="00377B8E"/>
    <w:rsid w:val="00377BB2"/>
    <w:rsid w:val="00377C62"/>
    <w:rsid w:val="00377D5D"/>
    <w:rsid w:val="00377D9C"/>
    <w:rsid w:val="00377E15"/>
    <w:rsid w:val="00377EDE"/>
    <w:rsid w:val="00380015"/>
    <w:rsid w:val="00380060"/>
    <w:rsid w:val="0038016F"/>
    <w:rsid w:val="003802A9"/>
    <w:rsid w:val="00380389"/>
    <w:rsid w:val="003804BE"/>
    <w:rsid w:val="003804ED"/>
    <w:rsid w:val="0038063C"/>
    <w:rsid w:val="003806F1"/>
    <w:rsid w:val="003807A2"/>
    <w:rsid w:val="003807BE"/>
    <w:rsid w:val="0038089C"/>
    <w:rsid w:val="003808B0"/>
    <w:rsid w:val="003808C5"/>
    <w:rsid w:val="0038096F"/>
    <w:rsid w:val="00380984"/>
    <w:rsid w:val="0038098D"/>
    <w:rsid w:val="00380A64"/>
    <w:rsid w:val="00380AAE"/>
    <w:rsid w:val="00380AEA"/>
    <w:rsid w:val="00380BD3"/>
    <w:rsid w:val="00380BF8"/>
    <w:rsid w:val="00380D02"/>
    <w:rsid w:val="00380D5F"/>
    <w:rsid w:val="00380DB6"/>
    <w:rsid w:val="00380E1E"/>
    <w:rsid w:val="00380E25"/>
    <w:rsid w:val="00380E6A"/>
    <w:rsid w:val="00380EEB"/>
    <w:rsid w:val="00380EEC"/>
    <w:rsid w:val="00380F9F"/>
    <w:rsid w:val="00380FD2"/>
    <w:rsid w:val="00381083"/>
    <w:rsid w:val="0038110E"/>
    <w:rsid w:val="003813BA"/>
    <w:rsid w:val="003814FC"/>
    <w:rsid w:val="003815DC"/>
    <w:rsid w:val="00381659"/>
    <w:rsid w:val="003816C4"/>
    <w:rsid w:val="003816C8"/>
    <w:rsid w:val="0038170D"/>
    <w:rsid w:val="00381712"/>
    <w:rsid w:val="00381782"/>
    <w:rsid w:val="003818B4"/>
    <w:rsid w:val="003818D2"/>
    <w:rsid w:val="0038191B"/>
    <w:rsid w:val="00381927"/>
    <w:rsid w:val="00381946"/>
    <w:rsid w:val="0038197C"/>
    <w:rsid w:val="003819CC"/>
    <w:rsid w:val="00381B99"/>
    <w:rsid w:val="00381C0B"/>
    <w:rsid w:val="00381C5D"/>
    <w:rsid w:val="00381CC1"/>
    <w:rsid w:val="00381CE6"/>
    <w:rsid w:val="00381D4B"/>
    <w:rsid w:val="00381D65"/>
    <w:rsid w:val="00381EA5"/>
    <w:rsid w:val="00381EDE"/>
    <w:rsid w:val="00381F72"/>
    <w:rsid w:val="00381FAF"/>
    <w:rsid w:val="00382047"/>
    <w:rsid w:val="003820FA"/>
    <w:rsid w:val="0038213A"/>
    <w:rsid w:val="003821EA"/>
    <w:rsid w:val="00382286"/>
    <w:rsid w:val="00382338"/>
    <w:rsid w:val="00382385"/>
    <w:rsid w:val="00382398"/>
    <w:rsid w:val="003823E2"/>
    <w:rsid w:val="003824C2"/>
    <w:rsid w:val="0038260E"/>
    <w:rsid w:val="0038264B"/>
    <w:rsid w:val="00382706"/>
    <w:rsid w:val="00382788"/>
    <w:rsid w:val="003827ED"/>
    <w:rsid w:val="00382820"/>
    <w:rsid w:val="0038294D"/>
    <w:rsid w:val="003829A7"/>
    <w:rsid w:val="00382A8D"/>
    <w:rsid w:val="00382D9C"/>
    <w:rsid w:val="00382DA1"/>
    <w:rsid w:val="0038307E"/>
    <w:rsid w:val="00383295"/>
    <w:rsid w:val="003832AD"/>
    <w:rsid w:val="003832B3"/>
    <w:rsid w:val="00383409"/>
    <w:rsid w:val="003834B9"/>
    <w:rsid w:val="0038353E"/>
    <w:rsid w:val="00383541"/>
    <w:rsid w:val="00383557"/>
    <w:rsid w:val="003835C3"/>
    <w:rsid w:val="003837F5"/>
    <w:rsid w:val="00383802"/>
    <w:rsid w:val="0038383A"/>
    <w:rsid w:val="00383875"/>
    <w:rsid w:val="003838C6"/>
    <w:rsid w:val="003839F6"/>
    <w:rsid w:val="00383A70"/>
    <w:rsid w:val="00383AC2"/>
    <w:rsid w:val="00383ACB"/>
    <w:rsid w:val="00383B02"/>
    <w:rsid w:val="00383C2E"/>
    <w:rsid w:val="00383C3F"/>
    <w:rsid w:val="00383C6F"/>
    <w:rsid w:val="00383CE1"/>
    <w:rsid w:val="00383D32"/>
    <w:rsid w:val="00383E3D"/>
    <w:rsid w:val="00383E90"/>
    <w:rsid w:val="00383F6A"/>
    <w:rsid w:val="00383FE2"/>
    <w:rsid w:val="00384002"/>
    <w:rsid w:val="0038417B"/>
    <w:rsid w:val="00384243"/>
    <w:rsid w:val="00384294"/>
    <w:rsid w:val="0038429E"/>
    <w:rsid w:val="003842E7"/>
    <w:rsid w:val="00384477"/>
    <w:rsid w:val="00384552"/>
    <w:rsid w:val="0038457C"/>
    <w:rsid w:val="0038480A"/>
    <w:rsid w:val="00384825"/>
    <w:rsid w:val="003849F7"/>
    <w:rsid w:val="00384A42"/>
    <w:rsid w:val="00384A68"/>
    <w:rsid w:val="00384A6A"/>
    <w:rsid w:val="00384AC9"/>
    <w:rsid w:val="00384D82"/>
    <w:rsid w:val="00384EAC"/>
    <w:rsid w:val="0038500B"/>
    <w:rsid w:val="0038501D"/>
    <w:rsid w:val="0038503B"/>
    <w:rsid w:val="0038516F"/>
    <w:rsid w:val="003851E6"/>
    <w:rsid w:val="003852A6"/>
    <w:rsid w:val="003852E7"/>
    <w:rsid w:val="003854DA"/>
    <w:rsid w:val="003854F6"/>
    <w:rsid w:val="00385665"/>
    <w:rsid w:val="003856FC"/>
    <w:rsid w:val="00385865"/>
    <w:rsid w:val="0038591F"/>
    <w:rsid w:val="00385956"/>
    <w:rsid w:val="00385BBE"/>
    <w:rsid w:val="00385BFF"/>
    <w:rsid w:val="00385CFD"/>
    <w:rsid w:val="00385E4B"/>
    <w:rsid w:val="00385E6D"/>
    <w:rsid w:val="00385E91"/>
    <w:rsid w:val="00385F14"/>
    <w:rsid w:val="003861F7"/>
    <w:rsid w:val="003862CC"/>
    <w:rsid w:val="003862FA"/>
    <w:rsid w:val="003863C7"/>
    <w:rsid w:val="0038649A"/>
    <w:rsid w:val="003864EC"/>
    <w:rsid w:val="00386599"/>
    <w:rsid w:val="003865FC"/>
    <w:rsid w:val="00386620"/>
    <w:rsid w:val="00386637"/>
    <w:rsid w:val="003866E4"/>
    <w:rsid w:val="00386769"/>
    <w:rsid w:val="003867FB"/>
    <w:rsid w:val="00386800"/>
    <w:rsid w:val="0038688B"/>
    <w:rsid w:val="0038691C"/>
    <w:rsid w:val="00386965"/>
    <w:rsid w:val="0038697D"/>
    <w:rsid w:val="003869EA"/>
    <w:rsid w:val="00386A43"/>
    <w:rsid w:val="00386B65"/>
    <w:rsid w:val="00386B7B"/>
    <w:rsid w:val="00386E36"/>
    <w:rsid w:val="0038713D"/>
    <w:rsid w:val="00387149"/>
    <w:rsid w:val="00387156"/>
    <w:rsid w:val="003871A4"/>
    <w:rsid w:val="003871B5"/>
    <w:rsid w:val="0038729E"/>
    <w:rsid w:val="00387334"/>
    <w:rsid w:val="00387348"/>
    <w:rsid w:val="00387397"/>
    <w:rsid w:val="003873F3"/>
    <w:rsid w:val="00387411"/>
    <w:rsid w:val="003876DA"/>
    <w:rsid w:val="003876EC"/>
    <w:rsid w:val="00387736"/>
    <w:rsid w:val="003878D0"/>
    <w:rsid w:val="00387A13"/>
    <w:rsid w:val="00387A7B"/>
    <w:rsid w:val="00387ADD"/>
    <w:rsid w:val="00387BAA"/>
    <w:rsid w:val="00387C3E"/>
    <w:rsid w:val="00387CC1"/>
    <w:rsid w:val="00387D05"/>
    <w:rsid w:val="00387D28"/>
    <w:rsid w:val="00387D6F"/>
    <w:rsid w:val="00387DB1"/>
    <w:rsid w:val="00387F02"/>
    <w:rsid w:val="00387F03"/>
    <w:rsid w:val="00387F3A"/>
    <w:rsid w:val="00387F3D"/>
    <w:rsid w:val="00390002"/>
    <w:rsid w:val="003901B0"/>
    <w:rsid w:val="003902D7"/>
    <w:rsid w:val="00390445"/>
    <w:rsid w:val="00390531"/>
    <w:rsid w:val="0039062D"/>
    <w:rsid w:val="003906C0"/>
    <w:rsid w:val="003906E0"/>
    <w:rsid w:val="003907C3"/>
    <w:rsid w:val="003907F9"/>
    <w:rsid w:val="00390817"/>
    <w:rsid w:val="0039082D"/>
    <w:rsid w:val="00390973"/>
    <w:rsid w:val="00390B10"/>
    <w:rsid w:val="00390B7B"/>
    <w:rsid w:val="00390C8E"/>
    <w:rsid w:val="00390C9D"/>
    <w:rsid w:val="00390CD0"/>
    <w:rsid w:val="00390D31"/>
    <w:rsid w:val="00390DEE"/>
    <w:rsid w:val="00390F93"/>
    <w:rsid w:val="0039104A"/>
    <w:rsid w:val="003911C6"/>
    <w:rsid w:val="003912FD"/>
    <w:rsid w:val="003914EE"/>
    <w:rsid w:val="003914F5"/>
    <w:rsid w:val="003915BD"/>
    <w:rsid w:val="003916DA"/>
    <w:rsid w:val="00391809"/>
    <w:rsid w:val="0039181B"/>
    <w:rsid w:val="00391875"/>
    <w:rsid w:val="00391967"/>
    <w:rsid w:val="00391A6D"/>
    <w:rsid w:val="00391AA2"/>
    <w:rsid w:val="00391AD6"/>
    <w:rsid w:val="00391BAF"/>
    <w:rsid w:val="00391BC0"/>
    <w:rsid w:val="00391C70"/>
    <w:rsid w:val="00391CA0"/>
    <w:rsid w:val="00391D38"/>
    <w:rsid w:val="00391F20"/>
    <w:rsid w:val="0039211A"/>
    <w:rsid w:val="00392190"/>
    <w:rsid w:val="003922A8"/>
    <w:rsid w:val="00392382"/>
    <w:rsid w:val="003923D0"/>
    <w:rsid w:val="003923FD"/>
    <w:rsid w:val="0039256A"/>
    <w:rsid w:val="00392658"/>
    <w:rsid w:val="003926C1"/>
    <w:rsid w:val="00392824"/>
    <w:rsid w:val="00392853"/>
    <w:rsid w:val="00392978"/>
    <w:rsid w:val="00392A36"/>
    <w:rsid w:val="00392B04"/>
    <w:rsid w:val="00392B2B"/>
    <w:rsid w:val="00392B2F"/>
    <w:rsid w:val="00392BF2"/>
    <w:rsid w:val="00392C16"/>
    <w:rsid w:val="00392C72"/>
    <w:rsid w:val="00392D22"/>
    <w:rsid w:val="00392EB8"/>
    <w:rsid w:val="00392F5B"/>
    <w:rsid w:val="00393043"/>
    <w:rsid w:val="00393071"/>
    <w:rsid w:val="0039307B"/>
    <w:rsid w:val="0039312F"/>
    <w:rsid w:val="00393237"/>
    <w:rsid w:val="003933C3"/>
    <w:rsid w:val="003933EA"/>
    <w:rsid w:val="00393406"/>
    <w:rsid w:val="0039341D"/>
    <w:rsid w:val="0039345A"/>
    <w:rsid w:val="00393506"/>
    <w:rsid w:val="00393513"/>
    <w:rsid w:val="0039355C"/>
    <w:rsid w:val="00393584"/>
    <w:rsid w:val="003935B1"/>
    <w:rsid w:val="003936C3"/>
    <w:rsid w:val="003936FC"/>
    <w:rsid w:val="0039371F"/>
    <w:rsid w:val="0039372A"/>
    <w:rsid w:val="00393771"/>
    <w:rsid w:val="00393781"/>
    <w:rsid w:val="003937F2"/>
    <w:rsid w:val="00393906"/>
    <w:rsid w:val="003939CC"/>
    <w:rsid w:val="00393B08"/>
    <w:rsid w:val="00393BB6"/>
    <w:rsid w:val="00393D15"/>
    <w:rsid w:val="00393D1E"/>
    <w:rsid w:val="00393D3A"/>
    <w:rsid w:val="00393E2C"/>
    <w:rsid w:val="00393E3F"/>
    <w:rsid w:val="00393E8E"/>
    <w:rsid w:val="00393F1B"/>
    <w:rsid w:val="00393F27"/>
    <w:rsid w:val="00393FA2"/>
    <w:rsid w:val="00393FD4"/>
    <w:rsid w:val="00394054"/>
    <w:rsid w:val="003940D6"/>
    <w:rsid w:val="003940F6"/>
    <w:rsid w:val="0039412D"/>
    <w:rsid w:val="0039415C"/>
    <w:rsid w:val="003943DB"/>
    <w:rsid w:val="0039458A"/>
    <w:rsid w:val="003945A0"/>
    <w:rsid w:val="003945B6"/>
    <w:rsid w:val="003946AB"/>
    <w:rsid w:val="003946D4"/>
    <w:rsid w:val="003948F4"/>
    <w:rsid w:val="00394A34"/>
    <w:rsid w:val="00394A92"/>
    <w:rsid w:val="00394B1B"/>
    <w:rsid w:val="00394B72"/>
    <w:rsid w:val="00394C5B"/>
    <w:rsid w:val="00394DE5"/>
    <w:rsid w:val="00394E93"/>
    <w:rsid w:val="00395000"/>
    <w:rsid w:val="0039507F"/>
    <w:rsid w:val="003950C3"/>
    <w:rsid w:val="00395185"/>
    <w:rsid w:val="00395409"/>
    <w:rsid w:val="00395520"/>
    <w:rsid w:val="00395582"/>
    <w:rsid w:val="0039568C"/>
    <w:rsid w:val="003956B3"/>
    <w:rsid w:val="00395769"/>
    <w:rsid w:val="00395A11"/>
    <w:rsid w:val="00395AAF"/>
    <w:rsid w:val="00395AE8"/>
    <w:rsid w:val="00395B1B"/>
    <w:rsid w:val="00395B4B"/>
    <w:rsid w:val="00395B71"/>
    <w:rsid w:val="00395B81"/>
    <w:rsid w:val="00395CB6"/>
    <w:rsid w:val="00395F26"/>
    <w:rsid w:val="00396041"/>
    <w:rsid w:val="0039610B"/>
    <w:rsid w:val="00396111"/>
    <w:rsid w:val="0039614D"/>
    <w:rsid w:val="00396190"/>
    <w:rsid w:val="0039623D"/>
    <w:rsid w:val="00396300"/>
    <w:rsid w:val="0039630A"/>
    <w:rsid w:val="0039630B"/>
    <w:rsid w:val="0039636E"/>
    <w:rsid w:val="00396513"/>
    <w:rsid w:val="0039652B"/>
    <w:rsid w:val="0039659B"/>
    <w:rsid w:val="003966B8"/>
    <w:rsid w:val="003966F3"/>
    <w:rsid w:val="0039678C"/>
    <w:rsid w:val="00396866"/>
    <w:rsid w:val="00396911"/>
    <w:rsid w:val="003969D8"/>
    <w:rsid w:val="00396A26"/>
    <w:rsid w:val="00396AA7"/>
    <w:rsid w:val="00396ADA"/>
    <w:rsid w:val="00396BD2"/>
    <w:rsid w:val="00396C48"/>
    <w:rsid w:val="00396E33"/>
    <w:rsid w:val="00396E9D"/>
    <w:rsid w:val="00396F40"/>
    <w:rsid w:val="00396F70"/>
    <w:rsid w:val="00396FDB"/>
    <w:rsid w:val="0039701A"/>
    <w:rsid w:val="00397078"/>
    <w:rsid w:val="00397081"/>
    <w:rsid w:val="00397401"/>
    <w:rsid w:val="00397469"/>
    <w:rsid w:val="00397489"/>
    <w:rsid w:val="003974A8"/>
    <w:rsid w:val="00397615"/>
    <w:rsid w:val="00397666"/>
    <w:rsid w:val="003976A9"/>
    <w:rsid w:val="003976D6"/>
    <w:rsid w:val="00397775"/>
    <w:rsid w:val="00397830"/>
    <w:rsid w:val="0039790B"/>
    <w:rsid w:val="00397991"/>
    <w:rsid w:val="00397AE3"/>
    <w:rsid w:val="00397B28"/>
    <w:rsid w:val="00397BE9"/>
    <w:rsid w:val="00397CF5"/>
    <w:rsid w:val="00397D70"/>
    <w:rsid w:val="00397E41"/>
    <w:rsid w:val="00397EAE"/>
    <w:rsid w:val="00397F92"/>
    <w:rsid w:val="00397FAC"/>
    <w:rsid w:val="003A0104"/>
    <w:rsid w:val="003A0197"/>
    <w:rsid w:val="003A023A"/>
    <w:rsid w:val="003A0274"/>
    <w:rsid w:val="003A02D5"/>
    <w:rsid w:val="003A031C"/>
    <w:rsid w:val="003A03BA"/>
    <w:rsid w:val="003A045A"/>
    <w:rsid w:val="003A05EA"/>
    <w:rsid w:val="003A06B5"/>
    <w:rsid w:val="003A0776"/>
    <w:rsid w:val="003A0789"/>
    <w:rsid w:val="003A0844"/>
    <w:rsid w:val="003A0873"/>
    <w:rsid w:val="003A08AC"/>
    <w:rsid w:val="003A08CD"/>
    <w:rsid w:val="003A08FA"/>
    <w:rsid w:val="003A0928"/>
    <w:rsid w:val="003A09D8"/>
    <w:rsid w:val="003A0AE3"/>
    <w:rsid w:val="003A0B8C"/>
    <w:rsid w:val="003A0BC6"/>
    <w:rsid w:val="003A0BD4"/>
    <w:rsid w:val="003A0C41"/>
    <w:rsid w:val="003A0C94"/>
    <w:rsid w:val="003A0D68"/>
    <w:rsid w:val="003A0DC0"/>
    <w:rsid w:val="003A0DC9"/>
    <w:rsid w:val="003A0DCE"/>
    <w:rsid w:val="003A0DDE"/>
    <w:rsid w:val="003A0ED5"/>
    <w:rsid w:val="003A10ED"/>
    <w:rsid w:val="003A1168"/>
    <w:rsid w:val="003A12F8"/>
    <w:rsid w:val="003A1344"/>
    <w:rsid w:val="003A13DE"/>
    <w:rsid w:val="003A1479"/>
    <w:rsid w:val="003A14DF"/>
    <w:rsid w:val="003A14F7"/>
    <w:rsid w:val="003A1533"/>
    <w:rsid w:val="003A160C"/>
    <w:rsid w:val="003A1643"/>
    <w:rsid w:val="003A16B8"/>
    <w:rsid w:val="003A1882"/>
    <w:rsid w:val="003A1897"/>
    <w:rsid w:val="003A18CB"/>
    <w:rsid w:val="003A1A73"/>
    <w:rsid w:val="003A1B23"/>
    <w:rsid w:val="003A1BC1"/>
    <w:rsid w:val="003A1BFC"/>
    <w:rsid w:val="003A1CBA"/>
    <w:rsid w:val="003A1CBF"/>
    <w:rsid w:val="003A1D1A"/>
    <w:rsid w:val="003A1E07"/>
    <w:rsid w:val="003A1E60"/>
    <w:rsid w:val="003A1E9A"/>
    <w:rsid w:val="003A1EAA"/>
    <w:rsid w:val="003A208A"/>
    <w:rsid w:val="003A2344"/>
    <w:rsid w:val="003A23C8"/>
    <w:rsid w:val="003A245B"/>
    <w:rsid w:val="003A254E"/>
    <w:rsid w:val="003A25C2"/>
    <w:rsid w:val="003A25EB"/>
    <w:rsid w:val="003A25F7"/>
    <w:rsid w:val="003A261E"/>
    <w:rsid w:val="003A2694"/>
    <w:rsid w:val="003A26E4"/>
    <w:rsid w:val="003A26EE"/>
    <w:rsid w:val="003A2779"/>
    <w:rsid w:val="003A278D"/>
    <w:rsid w:val="003A27AF"/>
    <w:rsid w:val="003A27CF"/>
    <w:rsid w:val="003A2862"/>
    <w:rsid w:val="003A287A"/>
    <w:rsid w:val="003A29C7"/>
    <w:rsid w:val="003A2A17"/>
    <w:rsid w:val="003A2B3B"/>
    <w:rsid w:val="003A2B9C"/>
    <w:rsid w:val="003A2C08"/>
    <w:rsid w:val="003A2C36"/>
    <w:rsid w:val="003A2D4D"/>
    <w:rsid w:val="003A2DBC"/>
    <w:rsid w:val="003A2DD9"/>
    <w:rsid w:val="003A2E17"/>
    <w:rsid w:val="003A2E39"/>
    <w:rsid w:val="003A2F34"/>
    <w:rsid w:val="003A2FB9"/>
    <w:rsid w:val="003A3076"/>
    <w:rsid w:val="003A32A5"/>
    <w:rsid w:val="003A32C1"/>
    <w:rsid w:val="003A3329"/>
    <w:rsid w:val="003A336D"/>
    <w:rsid w:val="003A3458"/>
    <w:rsid w:val="003A3566"/>
    <w:rsid w:val="003A357C"/>
    <w:rsid w:val="003A3598"/>
    <w:rsid w:val="003A35C1"/>
    <w:rsid w:val="003A3618"/>
    <w:rsid w:val="003A36CF"/>
    <w:rsid w:val="003A376B"/>
    <w:rsid w:val="003A3880"/>
    <w:rsid w:val="003A38CA"/>
    <w:rsid w:val="003A38CC"/>
    <w:rsid w:val="003A393A"/>
    <w:rsid w:val="003A39B0"/>
    <w:rsid w:val="003A3A00"/>
    <w:rsid w:val="003A3A28"/>
    <w:rsid w:val="003A3B2C"/>
    <w:rsid w:val="003A3B45"/>
    <w:rsid w:val="003A3B87"/>
    <w:rsid w:val="003A3BD6"/>
    <w:rsid w:val="003A3C12"/>
    <w:rsid w:val="003A3D0D"/>
    <w:rsid w:val="003A3D71"/>
    <w:rsid w:val="003A3E46"/>
    <w:rsid w:val="003A3EC7"/>
    <w:rsid w:val="003A3FD9"/>
    <w:rsid w:val="003A3FE3"/>
    <w:rsid w:val="003A405E"/>
    <w:rsid w:val="003A4185"/>
    <w:rsid w:val="003A41F5"/>
    <w:rsid w:val="003A43F3"/>
    <w:rsid w:val="003A4420"/>
    <w:rsid w:val="003A4457"/>
    <w:rsid w:val="003A44AE"/>
    <w:rsid w:val="003A44D0"/>
    <w:rsid w:val="003A4536"/>
    <w:rsid w:val="003A457E"/>
    <w:rsid w:val="003A45EE"/>
    <w:rsid w:val="003A4713"/>
    <w:rsid w:val="003A478F"/>
    <w:rsid w:val="003A483A"/>
    <w:rsid w:val="003A494E"/>
    <w:rsid w:val="003A4983"/>
    <w:rsid w:val="003A49F2"/>
    <w:rsid w:val="003A4B14"/>
    <w:rsid w:val="003A4B98"/>
    <w:rsid w:val="003A4C1C"/>
    <w:rsid w:val="003A4C67"/>
    <w:rsid w:val="003A4D8C"/>
    <w:rsid w:val="003A4EE0"/>
    <w:rsid w:val="003A4EF8"/>
    <w:rsid w:val="003A4F52"/>
    <w:rsid w:val="003A5040"/>
    <w:rsid w:val="003A50C4"/>
    <w:rsid w:val="003A50E6"/>
    <w:rsid w:val="003A510D"/>
    <w:rsid w:val="003A5241"/>
    <w:rsid w:val="003A5249"/>
    <w:rsid w:val="003A52E8"/>
    <w:rsid w:val="003A52EF"/>
    <w:rsid w:val="003A5328"/>
    <w:rsid w:val="003A5342"/>
    <w:rsid w:val="003A539D"/>
    <w:rsid w:val="003A53CF"/>
    <w:rsid w:val="003A540E"/>
    <w:rsid w:val="003A54DD"/>
    <w:rsid w:val="003A5558"/>
    <w:rsid w:val="003A5567"/>
    <w:rsid w:val="003A569A"/>
    <w:rsid w:val="003A56FA"/>
    <w:rsid w:val="003A57DD"/>
    <w:rsid w:val="003A59EA"/>
    <w:rsid w:val="003A5A67"/>
    <w:rsid w:val="003A5B4C"/>
    <w:rsid w:val="003A5C5A"/>
    <w:rsid w:val="003A5CC6"/>
    <w:rsid w:val="003A5CE8"/>
    <w:rsid w:val="003A5DE1"/>
    <w:rsid w:val="003A5DE3"/>
    <w:rsid w:val="003A5E46"/>
    <w:rsid w:val="003A5E56"/>
    <w:rsid w:val="003A5EF1"/>
    <w:rsid w:val="003A606A"/>
    <w:rsid w:val="003A60CF"/>
    <w:rsid w:val="003A60D9"/>
    <w:rsid w:val="003A60ED"/>
    <w:rsid w:val="003A6107"/>
    <w:rsid w:val="003A6248"/>
    <w:rsid w:val="003A6329"/>
    <w:rsid w:val="003A63C0"/>
    <w:rsid w:val="003A65DF"/>
    <w:rsid w:val="003A6664"/>
    <w:rsid w:val="003A66D3"/>
    <w:rsid w:val="003A66EE"/>
    <w:rsid w:val="003A6765"/>
    <w:rsid w:val="003A67F1"/>
    <w:rsid w:val="003A693B"/>
    <w:rsid w:val="003A697B"/>
    <w:rsid w:val="003A69CE"/>
    <w:rsid w:val="003A6C80"/>
    <w:rsid w:val="003A6DA2"/>
    <w:rsid w:val="003A6E52"/>
    <w:rsid w:val="003A6E6B"/>
    <w:rsid w:val="003A705E"/>
    <w:rsid w:val="003A7065"/>
    <w:rsid w:val="003A7106"/>
    <w:rsid w:val="003A7187"/>
    <w:rsid w:val="003A71C2"/>
    <w:rsid w:val="003A7281"/>
    <w:rsid w:val="003A7306"/>
    <w:rsid w:val="003A73AF"/>
    <w:rsid w:val="003A73EC"/>
    <w:rsid w:val="003A748F"/>
    <w:rsid w:val="003A74A1"/>
    <w:rsid w:val="003A74A5"/>
    <w:rsid w:val="003A752D"/>
    <w:rsid w:val="003A755C"/>
    <w:rsid w:val="003A75B6"/>
    <w:rsid w:val="003A768A"/>
    <w:rsid w:val="003A76A6"/>
    <w:rsid w:val="003A76C9"/>
    <w:rsid w:val="003A7720"/>
    <w:rsid w:val="003A7762"/>
    <w:rsid w:val="003A77E8"/>
    <w:rsid w:val="003A799D"/>
    <w:rsid w:val="003A79C3"/>
    <w:rsid w:val="003A7A37"/>
    <w:rsid w:val="003A7CB9"/>
    <w:rsid w:val="003A7D40"/>
    <w:rsid w:val="003A7D82"/>
    <w:rsid w:val="003A7DFE"/>
    <w:rsid w:val="003A7EF8"/>
    <w:rsid w:val="003A7F78"/>
    <w:rsid w:val="003B0015"/>
    <w:rsid w:val="003B0016"/>
    <w:rsid w:val="003B0083"/>
    <w:rsid w:val="003B00F2"/>
    <w:rsid w:val="003B01F6"/>
    <w:rsid w:val="003B028C"/>
    <w:rsid w:val="003B03C8"/>
    <w:rsid w:val="003B03CC"/>
    <w:rsid w:val="003B040B"/>
    <w:rsid w:val="003B0417"/>
    <w:rsid w:val="003B041B"/>
    <w:rsid w:val="003B044C"/>
    <w:rsid w:val="003B0541"/>
    <w:rsid w:val="003B0555"/>
    <w:rsid w:val="003B05AB"/>
    <w:rsid w:val="003B05D2"/>
    <w:rsid w:val="003B064E"/>
    <w:rsid w:val="003B069F"/>
    <w:rsid w:val="003B072C"/>
    <w:rsid w:val="003B07FA"/>
    <w:rsid w:val="003B0807"/>
    <w:rsid w:val="003B086A"/>
    <w:rsid w:val="003B0887"/>
    <w:rsid w:val="003B09B3"/>
    <w:rsid w:val="003B0AAA"/>
    <w:rsid w:val="003B0AB4"/>
    <w:rsid w:val="003B0BB5"/>
    <w:rsid w:val="003B0D20"/>
    <w:rsid w:val="003B0D57"/>
    <w:rsid w:val="003B0D66"/>
    <w:rsid w:val="003B0DE4"/>
    <w:rsid w:val="003B0E07"/>
    <w:rsid w:val="003B0ECB"/>
    <w:rsid w:val="003B10B2"/>
    <w:rsid w:val="003B1134"/>
    <w:rsid w:val="003B133C"/>
    <w:rsid w:val="003B1376"/>
    <w:rsid w:val="003B1480"/>
    <w:rsid w:val="003B1516"/>
    <w:rsid w:val="003B1527"/>
    <w:rsid w:val="003B1690"/>
    <w:rsid w:val="003B1808"/>
    <w:rsid w:val="003B1894"/>
    <w:rsid w:val="003B1902"/>
    <w:rsid w:val="003B190D"/>
    <w:rsid w:val="003B198D"/>
    <w:rsid w:val="003B1993"/>
    <w:rsid w:val="003B199D"/>
    <w:rsid w:val="003B1A09"/>
    <w:rsid w:val="003B1CB5"/>
    <w:rsid w:val="003B1DE2"/>
    <w:rsid w:val="003B1EB1"/>
    <w:rsid w:val="003B1F38"/>
    <w:rsid w:val="003B1F3A"/>
    <w:rsid w:val="003B1F66"/>
    <w:rsid w:val="003B2057"/>
    <w:rsid w:val="003B23B4"/>
    <w:rsid w:val="003B2417"/>
    <w:rsid w:val="003B244A"/>
    <w:rsid w:val="003B247F"/>
    <w:rsid w:val="003B2486"/>
    <w:rsid w:val="003B24DD"/>
    <w:rsid w:val="003B250F"/>
    <w:rsid w:val="003B2674"/>
    <w:rsid w:val="003B26C0"/>
    <w:rsid w:val="003B2705"/>
    <w:rsid w:val="003B2911"/>
    <w:rsid w:val="003B293E"/>
    <w:rsid w:val="003B29B8"/>
    <w:rsid w:val="003B2A2B"/>
    <w:rsid w:val="003B2A72"/>
    <w:rsid w:val="003B2AC1"/>
    <w:rsid w:val="003B2B33"/>
    <w:rsid w:val="003B2C5E"/>
    <w:rsid w:val="003B2CC7"/>
    <w:rsid w:val="003B2D0B"/>
    <w:rsid w:val="003B2D4C"/>
    <w:rsid w:val="003B2DD4"/>
    <w:rsid w:val="003B2E62"/>
    <w:rsid w:val="003B3044"/>
    <w:rsid w:val="003B3068"/>
    <w:rsid w:val="003B3098"/>
    <w:rsid w:val="003B30CF"/>
    <w:rsid w:val="003B310A"/>
    <w:rsid w:val="003B3157"/>
    <w:rsid w:val="003B32AD"/>
    <w:rsid w:val="003B32EC"/>
    <w:rsid w:val="003B3307"/>
    <w:rsid w:val="003B3379"/>
    <w:rsid w:val="003B33D0"/>
    <w:rsid w:val="003B349E"/>
    <w:rsid w:val="003B34E1"/>
    <w:rsid w:val="003B3540"/>
    <w:rsid w:val="003B354D"/>
    <w:rsid w:val="003B3773"/>
    <w:rsid w:val="003B37D5"/>
    <w:rsid w:val="003B37F3"/>
    <w:rsid w:val="003B3825"/>
    <w:rsid w:val="003B3972"/>
    <w:rsid w:val="003B39EE"/>
    <w:rsid w:val="003B3A52"/>
    <w:rsid w:val="003B3A8B"/>
    <w:rsid w:val="003B3B7A"/>
    <w:rsid w:val="003B3BC7"/>
    <w:rsid w:val="003B3C3B"/>
    <w:rsid w:val="003B3C47"/>
    <w:rsid w:val="003B3CC9"/>
    <w:rsid w:val="003B3D70"/>
    <w:rsid w:val="003B3D75"/>
    <w:rsid w:val="003B3DBE"/>
    <w:rsid w:val="003B3E1B"/>
    <w:rsid w:val="003B3E5F"/>
    <w:rsid w:val="003B3F22"/>
    <w:rsid w:val="003B3F34"/>
    <w:rsid w:val="003B3F7A"/>
    <w:rsid w:val="003B3F96"/>
    <w:rsid w:val="003B3FE1"/>
    <w:rsid w:val="003B3FEF"/>
    <w:rsid w:val="003B41AF"/>
    <w:rsid w:val="003B424F"/>
    <w:rsid w:val="003B4252"/>
    <w:rsid w:val="003B4352"/>
    <w:rsid w:val="003B43C2"/>
    <w:rsid w:val="003B4401"/>
    <w:rsid w:val="003B447A"/>
    <w:rsid w:val="003B44B9"/>
    <w:rsid w:val="003B451D"/>
    <w:rsid w:val="003B4551"/>
    <w:rsid w:val="003B4583"/>
    <w:rsid w:val="003B4630"/>
    <w:rsid w:val="003B47E8"/>
    <w:rsid w:val="003B4870"/>
    <w:rsid w:val="003B4888"/>
    <w:rsid w:val="003B48E7"/>
    <w:rsid w:val="003B4908"/>
    <w:rsid w:val="003B4B10"/>
    <w:rsid w:val="003B4DAF"/>
    <w:rsid w:val="003B4DF3"/>
    <w:rsid w:val="003B4F73"/>
    <w:rsid w:val="003B4FCC"/>
    <w:rsid w:val="003B5053"/>
    <w:rsid w:val="003B5191"/>
    <w:rsid w:val="003B5284"/>
    <w:rsid w:val="003B52DA"/>
    <w:rsid w:val="003B52F2"/>
    <w:rsid w:val="003B535A"/>
    <w:rsid w:val="003B53CE"/>
    <w:rsid w:val="003B5452"/>
    <w:rsid w:val="003B54A2"/>
    <w:rsid w:val="003B55FA"/>
    <w:rsid w:val="003B560E"/>
    <w:rsid w:val="003B56C3"/>
    <w:rsid w:val="003B5781"/>
    <w:rsid w:val="003B58DA"/>
    <w:rsid w:val="003B590F"/>
    <w:rsid w:val="003B596B"/>
    <w:rsid w:val="003B59A9"/>
    <w:rsid w:val="003B5A45"/>
    <w:rsid w:val="003B5B0A"/>
    <w:rsid w:val="003B5B82"/>
    <w:rsid w:val="003B5B84"/>
    <w:rsid w:val="003B5C7E"/>
    <w:rsid w:val="003B5CC9"/>
    <w:rsid w:val="003B5D4D"/>
    <w:rsid w:val="003B5D53"/>
    <w:rsid w:val="003B5D99"/>
    <w:rsid w:val="003B5E91"/>
    <w:rsid w:val="003B603D"/>
    <w:rsid w:val="003B6079"/>
    <w:rsid w:val="003B6092"/>
    <w:rsid w:val="003B621D"/>
    <w:rsid w:val="003B6233"/>
    <w:rsid w:val="003B6266"/>
    <w:rsid w:val="003B62B5"/>
    <w:rsid w:val="003B62E6"/>
    <w:rsid w:val="003B63CF"/>
    <w:rsid w:val="003B6454"/>
    <w:rsid w:val="003B675D"/>
    <w:rsid w:val="003B6769"/>
    <w:rsid w:val="003B67E7"/>
    <w:rsid w:val="003B687B"/>
    <w:rsid w:val="003B6897"/>
    <w:rsid w:val="003B68B2"/>
    <w:rsid w:val="003B6AF8"/>
    <w:rsid w:val="003B6B89"/>
    <w:rsid w:val="003B6C0D"/>
    <w:rsid w:val="003B6D96"/>
    <w:rsid w:val="003B6DDE"/>
    <w:rsid w:val="003B6E76"/>
    <w:rsid w:val="003B6FDC"/>
    <w:rsid w:val="003B70D4"/>
    <w:rsid w:val="003B70F8"/>
    <w:rsid w:val="003B7283"/>
    <w:rsid w:val="003B7291"/>
    <w:rsid w:val="003B72B9"/>
    <w:rsid w:val="003B7315"/>
    <w:rsid w:val="003B7322"/>
    <w:rsid w:val="003B733F"/>
    <w:rsid w:val="003B7431"/>
    <w:rsid w:val="003B74E8"/>
    <w:rsid w:val="003B772F"/>
    <w:rsid w:val="003B7818"/>
    <w:rsid w:val="003B7912"/>
    <w:rsid w:val="003B793C"/>
    <w:rsid w:val="003B7980"/>
    <w:rsid w:val="003B7A79"/>
    <w:rsid w:val="003B7AAB"/>
    <w:rsid w:val="003B7AB3"/>
    <w:rsid w:val="003B7AC3"/>
    <w:rsid w:val="003B7BE1"/>
    <w:rsid w:val="003B7C81"/>
    <w:rsid w:val="003B7D3D"/>
    <w:rsid w:val="003B7E00"/>
    <w:rsid w:val="003B7E95"/>
    <w:rsid w:val="003B7EAC"/>
    <w:rsid w:val="003B7F06"/>
    <w:rsid w:val="003C00A3"/>
    <w:rsid w:val="003C00A5"/>
    <w:rsid w:val="003C011B"/>
    <w:rsid w:val="003C0172"/>
    <w:rsid w:val="003C01EC"/>
    <w:rsid w:val="003C024D"/>
    <w:rsid w:val="003C0271"/>
    <w:rsid w:val="003C0347"/>
    <w:rsid w:val="003C0369"/>
    <w:rsid w:val="003C0413"/>
    <w:rsid w:val="003C04A2"/>
    <w:rsid w:val="003C04CD"/>
    <w:rsid w:val="003C0558"/>
    <w:rsid w:val="003C060F"/>
    <w:rsid w:val="003C0645"/>
    <w:rsid w:val="003C065C"/>
    <w:rsid w:val="003C065E"/>
    <w:rsid w:val="003C07B4"/>
    <w:rsid w:val="003C0940"/>
    <w:rsid w:val="003C09D0"/>
    <w:rsid w:val="003C0BEC"/>
    <w:rsid w:val="003C0C7C"/>
    <w:rsid w:val="003C0DD7"/>
    <w:rsid w:val="003C0E3B"/>
    <w:rsid w:val="003C0EAC"/>
    <w:rsid w:val="003C0F62"/>
    <w:rsid w:val="003C1002"/>
    <w:rsid w:val="003C1081"/>
    <w:rsid w:val="003C1112"/>
    <w:rsid w:val="003C1181"/>
    <w:rsid w:val="003C119D"/>
    <w:rsid w:val="003C11CA"/>
    <w:rsid w:val="003C1295"/>
    <w:rsid w:val="003C12AF"/>
    <w:rsid w:val="003C12B7"/>
    <w:rsid w:val="003C1432"/>
    <w:rsid w:val="003C14B8"/>
    <w:rsid w:val="003C150D"/>
    <w:rsid w:val="003C15E3"/>
    <w:rsid w:val="003C163F"/>
    <w:rsid w:val="003C1664"/>
    <w:rsid w:val="003C169C"/>
    <w:rsid w:val="003C16D7"/>
    <w:rsid w:val="003C1710"/>
    <w:rsid w:val="003C1714"/>
    <w:rsid w:val="003C171A"/>
    <w:rsid w:val="003C17A5"/>
    <w:rsid w:val="003C18B5"/>
    <w:rsid w:val="003C19B1"/>
    <w:rsid w:val="003C1A23"/>
    <w:rsid w:val="003C1AA1"/>
    <w:rsid w:val="003C1B29"/>
    <w:rsid w:val="003C1B40"/>
    <w:rsid w:val="003C1BB7"/>
    <w:rsid w:val="003C1C06"/>
    <w:rsid w:val="003C1DE9"/>
    <w:rsid w:val="003C1EDD"/>
    <w:rsid w:val="003C1F78"/>
    <w:rsid w:val="003C1F8A"/>
    <w:rsid w:val="003C1FCF"/>
    <w:rsid w:val="003C1FEC"/>
    <w:rsid w:val="003C2000"/>
    <w:rsid w:val="003C20AB"/>
    <w:rsid w:val="003C2219"/>
    <w:rsid w:val="003C231B"/>
    <w:rsid w:val="003C2365"/>
    <w:rsid w:val="003C2416"/>
    <w:rsid w:val="003C2541"/>
    <w:rsid w:val="003C2565"/>
    <w:rsid w:val="003C2657"/>
    <w:rsid w:val="003C26E8"/>
    <w:rsid w:val="003C2798"/>
    <w:rsid w:val="003C280B"/>
    <w:rsid w:val="003C290E"/>
    <w:rsid w:val="003C2A4A"/>
    <w:rsid w:val="003C2AC2"/>
    <w:rsid w:val="003C2B27"/>
    <w:rsid w:val="003C2BBF"/>
    <w:rsid w:val="003C2C95"/>
    <w:rsid w:val="003C2CD8"/>
    <w:rsid w:val="003C2CF4"/>
    <w:rsid w:val="003C2D43"/>
    <w:rsid w:val="003C2D9B"/>
    <w:rsid w:val="003C2DCB"/>
    <w:rsid w:val="003C3085"/>
    <w:rsid w:val="003C318A"/>
    <w:rsid w:val="003C318E"/>
    <w:rsid w:val="003C3192"/>
    <w:rsid w:val="003C31DC"/>
    <w:rsid w:val="003C323C"/>
    <w:rsid w:val="003C3270"/>
    <w:rsid w:val="003C32E3"/>
    <w:rsid w:val="003C349F"/>
    <w:rsid w:val="003C3528"/>
    <w:rsid w:val="003C35EA"/>
    <w:rsid w:val="003C35F9"/>
    <w:rsid w:val="003C368D"/>
    <w:rsid w:val="003C36A0"/>
    <w:rsid w:val="003C378C"/>
    <w:rsid w:val="003C3838"/>
    <w:rsid w:val="003C3848"/>
    <w:rsid w:val="003C3855"/>
    <w:rsid w:val="003C38D1"/>
    <w:rsid w:val="003C397C"/>
    <w:rsid w:val="003C3C2A"/>
    <w:rsid w:val="003C3CC8"/>
    <w:rsid w:val="003C3D4B"/>
    <w:rsid w:val="003C3D7F"/>
    <w:rsid w:val="003C3DA8"/>
    <w:rsid w:val="003C3E0B"/>
    <w:rsid w:val="003C3E25"/>
    <w:rsid w:val="003C3F8B"/>
    <w:rsid w:val="003C3FC2"/>
    <w:rsid w:val="003C3FEE"/>
    <w:rsid w:val="003C4016"/>
    <w:rsid w:val="003C4065"/>
    <w:rsid w:val="003C40A2"/>
    <w:rsid w:val="003C41BB"/>
    <w:rsid w:val="003C41E7"/>
    <w:rsid w:val="003C4212"/>
    <w:rsid w:val="003C424A"/>
    <w:rsid w:val="003C4281"/>
    <w:rsid w:val="003C42FC"/>
    <w:rsid w:val="003C4570"/>
    <w:rsid w:val="003C4613"/>
    <w:rsid w:val="003C4699"/>
    <w:rsid w:val="003C46B5"/>
    <w:rsid w:val="003C470B"/>
    <w:rsid w:val="003C4856"/>
    <w:rsid w:val="003C486D"/>
    <w:rsid w:val="003C4B36"/>
    <w:rsid w:val="003C4BE4"/>
    <w:rsid w:val="003C4BE6"/>
    <w:rsid w:val="003C4BF9"/>
    <w:rsid w:val="003C4C41"/>
    <w:rsid w:val="003C4DE4"/>
    <w:rsid w:val="003C4E85"/>
    <w:rsid w:val="003C4E98"/>
    <w:rsid w:val="003C4ECE"/>
    <w:rsid w:val="003C4F01"/>
    <w:rsid w:val="003C4F23"/>
    <w:rsid w:val="003C4FC1"/>
    <w:rsid w:val="003C5002"/>
    <w:rsid w:val="003C501D"/>
    <w:rsid w:val="003C5069"/>
    <w:rsid w:val="003C50BA"/>
    <w:rsid w:val="003C50CE"/>
    <w:rsid w:val="003C5151"/>
    <w:rsid w:val="003C518B"/>
    <w:rsid w:val="003C5340"/>
    <w:rsid w:val="003C535E"/>
    <w:rsid w:val="003C5549"/>
    <w:rsid w:val="003C55D0"/>
    <w:rsid w:val="003C565E"/>
    <w:rsid w:val="003C5673"/>
    <w:rsid w:val="003C5686"/>
    <w:rsid w:val="003C5699"/>
    <w:rsid w:val="003C56A9"/>
    <w:rsid w:val="003C5718"/>
    <w:rsid w:val="003C5825"/>
    <w:rsid w:val="003C58A8"/>
    <w:rsid w:val="003C591D"/>
    <w:rsid w:val="003C595D"/>
    <w:rsid w:val="003C5B56"/>
    <w:rsid w:val="003C5B96"/>
    <w:rsid w:val="003C5BC2"/>
    <w:rsid w:val="003C5C63"/>
    <w:rsid w:val="003C5D51"/>
    <w:rsid w:val="003C5D8D"/>
    <w:rsid w:val="003C5DD9"/>
    <w:rsid w:val="003C5E08"/>
    <w:rsid w:val="003C5E3E"/>
    <w:rsid w:val="003C5E85"/>
    <w:rsid w:val="003C5EC3"/>
    <w:rsid w:val="003C5FFB"/>
    <w:rsid w:val="003C608E"/>
    <w:rsid w:val="003C612D"/>
    <w:rsid w:val="003C61A0"/>
    <w:rsid w:val="003C6304"/>
    <w:rsid w:val="003C6448"/>
    <w:rsid w:val="003C644C"/>
    <w:rsid w:val="003C6491"/>
    <w:rsid w:val="003C6660"/>
    <w:rsid w:val="003C66E3"/>
    <w:rsid w:val="003C6813"/>
    <w:rsid w:val="003C6876"/>
    <w:rsid w:val="003C688E"/>
    <w:rsid w:val="003C6924"/>
    <w:rsid w:val="003C6A50"/>
    <w:rsid w:val="003C6AA2"/>
    <w:rsid w:val="003C6B0E"/>
    <w:rsid w:val="003C6BA8"/>
    <w:rsid w:val="003C6BD2"/>
    <w:rsid w:val="003C6C00"/>
    <w:rsid w:val="003C6C1F"/>
    <w:rsid w:val="003C6C68"/>
    <w:rsid w:val="003C6CE6"/>
    <w:rsid w:val="003C6D7E"/>
    <w:rsid w:val="003C6E60"/>
    <w:rsid w:val="003C6E62"/>
    <w:rsid w:val="003C704D"/>
    <w:rsid w:val="003C706F"/>
    <w:rsid w:val="003C71C0"/>
    <w:rsid w:val="003C71D1"/>
    <w:rsid w:val="003C71F0"/>
    <w:rsid w:val="003C7227"/>
    <w:rsid w:val="003C723D"/>
    <w:rsid w:val="003C72F1"/>
    <w:rsid w:val="003C730F"/>
    <w:rsid w:val="003C73CF"/>
    <w:rsid w:val="003C7468"/>
    <w:rsid w:val="003C746D"/>
    <w:rsid w:val="003C74CD"/>
    <w:rsid w:val="003C74EA"/>
    <w:rsid w:val="003C7568"/>
    <w:rsid w:val="003C7569"/>
    <w:rsid w:val="003C7623"/>
    <w:rsid w:val="003C7662"/>
    <w:rsid w:val="003C76CD"/>
    <w:rsid w:val="003C775F"/>
    <w:rsid w:val="003C77D5"/>
    <w:rsid w:val="003C7920"/>
    <w:rsid w:val="003C79EA"/>
    <w:rsid w:val="003C7A42"/>
    <w:rsid w:val="003C7C54"/>
    <w:rsid w:val="003C7F2D"/>
    <w:rsid w:val="003C7FF5"/>
    <w:rsid w:val="003D0047"/>
    <w:rsid w:val="003D019C"/>
    <w:rsid w:val="003D01AD"/>
    <w:rsid w:val="003D01D1"/>
    <w:rsid w:val="003D0270"/>
    <w:rsid w:val="003D02AB"/>
    <w:rsid w:val="003D02E9"/>
    <w:rsid w:val="003D038D"/>
    <w:rsid w:val="003D044C"/>
    <w:rsid w:val="003D04C8"/>
    <w:rsid w:val="003D0640"/>
    <w:rsid w:val="003D0699"/>
    <w:rsid w:val="003D07DD"/>
    <w:rsid w:val="003D0859"/>
    <w:rsid w:val="003D086F"/>
    <w:rsid w:val="003D090E"/>
    <w:rsid w:val="003D0955"/>
    <w:rsid w:val="003D0961"/>
    <w:rsid w:val="003D098B"/>
    <w:rsid w:val="003D0B8F"/>
    <w:rsid w:val="003D0C46"/>
    <w:rsid w:val="003D0CE8"/>
    <w:rsid w:val="003D0D32"/>
    <w:rsid w:val="003D0D49"/>
    <w:rsid w:val="003D0D52"/>
    <w:rsid w:val="003D0F4B"/>
    <w:rsid w:val="003D0F86"/>
    <w:rsid w:val="003D0FB4"/>
    <w:rsid w:val="003D1024"/>
    <w:rsid w:val="003D104C"/>
    <w:rsid w:val="003D10D9"/>
    <w:rsid w:val="003D10FC"/>
    <w:rsid w:val="003D116B"/>
    <w:rsid w:val="003D1186"/>
    <w:rsid w:val="003D1247"/>
    <w:rsid w:val="003D134B"/>
    <w:rsid w:val="003D13CC"/>
    <w:rsid w:val="003D154F"/>
    <w:rsid w:val="003D15B2"/>
    <w:rsid w:val="003D15DF"/>
    <w:rsid w:val="003D18E8"/>
    <w:rsid w:val="003D1942"/>
    <w:rsid w:val="003D1947"/>
    <w:rsid w:val="003D19C7"/>
    <w:rsid w:val="003D19E8"/>
    <w:rsid w:val="003D1A02"/>
    <w:rsid w:val="003D1A80"/>
    <w:rsid w:val="003D1A8A"/>
    <w:rsid w:val="003D1ABD"/>
    <w:rsid w:val="003D1B30"/>
    <w:rsid w:val="003D1C06"/>
    <w:rsid w:val="003D1C6D"/>
    <w:rsid w:val="003D1CC2"/>
    <w:rsid w:val="003D1D7B"/>
    <w:rsid w:val="003D1E0D"/>
    <w:rsid w:val="003D1E90"/>
    <w:rsid w:val="003D1F44"/>
    <w:rsid w:val="003D1FE2"/>
    <w:rsid w:val="003D20C9"/>
    <w:rsid w:val="003D217D"/>
    <w:rsid w:val="003D21DC"/>
    <w:rsid w:val="003D21EF"/>
    <w:rsid w:val="003D23E5"/>
    <w:rsid w:val="003D23FE"/>
    <w:rsid w:val="003D246C"/>
    <w:rsid w:val="003D255E"/>
    <w:rsid w:val="003D25F6"/>
    <w:rsid w:val="003D260A"/>
    <w:rsid w:val="003D2818"/>
    <w:rsid w:val="003D28C1"/>
    <w:rsid w:val="003D299A"/>
    <w:rsid w:val="003D2A18"/>
    <w:rsid w:val="003D2A20"/>
    <w:rsid w:val="003D2AF6"/>
    <w:rsid w:val="003D2B60"/>
    <w:rsid w:val="003D2BA8"/>
    <w:rsid w:val="003D2C0F"/>
    <w:rsid w:val="003D2C17"/>
    <w:rsid w:val="003D2C8A"/>
    <w:rsid w:val="003D2D45"/>
    <w:rsid w:val="003D2D88"/>
    <w:rsid w:val="003D2E23"/>
    <w:rsid w:val="003D2E38"/>
    <w:rsid w:val="003D2E63"/>
    <w:rsid w:val="003D2FE5"/>
    <w:rsid w:val="003D30BB"/>
    <w:rsid w:val="003D3114"/>
    <w:rsid w:val="003D3228"/>
    <w:rsid w:val="003D324A"/>
    <w:rsid w:val="003D3439"/>
    <w:rsid w:val="003D343E"/>
    <w:rsid w:val="003D3511"/>
    <w:rsid w:val="003D353E"/>
    <w:rsid w:val="003D35B6"/>
    <w:rsid w:val="003D35E9"/>
    <w:rsid w:val="003D368F"/>
    <w:rsid w:val="003D37BB"/>
    <w:rsid w:val="003D384E"/>
    <w:rsid w:val="003D386A"/>
    <w:rsid w:val="003D39A6"/>
    <w:rsid w:val="003D3A07"/>
    <w:rsid w:val="003D3B96"/>
    <w:rsid w:val="003D3C49"/>
    <w:rsid w:val="003D3CD9"/>
    <w:rsid w:val="003D3D4C"/>
    <w:rsid w:val="003D3D54"/>
    <w:rsid w:val="003D3DCB"/>
    <w:rsid w:val="003D3EE0"/>
    <w:rsid w:val="003D3F86"/>
    <w:rsid w:val="003D4043"/>
    <w:rsid w:val="003D40E8"/>
    <w:rsid w:val="003D40EC"/>
    <w:rsid w:val="003D41B5"/>
    <w:rsid w:val="003D4298"/>
    <w:rsid w:val="003D429B"/>
    <w:rsid w:val="003D42AD"/>
    <w:rsid w:val="003D4326"/>
    <w:rsid w:val="003D43AA"/>
    <w:rsid w:val="003D4611"/>
    <w:rsid w:val="003D468E"/>
    <w:rsid w:val="003D46A5"/>
    <w:rsid w:val="003D4737"/>
    <w:rsid w:val="003D479D"/>
    <w:rsid w:val="003D47D9"/>
    <w:rsid w:val="003D4895"/>
    <w:rsid w:val="003D489E"/>
    <w:rsid w:val="003D4999"/>
    <w:rsid w:val="003D49A7"/>
    <w:rsid w:val="003D4B00"/>
    <w:rsid w:val="003D4CA0"/>
    <w:rsid w:val="003D4DA2"/>
    <w:rsid w:val="003D4DEB"/>
    <w:rsid w:val="003D4E59"/>
    <w:rsid w:val="003D4F13"/>
    <w:rsid w:val="003D4F5C"/>
    <w:rsid w:val="003D4F7D"/>
    <w:rsid w:val="003D4FF0"/>
    <w:rsid w:val="003D516D"/>
    <w:rsid w:val="003D54A2"/>
    <w:rsid w:val="003D54FF"/>
    <w:rsid w:val="003D55A8"/>
    <w:rsid w:val="003D55EF"/>
    <w:rsid w:val="003D56B2"/>
    <w:rsid w:val="003D56B7"/>
    <w:rsid w:val="003D57C6"/>
    <w:rsid w:val="003D57E1"/>
    <w:rsid w:val="003D581C"/>
    <w:rsid w:val="003D591B"/>
    <w:rsid w:val="003D598F"/>
    <w:rsid w:val="003D5A76"/>
    <w:rsid w:val="003D5BDB"/>
    <w:rsid w:val="003D5BE5"/>
    <w:rsid w:val="003D5D2D"/>
    <w:rsid w:val="003D5D63"/>
    <w:rsid w:val="003D5DA3"/>
    <w:rsid w:val="003D5E18"/>
    <w:rsid w:val="003D5ED6"/>
    <w:rsid w:val="003D5F29"/>
    <w:rsid w:val="003D6012"/>
    <w:rsid w:val="003D6016"/>
    <w:rsid w:val="003D61B5"/>
    <w:rsid w:val="003D626F"/>
    <w:rsid w:val="003D6380"/>
    <w:rsid w:val="003D644C"/>
    <w:rsid w:val="003D656F"/>
    <w:rsid w:val="003D674E"/>
    <w:rsid w:val="003D6840"/>
    <w:rsid w:val="003D699E"/>
    <w:rsid w:val="003D69FC"/>
    <w:rsid w:val="003D6A1D"/>
    <w:rsid w:val="003D6A92"/>
    <w:rsid w:val="003D6ACF"/>
    <w:rsid w:val="003D6B0E"/>
    <w:rsid w:val="003D6B45"/>
    <w:rsid w:val="003D6BA2"/>
    <w:rsid w:val="003D6C0B"/>
    <w:rsid w:val="003D6F78"/>
    <w:rsid w:val="003D6FA5"/>
    <w:rsid w:val="003D70E1"/>
    <w:rsid w:val="003D711C"/>
    <w:rsid w:val="003D7220"/>
    <w:rsid w:val="003D7247"/>
    <w:rsid w:val="003D72F7"/>
    <w:rsid w:val="003D7389"/>
    <w:rsid w:val="003D73B4"/>
    <w:rsid w:val="003D7446"/>
    <w:rsid w:val="003D74C7"/>
    <w:rsid w:val="003D75C0"/>
    <w:rsid w:val="003D760D"/>
    <w:rsid w:val="003D760F"/>
    <w:rsid w:val="003D7619"/>
    <w:rsid w:val="003D7624"/>
    <w:rsid w:val="003D76A6"/>
    <w:rsid w:val="003D76B6"/>
    <w:rsid w:val="003D7715"/>
    <w:rsid w:val="003D7721"/>
    <w:rsid w:val="003D77D6"/>
    <w:rsid w:val="003D77DE"/>
    <w:rsid w:val="003D7835"/>
    <w:rsid w:val="003D78BF"/>
    <w:rsid w:val="003D7988"/>
    <w:rsid w:val="003D79AA"/>
    <w:rsid w:val="003D7A27"/>
    <w:rsid w:val="003D7A35"/>
    <w:rsid w:val="003D7BB7"/>
    <w:rsid w:val="003D7C5E"/>
    <w:rsid w:val="003D7C84"/>
    <w:rsid w:val="003D7D49"/>
    <w:rsid w:val="003D7DB2"/>
    <w:rsid w:val="003D7EA3"/>
    <w:rsid w:val="003D7F53"/>
    <w:rsid w:val="003D7F68"/>
    <w:rsid w:val="003D7F98"/>
    <w:rsid w:val="003E0025"/>
    <w:rsid w:val="003E00AD"/>
    <w:rsid w:val="003E016D"/>
    <w:rsid w:val="003E019B"/>
    <w:rsid w:val="003E01D5"/>
    <w:rsid w:val="003E0286"/>
    <w:rsid w:val="003E02DC"/>
    <w:rsid w:val="003E043C"/>
    <w:rsid w:val="003E047E"/>
    <w:rsid w:val="003E0548"/>
    <w:rsid w:val="003E0753"/>
    <w:rsid w:val="003E07BF"/>
    <w:rsid w:val="003E091B"/>
    <w:rsid w:val="003E0994"/>
    <w:rsid w:val="003E09D7"/>
    <w:rsid w:val="003E0C42"/>
    <w:rsid w:val="003E0C58"/>
    <w:rsid w:val="003E0C5A"/>
    <w:rsid w:val="003E0D50"/>
    <w:rsid w:val="003E0D5E"/>
    <w:rsid w:val="003E0EEF"/>
    <w:rsid w:val="003E0EFE"/>
    <w:rsid w:val="003E0FD0"/>
    <w:rsid w:val="003E1058"/>
    <w:rsid w:val="003E137F"/>
    <w:rsid w:val="003E138D"/>
    <w:rsid w:val="003E13BD"/>
    <w:rsid w:val="003E140D"/>
    <w:rsid w:val="003E1483"/>
    <w:rsid w:val="003E149B"/>
    <w:rsid w:val="003E1557"/>
    <w:rsid w:val="003E15FF"/>
    <w:rsid w:val="003E1788"/>
    <w:rsid w:val="003E17B3"/>
    <w:rsid w:val="003E1820"/>
    <w:rsid w:val="003E187C"/>
    <w:rsid w:val="003E1A1D"/>
    <w:rsid w:val="003E1B02"/>
    <w:rsid w:val="003E1D8B"/>
    <w:rsid w:val="003E1EB6"/>
    <w:rsid w:val="003E1ED1"/>
    <w:rsid w:val="003E1EF9"/>
    <w:rsid w:val="003E1F4C"/>
    <w:rsid w:val="003E2426"/>
    <w:rsid w:val="003E253E"/>
    <w:rsid w:val="003E2576"/>
    <w:rsid w:val="003E26BB"/>
    <w:rsid w:val="003E26F7"/>
    <w:rsid w:val="003E2748"/>
    <w:rsid w:val="003E281D"/>
    <w:rsid w:val="003E2881"/>
    <w:rsid w:val="003E28D4"/>
    <w:rsid w:val="003E29E9"/>
    <w:rsid w:val="003E2A05"/>
    <w:rsid w:val="003E2A1A"/>
    <w:rsid w:val="003E2B6E"/>
    <w:rsid w:val="003E2B7B"/>
    <w:rsid w:val="003E2BD4"/>
    <w:rsid w:val="003E2BEF"/>
    <w:rsid w:val="003E2C04"/>
    <w:rsid w:val="003E2CA0"/>
    <w:rsid w:val="003E2D7D"/>
    <w:rsid w:val="003E2E21"/>
    <w:rsid w:val="003E2E44"/>
    <w:rsid w:val="003E2ED2"/>
    <w:rsid w:val="003E2F0D"/>
    <w:rsid w:val="003E2FB5"/>
    <w:rsid w:val="003E2FDC"/>
    <w:rsid w:val="003E305D"/>
    <w:rsid w:val="003E30D4"/>
    <w:rsid w:val="003E30E8"/>
    <w:rsid w:val="003E3206"/>
    <w:rsid w:val="003E33B0"/>
    <w:rsid w:val="003E3513"/>
    <w:rsid w:val="003E3526"/>
    <w:rsid w:val="003E3568"/>
    <w:rsid w:val="003E3569"/>
    <w:rsid w:val="003E36A3"/>
    <w:rsid w:val="003E3729"/>
    <w:rsid w:val="003E373C"/>
    <w:rsid w:val="003E3779"/>
    <w:rsid w:val="003E387C"/>
    <w:rsid w:val="003E3ADE"/>
    <w:rsid w:val="003E3B86"/>
    <w:rsid w:val="003E3BAE"/>
    <w:rsid w:val="003E3BD1"/>
    <w:rsid w:val="003E3C3D"/>
    <w:rsid w:val="003E3C72"/>
    <w:rsid w:val="003E3D41"/>
    <w:rsid w:val="003E3D4E"/>
    <w:rsid w:val="003E3D77"/>
    <w:rsid w:val="003E4045"/>
    <w:rsid w:val="003E4079"/>
    <w:rsid w:val="003E40C5"/>
    <w:rsid w:val="003E4194"/>
    <w:rsid w:val="003E41DD"/>
    <w:rsid w:val="003E43D3"/>
    <w:rsid w:val="003E43EE"/>
    <w:rsid w:val="003E456B"/>
    <w:rsid w:val="003E45B0"/>
    <w:rsid w:val="003E466B"/>
    <w:rsid w:val="003E47EC"/>
    <w:rsid w:val="003E48DE"/>
    <w:rsid w:val="003E49BA"/>
    <w:rsid w:val="003E49F4"/>
    <w:rsid w:val="003E4A5E"/>
    <w:rsid w:val="003E4A64"/>
    <w:rsid w:val="003E4A87"/>
    <w:rsid w:val="003E4AB7"/>
    <w:rsid w:val="003E4B73"/>
    <w:rsid w:val="003E4E02"/>
    <w:rsid w:val="003E4E84"/>
    <w:rsid w:val="003E4EC6"/>
    <w:rsid w:val="003E5021"/>
    <w:rsid w:val="003E5160"/>
    <w:rsid w:val="003E51CE"/>
    <w:rsid w:val="003E52B7"/>
    <w:rsid w:val="003E535B"/>
    <w:rsid w:val="003E539F"/>
    <w:rsid w:val="003E53BF"/>
    <w:rsid w:val="003E53F2"/>
    <w:rsid w:val="003E540B"/>
    <w:rsid w:val="003E5434"/>
    <w:rsid w:val="003E54F2"/>
    <w:rsid w:val="003E5652"/>
    <w:rsid w:val="003E566A"/>
    <w:rsid w:val="003E56DC"/>
    <w:rsid w:val="003E56FE"/>
    <w:rsid w:val="003E57AE"/>
    <w:rsid w:val="003E59F0"/>
    <w:rsid w:val="003E5B44"/>
    <w:rsid w:val="003E5B9C"/>
    <w:rsid w:val="003E5CB2"/>
    <w:rsid w:val="003E5D58"/>
    <w:rsid w:val="003E5E41"/>
    <w:rsid w:val="003E5E69"/>
    <w:rsid w:val="003E5F57"/>
    <w:rsid w:val="003E5F5F"/>
    <w:rsid w:val="003E5F69"/>
    <w:rsid w:val="003E5FA6"/>
    <w:rsid w:val="003E5FD4"/>
    <w:rsid w:val="003E60A7"/>
    <w:rsid w:val="003E60C3"/>
    <w:rsid w:val="003E60C7"/>
    <w:rsid w:val="003E60F6"/>
    <w:rsid w:val="003E6115"/>
    <w:rsid w:val="003E6139"/>
    <w:rsid w:val="003E620A"/>
    <w:rsid w:val="003E621C"/>
    <w:rsid w:val="003E632C"/>
    <w:rsid w:val="003E645A"/>
    <w:rsid w:val="003E64EC"/>
    <w:rsid w:val="003E64F8"/>
    <w:rsid w:val="003E67B2"/>
    <w:rsid w:val="003E67DD"/>
    <w:rsid w:val="003E6928"/>
    <w:rsid w:val="003E6AA5"/>
    <w:rsid w:val="003E6AD7"/>
    <w:rsid w:val="003E6B70"/>
    <w:rsid w:val="003E6C25"/>
    <w:rsid w:val="003E6C4B"/>
    <w:rsid w:val="003E6CB7"/>
    <w:rsid w:val="003E6F28"/>
    <w:rsid w:val="003E7052"/>
    <w:rsid w:val="003E70BA"/>
    <w:rsid w:val="003E7115"/>
    <w:rsid w:val="003E722A"/>
    <w:rsid w:val="003E723A"/>
    <w:rsid w:val="003E728F"/>
    <w:rsid w:val="003E7309"/>
    <w:rsid w:val="003E7345"/>
    <w:rsid w:val="003E7552"/>
    <w:rsid w:val="003E760B"/>
    <w:rsid w:val="003E763B"/>
    <w:rsid w:val="003E779F"/>
    <w:rsid w:val="003E77EF"/>
    <w:rsid w:val="003E7826"/>
    <w:rsid w:val="003E79F7"/>
    <w:rsid w:val="003E7A06"/>
    <w:rsid w:val="003E7A26"/>
    <w:rsid w:val="003E7A38"/>
    <w:rsid w:val="003E7A4B"/>
    <w:rsid w:val="003E7C7D"/>
    <w:rsid w:val="003E7CA9"/>
    <w:rsid w:val="003E7CD8"/>
    <w:rsid w:val="003E7DA2"/>
    <w:rsid w:val="003E7DF2"/>
    <w:rsid w:val="003E7E84"/>
    <w:rsid w:val="003E7EE2"/>
    <w:rsid w:val="003E7EFB"/>
    <w:rsid w:val="003F0000"/>
    <w:rsid w:val="003F00BD"/>
    <w:rsid w:val="003F00E1"/>
    <w:rsid w:val="003F01F7"/>
    <w:rsid w:val="003F03D1"/>
    <w:rsid w:val="003F03EC"/>
    <w:rsid w:val="003F0465"/>
    <w:rsid w:val="003F04FA"/>
    <w:rsid w:val="003F0506"/>
    <w:rsid w:val="003F05A7"/>
    <w:rsid w:val="003F05E1"/>
    <w:rsid w:val="003F062C"/>
    <w:rsid w:val="003F0705"/>
    <w:rsid w:val="003F089D"/>
    <w:rsid w:val="003F08B8"/>
    <w:rsid w:val="003F0973"/>
    <w:rsid w:val="003F09FC"/>
    <w:rsid w:val="003F0A2C"/>
    <w:rsid w:val="003F0A78"/>
    <w:rsid w:val="003F0A81"/>
    <w:rsid w:val="003F0ADC"/>
    <w:rsid w:val="003F0B2C"/>
    <w:rsid w:val="003F0BD6"/>
    <w:rsid w:val="003F0D33"/>
    <w:rsid w:val="003F0D44"/>
    <w:rsid w:val="003F0EBB"/>
    <w:rsid w:val="003F0EED"/>
    <w:rsid w:val="003F0F1F"/>
    <w:rsid w:val="003F1043"/>
    <w:rsid w:val="003F106D"/>
    <w:rsid w:val="003F1196"/>
    <w:rsid w:val="003F11AE"/>
    <w:rsid w:val="003F11E0"/>
    <w:rsid w:val="003F1222"/>
    <w:rsid w:val="003F1269"/>
    <w:rsid w:val="003F12BB"/>
    <w:rsid w:val="003F12C5"/>
    <w:rsid w:val="003F12F0"/>
    <w:rsid w:val="003F1362"/>
    <w:rsid w:val="003F15AC"/>
    <w:rsid w:val="003F1620"/>
    <w:rsid w:val="003F162C"/>
    <w:rsid w:val="003F163B"/>
    <w:rsid w:val="003F1701"/>
    <w:rsid w:val="003F1831"/>
    <w:rsid w:val="003F1840"/>
    <w:rsid w:val="003F196B"/>
    <w:rsid w:val="003F1A6C"/>
    <w:rsid w:val="003F1B44"/>
    <w:rsid w:val="003F1BE5"/>
    <w:rsid w:val="003F1C1E"/>
    <w:rsid w:val="003F1D9B"/>
    <w:rsid w:val="003F1E29"/>
    <w:rsid w:val="003F1FCF"/>
    <w:rsid w:val="003F201A"/>
    <w:rsid w:val="003F205C"/>
    <w:rsid w:val="003F2176"/>
    <w:rsid w:val="003F2224"/>
    <w:rsid w:val="003F2273"/>
    <w:rsid w:val="003F2345"/>
    <w:rsid w:val="003F2438"/>
    <w:rsid w:val="003F249F"/>
    <w:rsid w:val="003F2550"/>
    <w:rsid w:val="003F25DE"/>
    <w:rsid w:val="003F2600"/>
    <w:rsid w:val="003F262A"/>
    <w:rsid w:val="003F263F"/>
    <w:rsid w:val="003F2661"/>
    <w:rsid w:val="003F2672"/>
    <w:rsid w:val="003F2829"/>
    <w:rsid w:val="003F29B9"/>
    <w:rsid w:val="003F29D6"/>
    <w:rsid w:val="003F2ABB"/>
    <w:rsid w:val="003F2BD3"/>
    <w:rsid w:val="003F2C17"/>
    <w:rsid w:val="003F2C5E"/>
    <w:rsid w:val="003F2C83"/>
    <w:rsid w:val="003F2E58"/>
    <w:rsid w:val="003F2ECE"/>
    <w:rsid w:val="003F2F5D"/>
    <w:rsid w:val="003F2F6E"/>
    <w:rsid w:val="003F3183"/>
    <w:rsid w:val="003F31E8"/>
    <w:rsid w:val="003F3259"/>
    <w:rsid w:val="003F32A3"/>
    <w:rsid w:val="003F335A"/>
    <w:rsid w:val="003F33D9"/>
    <w:rsid w:val="003F33F7"/>
    <w:rsid w:val="003F3425"/>
    <w:rsid w:val="003F34A4"/>
    <w:rsid w:val="003F35D5"/>
    <w:rsid w:val="003F36E3"/>
    <w:rsid w:val="003F3751"/>
    <w:rsid w:val="003F37DC"/>
    <w:rsid w:val="003F382C"/>
    <w:rsid w:val="003F3873"/>
    <w:rsid w:val="003F396F"/>
    <w:rsid w:val="003F39B5"/>
    <w:rsid w:val="003F3A24"/>
    <w:rsid w:val="003F3DB3"/>
    <w:rsid w:val="003F3DCA"/>
    <w:rsid w:val="003F3E6E"/>
    <w:rsid w:val="003F3F39"/>
    <w:rsid w:val="003F3F74"/>
    <w:rsid w:val="003F41C9"/>
    <w:rsid w:val="003F4233"/>
    <w:rsid w:val="003F424F"/>
    <w:rsid w:val="003F42F9"/>
    <w:rsid w:val="003F4353"/>
    <w:rsid w:val="003F43C1"/>
    <w:rsid w:val="003F441E"/>
    <w:rsid w:val="003F44BC"/>
    <w:rsid w:val="003F4600"/>
    <w:rsid w:val="003F468C"/>
    <w:rsid w:val="003F46EC"/>
    <w:rsid w:val="003F46F9"/>
    <w:rsid w:val="003F4700"/>
    <w:rsid w:val="003F4707"/>
    <w:rsid w:val="003F47F2"/>
    <w:rsid w:val="003F4809"/>
    <w:rsid w:val="003F4882"/>
    <w:rsid w:val="003F49CE"/>
    <w:rsid w:val="003F4AA2"/>
    <w:rsid w:val="003F4AA7"/>
    <w:rsid w:val="003F4BED"/>
    <w:rsid w:val="003F4BFC"/>
    <w:rsid w:val="003F4C0D"/>
    <w:rsid w:val="003F4C25"/>
    <w:rsid w:val="003F4E4A"/>
    <w:rsid w:val="003F4FEC"/>
    <w:rsid w:val="003F52AD"/>
    <w:rsid w:val="003F53B4"/>
    <w:rsid w:val="003F5402"/>
    <w:rsid w:val="003F54DE"/>
    <w:rsid w:val="003F5662"/>
    <w:rsid w:val="003F5720"/>
    <w:rsid w:val="003F5772"/>
    <w:rsid w:val="003F5802"/>
    <w:rsid w:val="003F587A"/>
    <w:rsid w:val="003F587C"/>
    <w:rsid w:val="003F59E2"/>
    <w:rsid w:val="003F5A33"/>
    <w:rsid w:val="003F5B52"/>
    <w:rsid w:val="003F5B98"/>
    <w:rsid w:val="003F5D7C"/>
    <w:rsid w:val="003F5DCF"/>
    <w:rsid w:val="003F5E24"/>
    <w:rsid w:val="003F5F08"/>
    <w:rsid w:val="003F5FC7"/>
    <w:rsid w:val="003F604F"/>
    <w:rsid w:val="003F6059"/>
    <w:rsid w:val="003F6164"/>
    <w:rsid w:val="003F6177"/>
    <w:rsid w:val="003F628B"/>
    <w:rsid w:val="003F639F"/>
    <w:rsid w:val="003F64A2"/>
    <w:rsid w:val="003F64B9"/>
    <w:rsid w:val="003F65F9"/>
    <w:rsid w:val="003F670E"/>
    <w:rsid w:val="003F679F"/>
    <w:rsid w:val="003F68D7"/>
    <w:rsid w:val="003F6C15"/>
    <w:rsid w:val="003F6C56"/>
    <w:rsid w:val="003F6CE5"/>
    <w:rsid w:val="003F6D71"/>
    <w:rsid w:val="003F6DE4"/>
    <w:rsid w:val="003F6DFC"/>
    <w:rsid w:val="003F6E0E"/>
    <w:rsid w:val="003F6E3A"/>
    <w:rsid w:val="003F6EAE"/>
    <w:rsid w:val="003F6F09"/>
    <w:rsid w:val="003F6FF0"/>
    <w:rsid w:val="003F70E4"/>
    <w:rsid w:val="003F70EE"/>
    <w:rsid w:val="003F710E"/>
    <w:rsid w:val="003F7184"/>
    <w:rsid w:val="003F7205"/>
    <w:rsid w:val="003F7227"/>
    <w:rsid w:val="003F72AA"/>
    <w:rsid w:val="003F7332"/>
    <w:rsid w:val="003F741A"/>
    <w:rsid w:val="003F741B"/>
    <w:rsid w:val="003F74AE"/>
    <w:rsid w:val="003F74C1"/>
    <w:rsid w:val="003F7597"/>
    <w:rsid w:val="003F760A"/>
    <w:rsid w:val="003F7735"/>
    <w:rsid w:val="003F77BC"/>
    <w:rsid w:val="003F785B"/>
    <w:rsid w:val="003F7970"/>
    <w:rsid w:val="003F7A94"/>
    <w:rsid w:val="003F7B02"/>
    <w:rsid w:val="003F7B30"/>
    <w:rsid w:val="003F7B62"/>
    <w:rsid w:val="003F7C64"/>
    <w:rsid w:val="003F7CC7"/>
    <w:rsid w:val="003F7CEC"/>
    <w:rsid w:val="003F7DB1"/>
    <w:rsid w:val="003F7E82"/>
    <w:rsid w:val="003F7EF2"/>
    <w:rsid w:val="003F7F15"/>
    <w:rsid w:val="003F7FDA"/>
    <w:rsid w:val="003F7FDB"/>
    <w:rsid w:val="0040017A"/>
    <w:rsid w:val="00400210"/>
    <w:rsid w:val="0040025D"/>
    <w:rsid w:val="004003C3"/>
    <w:rsid w:val="0040040E"/>
    <w:rsid w:val="00400472"/>
    <w:rsid w:val="0040051C"/>
    <w:rsid w:val="004005FB"/>
    <w:rsid w:val="00400609"/>
    <w:rsid w:val="00400662"/>
    <w:rsid w:val="00400694"/>
    <w:rsid w:val="004006B9"/>
    <w:rsid w:val="004008DE"/>
    <w:rsid w:val="0040090D"/>
    <w:rsid w:val="0040095D"/>
    <w:rsid w:val="00400976"/>
    <w:rsid w:val="004009EE"/>
    <w:rsid w:val="00400A37"/>
    <w:rsid w:val="00400A5C"/>
    <w:rsid w:val="00400AFB"/>
    <w:rsid w:val="00400B43"/>
    <w:rsid w:val="00400B86"/>
    <w:rsid w:val="00400C78"/>
    <w:rsid w:val="00400D52"/>
    <w:rsid w:val="00400D91"/>
    <w:rsid w:val="00400F45"/>
    <w:rsid w:val="00401048"/>
    <w:rsid w:val="004010CB"/>
    <w:rsid w:val="00401151"/>
    <w:rsid w:val="004012A3"/>
    <w:rsid w:val="004012A5"/>
    <w:rsid w:val="004012B2"/>
    <w:rsid w:val="00401348"/>
    <w:rsid w:val="0040142F"/>
    <w:rsid w:val="0040150E"/>
    <w:rsid w:val="00401574"/>
    <w:rsid w:val="0040160D"/>
    <w:rsid w:val="0040167A"/>
    <w:rsid w:val="004016E1"/>
    <w:rsid w:val="0040184D"/>
    <w:rsid w:val="00401876"/>
    <w:rsid w:val="004019DF"/>
    <w:rsid w:val="004019F4"/>
    <w:rsid w:val="00401ABF"/>
    <w:rsid w:val="00401BA7"/>
    <w:rsid w:val="00401C78"/>
    <w:rsid w:val="00401DCD"/>
    <w:rsid w:val="00401DE7"/>
    <w:rsid w:val="00401EAD"/>
    <w:rsid w:val="00401EC9"/>
    <w:rsid w:val="00401ED9"/>
    <w:rsid w:val="00401F80"/>
    <w:rsid w:val="00401FE0"/>
    <w:rsid w:val="0040207A"/>
    <w:rsid w:val="0040207C"/>
    <w:rsid w:val="004020E2"/>
    <w:rsid w:val="0040235B"/>
    <w:rsid w:val="0040239F"/>
    <w:rsid w:val="00402496"/>
    <w:rsid w:val="00402527"/>
    <w:rsid w:val="00402689"/>
    <w:rsid w:val="0040272F"/>
    <w:rsid w:val="0040296E"/>
    <w:rsid w:val="004029AC"/>
    <w:rsid w:val="00402A46"/>
    <w:rsid w:val="00402A60"/>
    <w:rsid w:val="00402ADA"/>
    <w:rsid w:val="00402D1F"/>
    <w:rsid w:val="00402D38"/>
    <w:rsid w:val="00402E4E"/>
    <w:rsid w:val="00402E69"/>
    <w:rsid w:val="00402FD6"/>
    <w:rsid w:val="00402FF2"/>
    <w:rsid w:val="0040301C"/>
    <w:rsid w:val="0040307A"/>
    <w:rsid w:val="00403127"/>
    <w:rsid w:val="00403149"/>
    <w:rsid w:val="004031A9"/>
    <w:rsid w:val="004032E3"/>
    <w:rsid w:val="004032F3"/>
    <w:rsid w:val="004032F8"/>
    <w:rsid w:val="004033B4"/>
    <w:rsid w:val="004034F2"/>
    <w:rsid w:val="00403731"/>
    <w:rsid w:val="00403740"/>
    <w:rsid w:val="00403747"/>
    <w:rsid w:val="00403778"/>
    <w:rsid w:val="004038C5"/>
    <w:rsid w:val="004038F5"/>
    <w:rsid w:val="00403943"/>
    <w:rsid w:val="004039A7"/>
    <w:rsid w:val="00403A7C"/>
    <w:rsid w:val="00403AB1"/>
    <w:rsid w:val="00403B12"/>
    <w:rsid w:val="00403B43"/>
    <w:rsid w:val="00403B7E"/>
    <w:rsid w:val="00403BDB"/>
    <w:rsid w:val="00403C68"/>
    <w:rsid w:val="00403C9B"/>
    <w:rsid w:val="00403DA7"/>
    <w:rsid w:val="00403DC9"/>
    <w:rsid w:val="00403E88"/>
    <w:rsid w:val="00403E89"/>
    <w:rsid w:val="00404047"/>
    <w:rsid w:val="004040B7"/>
    <w:rsid w:val="0040411D"/>
    <w:rsid w:val="00404154"/>
    <w:rsid w:val="004041C1"/>
    <w:rsid w:val="004041D2"/>
    <w:rsid w:val="00404237"/>
    <w:rsid w:val="00404297"/>
    <w:rsid w:val="00404304"/>
    <w:rsid w:val="0040430D"/>
    <w:rsid w:val="0040446C"/>
    <w:rsid w:val="004044C0"/>
    <w:rsid w:val="00404527"/>
    <w:rsid w:val="004045C8"/>
    <w:rsid w:val="00404606"/>
    <w:rsid w:val="00404684"/>
    <w:rsid w:val="00404695"/>
    <w:rsid w:val="0040475A"/>
    <w:rsid w:val="00404786"/>
    <w:rsid w:val="0040485C"/>
    <w:rsid w:val="00404885"/>
    <w:rsid w:val="0040491A"/>
    <w:rsid w:val="0040495D"/>
    <w:rsid w:val="00404968"/>
    <w:rsid w:val="00404B93"/>
    <w:rsid w:val="00404BE9"/>
    <w:rsid w:val="00404C12"/>
    <w:rsid w:val="00404C87"/>
    <w:rsid w:val="00404CA4"/>
    <w:rsid w:val="00404CB9"/>
    <w:rsid w:val="00404E39"/>
    <w:rsid w:val="00404F06"/>
    <w:rsid w:val="00404FCB"/>
    <w:rsid w:val="004050D8"/>
    <w:rsid w:val="0040511A"/>
    <w:rsid w:val="00405143"/>
    <w:rsid w:val="004051B8"/>
    <w:rsid w:val="004052BC"/>
    <w:rsid w:val="004052E8"/>
    <w:rsid w:val="004052F0"/>
    <w:rsid w:val="00405396"/>
    <w:rsid w:val="004053EB"/>
    <w:rsid w:val="00405582"/>
    <w:rsid w:val="00405584"/>
    <w:rsid w:val="004055C9"/>
    <w:rsid w:val="00405874"/>
    <w:rsid w:val="004058D8"/>
    <w:rsid w:val="00405931"/>
    <w:rsid w:val="00405B82"/>
    <w:rsid w:val="00405DA9"/>
    <w:rsid w:val="00405DD1"/>
    <w:rsid w:val="00405F39"/>
    <w:rsid w:val="00405FE5"/>
    <w:rsid w:val="00406043"/>
    <w:rsid w:val="00406191"/>
    <w:rsid w:val="004061C8"/>
    <w:rsid w:val="00406274"/>
    <w:rsid w:val="0040630A"/>
    <w:rsid w:val="0040631F"/>
    <w:rsid w:val="00406408"/>
    <w:rsid w:val="004064DD"/>
    <w:rsid w:val="0040655B"/>
    <w:rsid w:val="004065A7"/>
    <w:rsid w:val="004066C3"/>
    <w:rsid w:val="00406767"/>
    <w:rsid w:val="004067AA"/>
    <w:rsid w:val="00406837"/>
    <w:rsid w:val="00406871"/>
    <w:rsid w:val="00406909"/>
    <w:rsid w:val="0040694B"/>
    <w:rsid w:val="004069D4"/>
    <w:rsid w:val="00406A9F"/>
    <w:rsid w:val="00406B98"/>
    <w:rsid w:val="00406D0D"/>
    <w:rsid w:val="00406D29"/>
    <w:rsid w:val="00406E06"/>
    <w:rsid w:val="00406E9B"/>
    <w:rsid w:val="00406EB3"/>
    <w:rsid w:val="00406EEE"/>
    <w:rsid w:val="00406F15"/>
    <w:rsid w:val="00406F37"/>
    <w:rsid w:val="00406F4F"/>
    <w:rsid w:val="00406FF9"/>
    <w:rsid w:val="00407041"/>
    <w:rsid w:val="00407137"/>
    <w:rsid w:val="00407289"/>
    <w:rsid w:val="0040730B"/>
    <w:rsid w:val="0040731B"/>
    <w:rsid w:val="00407352"/>
    <w:rsid w:val="004073FA"/>
    <w:rsid w:val="004074B7"/>
    <w:rsid w:val="00407511"/>
    <w:rsid w:val="0040759C"/>
    <w:rsid w:val="00407709"/>
    <w:rsid w:val="0040777F"/>
    <w:rsid w:val="00407895"/>
    <w:rsid w:val="004079DC"/>
    <w:rsid w:val="004079F6"/>
    <w:rsid w:val="00407AC8"/>
    <w:rsid w:val="00407B11"/>
    <w:rsid w:val="00407B37"/>
    <w:rsid w:val="00407C6F"/>
    <w:rsid w:val="00407CB4"/>
    <w:rsid w:val="00407D9C"/>
    <w:rsid w:val="00407DF2"/>
    <w:rsid w:val="004100C1"/>
    <w:rsid w:val="004100D3"/>
    <w:rsid w:val="00410195"/>
    <w:rsid w:val="004102B4"/>
    <w:rsid w:val="004102ED"/>
    <w:rsid w:val="00410305"/>
    <w:rsid w:val="004105CF"/>
    <w:rsid w:val="004106CD"/>
    <w:rsid w:val="0041098B"/>
    <w:rsid w:val="00410BF9"/>
    <w:rsid w:val="00410C98"/>
    <w:rsid w:val="00410CB3"/>
    <w:rsid w:val="00410D28"/>
    <w:rsid w:val="00410DE1"/>
    <w:rsid w:val="00410E52"/>
    <w:rsid w:val="00410E6D"/>
    <w:rsid w:val="00410F78"/>
    <w:rsid w:val="00411012"/>
    <w:rsid w:val="004110D8"/>
    <w:rsid w:val="004112F6"/>
    <w:rsid w:val="00411393"/>
    <w:rsid w:val="004113ED"/>
    <w:rsid w:val="0041148D"/>
    <w:rsid w:val="00411760"/>
    <w:rsid w:val="00411941"/>
    <w:rsid w:val="00411A1E"/>
    <w:rsid w:val="00411ACB"/>
    <w:rsid w:val="00411C31"/>
    <w:rsid w:val="00411C67"/>
    <w:rsid w:val="00411CDE"/>
    <w:rsid w:val="00411D52"/>
    <w:rsid w:val="00411DC6"/>
    <w:rsid w:val="00411E43"/>
    <w:rsid w:val="00411F1F"/>
    <w:rsid w:val="00411F59"/>
    <w:rsid w:val="00411F5C"/>
    <w:rsid w:val="00411F81"/>
    <w:rsid w:val="00412042"/>
    <w:rsid w:val="0041207D"/>
    <w:rsid w:val="00412107"/>
    <w:rsid w:val="004121D9"/>
    <w:rsid w:val="00412279"/>
    <w:rsid w:val="00412408"/>
    <w:rsid w:val="004125A3"/>
    <w:rsid w:val="00412649"/>
    <w:rsid w:val="00412653"/>
    <w:rsid w:val="0041268E"/>
    <w:rsid w:val="0041270E"/>
    <w:rsid w:val="00412772"/>
    <w:rsid w:val="004127B1"/>
    <w:rsid w:val="0041295F"/>
    <w:rsid w:val="004129B2"/>
    <w:rsid w:val="004129F8"/>
    <w:rsid w:val="00412A47"/>
    <w:rsid w:val="00412A72"/>
    <w:rsid w:val="00412B2D"/>
    <w:rsid w:val="00412BE6"/>
    <w:rsid w:val="00412E35"/>
    <w:rsid w:val="00412EA0"/>
    <w:rsid w:val="00412F58"/>
    <w:rsid w:val="00412FE7"/>
    <w:rsid w:val="00413024"/>
    <w:rsid w:val="00413109"/>
    <w:rsid w:val="00413190"/>
    <w:rsid w:val="004131E8"/>
    <w:rsid w:val="004132F8"/>
    <w:rsid w:val="0041360F"/>
    <w:rsid w:val="0041369E"/>
    <w:rsid w:val="004136CD"/>
    <w:rsid w:val="00413737"/>
    <w:rsid w:val="00413767"/>
    <w:rsid w:val="00413852"/>
    <w:rsid w:val="00413A17"/>
    <w:rsid w:val="00413A5F"/>
    <w:rsid w:val="00413DB1"/>
    <w:rsid w:val="00413E6D"/>
    <w:rsid w:val="00413F16"/>
    <w:rsid w:val="00413F67"/>
    <w:rsid w:val="00413F70"/>
    <w:rsid w:val="00413F8A"/>
    <w:rsid w:val="004140C9"/>
    <w:rsid w:val="00414100"/>
    <w:rsid w:val="0041410E"/>
    <w:rsid w:val="00414168"/>
    <w:rsid w:val="00414172"/>
    <w:rsid w:val="0041425F"/>
    <w:rsid w:val="004142E4"/>
    <w:rsid w:val="00414492"/>
    <w:rsid w:val="004144A6"/>
    <w:rsid w:val="004144CA"/>
    <w:rsid w:val="00414535"/>
    <w:rsid w:val="0041458A"/>
    <w:rsid w:val="00414715"/>
    <w:rsid w:val="0041483A"/>
    <w:rsid w:val="00414ABA"/>
    <w:rsid w:val="00414D40"/>
    <w:rsid w:val="00414FF0"/>
    <w:rsid w:val="00415123"/>
    <w:rsid w:val="00415138"/>
    <w:rsid w:val="00415284"/>
    <w:rsid w:val="00415294"/>
    <w:rsid w:val="004152B9"/>
    <w:rsid w:val="004152CE"/>
    <w:rsid w:val="00415401"/>
    <w:rsid w:val="00415433"/>
    <w:rsid w:val="00415475"/>
    <w:rsid w:val="004154EB"/>
    <w:rsid w:val="0041551F"/>
    <w:rsid w:val="004155FB"/>
    <w:rsid w:val="00415783"/>
    <w:rsid w:val="004157B0"/>
    <w:rsid w:val="00415815"/>
    <w:rsid w:val="00415835"/>
    <w:rsid w:val="00415888"/>
    <w:rsid w:val="00415938"/>
    <w:rsid w:val="00415A46"/>
    <w:rsid w:val="00415A8E"/>
    <w:rsid w:val="00415C2F"/>
    <w:rsid w:val="00415C77"/>
    <w:rsid w:val="00415CBE"/>
    <w:rsid w:val="00415CDD"/>
    <w:rsid w:val="00415D27"/>
    <w:rsid w:val="00415E08"/>
    <w:rsid w:val="00415E72"/>
    <w:rsid w:val="00415F0B"/>
    <w:rsid w:val="00415F78"/>
    <w:rsid w:val="004160D5"/>
    <w:rsid w:val="00416139"/>
    <w:rsid w:val="0041617C"/>
    <w:rsid w:val="00416199"/>
    <w:rsid w:val="00416218"/>
    <w:rsid w:val="00416429"/>
    <w:rsid w:val="0041649F"/>
    <w:rsid w:val="00416514"/>
    <w:rsid w:val="00416746"/>
    <w:rsid w:val="004167D3"/>
    <w:rsid w:val="0041681B"/>
    <w:rsid w:val="00416862"/>
    <w:rsid w:val="00416948"/>
    <w:rsid w:val="00416985"/>
    <w:rsid w:val="004169BE"/>
    <w:rsid w:val="004169DB"/>
    <w:rsid w:val="004169DE"/>
    <w:rsid w:val="00416A68"/>
    <w:rsid w:val="00416B2A"/>
    <w:rsid w:val="00416B90"/>
    <w:rsid w:val="00416D4B"/>
    <w:rsid w:val="00416E03"/>
    <w:rsid w:val="00416E22"/>
    <w:rsid w:val="00416F8C"/>
    <w:rsid w:val="00417092"/>
    <w:rsid w:val="004170B1"/>
    <w:rsid w:val="004170D0"/>
    <w:rsid w:val="00417119"/>
    <w:rsid w:val="004171AB"/>
    <w:rsid w:val="0041740D"/>
    <w:rsid w:val="0041745A"/>
    <w:rsid w:val="00417496"/>
    <w:rsid w:val="00417517"/>
    <w:rsid w:val="00417530"/>
    <w:rsid w:val="0041753D"/>
    <w:rsid w:val="004175CF"/>
    <w:rsid w:val="00417681"/>
    <w:rsid w:val="004176EE"/>
    <w:rsid w:val="004176F4"/>
    <w:rsid w:val="004177E8"/>
    <w:rsid w:val="004178D1"/>
    <w:rsid w:val="004178EA"/>
    <w:rsid w:val="00417A74"/>
    <w:rsid w:val="00417A79"/>
    <w:rsid w:val="00417AAD"/>
    <w:rsid w:val="00417AE2"/>
    <w:rsid w:val="00417B4B"/>
    <w:rsid w:val="00417C99"/>
    <w:rsid w:val="00417CB4"/>
    <w:rsid w:val="00417D06"/>
    <w:rsid w:val="00417D85"/>
    <w:rsid w:val="00417DB1"/>
    <w:rsid w:val="00417E4E"/>
    <w:rsid w:val="00417E83"/>
    <w:rsid w:val="00417EBC"/>
    <w:rsid w:val="00417F3F"/>
    <w:rsid w:val="00417FE4"/>
    <w:rsid w:val="00420001"/>
    <w:rsid w:val="00420071"/>
    <w:rsid w:val="00420084"/>
    <w:rsid w:val="0042024C"/>
    <w:rsid w:val="0042041D"/>
    <w:rsid w:val="004204D2"/>
    <w:rsid w:val="0042053D"/>
    <w:rsid w:val="00420698"/>
    <w:rsid w:val="004206C7"/>
    <w:rsid w:val="0042092A"/>
    <w:rsid w:val="0042096B"/>
    <w:rsid w:val="004209A3"/>
    <w:rsid w:val="00420A1D"/>
    <w:rsid w:val="00420AC9"/>
    <w:rsid w:val="00420C9F"/>
    <w:rsid w:val="00420CB0"/>
    <w:rsid w:val="00420CC0"/>
    <w:rsid w:val="00420CFB"/>
    <w:rsid w:val="00420DE7"/>
    <w:rsid w:val="00420DEE"/>
    <w:rsid w:val="00420E02"/>
    <w:rsid w:val="00421039"/>
    <w:rsid w:val="004212F9"/>
    <w:rsid w:val="0042130B"/>
    <w:rsid w:val="00421312"/>
    <w:rsid w:val="004213EA"/>
    <w:rsid w:val="00421542"/>
    <w:rsid w:val="004215CB"/>
    <w:rsid w:val="004215DB"/>
    <w:rsid w:val="00421632"/>
    <w:rsid w:val="00421714"/>
    <w:rsid w:val="0042179A"/>
    <w:rsid w:val="004217EF"/>
    <w:rsid w:val="00421840"/>
    <w:rsid w:val="00421872"/>
    <w:rsid w:val="004218C2"/>
    <w:rsid w:val="0042191C"/>
    <w:rsid w:val="00421977"/>
    <w:rsid w:val="004219E9"/>
    <w:rsid w:val="004219F7"/>
    <w:rsid w:val="00421A6B"/>
    <w:rsid w:val="00421B9E"/>
    <w:rsid w:val="00421BD4"/>
    <w:rsid w:val="00421C05"/>
    <w:rsid w:val="00421D39"/>
    <w:rsid w:val="00421D3C"/>
    <w:rsid w:val="00421D49"/>
    <w:rsid w:val="00421DF9"/>
    <w:rsid w:val="00421DFF"/>
    <w:rsid w:val="00421FD9"/>
    <w:rsid w:val="00422020"/>
    <w:rsid w:val="00422031"/>
    <w:rsid w:val="00422188"/>
    <w:rsid w:val="00422341"/>
    <w:rsid w:val="0042239E"/>
    <w:rsid w:val="004223C7"/>
    <w:rsid w:val="00422406"/>
    <w:rsid w:val="00422425"/>
    <w:rsid w:val="0042242E"/>
    <w:rsid w:val="00422473"/>
    <w:rsid w:val="004225F4"/>
    <w:rsid w:val="0042261F"/>
    <w:rsid w:val="00422699"/>
    <w:rsid w:val="004226D6"/>
    <w:rsid w:val="0042274B"/>
    <w:rsid w:val="00422773"/>
    <w:rsid w:val="00422779"/>
    <w:rsid w:val="004227F7"/>
    <w:rsid w:val="00422832"/>
    <w:rsid w:val="0042290B"/>
    <w:rsid w:val="0042296A"/>
    <w:rsid w:val="00422979"/>
    <w:rsid w:val="00422C0A"/>
    <w:rsid w:val="00422C12"/>
    <w:rsid w:val="00422C19"/>
    <w:rsid w:val="00422C20"/>
    <w:rsid w:val="00422C43"/>
    <w:rsid w:val="00422C9D"/>
    <w:rsid w:val="00422D02"/>
    <w:rsid w:val="00422D26"/>
    <w:rsid w:val="00422DA4"/>
    <w:rsid w:val="00422DB9"/>
    <w:rsid w:val="00422EE8"/>
    <w:rsid w:val="00422F1F"/>
    <w:rsid w:val="00423078"/>
    <w:rsid w:val="00423155"/>
    <w:rsid w:val="00423489"/>
    <w:rsid w:val="00423496"/>
    <w:rsid w:val="004234C3"/>
    <w:rsid w:val="00423630"/>
    <w:rsid w:val="00423664"/>
    <w:rsid w:val="004236B6"/>
    <w:rsid w:val="0042374F"/>
    <w:rsid w:val="004237F3"/>
    <w:rsid w:val="00423846"/>
    <w:rsid w:val="00423920"/>
    <w:rsid w:val="00423927"/>
    <w:rsid w:val="00423971"/>
    <w:rsid w:val="004239E3"/>
    <w:rsid w:val="00423A43"/>
    <w:rsid w:val="00423BEB"/>
    <w:rsid w:val="00423D72"/>
    <w:rsid w:val="00423DEB"/>
    <w:rsid w:val="00423F5E"/>
    <w:rsid w:val="00424084"/>
    <w:rsid w:val="004240F2"/>
    <w:rsid w:val="00424155"/>
    <w:rsid w:val="0042417D"/>
    <w:rsid w:val="0042419E"/>
    <w:rsid w:val="004242A3"/>
    <w:rsid w:val="004242DF"/>
    <w:rsid w:val="0042442F"/>
    <w:rsid w:val="00424445"/>
    <w:rsid w:val="00424580"/>
    <w:rsid w:val="004245E2"/>
    <w:rsid w:val="0042473E"/>
    <w:rsid w:val="00424797"/>
    <w:rsid w:val="004247EA"/>
    <w:rsid w:val="004248CF"/>
    <w:rsid w:val="00424A08"/>
    <w:rsid w:val="00424B6B"/>
    <w:rsid w:val="00424B9D"/>
    <w:rsid w:val="00424BAD"/>
    <w:rsid w:val="00424C1F"/>
    <w:rsid w:val="00424C25"/>
    <w:rsid w:val="00424C5E"/>
    <w:rsid w:val="00424D58"/>
    <w:rsid w:val="00424DA6"/>
    <w:rsid w:val="00424E5C"/>
    <w:rsid w:val="00424E86"/>
    <w:rsid w:val="00424EEC"/>
    <w:rsid w:val="00424F30"/>
    <w:rsid w:val="00424F99"/>
    <w:rsid w:val="00425094"/>
    <w:rsid w:val="004250D3"/>
    <w:rsid w:val="0042512E"/>
    <w:rsid w:val="0042515D"/>
    <w:rsid w:val="004251FC"/>
    <w:rsid w:val="004252B3"/>
    <w:rsid w:val="004252CA"/>
    <w:rsid w:val="004253A5"/>
    <w:rsid w:val="004253AA"/>
    <w:rsid w:val="004253BC"/>
    <w:rsid w:val="0042540A"/>
    <w:rsid w:val="00425449"/>
    <w:rsid w:val="004254A0"/>
    <w:rsid w:val="004254CA"/>
    <w:rsid w:val="004254E2"/>
    <w:rsid w:val="004254E9"/>
    <w:rsid w:val="004254F2"/>
    <w:rsid w:val="00425596"/>
    <w:rsid w:val="00425617"/>
    <w:rsid w:val="004257EE"/>
    <w:rsid w:val="004258F5"/>
    <w:rsid w:val="00425943"/>
    <w:rsid w:val="00425959"/>
    <w:rsid w:val="00425984"/>
    <w:rsid w:val="004259A3"/>
    <w:rsid w:val="00425BA8"/>
    <w:rsid w:val="00425BB1"/>
    <w:rsid w:val="00425BE9"/>
    <w:rsid w:val="00425C05"/>
    <w:rsid w:val="00425C3E"/>
    <w:rsid w:val="00425C73"/>
    <w:rsid w:val="00425CF5"/>
    <w:rsid w:val="00425D67"/>
    <w:rsid w:val="00425E40"/>
    <w:rsid w:val="00425F29"/>
    <w:rsid w:val="00425F94"/>
    <w:rsid w:val="00425FB9"/>
    <w:rsid w:val="004260AA"/>
    <w:rsid w:val="00426294"/>
    <w:rsid w:val="00426324"/>
    <w:rsid w:val="00426437"/>
    <w:rsid w:val="004264EB"/>
    <w:rsid w:val="00426520"/>
    <w:rsid w:val="004266BF"/>
    <w:rsid w:val="0042676D"/>
    <w:rsid w:val="0042677A"/>
    <w:rsid w:val="004267F5"/>
    <w:rsid w:val="0042683B"/>
    <w:rsid w:val="00426856"/>
    <w:rsid w:val="004268B4"/>
    <w:rsid w:val="00426966"/>
    <w:rsid w:val="00426970"/>
    <w:rsid w:val="004269A9"/>
    <w:rsid w:val="004269C6"/>
    <w:rsid w:val="004269D6"/>
    <w:rsid w:val="00426ABD"/>
    <w:rsid w:val="00426AD5"/>
    <w:rsid w:val="00426BB2"/>
    <w:rsid w:val="00426BEF"/>
    <w:rsid w:val="00426C60"/>
    <w:rsid w:val="00426CB6"/>
    <w:rsid w:val="00426CFC"/>
    <w:rsid w:val="00426DA6"/>
    <w:rsid w:val="00426DDE"/>
    <w:rsid w:val="00426EA4"/>
    <w:rsid w:val="00426EC0"/>
    <w:rsid w:val="00426F5D"/>
    <w:rsid w:val="00427007"/>
    <w:rsid w:val="004270F0"/>
    <w:rsid w:val="00427255"/>
    <w:rsid w:val="004273BE"/>
    <w:rsid w:val="0042741F"/>
    <w:rsid w:val="004275BB"/>
    <w:rsid w:val="00427613"/>
    <w:rsid w:val="00427623"/>
    <w:rsid w:val="0042764B"/>
    <w:rsid w:val="00427721"/>
    <w:rsid w:val="0042786D"/>
    <w:rsid w:val="00427960"/>
    <w:rsid w:val="00427B31"/>
    <w:rsid w:val="00427C5A"/>
    <w:rsid w:val="00427E56"/>
    <w:rsid w:val="00427F0F"/>
    <w:rsid w:val="00427F7A"/>
    <w:rsid w:val="0043003D"/>
    <w:rsid w:val="00430070"/>
    <w:rsid w:val="004300C8"/>
    <w:rsid w:val="00430182"/>
    <w:rsid w:val="00430212"/>
    <w:rsid w:val="0043028C"/>
    <w:rsid w:val="00430377"/>
    <w:rsid w:val="00430408"/>
    <w:rsid w:val="004304B2"/>
    <w:rsid w:val="00430510"/>
    <w:rsid w:val="0043051B"/>
    <w:rsid w:val="004305CC"/>
    <w:rsid w:val="004305CF"/>
    <w:rsid w:val="004306E7"/>
    <w:rsid w:val="0043077B"/>
    <w:rsid w:val="0043081E"/>
    <w:rsid w:val="00430823"/>
    <w:rsid w:val="00430A0E"/>
    <w:rsid w:val="00430A41"/>
    <w:rsid w:val="00430A56"/>
    <w:rsid w:val="00430A96"/>
    <w:rsid w:val="00430ADB"/>
    <w:rsid w:val="00430B1A"/>
    <w:rsid w:val="00430BDD"/>
    <w:rsid w:val="00430C6C"/>
    <w:rsid w:val="00430C9E"/>
    <w:rsid w:val="00430E7B"/>
    <w:rsid w:val="00430F1B"/>
    <w:rsid w:val="00430FCB"/>
    <w:rsid w:val="004310AC"/>
    <w:rsid w:val="00431101"/>
    <w:rsid w:val="0043111C"/>
    <w:rsid w:val="0043119E"/>
    <w:rsid w:val="0043122D"/>
    <w:rsid w:val="0043125A"/>
    <w:rsid w:val="00431272"/>
    <w:rsid w:val="0043131E"/>
    <w:rsid w:val="00431361"/>
    <w:rsid w:val="0043136E"/>
    <w:rsid w:val="00431394"/>
    <w:rsid w:val="004313CA"/>
    <w:rsid w:val="00431416"/>
    <w:rsid w:val="004314E1"/>
    <w:rsid w:val="004314ED"/>
    <w:rsid w:val="00431503"/>
    <w:rsid w:val="0043150F"/>
    <w:rsid w:val="00431521"/>
    <w:rsid w:val="004315C1"/>
    <w:rsid w:val="00431618"/>
    <w:rsid w:val="00431711"/>
    <w:rsid w:val="004319EB"/>
    <w:rsid w:val="00431A57"/>
    <w:rsid w:val="00431A78"/>
    <w:rsid w:val="00431AED"/>
    <w:rsid w:val="00431B4C"/>
    <w:rsid w:val="00431CA5"/>
    <w:rsid w:val="00431CEA"/>
    <w:rsid w:val="00431D60"/>
    <w:rsid w:val="00431E07"/>
    <w:rsid w:val="00431E67"/>
    <w:rsid w:val="00431E99"/>
    <w:rsid w:val="00431EBD"/>
    <w:rsid w:val="00431F4F"/>
    <w:rsid w:val="00431F5C"/>
    <w:rsid w:val="00431F73"/>
    <w:rsid w:val="00431F86"/>
    <w:rsid w:val="00432002"/>
    <w:rsid w:val="00432046"/>
    <w:rsid w:val="004320F3"/>
    <w:rsid w:val="0043223A"/>
    <w:rsid w:val="00432276"/>
    <w:rsid w:val="004322E3"/>
    <w:rsid w:val="004323DC"/>
    <w:rsid w:val="00432452"/>
    <w:rsid w:val="00432476"/>
    <w:rsid w:val="004324CE"/>
    <w:rsid w:val="00432585"/>
    <w:rsid w:val="004325A5"/>
    <w:rsid w:val="00432635"/>
    <w:rsid w:val="00432680"/>
    <w:rsid w:val="004326E3"/>
    <w:rsid w:val="00432728"/>
    <w:rsid w:val="00432755"/>
    <w:rsid w:val="00432A38"/>
    <w:rsid w:val="00432A8E"/>
    <w:rsid w:val="00432ADA"/>
    <w:rsid w:val="00432B6D"/>
    <w:rsid w:val="00432BA0"/>
    <w:rsid w:val="00432C46"/>
    <w:rsid w:val="00432CAB"/>
    <w:rsid w:val="00432CB4"/>
    <w:rsid w:val="00432CE5"/>
    <w:rsid w:val="00432D32"/>
    <w:rsid w:val="00432D45"/>
    <w:rsid w:val="00432DDA"/>
    <w:rsid w:val="00432ED3"/>
    <w:rsid w:val="00432F22"/>
    <w:rsid w:val="00432F60"/>
    <w:rsid w:val="00432F85"/>
    <w:rsid w:val="00432FB9"/>
    <w:rsid w:val="00432FD4"/>
    <w:rsid w:val="00432FDE"/>
    <w:rsid w:val="0043305E"/>
    <w:rsid w:val="00433237"/>
    <w:rsid w:val="004333E3"/>
    <w:rsid w:val="004333E5"/>
    <w:rsid w:val="0043354A"/>
    <w:rsid w:val="004335B6"/>
    <w:rsid w:val="00433640"/>
    <w:rsid w:val="0043371E"/>
    <w:rsid w:val="00433884"/>
    <w:rsid w:val="0043388B"/>
    <w:rsid w:val="004338AB"/>
    <w:rsid w:val="0043397B"/>
    <w:rsid w:val="004339BF"/>
    <w:rsid w:val="004339EB"/>
    <w:rsid w:val="00433BB6"/>
    <w:rsid w:val="00433C72"/>
    <w:rsid w:val="00433C96"/>
    <w:rsid w:val="00433D62"/>
    <w:rsid w:val="00433E35"/>
    <w:rsid w:val="00433EE4"/>
    <w:rsid w:val="00433F8A"/>
    <w:rsid w:val="00434147"/>
    <w:rsid w:val="00434202"/>
    <w:rsid w:val="00434218"/>
    <w:rsid w:val="00434245"/>
    <w:rsid w:val="00434343"/>
    <w:rsid w:val="00434369"/>
    <w:rsid w:val="004344B8"/>
    <w:rsid w:val="00434608"/>
    <w:rsid w:val="00434761"/>
    <w:rsid w:val="0043476C"/>
    <w:rsid w:val="004347C0"/>
    <w:rsid w:val="00434848"/>
    <w:rsid w:val="0043495F"/>
    <w:rsid w:val="00434A4F"/>
    <w:rsid w:val="00434A54"/>
    <w:rsid w:val="00434AA4"/>
    <w:rsid w:val="00434AC7"/>
    <w:rsid w:val="00434AFF"/>
    <w:rsid w:val="00434B57"/>
    <w:rsid w:val="00434C2D"/>
    <w:rsid w:val="00434C4C"/>
    <w:rsid w:val="00434C8C"/>
    <w:rsid w:val="00434CBF"/>
    <w:rsid w:val="00434CC7"/>
    <w:rsid w:val="00434DCD"/>
    <w:rsid w:val="00434E68"/>
    <w:rsid w:val="0043510C"/>
    <w:rsid w:val="004351F5"/>
    <w:rsid w:val="004351FA"/>
    <w:rsid w:val="00435254"/>
    <w:rsid w:val="0043535C"/>
    <w:rsid w:val="0043551A"/>
    <w:rsid w:val="00435548"/>
    <w:rsid w:val="00435653"/>
    <w:rsid w:val="004356E4"/>
    <w:rsid w:val="0043577F"/>
    <w:rsid w:val="0043580A"/>
    <w:rsid w:val="00435846"/>
    <w:rsid w:val="00435A94"/>
    <w:rsid w:val="00435B1B"/>
    <w:rsid w:val="00435B4D"/>
    <w:rsid w:val="00435B5E"/>
    <w:rsid w:val="00435C8C"/>
    <w:rsid w:val="00435CB4"/>
    <w:rsid w:val="00435CF9"/>
    <w:rsid w:val="00435D41"/>
    <w:rsid w:val="00435E1F"/>
    <w:rsid w:val="00435E8F"/>
    <w:rsid w:val="00435E99"/>
    <w:rsid w:val="00435EF1"/>
    <w:rsid w:val="00435F72"/>
    <w:rsid w:val="00435FC9"/>
    <w:rsid w:val="00435FCF"/>
    <w:rsid w:val="00435FD2"/>
    <w:rsid w:val="00436175"/>
    <w:rsid w:val="0043617D"/>
    <w:rsid w:val="00436275"/>
    <w:rsid w:val="0043643E"/>
    <w:rsid w:val="004364D0"/>
    <w:rsid w:val="00436638"/>
    <w:rsid w:val="004366BC"/>
    <w:rsid w:val="0043671E"/>
    <w:rsid w:val="0043679F"/>
    <w:rsid w:val="004367F4"/>
    <w:rsid w:val="004368D2"/>
    <w:rsid w:val="00436951"/>
    <w:rsid w:val="00436971"/>
    <w:rsid w:val="00436C3D"/>
    <w:rsid w:val="00436CD0"/>
    <w:rsid w:val="00436DB8"/>
    <w:rsid w:val="00436E4A"/>
    <w:rsid w:val="00436E80"/>
    <w:rsid w:val="00436F69"/>
    <w:rsid w:val="00437037"/>
    <w:rsid w:val="00437098"/>
    <w:rsid w:val="00437153"/>
    <w:rsid w:val="00437192"/>
    <w:rsid w:val="0043719D"/>
    <w:rsid w:val="00437209"/>
    <w:rsid w:val="0043723D"/>
    <w:rsid w:val="0043729B"/>
    <w:rsid w:val="004372E4"/>
    <w:rsid w:val="00437388"/>
    <w:rsid w:val="0043738F"/>
    <w:rsid w:val="004373BA"/>
    <w:rsid w:val="0043748A"/>
    <w:rsid w:val="0043754C"/>
    <w:rsid w:val="004375C2"/>
    <w:rsid w:val="0043766B"/>
    <w:rsid w:val="0043779E"/>
    <w:rsid w:val="00437946"/>
    <w:rsid w:val="004379AF"/>
    <w:rsid w:val="00437BD9"/>
    <w:rsid w:val="00437BE9"/>
    <w:rsid w:val="00437C1D"/>
    <w:rsid w:val="00437DC1"/>
    <w:rsid w:val="00437E47"/>
    <w:rsid w:val="00437ED6"/>
    <w:rsid w:val="00437EF8"/>
    <w:rsid w:val="00437FBF"/>
    <w:rsid w:val="00437FCD"/>
    <w:rsid w:val="004400BF"/>
    <w:rsid w:val="004401D7"/>
    <w:rsid w:val="00440226"/>
    <w:rsid w:val="0044029F"/>
    <w:rsid w:val="0044033A"/>
    <w:rsid w:val="0044035D"/>
    <w:rsid w:val="00440443"/>
    <w:rsid w:val="00440568"/>
    <w:rsid w:val="00440582"/>
    <w:rsid w:val="00440723"/>
    <w:rsid w:val="004407EA"/>
    <w:rsid w:val="0044081E"/>
    <w:rsid w:val="00440881"/>
    <w:rsid w:val="00440899"/>
    <w:rsid w:val="004408C9"/>
    <w:rsid w:val="00440934"/>
    <w:rsid w:val="00440A41"/>
    <w:rsid w:val="00440A65"/>
    <w:rsid w:val="00440A85"/>
    <w:rsid w:val="00440BF6"/>
    <w:rsid w:val="00440C2A"/>
    <w:rsid w:val="00440C8C"/>
    <w:rsid w:val="00440D3D"/>
    <w:rsid w:val="00440D6C"/>
    <w:rsid w:val="00440E5B"/>
    <w:rsid w:val="00440E5C"/>
    <w:rsid w:val="00440E99"/>
    <w:rsid w:val="00440EB8"/>
    <w:rsid w:val="00441048"/>
    <w:rsid w:val="004410B3"/>
    <w:rsid w:val="00441124"/>
    <w:rsid w:val="0044117C"/>
    <w:rsid w:val="00441315"/>
    <w:rsid w:val="004413EF"/>
    <w:rsid w:val="0044146B"/>
    <w:rsid w:val="00441626"/>
    <w:rsid w:val="0044167A"/>
    <w:rsid w:val="0044169D"/>
    <w:rsid w:val="00441795"/>
    <w:rsid w:val="004417A6"/>
    <w:rsid w:val="00441811"/>
    <w:rsid w:val="00441930"/>
    <w:rsid w:val="004419EF"/>
    <w:rsid w:val="00441A45"/>
    <w:rsid w:val="00441AE2"/>
    <w:rsid w:val="00441C2C"/>
    <w:rsid w:val="00441C94"/>
    <w:rsid w:val="00441CA8"/>
    <w:rsid w:val="00441CCD"/>
    <w:rsid w:val="00441CE7"/>
    <w:rsid w:val="00441EE8"/>
    <w:rsid w:val="00441FC3"/>
    <w:rsid w:val="004422D6"/>
    <w:rsid w:val="0044230E"/>
    <w:rsid w:val="00442408"/>
    <w:rsid w:val="004424F7"/>
    <w:rsid w:val="00442547"/>
    <w:rsid w:val="00442549"/>
    <w:rsid w:val="004426D7"/>
    <w:rsid w:val="004427DE"/>
    <w:rsid w:val="0044282B"/>
    <w:rsid w:val="00442836"/>
    <w:rsid w:val="00442935"/>
    <w:rsid w:val="00442B7B"/>
    <w:rsid w:val="00442BF5"/>
    <w:rsid w:val="00442CB5"/>
    <w:rsid w:val="00442E8D"/>
    <w:rsid w:val="00442EAF"/>
    <w:rsid w:val="00442EBD"/>
    <w:rsid w:val="00442F93"/>
    <w:rsid w:val="0044307F"/>
    <w:rsid w:val="004430AF"/>
    <w:rsid w:val="004430D7"/>
    <w:rsid w:val="00443172"/>
    <w:rsid w:val="0044341F"/>
    <w:rsid w:val="004434AE"/>
    <w:rsid w:val="004434D2"/>
    <w:rsid w:val="004434E2"/>
    <w:rsid w:val="004434E6"/>
    <w:rsid w:val="004435AD"/>
    <w:rsid w:val="0044366B"/>
    <w:rsid w:val="004436EF"/>
    <w:rsid w:val="00443707"/>
    <w:rsid w:val="004437E9"/>
    <w:rsid w:val="00443969"/>
    <w:rsid w:val="004439C7"/>
    <w:rsid w:val="004439DB"/>
    <w:rsid w:val="004439FB"/>
    <w:rsid w:val="00443BD9"/>
    <w:rsid w:val="00443C4E"/>
    <w:rsid w:val="00443D0A"/>
    <w:rsid w:val="00443DB6"/>
    <w:rsid w:val="00443DD8"/>
    <w:rsid w:val="00443E37"/>
    <w:rsid w:val="00443E62"/>
    <w:rsid w:val="00443F59"/>
    <w:rsid w:val="0044403C"/>
    <w:rsid w:val="00444143"/>
    <w:rsid w:val="00444157"/>
    <w:rsid w:val="0044419B"/>
    <w:rsid w:val="0044429A"/>
    <w:rsid w:val="0044444C"/>
    <w:rsid w:val="00444479"/>
    <w:rsid w:val="004444AC"/>
    <w:rsid w:val="0044464D"/>
    <w:rsid w:val="00444685"/>
    <w:rsid w:val="004446CE"/>
    <w:rsid w:val="00444843"/>
    <w:rsid w:val="004448C1"/>
    <w:rsid w:val="00444959"/>
    <w:rsid w:val="004449CA"/>
    <w:rsid w:val="00444A32"/>
    <w:rsid w:val="00444BAD"/>
    <w:rsid w:val="00444C1C"/>
    <w:rsid w:val="00444D18"/>
    <w:rsid w:val="00444D25"/>
    <w:rsid w:val="00444E4A"/>
    <w:rsid w:val="00445096"/>
    <w:rsid w:val="0044512C"/>
    <w:rsid w:val="0044520D"/>
    <w:rsid w:val="00445217"/>
    <w:rsid w:val="00445256"/>
    <w:rsid w:val="00445298"/>
    <w:rsid w:val="00445361"/>
    <w:rsid w:val="004453A6"/>
    <w:rsid w:val="004453ED"/>
    <w:rsid w:val="00445468"/>
    <w:rsid w:val="0044558B"/>
    <w:rsid w:val="004455B9"/>
    <w:rsid w:val="004455C1"/>
    <w:rsid w:val="0044566B"/>
    <w:rsid w:val="004456EA"/>
    <w:rsid w:val="00445850"/>
    <w:rsid w:val="00445948"/>
    <w:rsid w:val="00445A0B"/>
    <w:rsid w:val="00445A85"/>
    <w:rsid w:val="00445B77"/>
    <w:rsid w:val="00445B8F"/>
    <w:rsid w:val="00445D70"/>
    <w:rsid w:val="00445D81"/>
    <w:rsid w:val="00445DF9"/>
    <w:rsid w:val="00445EC1"/>
    <w:rsid w:val="00445EDA"/>
    <w:rsid w:val="004460E3"/>
    <w:rsid w:val="00446114"/>
    <w:rsid w:val="00446155"/>
    <w:rsid w:val="004461B3"/>
    <w:rsid w:val="004461B5"/>
    <w:rsid w:val="00446268"/>
    <w:rsid w:val="0044634C"/>
    <w:rsid w:val="0044642C"/>
    <w:rsid w:val="00446518"/>
    <w:rsid w:val="004466F6"/>
    <w:rsid w:val="0044679F"/>
    <w:rsid w:val="004467FA"/>
    <w:rsid w:val="0044684C"/>
    <w:rsid w:val="004469CC"/>
    <w:rsid w:val="00446A36"/>
    <w:rsid w:val="00446A77"/>
    <w:rsid w:val="00446BAC"/>
    <w:rsid w:val="00446D3C"/>
    <w:rsid w:val="00446D64"/>
    <w:rsid w:val="00446E1B"/>
    <w:rsid w:val="00446E30"/>
    <w:rsid w:val="00446E50"/>
    <w:rsid w:val="00446EBE"/>
    <w:rsid w:val="00446F13"/>
    <w:rsid w:val="00446FBE"/>
    <w:rsid w:val="0044702E"/>
    <w:rsid w:val="00447123"/>
    <w:rsid w:val="0044714F"/>
    <w:rsid w:val="00447355"/>
    <w:rsid w:val="0044736F"/>
    <w:rsid w:val="004473BC"/>
    <w:rsid w:val="004474E2"/>
    <w:rsid w:val="004475E8"/>
    <w:rsid w:val="0044762B"/>
    <w:rsid w:val="00447683"/>
    <w:rsid w:val="0044774F"/>
    <w:rsid w:val="00447762"/>
    <w:rsid w:val="004477B5"/>
    <w:rsid w:val="00447853"/>
    <w:rsid w:val="00447876"/>
    <w:rsid w:val="004479C2"/>
    <w:rsid w:val="00447BF6"/>
    <w:rsid w:val="00447C8E"/>
    <w:rsid w:val="00447CAB"/>
    <w:rsid w:val="00447CD4"/>
    <w:rsid w:val="00447D08"/>
    <w:rsid w:val="00447D43"/>
    <w:rsid w:val="00447E62"/>
    <w:rsid w:val="00447E92"/>
    <w:rsid w:val="00450086"/>
    <w:rsid w:val="00450089"/>
    <w:rsid w:val="004500BF"/>
    <w:rsid w:val="0045018B"/>
    <w:rsid w:val="00450196"/>
    <w:rsid w:val="004501BE"/>
    <w:rsid w:val="004501FF"/>
    <w:rsid w:val="0045029A"/>
    <w:rsid w:val="00450302"/>
    <w:rsid w:val="0045034C"/>
    <w:rsid w:val="004503A4"/>
    <w:rsid w:val="00450499"/>
    <w:rsid w:val="00450510"/>
    <w:rsid w:val="004505B5"/>
    <w:rsid w:val="00450673"/>
    <w:rsid w:val="00450733"/>
    <w:rsid w:val="00450798"/>
    <w:rsid w:val="0045089A"/>
    <w:rsid w:val="004508CF"/>
    <w:rsid w:val="004509E3"/>
    <w:rsid w:val="00450AB9"/>
    <w:rsid w:val="00450B47"/>
    <w:rsid w:val="00450B57"/>
    <w:rsid w:val="00450BC4"/>
    <w:rsid w:val="00450C28"/>
    <w:rsid w:val="00450C37"/>
    <w:rsid w:val="00450DAE"/>
    <w:rsid w:val="00450EAA"/>
    <w:rsid w:val="00450EF4"/>
    <w:rsid w:val="00450F65"/>
    <w:rsid w:val="004510A8"/>
    <w:rsid w:val="004510E7"/>
    <w:rsid w:val="0045124F"/>
    <w:rsid w:val="004512F9"/>
    <w:rsid w:val="00451371"/>
    <w:rsid w:val="004513A0"/>
    <w:rsid w:val="004514BA"/>
    <w:rsid w:val="004514ED"/>
    <w:rsid w:val="0045150C"/>
    <w:rsid w:val="004515FA"/>
    <w:rsid w:val="00451645"/>
    <w:rsid w:val="004516D0"/>
    <w:rsid w:val="004516D9"/>
    <w:rsid w:val="0045173C"/>
    <w:rsid w:val="00451788"/>
    <w:rsid w:val="00451793"/>
    <w:rsid w:val="004518D0"/>
    <w:rsid w:val="004518F7"/>
    <w:rsid w:val="0045198C"/>
    <w:rsid w:val="00451A76"/>
    <w:rsid w:val="00451AD9"/>
    <w:rsid w:val="00451B87"/>
    <w:rsid w:val="00451EB2"/>
    <w:rsid w:val="00451F6A"/>
    <w:rsid w:val="00451F6B"/>
    <w:rsid w:val="00452006"/>
    <w:rsid w:val="00452019"/>
    <w:rsid w:val="00452122"/>
    <w:rsid w:val="00452182"/>
    <w:rsid w:val="004521AF"/>
    <w:rsid w:val="00452269"/>
    <w:rsid w:val="004522E9"/>
    <w:rsid w:val="00452324"/>
    <w:rsid w:val="0045233B"/>
    <w:rsid w:val="004524E9"/>
    <w:rsid w:val="00452552"/>
    <w:rsid w:val="00452577"/>
    <w:rsid w:val="0045258F"/>
    <w:rsid w:val="0045262B"/>
    <w:rsid w:val="00452729"/>
    <w:rsid w:val="00452776"/>
    <w:rsid w:val="0045279D"/>
    <w:rsid w:val="00452897"/>
    <w:rsid w:val="004528D3"/>
    <w:rsid w:val="00452ADE"/>
    <w:rsid w:val="00452BA1"/>
    <w:rsid w:val="00452BC6"/>
    <w:rsid w:val="00452BD2"/>
    <w:rsid w:val="00452BDC"/>
    <w:rsid w:val="00452D0A"/>
    <w:rsid w:val="00452DB7"/>
    <w:rsid w:val="00452F12"/>
    <w:rsid w:val="00452FAA"/>
    <w:rsid w:val="0045300F"/>
    <w:rsid w:val="0045305F"/>
    <w:rsid w:val="0045332D"/>
    <w:rsid w:val="004533AC"/>
    <w:rsid w:val="00453837"/>
    <w:rsid w:val="0045383F"/>
    <w:rsid w:val="0045386C"/>
    <w:rsid w:val="00453A41"/>
    <w:rsid w:val="00453AD7"/>
    <w:rsid w:val="00453B9F"/>
    <w:rsid w:val="00453BCE"/>
    <w:rsid w:val="00453EE8"/>
    <w:rsid w:val="00453EF6"/>
    <w:rsid w:val="00453EFC"/>
    <w:rsid w:val="0045402D"/>
    <w:rsid w:val="004540DE"/>
    <w:rsid w:val="00454147"/>
    <w:rsid w:val="004542A3"/>
    <w:rsid w:val="004543CD"/>
    <w:rsid w:val="004543EE"/>
    <w:rsid w:val="004543F8"/>
    <w:rsid w:val="00454509"/>
    <w:rsid w:val="0045455A"/>
    <w:rsid w:val="004545AF"/>
    <w:rsid w:val="00454678"/>
    <w:rsid w:val="0045468E"/>
    <w:rsid w:val="00454698"/>
    <w:rsid w:val="004547C7"/>
    <w:rsid w:val="00454816"/>
    <w:rsid w:val="00454892"/>
    <w:rsid w:val="004548CE"/>
    <w:rsid w:val="004549C4"/>
    <w:rsid w:val="00454A72"/>
    <w:rsid w:val="00454B1E"/>
    <w:rsid w:val="00454B3F"/>
    <w:rsid w:val="00454BEE"/>
    <w:rsid w:val="00454C9E"/>
    <w:rsid w:val="00454D4A"/>
    <w:rsid w:val="00454E88"/>
    <w:rsid w:val="00454F3A"/>
    <w:rsid w:val="00454F8A"/>
    <w:rsid w:val="00454FAD"/>
    <w:rsid w:val="00455000"/>
    <w:rsid w:val="00455131"/>
    <w:rsid w:val="0045514E"/>
    <w:rsid w:val="00455155"/>
    <w:rsid w:val="00455366"/>
    <w:rsid w:val="00455381"/>
    <w:rsid w:val="0045544C"/>
    <w:rsid w:val="004554DE"/>
    <w:rsid w:val="004556A8"/>
    <w:rsid w:val="004556B9"/>
    <w:rsid w:val="004556FB"/>
    <w:rsid w:val="004557BF"/>
    <w:rsid w:val="004557D6"/>
    <w:rsid w:val="0045581E"/>
    <w:rsid w:val="0045589E"/>
    <w:rsid w:val="004558E4"/>
    <w:rsid w:val="00455968"/>
    <w:rsid w:val="00455AB9"/>
    <w:rsid w:val="00455B8D"/>
    <w:rsid w:val="00455D52"/>
    <w:rsid w:val="00455EA3"/>
    <w:rsid w:val="00455ED7"/>
    <w:rsid w:val="00455F22"/>
    <w:rsid w:val="00455F88"/>
    <w:rsid w:val="00455FCB"/>
    <w:rsid w:val="004560E8"/>
    <w:rsid w:val="004561F4"/>
    <w:rsid w:val="00456313"/>
    <w:rsid w:val="00456354"/>
    <w:rsid w:val="004563C2"/>
    <w:rsid w:val="004563E8"/>
    <w:rsid w:val="00456428"/>
    <w:rsid w:val="0045647E"/>
    <w:rsid w:val="00456488"/>
    <w:rsid w:val="0045652D"/>
    <w:rsid w:val="00456538"/>
    <w:rsid w:val="004565B5"/>
    <w:rsid w:val="004568A8"/>
    <w:rsid w:val="004569D6"/>
    <w:rsid w:val="004569E3"/>
    <w:rsid w:val="00456AA1"/>
    <w:rsid w:val="00456ABE"/>
    <w:rsid w:val="00456B3A"/>
    <w:rsid w:val="00456B69"/>
    <w:rsid w:val="00456C7A"/>
    <w:rsid w:val="00456CCF"/>
    <w:rsid w:val="00456D25"/>
    <w:rsid w:val="00456E2C"/>
    <w:rsid w:val="00456FD3"/>
    <w:rsid w:val="00457032"/>
    <w:rsid w:val="00457035"/>
    <w:rsid w:val="004572EC"/>
    <w:rsid w:val="00457476"/>
    <w:rsid w:val="00457502"/>
    <w:rsid w:val="00457509"/>
    <w:rsid w:val="004576D7"/>
    <w:rsid w:val="00457786"/>
    <w:rsid w:val="00457851"/>
    <w:rsid w:val="00457862"/>
    <w:rsid w:val="00457867"/>
    <w:rsid w:val="00457871"/>
    <w:rsid w:val="00457938"/>
    <w:rsid w:val="00457A69"/>
    <w:rsid w:val="00457B3D"/>
    <w:rsid w:val="00457B86"/>
    <w:rsid w:val="00457B8A"/>
    <w:rsid w:val="00457BDE"/>
    <w:rsid w:val="00457C01"/>
    <w:rsid w:val="00457C4D"/>
    <w:rsid w:val="00457EF1"/>
    <w:rsid w:val="00457EF4"/>
    <w:rsid w:val="00457F0E"/>
    <w:rsid w:val="00457F28"/>
    <w:rsid w:val="00457F6C"/>
    <w:rsid w:val="00457F9B"/>
    <w:rsid w:val="00460051"/>
    <w:rsid w:val="0046007F"/>
    <w:rsid w:val="0046027E"/>
    <w:rsid w:val="00460293"/>
    <w:rsid w:val="00460346"/>
    <w:rsid w:val="0046041E"/>
    <w:rsid w:val="004604E0"/>
    <w:rsid w:val="00460523"/>
    <w:rsid w:val="00460612"/>
    <w:rsid w:val="004606E6"/>
    <w:rsid w:val="004607B4"/>
    <w:rsid w:val="004607BE"/>
    <w:rsid w:val="00460957"/>
    <w:rsid w:val="00460A33"/>
    <w:rsid w:val="00460A98"/>
    <w:rsid w:val="00460C24"/>
    <w:rsid w:val="00460C48"/>
    <w:rsid w:val="00460CCD"/>
    <w:rsid w:val="00460D17"/>
    <w:rsid w:val="00460E0C"/>
    <w:rsid w:val="00460ED5"/>
    <w:rsid w:val="00460F04"/>
    <w:rsid w:val="00460F7F"/>
    <w:rsid w:val="00460F90"/>
    <w:rsid w:val="00460FA4"/>
    <w:rsid w:val="00461105"/>
    <w:rsid w:val="004611BE"/>
    <w:rsid w:val="0046122A"/>
    <w:rsid w:val="00461257"/>
    <w:rsid w:val="00461299"/>
    <w:rsid w:val="004612F1"/>
    <w:rsid w:val="00461322"/>
    <w:rsid w:val="00461336"/>
    <w:rsid w:val="004613CA"/>
    <w:rsid w:val="004613FE"/>
    <w:rsid w:val="0046152E"/>
    <w:rsid w:val="00461578"/>
    <w:rsid w:val="004615A2"/>
    <w:rsid w:val="004615CD"/>
    <w:rsid w:val="0046163D"/>
    <w:rsid w:val="0046172F"/>
    <w:rsid w:val="00461753"/>
    <w:rsid w:val="0046176C"/>
    <w:rsid w:val="00461783"/>
    <w:rsid w:val="00461935"/>
    <w:rsid w:val="004619D1"/>
    <w:rsid w:val="004619E8"/>
    <w:rsid w:val="00461A7D"/>
    <w:rsid w:val="00461AFF"/>
    <w:rsid w:val="00461B2C"/>
    <w:rsid w:val="00461B52"/>
    <w:rsid w:val="00461BD5"/>
    <w:rsid w:val="00461C3B"/>
    <w:rsid w:val="00461C4D"/>
    <w:rsid w:val="00461D65"/>
    <w:rsid w:val="00461D7C"/>
    <w:rsid w:val="00461D9D"/>
    <w:rsid w:val="00461E5D"/>
    <w:rsid w:val="00462060"/>
    <w:rsid w:val="00462115"/>
    <w:rsid w:val="0046211D"/>
    <w:rsid w:val="0046212A"/>
    <w:rsid w:val="00462175"/>
    <w:rsid w:val="00462284"/>
    <w:rsid w:val="00462291"/>
    <w:rsid w:val="00462318"/>
    <w:rsid w:val="00462413"/>
    <w:rsid w:val="0046246A"/>
    <w:rsid w:val="0046246E"/>
    <w:rsid w:val="004624D7"/>
    <w:rsid w:val="00462539"/>
    <w:rsid w:val="00462711"/>
    <w:rsid w:val="004627D5"/>
    <w:rsid w:val="004628AF"/>
    <w:rsid w:val="0046298D"/>
    <w:rsid w:val="00462B73"/>
    <w:rsid w:val="00462B7B"/>
    <w:rsid w:val="00462BEB"/>
    <w:rsid w:val="00462C1C"/>
    <w:rsid w:val="00462C2E"/>
    <w:rsid w:val="00462C6A"/>
    <w:rsid w:val="00462CEA"/>
    <w:rsid w:val="00462D5E"/>
    <w:rsid w:val="00462D6C"/>
    <w:rsid w:val="00462D93"/>
    <w:rsid w:val="00462EBA"/>
    <w:rsid w:val="00462EC4"/>
    <w:rsid w:val="00462EEC"/>
    <w:rsid w:val="00462F69"/>
    <w:rsid w:val="00462FAC"/>
    <w:rsid w:val="00462FE1"/>
    <w:rsid w:val="00463140"/>
    <w:rsid w:val="00463205"/>
    <w:rsid w:val="0046327D"/>
    <w:rsid w:val="00463291"/>
    <w:rsid w:val="0046336B"/>
    <w:rsid w:val="004633AE"/>
    <w:rsid w:val="004633BE"/>
    <w:rsid w:val="004633FA"/>
    <w:rsid w:val="00463440"/>
    <w:rsid w:val="00463460"/>
    <w:rsid w:val="004634B1"/>
    <w:rsid w:val="004634B7"/>
    <w:rsid w:val="004634D5"/>
    <w:rsid w:val="00463559"/>
    <w:rsid w:val="004635B5"/>
    <w:rsid w:val="0046373E"/>
    <w:rsid w:val="00463B0A"/>
    <w:rsid w:val="00463B6C"/>
    <w:rsid w:val="00463CB4"/>
    <w:rsid w:val="00463D00"/>
    <w:rsid w:val="00463D58"/>
    <w:rsid w:val="00463DBF"/>
    <w:rsid w:val="00463E02"/>
    <w:rsid w:val="00463E79"/>
    <w:rsid w:val="00463EA2"/>
    <w:rsid w:val="00463F30"/>
    <w:rsid w:val="00463F94"/>
    <w:rsid w:val="00463F9F"/>
    <w:rsid w:val="00464181"/>
    <w:rsid w:val="00464204"/>
    <w:rsid w:val="00464487"/>
    <w:rsid w:val="0046452E"/>
    <w:rsid w:val="00464599"/>
    <w:rsid w:val="004645F4"/>
    <w:rsid w:val="004647A7"/>
    <w:rsid w:val="0046487F"/>
    <w:rsid w:val="00464981"/>
    <w:rsid w:val="004649DB"/>
    <w:rsid w:val="00464A25"/>
    <w:rsid w:val="00464A6E"/>
    <w:rsid w:val="00464C65"/>
    <w:rsid w:val="00464CC9"/>
    <w:rsid w:val="00464F03"/>
    <w:rsid w:val="00464F3D"/>
    <w:rsid w:val="00464FD2"/>
    <w:rsid w:val="00464FFF"/>
    <w:rsid w:val="0046505C"/>
    <w:rsid w:val="0046508C"/>
    <w:rsid w:val="004650E1"/>
    <w:rsid w:val="0046529E"/>
    <w:rsid w:val="004652E9"/>
    <w:rsid w:val="004652F4"/>
    <w:rsid w:val="00465461"/>
    <w:rsid w:val="00465484"/>
    <w:rsid w:val="004654AB"/>
    <w:rsid w:val="004655BC"/>
    <w:rsid w:val="004656EF"/>
    <w:rsid w:val="00465747"/>
    <w:rsid w:val="00465897"/>
    <w:rsid w:val="00465A48"/>
    <w:rsid w:val="00465A49"/>
    <w:rsid w:val="00465A70"/>
    <w:rsid w:val="00465ADF"/>
    <w:rsid w:val="00465C24"/>
    <w:rsid w:val="00465E80"/>
    <w:rsid w:val="00465E98"/>
    <w:rsid w:val="00465EAB"/>
    <w:rsid w:val="00465FD1"/>
    <w:rsid w:val="00466086"/>
    <w:rsid w:val="004660A2"/>
    <w:rsid w:val="004660DB"/>
    <w:rsid w:val="0046619D"/>
    <w:rsid w:val="00466275"/>
    <w:rsid w:val="00466296"/>
    <w:rsid w:val="004663C8"/>
    <w:rsid w:val="00466435"/>
    <w:rsid w:val="0046646F"/>
    <w:rsid w:val="00466486"/>
    <w:rsid w:val="004665EB"/>
    <w:rsid w:val="004665F9"/>
    <w:rsid w:val="004667B5"/>
    <w:rsid w:val="004667E1"/>
    <w:rsid w:val="004667FB"/>
    <w:rsid w:val="0046686D"/>
    <w:rsid w:val="004669E1"/>
    <w:rsid w:val="00466A3A"/>
    <w:rsid w:val="00466B0A"/>
    <w:rsid w:val="00466C4E"/>
    <w:rsid w:val="00466C94"/>
    <w:rsid w:val="00466D01"/>
    <w:rsid w:val="00466DA8"/>
    <w:rsid w:val="00466DA9"/>
    <w:rsid w:val="00466DCC"/>
    <w:rsid w:val="00466E50"/>
    <w:rsid w:val="00466FB1"/>
    <w:rsid w:val="00467049"/>
    <w:rsid w:val="004670B8"/>
    <w:rsid w:val="0046722A"/>
    <w:rsid w:val="0046724C"/>
    <w:rsid w:val="0046734B"/>
    <w:rsid w:val="0046734C"/>
    <w:rsid w:val="004674F7"/>
    <w:rsid w:val="004675DF"/>
    <w:rsid w:val="00467621"/>
    <w:rsid w:val="00467692"/>
    <w:rsid w:val="00467731"/>
    <w:rsid w:val="00467750"/>
    <w:rsid w:val="00467777"/>
    <w:rsid w:val="00467814"/>
    <w:rsid w:val="0046786C"/>
    <w:rsid w:val="00467884"/>
    <w:rsid w:val="004678A8"/>
    <w:rsid w:val="00467A01"/>
    <w:rsid w:val="00467A47"/>
    <w:rsid w:val="00467ACA"/>
    <w:rsid w:val="00467B67"/>
    <w:rsid w:val="00467CC6"/>
    <w:rsid w:val="00467DBF"/>
    <w:rsid w:val="00467E16"/>
    <w:rsid w:val="00467E8F"/>
    <w:rsid w:val="00467F50"/>
    <w:rsid w:val="00467FAC"/>
    <w:rsid w:val="00470087"/>
    <w:rsid w:val="0047011A"/>
    <w:rsid w:val="00470190"/>
    <w:rsid w:val="00470198"/>
    <w:rsid w:val="00470199"/>
    <w:rsid w:val="004701AC"/>
    <w:rsid w:val="00470201"/>
    <w:rsid w:val="004702C2"/>
    <w:rsid w:val="004703DD"/>
    <w:rsid w:val="004704BD"/>
    <w:rsid w:val="004704C0"/>
    <w:rsid w:val="004704D7"/>
    <w:rsid w:val="00470505"/>
    <w:rsid w:val="00470580"/>
    <w:rsid w:val="00470621"/>
    <w:rsid w:val="0047074C"/>
    <w:rsid w:val="004707F4"/>
    <w:rsid w:val="00470818"/>
    <w:rsid w:val="0047091C"/>
    <w:rsid w:val="00470AD4"/>
    <w:rsid w:val="00470AF6"/>
    <w:rsid w:val="00470C85"/>
    <w:rsid w:val="00470D0E"/>
    <w:rsid w:val="00470D8D"/>
    <w:rsid w:val="00470E31"/>
    <w:rsid w:val="00470E7A"/>
    <w:rsid w:val="00470E7B"/>
    <w:rsid w:val="00470E9F"/>
    <w:rsid w:val="00470EDC"/>
    <w:rsid w:val="00470FE3"/>
    <w:rsid w:val="004710AD"/>
    <w:rsid w:val="004710D3"/>
    <w:rsid w:val="004710FC"/>
    <w:rsid w:val="0047117C"/>
    <w:rsid w:val="004711A4"/>
    <w:rsid w:val="004711E5"/>
    <w:rsid w:val="00471296"/>
    <w:rsid w:val="0047131B"/>
    <w:rsid w:val="0047135A"/>
    <w:rsid w:val="00471441"/>
    <w:rsid w:val="0047144E"/>
    <w:rsid w:val="00471495"/>
    <w:rsid w:val="004714CB"/>
    <w:rsid w:val="004714F1"/>
    <w:rsid w:val="0047158B"/>
    <w:rsid w:val="0047160C"/>
    <w:rsid w:val="004716C3"/>
    <w:rsid w:val="004716F4"/>
    <w:rsid w:val="00471703"/>
    <w:rsid w:val="0047188D"/>
    <w:rsid w:val="004718B5"/>
    <w:rsid w:val="00471A14"/>
    <w:rsid w:val="00471BDC"/>
    <w:rsid w:val="00471C2D"/>
    <w:rsid w:val="00471D04"/>
    <w:rsid w:val="00471D1A"/>
    <w:rsid w:val="00471E1E"/>
    <w:rsid w:val="00471F30"/>
    <w:rsid w:val="00471FBC"/>
    <w:rsid w:val="0047206F"/>
    <w:rsid w:val="0047207D"/>
    <w:rsid w:val="004720E6"/>
    <w:rsid w:val="0047213A"/>
    <w:rsid w:val="0047217C"/>
    <w:rsid w:val="00472196"/>
    <w:rsid w:val="004721DD"/>
    <w:rsid w:val="00472217"/>
    <w:rsid w:val="0047221A"/>
    <w:rsid w:val="004722AC"/>
    <w:rsid w:val="004723B7"/>
    <w:rsid w:val="004723F3"/>
    <w:rsid w:val="0047243F"/>
    <w:rsid w:val="0047264D"/>
    <w:rsid w:val="00472679"/>
    <w:rsid w:val="00472724"/>
    <w:rsid w:val="0047275F"/>
    <w:rsid w:val="004727AC"/>
    <w:rsid w:val="004727C2"/>
    <w:rsid w:val="0047289D"/>
    <w:rsid w:val="004728D5"/>
    <w:rsid w:val="00472925"/>
    <w:rsid w:val="0047297F"/>
    <w:rsid w:val="004729B4"/>
    <w:rsid w:val="00472A0A"/>
    <w:rsid w:val="00472ABC"/>
    <w:rsid w:val="00472C27"/>
    <w:rsid w:val="00472DE1"/>
    <w:rsid w:val="00472EAB"/>
    <w:rsid w:val="00472EC5"/>
    <w:rsid w:val="00472F72"/>
    <w:rsid w:val="0047303C"/>
    <w:rsid w:val="0047304F"/>
    <w:rsid w:val="00473085"/>
    <w:rsid w:val="004730B9"/>
    <w:rsid w:val="00473159"/>
    <w:rsid w:val="00473262"/>
    <w:rsid w:val="004732A6"/>
    <w:rsid w:val="00473379"/>
    <w:rsid w:val="004733F8"/>
    <w:rsid w:val="00473429"/>
    <w:rsid w:val="004734EF"/>
    <w:rsid w:val="00473553"/>
    <w:rsid w:val="00473614"/>
    <w:rsid w:val="0047361E"/>
    <w:rsid w:val="004736BD"/>
    <w:rsid w:val="004736F9"/>
    <w:rsid w:val="0047371D"/>
    <w:rsid w:val="004737FA"/>
    <w:rsid w:val="00473886"/>
    <w:rsid w:val="004738CD"/>
    <w:rsid w:val="0047395D"/>
    <w:rsid w:val="00473968"/>
    <w:rsid w:val="004739C8"/>
    <w:rsid w:val="00473AE0"/>
    <w:rsid w:val="00473B45"/>
    <w:rsid w:val="00473C5A"/>
    <w:rsid w:val="00473CFB"/>
    <w:rsid w:val="00473D85"/>
    <w:rsid w:val="00473DDF"/>
    <w:rsid w:val="00473FEE"/>
    <w:rsid w:val="0047401C"/>
    <w:rsid w:val="00474043"/>
    <w:rsid w:val="0047425B"/>
    <w:rsid w:val="00474272"/>
    <w:rsid w:val="004742DC"/>
    <w:rsid w:val="004742F4"/>
    <w:rsid w:val="0047440E"/>
    <w:rsid w:val="0047453C"/>
    <w:rsid w:val="00474566"/>
    <w:rsid w:val="00474595"/>
    <w:rsid w:val="00474643"/>
    <w:rsid w:val="004746F8"/>
    <w:rsid w:val="00474776"/>
    <w:rsid w:val="00474804"/>
    <w:rsid w:val="00474842"/>
    <w:rsid w:val="004749CD"/>
    <w:rsid w:val="00474A3F"/>
    <w:rsid w:val="00474A7B"/>
    <w:rsid w:val="00474CE0"/>
    <w:rsid w:val="00474CF8"/>
    <w:rsid w:val="00474D32"/>
    <w:rsid w:val="00474D34"/>
    <w:rsid w:val="00474DAE"/>
    <w:rsid w:val="00474DEE"/>
    <w:rsid w:val="00474ECC"/>
    <w:rsid w:val="00474F16"/>
    <w:rsid w:val="00474F6C"/>
    <w:rsid w:val="00474FA9"/>
    <w:rsid w:val="00474FD3"/>
    <w:rsid w:val="004750B0"/>
    <w:rsid w:val="004750CC"/>
    <w:rsid w:val="00475230"/>
    <w:rsid w:val="0047533C"/>
    <w:rsid w:val="004753FF"/>
    <w:rsid w:val="004754DE"/>
    <w:rsid w:val="0047577B"/>
    <w:rsid w:val="0047578E"/>
    <w:rsid w:val="00475798"/>
    <w:rsid w:val="004757DF"/>
    <w:rsid w:val="004759B3"/>
    <w:rsid w:val="004759B6"/>
    <w:rsid w:val="00475AE1"/>
    <w:rsid w:val="00475AFF"/>
    <w:rsid w:val="00475CC4"/>
    <w:rsid w:val="00475DCD"/>
    <w:rsid w:val="00475DF7"/>
    <w:rsid w:val="00475FFE"/>
    <w:rsid w:val="0047609C"/>
    <w:rsid w:val="004760BA"/>
    <w:rsid w:val="00476274"/>
    <w:rsid w:val="004762FB"/>
    <w:rsid w:val="00476423"/>
    <w:rsid w:val="0047657B"/>
    <w:rsid w:val="00476600"/>
    <w:rsid w:val="00476833"/>
    <w:rsid w:val="00476895"/>
    <w:rsid w:val="004768A8"/>
    <w:rsid w:val="004768FF"/>
    <w:rsid w:val="00476960"/>
    <w:rsid w:val="004769CF"/>
    <w:rsid w:val="00476A0D"/>
    <w:rsid w:val="00476A5F"/>
    <w:rsid w:val="00476ACA"/>
    <w:rsid w:val="00476B61"/>
    <w:rsid w:val="00476B94"/>
    <w:rsid w:val="00476C32"/>
    <w:rsid w:val="00476CEE"/>
    <w:rsid w:val="00476D7E"/>
    <w:rsid w:val="00476DE0"/>
    <w:rsid w:val="00476E2F"/>
    <w:rsid w:val="00476EB9"/>
    <w:rsid w:val="00476F0F"/>
    <w:rsid w:val="00476F1C"/>
    <w:rsid w:val="00476F3C"/>
    <w:rsid w:val="0047703F"/>
    <w:rsid w:val="004772B2"/>
    <w:rsid w:val="0047743A"/>
    <w:rsid w:val="004776A7"/>
    <w:rsid w:val="00477796"/>
    <w:rsid w:val="004777A6"/>
    <w:rsid w:val="004778BE"/>
    <w:rsid w:val="00477940"/>
    <w:rsid w:val="00477AB4"/>
    <w:rsid w:val="00477AD4"/>
    <w:rsid w:val="00477ADC"/>
    <w:rsid w:val="00477B40"/>
    <w:rsid w:val="00477B75"/>
    <w:rsid w:val="00477C99"/>
    <w:rsid w:val="00477CC5"/>
    <w:rsid w:val="00477D20"/>
    <w:rsid w:val="00477DAE"/>
    <w:rsid w:val="00477DB7"/>
    <w:rsid w:val="00477F58"/>
    <w:rsid w:val="00477FA8"/>
    <w:rsid w:val="00477FF4"/>
    <w:rsid w:val="00480096"/>
    <w:rsid w:val="00480101"/>
    <w:rsid w:val="00480198"/>
    <w:rsid w:val="00480204"/>
    <w:rsid w:val="004802F4"/>
    <w:rsid w:val="00480358"/>
    <w:rsid w:val="00480362"/>
    <w:rsid w:val="004803EE"/>
    <w:rsid w:val="004804EA"/>
    <w:rsid w:val="0048051B"/>
    <w:rsid w:val="004805A1"/>
    <w:rsid w:val="00480617"/>
    <w:rsid w:val="004806B9"/>
    <w:rsid w:val="004806F1"/>
    <w:rsid w:val="004806FA"/>
    <w:rsid w:val="00480751"/>
    <w:rsid w:val="00480836"/>
    <w:rsid w:val="0048092E"/>
    <w:rsid w:val="004809AE"/>
    <w:rsid w:val="00480AA6"/>
    <w:rsid w:val="00480AED"/>
    <w:rsid w:val="00480BDD"/>
    <w:rsid w:val="00480DE4"/>
    <w:rsid w:val="00480E06"/>
    <w:rsid w:val="00480F63"/>
    <w:rsid w:val="00480F65"/>
    <w:rsid w:val="004812A6"/>
    <w:rsid w:val="004812E0"/>
    <w:rsid w:val="0048137A"/>
    <w:rsid w:val="00481380"/>
    <w:rsid w:val="004813AD"/>
    <w:rsid w:val="00481544"/>
    <w:rsid w:val="004815B7"/>
    <w:rsid w:val="0048166C"/>
    <w:rsid w:val="004816E7"/>
    <w:rsid w:val="0048186B"/>
    <w:rsid w:val="004818CC"/>
    <w:rsid w:val="0048198F"/>
    <w:rsid w:val="004819AE"/>
    <w:rsid w:val="00481A01"/>
    <w:rsid w:val="00481C04"/>
    <w:rsid w:val="00481C9D"/>
    <w:rsid w:val="00481CD1"/>
    <w:rsid w:val="00481D3C"/>
    <w:rsid w:val="00481DBE"/>
    <w:rsid w:val="00481DC3"/>
    <w:rsid w:val="00481E2E"/>
    <w:rsid w:val="00481E2F"/>
    <w:rsid w:val="00481E55"/>
    <w:rsid w:val="00481E7C"/>
    <w:rsid w:val="00481E99"/>
    <w:rsid w:val="00481F5D"/>
    <w:rsid w:val="00482046"/>
    <w:rsid w:val="00482049"/>
    <w:rsid w:val="00482070"/>
    <w:rsid w:val="00482085"/>
    <w:rsid w:val="00482102"/>
    <w:rsid w:val="004821F5"/>
    <w:rsid w:val="004823CC"/>
    <w:rsid w:val="004823DD"/>
    <w:rsid w:val="00482477"/>
    <w:rsid w:val="0048247F"/>
    <w:rsid w:val="0048258D"/>
    <w:rsid w:val="00482844"/>
    <w:rsid w:val="00482AA5"/>
    <w:rsid w:val="00482B99"/>
    <w:rsid w:val="00482BF4"/>
    <w:rsid w:val="00482D07"/>
    <w:rsid w:val="00482DF1"/>
    <w:rsid w:val="00482F6F"/>
    <w:rsid w:val="00482F74"/>
    <w:rsid w:val="00482F91"/>
    <w:rsid w:val="00482F93"/>
    <w:rsid w:val="00482FDF"/>
    <w:rsid w:val="00482FF9"/>
    <w:rsid w:val="0048300D"/>
    <w:rsid w:val="004830EA"/>
    <w:rsid w:val="004830F6"/>
    <w:rsid w:val="0048315B"/>
    <w:rsid w:val="004834F7"/>
    <w:rsid w:val="00483545"/>
    <w:rsid w:val="004835A4"/>
    <w:rsid w:val="00483627"/>
    <w:rsid w:val="004836A5"/>
    <w:rsid w:val="00483750"/>
    <w:rsid w:val="004838ED"/>
    <w:rsid w:val="00483A9B"/>
    <w:rsid w:val="00483B45"/>
    <w:rsid w:val="00483C9A"/>
    <w:rsid w:val="00483E73"/>
    <w:rsid w:val="00483F80"/>
    <w:rsid w:val="00483FF4"/>
    <w:rsid w:val="004841C2"/>
    <w:rsid w:val="0048424B"/>
    <w:rsid w:val="004843B1"/>
    <w:rsid w:val="004843D6"/>
    <w:rsid w:val="0048444D"/>
    <w:rsid w:val="00484519"/>
    <w:rsid w:val="0048456A"/>
    <w:rsid w:val="004845C8"/>
    <w:rsid w:val="0048463E"/>
    <w:rsid w:val="00484765"/>
    <w:rsid w:val="00484777"/>
    <w:rsid w:val="00484A09"/>
    <w:rsid w:val="00484A11"/>
    <w:rsid w:val="00484A9F"/>
    <w:rsid w:val="00484ACD"/>
    <w:rsid w:val="00484B69"/>
    <w:rsid w:val="00484B6A"/>
    <w:rsid w:val="00484BB7"/>
    <w:rsid w:val="00484CBA"/>
    <w:rsid w:val="00484CD7"/>
    <w:rsid w:val="00484E06"/>
    <w:rsid w:val="00484E53"/>
    <w:rsid w:val="00484FD5"/>
    <w:rsid w:val="00484FEE"/>
    <w:rsid w:val="00485056"/>
    <w:rsid w:val="00485067"/>
    <w:rsid w:val="00485294"/>
    <w:rsid w:val="004852D9"/>
    <w:rsid w:val="0048535C"/>
    <w:rsid w:val="00485456"/>
    <w:rsid w:val="004854D2"/>
    <w:rsid w:val="0048552E"/>
    <w:rsid w:val="00485555"/>
    <w:rsid w:val="00485657"/>
    <w:rsid w:val="00485726"/>
    <w:rsid w:val="0048574B"/>
    <w:rsid w:val="0048575F"/>
    <w:rsid w:val="00485817"/>
    <w:rsid w:val="00485A6F"/>
    <w:rsid w:val="00485B7D"/>
    <w:rsid w:val="00485B99"/>
    <w:rsid w:val="00485C27"/>
    <w:rsid w:val="00485C42"/>
    <w:rsid w:val="00485CC7"/>
    <w:rsid w:val="00485CD7"/>
    <w:rsid w:val="00485CFE"/>
    <w:rsid w:val="00485DA3"/>
    <w:rsid w:val="00485E18"/>
    <w:rsid w:val="00485E1D"/>
    <w:rsid w:val="00485E4A"/>
    <w:rsid w:val="00485E80"/>
    <w:rsid w:val="00485FE5"/>
    <w:rsid w:val="00486024"/>
    <w:rsid w:val="004860A3"/>
    <w:rsid w:val="004860BA"/>
    <w:rsid w:val="00486166"/>
    <w:rsid w:val="004861FB"/>
    <w:rsid w:val="00486328"/>
    <w:rsid w:val="004863AA"/>
    <w:rsid w:val="004864B2"/>
    <w:rsid w:val="004864C6"/>
    <w:rsid w:val="00486736"/>
    <w:rsid w:val="0048678D"/>
    <w:rsid w:val="0048684B"/>
    <w:rsid w:val="0048692A"/>
    <w:rsid w:val="0048695E"/>
    <w:rsid w:val="00486A1E"/>
    <w:rsid w:val="00486AA9"/>
    <w:rsid w:val="00486AAC"/>
    <w:rsid w:val="00486ACD"/>
    <w:rsid w:val="00486B7D"/>
    <w:rsid w:val="00486BAC"/>
    <w:rsid w:val="00486BFB"/>
    <w:rsid w:val="00486CE0"/>
    <w:rsid w:val="00486D34"/>
    <w:rsid w:val="00486D51"/>
    <w:rsid w:val="00486E0D"/>
    <w:rsid w:val="00486E12"/>
    <w:rsid w:val="00486E2E"/>
    <w:rsid w:val="00486F13"/>
    <w:rsid w:val="00486F84"/>
    <w:rsid w:val="00486F90"/>
    <w:rsid w:val="00486FB4"/>
    <w:rsid w:val="00486FD6"/>
    <w:rsid w:val="0048714B"/>
    <w:rsid w:val="00487234"/>
    <w:rsid w:val="004872EA"/>
    <w:rsid w:val="0048734B"/>
    <w:rsid w:val="004874A2"/>
    <w:rsid w:val="0048752D"/>
    <w:rsid w:val="0048787B"/>
    <w:rsid w:val="004878CE"/>
    <w:rsid w:val="00487998"/>
    <w:rsid w:val="00487A00"/>
    <w:rsid w:val="00487A2B"/>
    <w:rsid w:val="00487C28"/>
    <w:rsid w:val="00487C4C"/>
    <w:rsid w:val="00487C55"/>
    <w:rsid w:val="00487C7B"/>
    <w:rsid w:val="00487D01"/>
    <w:rsid w:val="00487D8D"/>
    <w:rsid w:val="00487DAC"/>
    <w:rsid w:val="00487DB1"/>
    <w:rsid w:val="00487F9A"/>
    <w:rsid w:val="00487FC6"/>
    <w:rsid w:val="004900F7"/>
    <w:rsid w:val="004901B6"/>
    <w:rsid w:val="0049020B"/>
    <w:rsid w:val="004902BB"/>
    <w:rsid w:val="00490491"/>
    <w:rsid w:val="004904F0"/>
    <w:rsid w:val="004904F3"/>
    <w:rsid w:val="004904F4"/>
    <w:rsid w:val="0049059F"/>
    <w:rsid w:val="004906EF"/>
    <w:rsid w:val="0049076D"/>
    <w:rsid w:val="004907C6"/>
    <w:rsid w:val="004907FA"/>
    <w:rsid w:val="0049099B"/>
    <w:rsid w:val="00490A92"/>
    <w:rsid w:val="00490A93"/>
    <w:rsid w:val="00490B65"/>
    <w:rsid w:val="00490DEC"/>
    <w:rsid w:val="00490EB0"/>
    <w:rsid w:val="00490F7A"/>
    <w:rsid w:val="00490FB0"/>
    <w:rsid w:val="0049104D"/>
    <w:rsid w:val="00491183"/>
    <w:rsid w:val="00491225"/>
    <w:rsid w:val="0049124D"/>
    <w:rsid w:val="00491287"/>
    <w:rsid w:val="004912BA"/>
    <w:rsid w:val="0049147D"/>
    <w:rsid w:val="00491493"/>
    <w:rsid w:val="004914AF"/>
    <w:rsid w:val="004915E5"/>
    <w:rsid w:val="0049160E"/>
    <w:rsid w:val="00491728"/>
    <w:rsid w:val="004917A0"/>
    <w:rsid w:val="00491883"/>
    <w:rsid w:val="004918D6"/>
    <w:rsid w:val="00491940"/>
    <w:rsid w:val="00491951"/>
    <w:rsid w:val="00491A42"/>
    <w:rsid w:val="00491AA8"/>
    <w:rsid w:val="00491B60"/>
    <w:rsid w:val="00491CDB"/>
    <w:rsid w:val="00491D60"/>
    <w:rsid w:val="00491D84"/>
    <w:rsid w:val="00491D9C"/>
    <w:rsid w:val="00491DE3"/>
    <w:rsid w:val="00491F83"/>
    <w:rsid w:val="00492028"/>
    <w:rsid w:val="0049203E"/>
    <w:rsid w:val="004921BC"/>
    <w:rsid w:val="004921FB"/>
    <w:rsid w:val="00492278"/>
    <w:rsid w:val="004922D6"/>
    <w:rsid w:val="004922FB"/>
    <w:rsid w:val="00492309"/>
    <w:rsid w:val="0049242A"/>
    <w:rsid w:val="004924F5"/>
    <w:rsid w:val="00492523"/>
    <w:rsid w:val="00492627"/>
    <w:rsid w:val="0049262C"/>
    <w:rsid w:val="00492638"/>
    <w:rsid w:val="00492667"/>
    <w:rsid w:val="00492691"/>
    <w:rsid w:val="0049269D"/>
    <w:rsid w:val="004927DA"/>
    <w:rsid w:val="0049285C"/>
    <w:rsid w:val="0049287C"/>
    <w:rsid w:val="00492A57"/>
    <w:rsid w:val="00492AEC"/>
    <w:rsid w:val="00492BB2"/>
    <w:rsid w:val="00492CE0"/>
    <w:rsid w:val="00492CFE"/>
    <w:rsid w:val="00492DCD"/>
    <w:rsid w:val="00492E74"/>
    <w:rsid w:val="00492E82"/>
    <w:rsid w:val="00492F1D"/>
    <w:rsid w:val="00492FDC"/>
    <w:rsid w:val="0049300F"/>
    <w:rsid w:val="0049305E"/>
    <w:rsid w:val="00493096"/>
    <w:rsid w:val="004930CA"/>
    <w:rsid w:val="004930D2"/>
    <w:rsid w:val="004931A4"/>
    <w:rsid w:val="00493295"/>
    <w:rsid w:val="004932BC"/>
    <w:rsid w:val="00493490"/>
    <w:rsid w:val="004934BD"/>
    <w:rsid w:val="00493514"/>
    <w:rsid w:val="0049351F"/>
    <w:rsid w:val="0049359F"/>
    <w:rsid w:val="004935BD"/>
    <w:rsid w:val="004935C3"/>
    <w:rsid w:val="004935EA"/>
    <w:rsid w:val="004936F2"/>
    <w:rsid w:val="00493763"/>
    <w:rsid w:val="00493905"/>
    <w:rsid w:val="00493980"/>
    <w:rsid w:val="00493AF9"/>
    <w:rsid w:val="00493B0F"/>
    <w:rsid w:val="00493BA6"/>
    <w:rsid w:val="00493CE0"/>
    <w:rsid w:val="00493D1E"/>
    <w:rsid w:val="00493D6C"/>
    <w:rsid w:val="00493E4C"/>
    <w:rsid w:val="00493E71"/>
    <w:rsid w:val="00493F42"/>
    <w:rsid w:val="00493F92"/>
    <w:rsid w:val="00493FEF"/>
    <w:rsid w:val="0049407F"/>
    <w:rsid w:val="00494280"/>
    <w:rsid w:val="0049435A"/>
    <w:rsid w:val="0049438A"/>
    <w:rsid w:val="00494463"/>
    <w:rsid w:val="00494501"/>
    <w:rsid w:val="00494549"/>
    <w:rsid w:val="0049457B"/>
    <w:rsid w:val="00494613"/>
    <w:rsid w:val="0049471F"/>
    <w:rsid w:val="0049493D"/>
    <w:rsid w:val="00494950"/>
    <w:rsid w:val="00494951"/>
    <w:rsid w:val="00494B1B"/>
    <w:rsid w:val="00494B2C"/>
    <w:rsid w:val="00494C13"/>
    <w:rsid w:val="00494C23"/>
    <w:rsid w:val="00494C4F"/>
    <w:rsid w:val="00494CA9"/>
    <w:rsid w:val="00494D2A"/>
    <w:rsid w:val="00494EC9"/>
    <w:rsid w:val="00494ED1"/>
    <w:rsid w:val="00494F0E"/>
    <w:rsid w:val="00494F99"/>
    <w:rsid w:val="00495031"/>
    <w:rsid w:val="00495285"/>
    <w:rsid w:val="0049530A"/>
    <w:rsid w:val="00495393"/>
    <w:rsid w:val="004953C1"/>
    <w:rsid w:val="00495422"/>
    <w:rsid w:val="00495492"/>
    <w:rsid w:val="004954B0"/>
    <w:rsid w:val="004955AD"/>
    <w:rsid w:val="004955E4"/>
    <w:rsid w:val="0049560C"/>
    <w:rsid w:val="0049561E"/>
    <w:rsid w:val="00495666"/>
    <w:rsid w:val="00495722"/>
    <w:rsid w:val="00495792"/>
    <w:rsid w:val="00495915"/>
    <w:rsid w:val="004959B7"/>
    <w:rsid w:val="004959FB"/>
    <w:rsid w:val="00495B1D"/>
    <w:rsid w:val="00495BAB"/>
    <w:rsid w:val="00495C63"/>
    <w:rsid w:val="00495C85"/>
    <w:rsid w:val="00495CE4"/>
    <w:rsid w:val="00495CFC"/>
    <w:rsid w:val="00495D11"/>
    <w:rsid w:val="00495D24"/>
    <w:rsid w:val="00495D34"/>
    <w:rsid w:val="00495EDF"/>
    <w:rsid w:val="00495F33"/>
    <w:rsid w:val="00495F44"/>
    <w:rsid w:val="00495FB8"/>
    <w:rsid w:val="00496099"/>
    <w:rsid w:val="0049610C"/>
    <w:rsid w:val="0049614E"/>
    <w:rsid w:val="00496266"/>
    <w:rsid w:val="004963BA"/>
    <w:rsid w:val="004964F2"/>
    <w:rsid w:val="00496512"/>
    <w:rsid w:val="00496521"/>
    <w:rsid w:val="00496617"/>
    <w:rsid w:val="00496684"/>
    <w:rsid w:val="004966D3"/>
    <w:rsid w:val="0049671D"/>
    <w:rsid w:val="00496771"/>
    <w:rsid w:val="004967F5"/>
    <w:rsid w:val="00496831"/>
    <w:rsid w:val="00496870"/>
    <w:rsid w:val="0049698A"/>
    <w:rsid w:val="0049699A"/>
    <w:rsid w:val="004969CF"/>
    <w:rsid w:val="00496B00"/>
    <w:rsid w:val="00496B60"/>
    <w:rsid w:val="00496B78"/>
    <w:rsid w:val="00496C67"/>
    <w:rsid w:val="00496DEA"/>
    <w:rsid w:val="00496F0C"/>
    <w:rsid w:val="0049702D"/>
    <w:rsid w:val="004970BF"/>
    <w:rsid w:val="004970EE"/>
    <w:rsid w:val="0049711D"/>
    <w:rsid w:val="00497122"/>
    <w:rsid w:val="00497148"/>
    <w:rsid w:val="00497159"/>
    <w:rsid w:val="00497170"/>
    <w:rsid w:val="004971B2"/>
    <w:rsid w:val="004971E9"/>
    <w:rsid w:val="004972A4"/>
    <w:rsid w:val="00497347"/>
    <w:rsid w:val="0049767B"/>
    <w:rsid w:val="004976F6"/>
    <w:rsid w:val="00497713"/>
    <w:rsid w:val="0049773B"/>
    <w:rsid w:val="00497778"/>
    <w:rsid w:val="00497781"/>
    <w:rsid w:val="004977BA"/>
    <w:rsid w:val="004978C2"/>
    <w:rsid w:val="004978D5"/>
    <w:rsid w:val="0049793C"/>
    <w:rsid w:val="00497985"/>
    <w:rsid w:val="00497B01"/>
    <w:rsid w:val="00497B37"/>
    <w:rsid w:val="00497BCA"/>
    <w:rsid w:val="00497C8A"/>
    <w:rsid w:val="00497CC2"/>
    <w:rsid w:val="00497CF1"/>
    <w:rsid w:val="00497DAC"/>
    <w:rsid w:val="00497E57"/>
    <w:rsid w:val="00497E7C"/>
    <w:rsid w:val="00497EF1"/>
    <w:rsid w:val="00497FC5"/>
    <w:rsid w:val="004A0003"/>
    <w:rsid w:val="004A0127"/>
    <w:rsid w:val="004A0180"/>
    <w:rsid w:val="004A01FF"/>
    <w:rsid w:val="004A020B"/>
    <w:rsid w:val="004A0326"/>
    <w:rsid w:val="004A04D4"/>
    <w:rsid w:val="004A056F"/>
    <w:rsid w:val="004A05F1"/>
    <w:rsid w:val="004A06A7"/>
    <w:rsid w:val="004A0742"/>
    <w:rsid w:val="004A07A6"/>
    <w:rsid w:val="004A0831"/>
    <w:rsid w:val="004A0840"/>
    <w:rsid w:val="004A091B"/>
    <w:rsid w:val="004A09D8"/>
    <w:rsid w:val="004A09F2"/>
    <w:rsid w:val="004A0A54"/>
    <w:rsid w:val="004A0B1F"/>
    <w:rsid w:val="004A0B6A"/>
    <w:rsid w:val="004A0BB3"/>
    <w:rsid w:val="004A0C9F"/>
    <w:rsid w:val="004A0DCC"/>
    <w:rsid w:val="004A0DFE"/>
    <w:rsid w:val="004A0E8F"/>
    <w:rsid w:val="004A0F46"/>
    <w:rsid w:val="004A0F84"/>
    <w:rsid w:val="004A107C"/>
    <w:rsid w:val="004A109F"/>
    <w:rsid w:val="004A1175"/>
    <w:rsid w:val="004A117F"/>
    <w:rsid w:val="004A1255"/>
    <w:rsid w:val="004A131E"/>
    <w:rsid w:val="004A1384"/>
    <w:rsid w:val="004A1411"/>
    <w:rsid w:val="004A1505"/>
    <w:rsid w:val="004A1595"/>
    <w:rsid w:val="004A16C1"/>
    <w:rsid w:val="004A17DD"/>
    <w:rsid w:val="004A17EE"/>
    <w:rsid w:val="004A1819"/>
    <w:rsid w:val="004A18E2"/>
    <w:rsid w:val="004A1B71"/>
    <w:rsid w:val="004A1B8C"/>
    <w:rsid w:val="004A1BEE"/>
    <w:rsid w:val="004A1D52"/>
    <w:rsid w:val="004A1EA6"/>
    <w:rsid w:val="004A1ED3"/>
    <w:rsid w:val="004A1F70"/>
    <w:rsid w:val="004A1FCD"/>
    <w:rsid w:val="004A20A5"/>
    <w:rsid w:val="004A20E9"/>
    <w:rsid w:val="004A218A"/>
    <w:rsid w:val="004A2263"/>
    <w:rsid w:val="004A2272"/>
    <w:rsid w:val="004A22B0"/>
    <w:rsid w:val="004A22E9"/>
    <w:rsid w:val="004A234F"/>
    <w:rsid w:val="004A238C"/>
    <w:rsid w:val="004A2422"/>
    <w:rsid w:val="004A244D"/>
    <w:rsid w:val="004A2489"/>
    <w:rsid w:val="004A251D"/>
    <w:rsid w:val="004A252F"/>
    <w:rsid w:val="004A25DA"/>
    <w:rsid w:val="004A27DE"/>
    <w:rsid w:val="004A27EB"/>
    <w:rsid w:val="004A2B1B"/>
    <w:rsid w:val="004A2B57"/>
    <w:rsid w:val="004A2B95"/>
    <w:rsid w:val="004A2C55"/>
    <w:rsid w:val="004A2D94"/>
    <w:rsid w:val="004A2E28"/>
    <w:rsid w:val="004A2E9F"/>
    <w:rsid w:val="004A2EAF"/>
    <w:rsid w:val="004A2FD6"/>
    <w:rsid w:val="004A302D"/>
    <w:rsid w:val="004A309A"/>
    <w:rsid w:val="004A312F"/>
    <w:rsid w:val="004A31AE"/>
    <w:rsid w:val="004A3226"/>
    <w:rsid w:val="004A33DE"/>
    <w:rsid w:val="004A34BD"/>
    <w:rsid w:val="004A35C0"/>
    <w:rsid w:val="004A35E5"/>
    <w:rsid w:val="004A35FB"/>
    <w:rsid w:val="004A3609"/>
    <w:rsid w:val="004A3702"/>
    <w:rsid w:val="004A370F"/>
    <w:rsid w:val="004A379B"/>
    <w:rsid w:val="004A3809"/>
    <w:rsid w:val="004A38CE"/>
    <w:rsid w:val="004A397B"/>
    <w:rsid w:val="004A39C9"/>
    <w:rsid w:val="004A3B82"/>
    <w:rsid w:val="004A3BD5"/>
    <w:rsid w:val="004A3D2C"/>
    <w:rsid w:val="004A3D7D"/>
    <w:rsid w:val="004A3E58"/>
    <w:rsid w:val="004A3EB2"/>
    <w:rsid w:val="004A3F27"/>
    <w:rsid w:val="004A3F89"/>
    <w:rsid w:val="004A3FDD"/>
    <w:rsid w:val="004A405C"/>
    <w:rsid w:val="004A40B6"/>
    <w:rsid w:val="004A4146"/>
    <w:rsid w:val="004A41AF"/>
    <w:rsid w:val="004A430C"/>
    <w:rsid w:val="004A445B"/>
    <w:rsid w:val="004A4474"/>
    <w:rsid w:val="004A44AF"/>
    <w:rsid w:val="004A44F7"/>
    <w:rsid w:val="004A4529"/>
    <w:rsid w:val="004A4632"/>
    <w:rsid w:val="004A468F"/>
    <w:rsid w:val="004A48C2"/>
    <w:rsid w:val="004A496C"/>
    <w:rsid w:val="004A4BEE"/>
    <w:rsid w:val="004A4C42"/>
    <w:rsid w:val="004A4CB0"/>
    <w:rsid w:val="004A4CF7"/>
    <w:rsid w:val="004A4CF8"/>
    <w:rsid w:val="004A4E19"/>
    <w:rsid w:val="004A4E5D"/>
    <w:rsid w:val="004A4F48"/>
    <w:rsid w:val="004A4FA9"/>
    <w:rsid w:val="004A4FAD"/>
    <w:rsid w:val="004A5104"/>
    <w:rsid w:val="004A518C"/>
    <w:rsid w:val="004A5197"/>
    <w:rsid w:val="004A52E3"/>
    <w:rsid w:val="004A5301"/>
    <w:rsid w:val="004A531E"/>
    <w:rsid w:val="004A5409"/>
    <w:rsid w:val="004A5426"/>
    <w:rsid w:val="004A548B"/>
    <w:rsid w:val="004A54B0"/>
    <w:rsid w:val="004A5521"/>
    <w:rsid w:val="004A55DB"/>
    <w:rsid w:val="004A5635"/>
    <w:rsid w:val="004A564E"/>
    <w:rsid w:val="004A56C7"/>
    <w:rsid w:val="004A56F1"/>
    <w:rsid w:val="004A5703"/>
    <w:rsid w:val="004A571B"/>
    <w:rsid w:val="004A59B3"/>
    <w:rsid w:val="004A59B5"/>
    <w:rsid w:val="004A59EC"/>
    <w:rsid w:val="004A5A21"/>
    <w:rsid w:val="004A5A52"/>
    <w:rsid w:val="004A5AD5"/>
    <w:rsid w:val="004A5BE1"/>
    <w:rsid w:val="004A5CCE"/>
    <w:rsid w:val="004A5CF7"/>
    <w:rsid w:val="004A5D1D"/>
    <w:rsid w:val="004A5E5B"/>
    <w:rsid w:val="004A5FF2"/>
    <w:rsid w:val="004A6140"/>
    <w:rsid w:val="004A6189"/>
    <w:rsid w:val="004A61CB"/>
    <w:rsid w:val="004A6311"/>
    <w:rsid w:val="004A636C"/>
    <w:rsid w:val="004A6371"/>
    <w:rsid w:val="004A63F9"/>
    <w:rsid w:val="004A6444"/>
    <w:rsid w:val="004A64AF"/>
    <w:rsid w:val="004A64D9"/>
    <w:rsid w:val="004A64E4"/>
    <w:rsid w:val="004A6537"/>
    <w:rsid w:val="004A668C"/>
    <w:rsid w:val="004A678D"/>
    <w:rsid w:val="004A6A57"/>
    <w:rsid w:val="004A6B30"/>
    <w:rsid w:val="004A6B74"/>
    <w:rsid w:val="004A6BDD"/>
    <w:rsid w:val="004A6CD4"/>
    <w:rsid w:val="004A6D8A"/>
    <w:rsid w:val="004A6DD7"/>
    <w:rsid w:val="004A6F48"/>
    <w:rsid w:val="004A6FB9"/>
    <w:rsid w:val="004A6FE0"/>
    <w:rsid w:val="004A7149"/>
    <w:rsid w:val="004A7157"/>
    <w:rsid w:val="004A71AC"/>
    <w:rsid w:val="004A71CD"/>
    <w:rsid w:val="004A7200"/>
    <w:rsid w:val="004A7209"/>
    <w:rsid w:val="004A7249"/>
    <w:rsid w:val="004A7262"/>
    <w:rsid w:val="004A7286"/>
    <w:rsid w:val="004A7311"/>
    <w:rsid w:val="004A736D"/>
    <w:rsid w:val="004A756B"/>
    <w:rsid w:val="004A757C"/>
    <w:rsid w:val="004A7894"/>
    <w:rsid w:val="004A78E1"/>
    <w:rsid w:val="004A7A06"/>
    <w:rsid w:val="004A7BD0"/>
    <w:rsid w:val="004A7BE0"/>
    <w:rsid w:val="004A7DF3"/>
    <w:rsid w:val="004A7E18"/>
    <w:rsid w:val="004A7E73"/>
    <w:rsid w:val="004A7E92"/>
    <w:rsid w:val="004A7ED5"/>
    <w:rsid w:val="004A7FC4"/>
    <w:rsid w:val="004B00ED"/>
    <w:rsid w:val="004B02A9"/>
    <w:rsid w:val="004B02ED"/>
    <w:rsid w:val="004B0338"/>
    <w:rsid w:val="004B0458"/>
    <w:rsid w:val="004B04EC"/>
    <w:rsid w:val="004B0531"/>
    <w:rsid w:val="004B05A2"/>
    <w:rsid w:val="004B0650"/>
    <w:rsid w:val="004B0686"/>
    <w:rsid w:val="004B06A3"/>
    <w:rsid w:val="004B08F7"/>
    <w:rsid w:val="004B0A06"/>
    <w:rsid w:val="004B0B16"/>
    <w:rsid w:val="004B0B5C"/>
    <w:rsid w:val="004B0BA5"/>
    <w:rsid w:val="004B0CF1"/>
    <w:rsid w:val="004B0CF8"/>
    <w:rsid w:val="004B0D97"/>
    <w:rsid w:val="004B0DA3"/>
    <w:rsid w:val="004B0DC5"/>
    <w:rsid w:val="004B0DF5"/>
    <w:rsid w:val="004B0E14"/>
    <w:rsid w:val="004B0EA0"/>
    <w:rsid w:val="004B0EF6"/>
    <w:rsid w:val="004B0F88"/>
    <w:rsid w:val="004B0FC6"/>
    <w:rsid w:val="004B1021"/>
    <w:rsid w:val="004B10FF"/>
    <w:rsid w:val="004B119A"/>
    <w:rsid w:val="004B11DC"/>
    <w:rsid w:val="004B12C0"/>
    <w:rsid w:val="004B1314"/>
    <w:rsid w:val="004B1384"/>
    <w:rsid w:val="004B13D4"/>
    <w:rsid w:val="004B1410"/>
    <w:rsid w:val="004B1429"/>
    <w:rsid w:val="004B1523"/>
    <w:rsid w:val="004B1527"/>
    <w:rsid w:val="004B16A2"/>
    <w:rsid w:val="004B171E"/>
    <w:rsid w:val="004B17F9"/>
    <w:rsid w:val="004B18AB"/>
    <w:rsid w:val="004B18AD"/>
    <w:rsid w:val="004B196A"/>
    <w:rsid w:val="004B1A23"/>
    <w:rsid w:val="004B1B52"/>
    <w:rsid w:val="004B1B6B"/>
    <w:rsid w:val="004B1E74"/>
    <w:rsid w:val="004B1F04"/>
    <w:rsid w:val="004B2069"/>
    <w:rsid w:val="004B216A"/>
    <w:rsid w:val="004B21BC"/>
    <w:rsid w:val="004B21C5"/>
    <w:rsid w:val="004B21ED"/>
    <w:rsid w:val="004B22A0"/>
    <w:rsid w:val="004B22D7"/>
    <w:rsid w:val="004B2339"/>
    <w:rsid w:val="004B2360"/>
    <w:rsid w:val="004B2413"/>
    <w:rsid w:val="004B241E"/>
    <w:rsid w:val="004B2668"/>
    <w:rsid w:val="004B277A"/>
    <w:rsid w:val="004B281C"/>
    <w:rsid w:val="004B2879"/>
    <w:rsid w:val="004B29B5"/>
    <w:rsid w:val="004B29BA"/>
    <w:rsid w:val="004B2A1E"/>
    <w:rsid w:val="004B2A72"/>
    <w:rsid w:val="004B2AAA"/>
    <w:rsid w:val="004B2B05"/>
    <w:rsid w:val="004B2C3E"/>
    <w:rsid w:val="004B2C89"/>
    <w:rsid w:val="004B2CA6"/>
    <w:rsid w:val="004B2E36"/>
    <w:rsid w:val="004B2E62"/>
    <w:rsid w:val="004B2F1E"/>
    <w:rsid w:val="004B2F2C"/>
    <w:rsid w:val="004B2F83"/>
    <w:rsid w:val="004B2FAD"/>
    <w:rsid w:val="004B2FF4"/>
    <w:rsid w:val="004B300B"/>
    <w:rsid w:val="004B3135"/>
    <w:rsid w:val="004B3195"/>
    <w:rsid w:val="004B32FC"/>
    <w:rsid w:val="004B3318"/>
    <w:rsid w:val="004B3326"/>
    <w:rsid w:val="004B332F"/>
    <w:rsid w:val="004B335B"/>
    <w:rsid w:val="004B3403"/>
    <w:rsid w:val="004B3429"/>
    <w:rsid w:val="004B3529"/>
    <w:rsid w:val="004B35A9"/>
    <w:rsid w:val="004B35B3"/>
    <w:rsid w:val="004B35EA"/>
    <w:rsid w:val="004B3676"/>
    <w:rsid w:val="004B3866"/>
    <w:rsid w:val="004B3875"/>
    <w:rsid w:val="004B393D"/>
    <w:rsid w:val="004B3985"/>
    <w:rsid w:val="004B39FF"/>
    <w:rsid w:val="004B3B2F"/>
    <w:rsid w:val="004B3B59"/>
    <w:rsid w:val="004B3BDA"/>
    <w:rsid w:val="004B3D02"/>
    <w:rsid w:val="004B3D12"/>
    <w:rsid w:val="004B3DEC"/>
    <w:rsid w:val="004B3E58"/>
    <w:rsid w:val="004B40F3"/>
    <w:rsid w:val="004B411B"/>
    <w:rsid w:val="004B4142"/>
    <w:rsid w:val="004B427F"/>
    <w:rsid w:val="004B43C0"/>
    <w:rsid w:val="004B43CE"/>
    <w:rsid w:val="004B43DA"/>
    <w:rsid w:val="004B44FD"/>
    <w:rsid w:val="004B45A0"/>
    <w:rsid w:val="004B462A"/>
    <w:rsid w:val="004B4636"/>
    <w:rsid w:val="004B46B8"/>
    <w:rsid w:val="004B47FB"/>
    <w:rsid w:val="004B4823"/>
    <w:rsid w:val="004B4931"/>
    <w:rsid w:val="004B4974"/>
    <w:rsid w:val="004B4995"/>
    <w:rsid w:val="004B4A8A"/>
    <w:rsid w:val="004B4AF5"/>
    <w:rsid w:val="004B4B54"/>
    <w:rsid w:val="004B4BCE"/>
    <w:rsid w:val="004B4D01"/>
    <w:rsid w:val="004B4D2B"/>
    <w:rsid w:val="004B4D2C"/>
    <w:rsid w:val="004B4DF8"/>
    <w:rsid w:val="004B4E30"/>
    <w:rsid w:val="004B4EFB"/>
    <w:rsid w:val="004B4F27"/>
    <w:rsid w:val="004B4F79"/>
    <w:rsid w:val="004B5088"/>
    <w:rsid w:val="004B5090"/>
    <w:rsid w:val="004B509A"/>
    <w:rsid w:val="004B51B3"/>
    <w:rsid w:val="004B525D"/>
    <w:rsid w:val="004B52EA"/>
    <w:rsid w:val="004B53D7"/>
    <w:rsid w:val="004B540D"/>
    <w:rsid w:val="004B5431"/>
    <w:rsid w:val="004B5484"/>
    <w:rsid w:val="004B557D"/>
    <w:rsid w:val="004B5949"/>
    <w:rsid w:val="004B5A94"/>
    <w:rsid w:val="004B5B22"/>
    <w:rsid w:val="004B5BAF"/>
    <w:rsid w:val="004B5BD3"/>
    <w:rsid w:val="004B5F54"/>
    <w:rsid w:val="004B5F8A"/>
    <w:rsid w:val="004B5FE5"/>
    <w:rsid w:val="004B6066"/>
    <w:rsid w:val="004B614A"/>
    <w:rsid w:val="004B61F8"/>
    <w:rsid w:val="004B6240"/>
    <w:rsid w:val="004B6258"/>
    <w:rsid w:val="004B6379"/>
    <w:rsid w:val="004B6390"/>
    <w:rsid w:val="004B6527"/>
    <w:rsid w:val="004B654E"/>
    <w:rsid w:val="004B673F"/>
    <w:rsid w:val="004B6745"/>
    <w:rsid w:val="004B685C"/>
    <w:rsid w:val="004B687E"/>
    <w:rsid w:val="004B6ADA"/>
    <w:rsid w:val="004B6AFB"/>
    <w:rsid w:val="004B6BDC"/>
    <w:rsid w:val="004B6C67"/>
    <w:rsid w:val="004B6C7E"/>
    <w:rsid w:val="004B6F69"/>
    <w:rsid w:val="004B7140"/>
    <w:rsid w:val="004B7258"/>
    <w:rsid w:val="004B72B5"/>
    <w:rsid w:val="004B72D3"/>
    <w:rsid w:val="004B72FB"/>
    <w:rsid w:val="004B73F0"/>
    <w:rsid w:val="004B73F9"/>
    <w:rsid w:val="004B7428"/>
    <w:rsid w:val="004B7472"/>
    <w:rsid w:val="004B75BB"/>
    <w:rsid w:val="004B760D"/>
    <w:rsid w:val="004B7632"/>
    <w:rsid w:val="004B767B"/>
    <w:rsid w:val="004B7688"/>
    <w:rsid w:val="004B76E9"/>
    <w:rsid w:val="004B775F"/>
    <w:rsid w:val="004B7820"/>
    <w:rsid w:val="004B7892"/>
    <w:rsid w:val="004B78CB"/>
    <w:rsid w:val="004B7A03"/>
    <w:rsid w:val="004B7A9B"/>
    <w:rsid w:val="004B7BC5"/>
    <w:rsid w:val="004B7BE5"/>
    <w:rsid w:val="004B7D70"/>
    <w:rsid w:val="004B7DC6"/>
    <w:rsid w:val="004B7DCE"/>
    <w:rsid w:val="004B7EDE"/>
    <w:rsid w:val="004B7EF7"/>
    <w:rsid w:val="004B7F10"/>
    <w:rsid w:val="004B7FED"/>
    <w:rsid w:val="004C0008"/>
    <w:rsid w:val="004C005C"/>
    <w:rsid w:val="004C0254"/>
    <w:rsid w:val="004C0396"/>
    <w:rsid w:val="004C03DF"/>
    <w:rsid w:val="004C03E8"/>
    <w:rsid w:val="004C0474"/>
    <w:rsid w:val="004C04C1"/>
    <w:rsid w:val="004C052F"/>
    <w:rsid w:val="004C05B6"/>
    <w:rsid w:val="004C06BC"/>
    <w:rsid w:val="004C0866"/>
    <w:rsid w:val="004C0984"/>
    <w:rsid w:val="004C0A64"/>
    <w:rsid w:val="004C0A67"/>
    <w:rsid w:val="004C0A95"/>
    <w:rsid w:val="004C0B42"/>
    <w:rsid w:val="004C0B50"/>
    <w:rsid w:val="004C0BD3"/>
    <w:rsid w:val="004C0C34"/>
    <w:rsid w:val="004C0ECE"/>
    <w:rsid w:val="004C1102"/>
    <w:rsid w:val="004C12AD"/>
    <w:rsid w:val="004C12E0"/>
    <w:rsid w:val="004C134E"/>
    <w:rsid w:val="004C138E"/>
    <w:rsid w:val="004C13C2"/>
    <w:rsid w:val="004C13D6"/>
    <w:rsid w:val="004C13F0"/>
    <w:rsid w:val="004C1520"/>
    <w:rsid w:val="004C15CD"/>
    <w:rsid w:val="004C1717"/>
    <w:rsid w:val="004C17B6"/>
    <w:rsid w:val="004C17CD"/>
    <w:rsid w:val="004C1813"/>
    <w:rsid w:val="004C181E"/>
    <w:rsid w:val="004C183C"/>
    <w:rsid w:val="004C1897"/>
    <w:rsid w:val="004C1913"/>
    <w:rsid w:val="004C1940"/>
    <w:rsid w:val="004C196D"/>
    <w:rsid w:val="004C1971"/>
    <w:rsid w:val="004C19B5"/>
    <w:rsid w:val="004C1A88"/>
    <w:rsid w:val="004C1AA2"/>
    <w:rsid w:val="004C1ABE"/>
    <w:rsid w:val="004C1AD4"/>
    <w:rsid w:val="004C1B8E"/>
    <w:rsid w:val="004C1C71"/>
    <w:rsid w:val="004C1C8F"/>
    <w:rsid w:val="004C1CAD"/>
    <w:rsid w:val="004C1CE6"/>
    <w:rsid w:val="004C1D1A"/>
    <w:rsid w:val="004C1DBD"/>
    <w:rsid w:val="004C1E2A"/>
    <w:rsid w:val="004C2047"/>
    <w:rsid w:val="004C20B1"/>
    <w:rsid w:val="004C2167"/>
    <w:rsid w:val="004C21D6"/>
    <w:rsid w:val="004C222B"/>
    <w:rsid w:val="004C2292"/>
    <w:rsid w:val="004C237F"/>
    <w:rsid w:val="004C252D"/>
    <w:rsid w:val="004C257F"/>
    <w:rsid w:val="004C2599"/>
    <w:rsid w:val="004C2616"/>
    <w:rsid w:val="004C2656"/>
    <w:rsid w:val="004C2738"/>
    <w:rsid w:val="004C275D"/>
    <w:rsid w:val="004C27DB"/>
    <w:rsid w:val="004C28D4"/>
    <w:rsid w:val="004C2934"/>
    <w:rsid w:val="004C2985"/>
    <w:rsid w:val="004C29EA"/>
    <w:rsid w:val="004C29FD"/>
    <w:rsid w:val="004C2A66"/>
    <w:rsid w:val="004C2AC4"/>
    <w:rsid w:val="004C2B3F"/>
    <w:rsid w:val="004C2B45"/>
    <w:rsid w:val="004C2C02"/>
    <w:rsid w:val="004C2D87"/>
    <w:rsid w:val="004C2EE6"/>
    <w:rsid w:val="004C2F3C"/>
    <w:rsid w:val="004C2FC4"/>
    <w:rsid w:val="004C2FE6"/>
    <w:rsid w:val="004C3038"/>
    <w:rsid w:val="004C30F4"/>
    <w:rsid w:val="004C3211"/>
    <w:rsid w:val="004C3244"/>
    <w:rsid w:val="004C32CF"/>
    <w:rsid w:val="004C32F0"/>
    <w:rsid w:val="004C341A"/>
    <w:rsid w:val="004C3446"/>
    <w:rsid w:val="004C34F5"/>
    <w:rsid w:val="004C359B"/>
    <w:rsid w:val="004C3635"/>
    <w:rsid w:val="004C36A5"/>
    <w:rsid w:val="004C3782"/>
    <w:rsid w:val="004C37CF"/>
    <w:rsid w:val="004C3904"/>
    <w:rsid w:val="004C39D0"/>
    <w:rsid w:val="004C3A01"/>
    <w:rsid w:val="004C3AFD"/>
    <w:rsid w:val="004C3B60"/>
    <w:rsid w:val="004C3C20"/>
    <w:rsid w:val="004C3C6F"/>
    <w:rsid w:val="004C3CA2"/>
    <w:rsid w:val="004C3CAD"/>
    <w:rsid w:val="004C3DC3"/>
    <w:rsid w:val="004C3F9C"/>
    <w:rsid w:val="004C407B"/>
    <w:rsid w:val="004C40EF"/>
    <w:rsid w:val="004C41A2"/>
    <w:rsid w:val="004C41B8"/>
    <w:rsid w:val="004C422D"/>
    <w:rsid w:val="004C425B"/>
    <w:rsid w:val="004C4279"/>
    <w:rsid w:val="004C428A"/>
    <w:rsid w:val="004C43FB"/>
    <w:rsid w:val="004C446A"/>
    <w:rsid w:val="004C4484"/>
    <w:rsid w:val="004C45C5"/>
    <w:rsid w:val="004C4621"/>
    <w:rsid w:val="004C46C4"/>
    <w:rsid w:val="004C4702"/>
    <w:rsid w:val="004C4905"/>
    <w:rsid w:val="004C49B1"/>
    <w:rsid w:val="004C49FB"/>
    <w:rsid w:val="004C49FC"/>
    <w:rsid w:val="004C4AE2"/>
    <w:rsid w:val="004C4B04"/>
    <w:rsid w:val="004C4B5B"/>
    <w:rsid w:val="004C4BC0"/>
    <w:rsid w:val="004C4DE1"/>
    <w:rsid w:val="004C4DFD"/>
    <w:rsid w:val="004C4E06"/>
    <w:rsid w:val="004C4E58"/>
    <w:rsid w:val="004C4E9F"/>
    <w:rsid w:val="004C5051"/>
    <w:rsid w:val="004C5266"/>
    <w:rsid w:val="004C5281"/>
    <w:rsid w:val="004C52CE"/>
    <w:rsid w:val="004C530A"/>
    <w:rsid w:val="004C534B"/>
    <w:rsid w:val="004C53ED"/>
    <w:rsid w:val="004C54EA"/>
    <w:rsid w:val="004C5544"/>
    <w:rsid w:val="004C55B7"/>
    <w:rsid w:val="004C581E"/>
    <w:rsid w:val="004C59C3"/>
    <w:rsid w:val="004C5A32"/>
    <w:rsid w:val="004C5A78"/>
    <w:rsid w:val="004C5AD6"/>
    <w:rsid w:val="004C5B51"/>
    <w:rsid w:val="004C5C0D"/>
    <w:rsid w:val="004C5C9D"/>
    <w:rsid w:val="004C5CCC"/>
    <w:rsid w:val="004C5CDB"/>
    <w:rsid w:val="004C5DDA"/>
    <w:rsid w:val="004C5E3B"/>
    <w:rsid w:val="004C5F87"/>
    <w:rsid w:val="004C5FCD"/>
    <w:rsid w:val="004C6202"/>
    <w:rsid w:val="004C6227"/>
    <w:rsid w:val="004C6346"/>
    <w:rsid w:val="004C63B0"/>
    <w:rsid w:val="004C63D5"/>
    <w:rsid w:val="004C642C"/>
    <w:rsid w:val="004C65CE"/>
    <w:rsid w:val="004C667B"/>
    <w:rsid w:val="004C6777"/>
    <w:rsid w:val="004C67D1"/>
    <w:rsid w:val="004C6882"/>
    <w:rsid w:val="004C69A7"/>
    <w:rsid w:val="004C6AAC"/>
    <w:rsid w:val="004C6AF5"/>
    <w:rsid w:val="004C6B1E"/>
    <w:rsid w:val="004C6C07"/>
    <w:rsid w:val="004C6D4D"/>
    <w:rsid w:val="004C6D90"/>
    <w:rsid w:val="004C6EDB"/>
    <w:rsid w:val="004C6F02"/>
    <w:rsid w:val="004C7045"/>
    <w:rsid w:val="004C708E"/>
    <w:rsid w:val="004C7143"/>
    <w:rsid w:val="004C71F2"/>
    <w:rsid w:val="004C72D2"/>
    <w:rsid w:val="004C7317"/>
    <w:rsid w:val="004C734F"/>
    <w:rsid w:val="004C73F1"/>
    <w:rsid w:val="004C756E"/>
    <w:rsid w:val="004C7621"/>
    <w:rsid w:val="004C77D0"/>
    <w:rsid w:val="004C77D2"/>
    <w:rsid w:val="004C781A"/>
    <w:rsid w:val="004C7AA8"/>
    <w:rsid w:val="004C7B28"/>
    <w:rsid w:val="004C7B58"/>
    <w:rsid w:val="004C7B62"/>
    <w:rsid w:val="004C7BCB"/>
    <w:rsid w:val="004C7D09"/>
    <w:rsid w:val="004C7D2D"/>
    <w:rsid w:val="004C7D55"/>
    <w:rsid w:val="004C7D71"/>
    <w:rsid w:val="004C7DDB"/>
    <w:rsid w:val="004C7F5B"/>
    <w:rsid w:val="004C7F87"/>
    <w:rsid w:val="004C7FBD"/>
    <w:rsid w:val="004C7FF9"/>
    <w:rsid w:val="004D0021"/>
    <w:rsid w:val="004D0316"/>
    <w:rsid w:val="004D042E"/>
    <w:rsid w:val="004D0482"/>
    <w:rsid w:val="004D04CE"/>
    <w:rsid w:val="004D0564"/>
    <w:rsid w:val="004D058E"/>
    <w:rsid w:val="004D05FC"/>
    <w:rsid w:val="004D0667"/>
    <w:rsid w:val="004D06B0"/>
    <w:rsid w:val="004D06F3"/>
    <w:rsid w:val="004D070B"/>
    <w:rsid w:val="004D07CD"/>
    <w:rsid w:val="004D080F"/>
    <w:rsid w:val="004D0869"/>
    <w:rsid w:val="004D08EF"/>
    <w:rsid w:val="004D08F7"/>
    <w:rsid w:val="004D096D"/>
    <w:rsid w:val="004D0970"/>
    <w:rsid w:val="004D0977"/>
    <w:rsid w:val="004D09A3"/>
    <w:rsid w:val="004D09B2"/>
    <w:rsid w:val="004D0AF0"/>
    <w:rsid w:val="004D0B19"/>
    <w:rsid w:val="004D0B42"/>
    <w:rsid w:val="004D0BA2"/>
    <w:rsid w:val="004D0CF2"/>
    <w:rsid w:val="004D0DE5"/>
    <w:rsid w:val="004D0E35"/>
    <w:rsid w:val="004D0E84"/>
    <w:rsid w:val="004D1010"/>
    <w:rsid w:val="004D102C"/>
    <w:rsid w:val="004D1057"/>
    <w:rsid w:val="004D1091"/>
    <w:rsid w:val="004D114A"/>
    <w:rsid w:val="004D1185"/>
    <w:rsid w:val="004D1240"/>
    <w:rsid w:val="004D1310"/>
    <w:rsid w:val="004D1401"/>
    <w:rsid w:val="004D1416"/>
    <w:rsid w:val="004D143B"/>
    <w:rsid w:val="004D14A0"/>
    <w:rsid w:val="004D159E"/>
    <w:rsid w:val="004D1607"/>
    <w:rsid w:val="004D172F"/>
    <w:rsid w:val="004D1847"/>
    <w:rsid w:val="004D192D"/>
    <w:rsid w:val="004D1960"/>
    <w:rsid w:val="004D19FE"/>
    <w:rsid w:val="004D1A12"/>
    <w:rsid w:val="004D1A5F"/>
    <w:rsid w:val="004D1B5C"/>
    <w:rsid w:val="004D1CD5"/>
    <w:rsid w:val="004D1D18"/>
    <w:rsid w:val="004D1D1D"/>
    <w:rsid w:val="004D1EBF"/>
    <w:rsid w:val="004D1F57"/>
    <w:rsid w:val="004D1F97"/>
    <w:rsid w:val="004D2175"/>
    <w:rsid w:val="004D21C7"/>
    <w:rsid w:val="004D2340"/>
    <w:rsid w:val="004D241C"/>
    <w:rsid w:val="004D24B7"/>
    <w:rsid w:val="004D2576"/>
    <w:rsid w:val="004D28B8"/>
    <w:rsid w:val="004D2995"/>
    <w:rsid w:val="004D2999"/>
    <w:rsid w:val="004D2A05"/>
    <w:rsid w:val="004D2A0D"/>
    <w:rsid w:val="004D2A3B"/>
    <w:rsid w:val="004D2BAF"/>
    <w:rsid w:val="004D2E32"/>
    <w:rsid w:val="004D2F0E"/>
    <w:rsid w:val="004D2FAA"/>
    <w:rsid w:val="004D3162"/>
    <w:rsid w:val="004D31B0"/>
    <w:rsid w:val="004D3238"/>
    <w:rsid w:val="004D3348"/>
    <w:rsid w:val="004D3361"/>
    <w:rsid w:val="004D3370"/>
    <w:rsid w:val="004D33E4"/>
    <w:rsid w:val="004D3432"/>
    <w:rsid w:val="004D349A"/>
    <w:rsid w:val="004D36A0"/>
    <w:rsid w:val="004D3765"/>
    <w:rsid w:val="004D38AB"/>
    <w:rsid w:val="004D395E"/>
    <w:rsid w:val="004D3A0F"/>
    <w:rsid w:val="004D3A27"/>
    <w:rsid w:val="004D3A77"/>
    <w:rsid w:val="004D3A7C"/>
    <w:rsid w:val="004D3B49"/>
    <w:rsid w:val="004D3C0D"/>
    <w:rsid w:val="004D3C66"/>
    <w:rsid w:val="004D3CF1"/>
    <w:rsid w:val="004D3DE9"/>
    <w:rsid w:val="004D3E10"/>
    <w:rsid w:val="004D3E11"/>
    <w:rsid w:val="004D3E8D"/>
    <w:rsid w:val="004D3F91"/>
    <w:rsid w:val="004D3FB6"/>
    <w:rsid w:val="004D425C"/>
    <w:rsid w:val="004D43E7"/>
    <w:rsid w:val="004D444B"/>
    <w:rsid w:val="004D4476"/>
    <w:rsid w:val="004D44A1"/>
    <w:rsid w:val="004D452A"/>
    <w:rsid w:val="004D45A3"/>
    <w:rsid w:val="004D469A"/>
    <w:rsid w:val="004D469D"/>
    <w:rsid w:val="004D46B3"/>
    <w:rsid w:val="004D4731"/>
    <w:rsid w:val="004D476E"/>
    <w:rsid w:val="004D47A6"/>
    <w:rsid w:val="004D49FC"/>
    <w:rsid w:val="004D4A9B"/>
    <w:rsid w:val="004D4AC0"/>
    <w:rsid w:val="004D4B52"/>
    <w:rsid w:val="004D4C44"/>
    <w:rsid w:val="004D4D6B"/>
    <w:rsid w:val="004D4E03"/>
    <w:rsid w:val="004D4E22"/>
    <w:rsid w:val="004D4EE6"/>
    <w:rsid w:val="004D502A"/>
    <w:rsid w:val="004D5206"/>
    <w:rsid w:val="004D52BB"/>
    <w:rsid w:val="004D52FB"/>
    <w:rsid w:val="004D53E1"/>
    <w:rsid w:val="004D5508"/>
    <w:rsid w:val="004D5528"/>
    <w:rsid w:val="004D56E9"/>
    <w:rsid w:val="004D57EC"/>
    <w:rsid w:val="004D57F0"/>
    <w:rsid w:val="004D5850"/>
    <w:rsid w:val="004D5865"/>
    <w:rsid w:val="004D5893"/>
    <w:rsid w:val="004D5937"/>
    <w:rsid w:val="004D5B7F"/>
    <w:rsid w:val="004D5BFC"/>
    <w:rsid w:val="004D5D04"/>
    <w:rsid w:val="004D5DC7"/>
    <w:rsid w:val="004D5E54"/>
    <w:rsid w:val="004D5E9F"/>
    <w:rsid w:val="004D5ECA"/>
    <w:rsid w:val="004D600C"/>
    <w:rsid w:val="004D601B"/>
    <w:rsid w:val="004D6094"/>
    <w:rsid w:val="004D6122"/>
    <w:rsid w:val="004D6180"/>
    <w:rsid w:val="004D618C"/>
    <w:rsid w:val="004D61C3"/>
    <w:rsid w:val="004D620D"/>
    <w:rsid w:val="004D63FB"/>
    <w:rsid w:val="004D6537"/>
    <w:rsid w:val="004D6572"/>
    <w:rsid w:val="004D6681"/>
    <w:rsid w:val="004D66B9"/>
    <w:rsid w:val="004D67D1"/>
    <w:rsid w:val="004D681E"/>
    <w:rsid w:val="004D6A6E"/>
    <w:rsid w:val="004D6A8B"/>
    <w:rsid w:val="004D6BA1"/>
    <w:rsid w:val="004D6C12"/>
    <w:rsid w:val="004D6DD7"/>
    <w:rsid w:val="004D6E06"/>
    <w:rsid w:val="004D6E1A"/>
    <w:rsid w:val="004D6E66"/>
    <w:rsid w:val="004D6E90"/>
    <w:rsid w:val="004D7009"/>
    <w:rsid w:val="004D7016"/>
    <w:rsid w:val="004D7040"/>
    <w:rsid w:val="004D7052"/>
    <w:rsid w:val="004D70D0"/>
    <w:rsid w:val="004D71A2"/>
    <w:rsid w:val="004D71EE"/>
    <w:rsid w:val="004D7207"/>
    <w:rsid w:val="004D72CD"/>
    <w:rsid w:val="004D7378"/>
    <w:rsid w:val="004D7379"/>
    <w:rsid w:val="004D7383"/>
    <w:rsid w:val="004D74D2"/>
    <w:rsid w:val="004D756B"/>
    <w:rsid w:val="004D777C"/>
    <w:rsid w:val="004D7787"/>
    <w:rsid w:val="004D780E"/>
    <w:rsid w:val="004D78B7"/>
    <w:rsid w:val="004D78D7"/>
    <w:rsid w:val="004D79B2"/>
    <w:rsid w:val="004D79CC"/>
    <w:rsid w:val="004D7A3C"/>
    <w:rsid w:val="004D7B07"/>
    <w:rsid w:val="004D7B8F"/>
    <w:rsid w:val="004D7D58"/>
    <w:rsid w:val="004D7ECE"/>
    <w:rsid w:val="004D7F35"/>
    <w:rsid w:val="004D7F57"/>
    <w:rsid w:val="004E0001"/>
    <w:rsid w:val="004E0034"/>
    <w:rsid w:val="004E0188"/>
    <w:rsid w:val="004E0396"/>
    <w:rsid w:val="004E03C8"/>
    <w:rsid w:val="004E045A"/>
    <w:rsid w:val="004E0584"/>
    <w:rsid w:val="004E0588"/>
    <w:rsid w:val="004E05C9"/>
    <w:rsid w:val="004E05FD"/>
    <w:rsid w:val="004E06C6"/>
    <w:rsid w:val="004E079A"/>
    <w:rsid w:val="004E07E1"/>
    <w:rsid w:val="004E08BE"/>
    <w:rsid w:val="004E0917"/>
    <w:rsid w:val="004E0925"/>
    <w:rsid w:val="004E092E"/>
    <w:rsid w:val="004E09B2"/>
    <w:rsid w:val="004E0A56"/>
    <w:rsid w:val="004E0C5C"/>
    <w:rsid w:val="004E0CB7"/>
    <w:rsid w:val="004E0D48"/>
    <w:rsid w:val="004E0FF9"/>
    <w:rsid w:val="004E1076"/>
    <w:rsid w:val="004E10C0"/>
    <w:rsid w:val="004E10C6"/>
    <w:rsid w:val="004E119E"/>
    <w:rsid w:val="004E120D"/>
    <w:rsid w:val="004E120F"/>
    <w:rsid w:val="004E13C4"/>
    <w:rsid w:val="004E151E"/>
    <w:rsid w:val="004E15E4"/>
    <w:rsid w:val="004E1657"/>
    <w:rsid w:val="004E169A"/>
    <w:rsid w:val="004E16E3"/>
    <w:rsid w:val="004E171C"/>
    <w:rsid w:val="004E174C"/>
    <w:rsid w:val="004E17A9"/>
    <w:rsid w:val="004E1845"/>
    <w:rsid w:val="004E18C7"/>
    <w:rsid w:val="004E1977"/>
    <w:rsid w:val="004E1BB3"/>
    <w:rsid w:val="004E1C28"/>
    <w:rsid w:val="004E1CEA"/>
    <w:rsid w:val="004E1EBC"/>
    <w:rsid w:val="004E1ED9"/>
    <w:rsid w:val="004E1F79"/>
    <w:rsid w:val="004E1FF5"/>
    <w:rsid w:val="004E2131"/>
    <w:rsid w:val="004E21AF"/>
    <w:rsid w:val="004E21B6"/>
    <w:rsid w:val="004E2387"/>
    <w:rsid w:val="004E23FA"/>
    <w:rsid w:val="004E2416"/>
    <w:rsid w:val="004E2480"/>
    <w:rsid w:val="004E24A5"/>
    <w:rsid w:val="004E25E9"/>
    <w:rsid w:val="004E25EF"/>
    <w:rsid w:val="004E2660"/>
    <w:rsid w:val="004E2773"/>
    <w:rsid w:val="004E2775"/>
    <w:rsid w:val="004E2816"/>
    <w:rsid w:val="004E2887"/>
    <w:rsid w:val="004E295D"/>
    <w:rsid w:val="004E2970"/>
    <w:rsid w:val="004E2A22"/>
    <w:rsid w:val="004E2A28"/>
    <w:rsid w:val="004E2A83"/>
    <w:rsid w:val="004E2AAA"/>
    <w:rsid w:val="004E2E55"/>
    <w:rsid w:val="004E2F32"/>
    <w:rsid w:val="004E2F7A"/>
    <w:rsid w:val="004E2FBF"/>
    <w:rsid w:val="004E2FEA"/>
    <w:rsid w:val="004E31A3"/>
    <w:rsid w:val="004E31AD"/>
    <w:rsid w:val="004E31E8"/>
    <w:rsid w:val="004E3222"/>
    <w:rsid w:val="004E3225"/>
    <w:rsid w:val="004E3314"/>
    <w:rsid w:val="004E3325"/>
    <w:rsid w:val="004E3489"/>
    <w:rsid w:val="004E34E3"/>
    <w:rsid w:val="004E35BB"/>
    <w:rsid w:val="004E365A"/>
    <w:rsid w:val="004E36C9"/>
    <w:rsid w:val="004E372C"/>
    <w:rsid w:val="004E37A4"/>
    <w:rsid w:val="004E37BD"/>
    <w:rsid w:val="004E3A07"/>
    <w:rsid w:val="004E3AA6"/>
    <w:rsid w:val="004E3B4B"/>
    <w:rsid w:val="004E3BC4"/>
    <w:rsid w:val="004E3BF9"/>
    <w:rsid w:val="004E3C3E"/>
    <w:rsid w:val="004E3D59"/>
    <w:rsid w:val="004E3D68"/>
    <w:rsid w:val="004E3DAE"/>
    <w:rsid w:val="004E3DFF"/>
    <w:rsid w:val="004E3E8C"/>
    <w:rsid w:val="004E3EF8"/>
    <w:rsid w:val="004E3F13"/>
    <w:rsid w:val="004E3F6D"/>
    <w:rsid w:val="004E4066"/>
    <w:rsid w:val="004E4079"/>
    <w:rsid w:val="004E41A5"/>
    <w:rsid w:val="004E4285"/>
    <w:rsid w:val="004E42F8"/>
    <w:rsid w:val="004E438F"/>
    <w:rsid w:val="004E4461"/>
    <w:rsid w:val="004E44B1"/>
    <w:rsid w:val="004E45B0"/>
    <w:rsid w:val="004E46BB"/>
    <w:rsid w:val="004E46C4"/>
    <w:rsid w:val="004E46DF"/>
    <w:rsid w:val="004E4800"/>
    <w:rsid w:val="004E486D"/>
    <w:rsid w:val="004E4A6A"/>
    <w:rsid w:val="004E4AEF"/>
    <w:rsid w:val="004E4AFE"/>
    <w:rsid w:val="004E4B11"/>
    <w:rsid w:val="004E4CD7"/>
    <w:rsid w:val="004E4CF3"/>
    <w:rsid w:val="004E4D52"/>
    <w:rsid w:val="004E4E2D"/>
    <w:rsid w:val="004E4ED2"/>
    <w:rsid w:val="004E4F7C"/>
    <w:rsid w:val="004E4FCA"/>
    <w:rsid w:val="004E507A"/>
    <w:rsid w:val="004E5208"/>
    <w:rsid w:val="004E5269"/>
    <w:rsid w:val="004E532F"/>
    <w:rsid w:val="004E5416"/>
    <w:rsid w:val="004E5499"/>
    <w:rsid w:val="004E54C5"/>
    <w:rsid w:val="004E556C"/>
    <w:rsid w:val="004E5580"/>
    <w:rsid w:val="004E55BA"/>
    <w:rsid w:val="004E561E"/>
    <w:rsid w:val="004E561F"/>
    <w:rsid w:val="004E56C3"/>
    <w:rsid w:val="004E5891"/>
    <w:rsid w:val="004E58A3"/>
    <w:rsid w:val="004E58D7"/>
    <w:rsid w:val="004E58FF"/>
    <w:rsid w:val="004E591D"/>
    <w:rsid w:val="004E5941"/>
    <w:rsid w:val="004E59CC"/>
    <w:rsid w:val="004E5A09"/>
    <w:rsid w:val="004E5A7F"/>
    <w:rsid w:val="004E5AC7"/>
    <w:rsid w:val="004E5B39"/>
    <w:rsid w:val="004E5CF8"/>
    <w:rsid w:val="004E5F64"/>
    <w:rsid w:val="004E6044"/>
    <w:rsid w:val="004E6061"/>
    <w:rsid w:val="004E6078"/>
    <w:rsid w:val="004E60E9"/>
    <w:rsid w:val="004E6177"/>
    <w:rsid w:val="004E618E"/>
    <w:rsid w:val="004E61A0"/>
    <w:rsid w:val="004E62C3"/>
    <w:rsid w:val="004E637E"/>
    <w:rsid w:val="004E642C"/>
    <w:rsid w:val="004E644F"/>
    <w:rsid w:val="004E6454"/>
    <w:rsid w:val="004E6482"/>
    <w:rsid w:val="004E6487"/>
    <w:rsid w:val="004E64AC"/>
    <w:rsid w:val="004E64C6"/>
    <w:rsid w:val="004E6606"/>
    <w:rsid w:val="004E664B"/>
    <w:rsid w:val="004E673F"/>
    <w:rsid w:val="004E6820"/>
    <w:rsid w:val="004E69BA"/>
    <w:rsid w:val="004E6A35"/>
    <w:rsid w:val="004E6B02"/>
    <w:rsid w:val="004E6B43"/>
    <w:rsid w:val="004E6D8A"/>
    <w:rsid w:val="004E6DF3"/>
    <w:rsid w:val="004E6EA3"/>
    <w:rsid w:val="004E6EA4"/>
    <w:rsid w:val="004E6F0A"/>
    <w:rsid w:val="004E70A9"/>
    <w:rsid w:val="004E70D3"/>
    <w:rsid w:val="004E70FC"/>
    <w:rsid w:val="004E7120"/>
    <w:rsid w:val="004E7478"/>
    <w:rsid w:val="004E7539"/>
    <w:rsid w:val="004E7540"/>
    <w:rsid w:val="004E755B"/>
    <w:rsid w:val="004E7627"/>
    <w:rsid w:val="004E766C"/>
    <w:rsid w:val="004E77BB"/>
    <w:rsid w:val="004E787A"/>
    <w:rsid w:val="004E7937"/>
    <w:rsid w:val="004E7A32"/>
    <w:rsid w:val="004E7A5D"/>
    <w:rsid w:val="004E7AE3"/>
    <w:rsid w:val="004E7AF0"/>
    <w:rsid w:val="004E7AF9"/>
    <w:rsid w:val="004E7B2B"/>
    <w:rsid w:val="004E7B48"/>
    <w:rsid w:val="004E7B4C"/>
    <w:rsid w:val="004E7C67"/>
    <w:rsid w:val="004E7C8C"/>
    <w:rsid w:val="004E7D6E"/>
    <w:rsid w:val="004E7D9C"/>
    <w:rsid w:val="004E7DB3"/>
    <w:rsid w:val="004E7E12"/>
    <w:rsid w:val="004E7EE6"/>
    <w:rsid w:val="004E7F0A"/>
    <w:rsid w:val="004E7F6E"/>
    <w:rsid w:val="004F0044"/>
    <w:rsid w:val="004F00D6"/>
    <w:rsid w:val="004F00E9"/>
    <w:rsid w:val="004F03A4"/>
    <w:rsid w:val="004F03BC"/>
    <w:rsid w:val="004F0410"/>
    <w:rsid w:val="004F04B2"/>
    <w:rsid w:val="004F04B6"/>
    <w:rsid w:val="004F07AE"/>
    <w:rsid w:val="004F082D"/>
    <w:rsid w:val="004F0947"/>
    <w:rsid w:val="004F098A"/>
    <w:rsid w:val="004F09C2"/>
    <w:rsid w:val="004F0A51"/>
    <w:rsid w:val="004F0B4E"/>
    <w:rsid w:val="004F0C97"/>
    <w:rsid w:val="004F0D2E"/>
    <w:rsid w:val="004F0D8C"/>
    <w:rsid w:val="004F0DC9"/>
    <w:rsid w:val="004F0E68"/>
    <w:rsid w:val="004F0EF6"/>
    <w:rsid w:val="004F1039"/>
    <w:rsid w:val="004F103A"/>
    <w:rsid w:val="004F1067"/>
    <w:rsid w:val="004F119E"/>
    <w:rsid w:val="004F12A0"/>
    <w:rsid w:val="004F1357"/>
    <w:rsid w:val="004F13B8"/>
    <w:rsid w:val="004F15BF"/>
    <w:rsid w:val="004F163E"/>
    <w:rsid w:val="004F166F"/>
    <w:rsid w:val="004F1771"/>
    <w:rsid w:val="004F18D2"/>
    <w:rsid w:val="004F1A57"/>
    <w:rsid w:val="004F1B72"/>
    <w:rsid w:val="004F1D67"/>
    <w:rsid w:val="004F1E91"/>
    <w:rsid w:val="004F1FBC"/>
    <w:rsid w:val="004F1FFD"/>
    <w:rsid w:val="004F208B"/>
    <w:rsid w:val="004F2296"/>
    <w:rsid w:val="004F2358"/>
    <w:rsid w:val="004F23CD"/>
    <w:rsid w:val="004F23DC"/>
    <w:rsid w:val="004F267C"/>
    <w:rsid w:val="004F269B"/>
    <w:rsid w:val="004F26A1"/>
    <w:rsid w:val="004F26C8"/>
    <w:rsid w:val="004F2700"/>
    <w:rsid w:val="004F2781"/>
    <w:rsid w:val="004F28D0"/>
    <w:rsid w:val="004F2986"/>
    <w:rsid w:val="004F2A25"/>
    <w:rsid w:val="004F2A87"/>
    <w:rsid w:val="004F2B2A"/>
    <w:rsid w:val="004F2B9F"/>
    <w:rsid w:val="004F2C63"/>
    <w:rsid w:val="004F2C6A"/>
    <w:rsid w:val="004F2D2D"/>
    <w:rsid w:val="004F2D5D"/>
    <w:rsid w:val="004F2D69"/>
    <w:rsid w:val="004F2D6E"/>
    <w:rsid w:val="004F2D7D"/>
    <w:rsid w:val="004F2E24"/>
    <w:rsid w:val="004F2EB6"/>
    <w:rsid w:val="004F2F87"/>
    <w:rsid w:val="004F30CB"/>
    <w:rsid w:val="004F3103"/>
    <w:rsid w:val="004F31BD"/>
    <w:rsid w:val="004F31D9"/>
    <w:rsid w:val="004F362F"/>
    <w:rsid w:val="004F36DE"/>
    <w:rsid w:val="004F3707"/>
    <w:rsid w:val="004F3817"/>
    <w:rsid w:val="004F38BA"/>
    <w:rsid w:val="004F38D8"/>
    <w:rsid w:val="004F39B7"/>
    <w:rsid w:val="004F3AEE"/>
    <w:rsid w:val="004F3D5C"/>
    <w:rsid w:val="004F3E26"/>
    <w:rsid w:val="004F3F8C"/>
    <w:rsid w:val="004F3FE4"/>
    <w:rsid w:val="004F41BF"/>
    <w:rsid w:val="004F42D5"/>
    <w:rsid w:val="004F42D9"/>
    <w:rsid w:val="004F43E4"/>
    <w:rsid w:val="004F45A7"/>
    <w:rsid w:val="004F45E6"/>
    <w:rsid w:val="004F47B4"/>
    <w:rsid w:val="004F47D7"/>
    <w:rsid w:val="004F488B"/>
    <w:rsid w:val="004F489B"/>
    <w:rsid w:val="004F494D"/>
    <w:rsid w:val="004F49D3"/>
    <w:rsid w:val="004F4A4B"/>
    <w:rsid w:val="004F4B3C"/>
    <w:rsid w:val="004F4B53"/>
    <w:rsid w:val="004F4B99"/>
    <w:rsid w:val="004F4BCB"/>
    <w:rsid w:val="004F4C77"/>
    <w:rsid w:val="004F4D3C"/>
    <w:rsid w:val="004F4E00"/>
    <w:rsid w:val="004F4E04"/>
    <w:rsid w:val="004F4E05"/>
    <w:rsid w:val="004F4E97"/>
    <w:rsid w:val="004F4F3F"/>
    <w:rsid w:val="004F5021"/>
    <w:rsid w:val="004F50BA"/>
    <w:rsid w:val="004F50E4"/>
    <w:rsid w:val="004F50E7"/>
    <w:rsid w:val="004F513A"/>
    <w:rsid w:val="004F5205"/>
    <w:rsid w:val="004F5230"/>
    <w:rsid w:val="004F5318"/>
    <w:rsid w:val="004F540D"/>
    <w:rsid w:val="004F5464"/>
    <w:rsid w:val="004F5469"/>
    <w:rsid w:val="004F546C"/>
    <w:rsid w:val="004F5476"/>
    <w:rsid w:val="004F5738"/>
    <w:rsid w:val="004F5828"/>
    <w:rsid w:val="004F5846"/>
    <w:rsid w:val="004F584A"/>
    <w:rsid w:val="004F5854"/>
    <w:rsid w:val="004F5896"/>
    <w:rsid w:val="004F58FB"/>
    <w:rsid w:val="004F5901"/>
    <w:rsid w:val="004F596F"/>
    <w:rsid w:val="004F59B1"/>
    <w:rsid w:val="004F5A1C"/>
    <w:rsid w:val="004F5AA1"/>
    <w:rsid w:val="004F5AE6"/>
    <w:rsid w:val="004F5AEC"/>
    <w:rsid w:val="004F5B89"/>
    <w:rsid w:val="004F5C08"/>
    <w:rsid w:val="004F5E8E"/>
    <w:rsid w:val="004F5EE6"/>
    <w:rsid w:val="004F5FA0"/>
    <w:rsid w:val="004F5FEA"/>
    <w:rsid w:val="004F6006"/>
    <w:rsid w:val="004F6181"/>
    <w:rsid w:val="004F645D"/>
    <w:rsid w:val="004F6483"/>
    <w:rsid w:val="004F655A"/>
    <w:rsid w:val="004F6617"/>
    <w:rsid w:val="004F6628"/>
    <w:rsid w:val="004F6771"/>
    <w:rsid w:val="004F68C2"/>
    <w:rsid w:val="004F68CC"/>
    <w:rsid w:val="004F694E"/>
    <w:rsid w:val="004F6A3A"/>
    <w:rsid w:val="004F6A4E"/>
    <w:rsid w:val="004F6A9D"/>
    <w:rsid w:val="004F6BB0"/>
    <w:rsid w:val="004F6BE8"/>
    <w:rsid w:val="004F6C22"/>
    <w:rsid w:val="004F6D0B"/>
    <w:rsid w:val="004F6D44"/>
    <w:rsid w:val="004F6DD9"/>
    <w:rsid w:val="004F6E76"/>
    <w:rsid w:val="004F6F3F"/>
    <w:rsid w:val="004F6FAE"/>
    <w:rsid w:val="004F6FE6"/>
    <w:rsid w:val="004F705E"/>
    <w:rsid w:val="004F70D0"/>
    <w:rsid w:val="004F715F"/>
    <w:rsid w:val="004F7188"/>
    <w:rsid w:val="004F71A4"/>
    <w:rsid w:val="004F736A"/>
    <w:rsid w:val="004F74D7"/>
    <w:rsid w:val="004F74EA"/>
    <w:rsid w:val="004F758F"/>
    <w:rsid w:val="004F7658"/>
    <w:rsid w:val="004F76A5"/>
    <w:rsid w:val="004F7729"/>
    <w:rsid w:val="004F775A"/>
    <w:rsid w:val="004F7816"/>
    <w:rsid w:val="004F7869"/>
    <w:rsid w:val="004F7894"/>
    <w:rsid w:val="004F7895"/>
    <w:rsid w:val="004F78C8"/>
    <w:rsid w:val="004F78D1"/>
    <w:rsid w:val="004F79A7"/>
    <w:rsid w:val="004F7A46"/>
    <w:rsid w:val="004F7ACA"/>
    <w:rsid w:val="004F7B83"/>
    <w:rsid w:val="004F7D26"/>
    <w:rsid w:val="004F7D2D"/>
    <w:rsid w:val="004F7D3A"/>
    <w:rsid w:val="004F7D78"/>
    <w:rsid w:val="004F7EAF"/>
    <w:rsid w:val="0050009D"/>
    <w:rsid w:val="005000A5"/>
    <w:rsid w:val="00500182"/>
    <w:rsid w:val="0050039E"/>
    <w:rsid w:val="00500411"/>
    <w:rsid w:val="0050043B"/>
    <w:rsid w:val="005004C0"/>
    <w:rsid w:val="005005AF"/>
    <w:rsid w:val="005006B2"/>
    <w:rsid w:val="0050071D"/>
    <w:rsid w:val="00500816"/>
    <w:rsid w:val="005008BA"/>
    <w:rsid w:val="005008E2"/>
    <w:rsid w:val="00500994"/>
    <w:rsid w:val="00500A0F"/>
    <w:rsid w:val="00500C5B"/>
    <w:rsid w:val="00500D07"/>
    <w:rsid w:val="00500D3B"/>
    <w:rsid w:val="00500E0C"/>
    <w:rsid w:val="00500EE4"/>
    <w:rsid w:val="00500F2C"/>
    <w:rsid w:val="00500F92"/>
    <w:rsid w:val="00501340"/>
    <w:rsid w:val="00501528"/>
    <w:rsid w:val="00501638"/>
    <w:rsid w:val="0050179C"/>
    <w:rsid w:val="00501830"/>
    <w:rsid w:val="00501856"/>
    <w:rsid w:val="0050188E"/>
    <w:rsid w:val="0050192B"/>
    <w:rsid w:val="00501A01"/>
    <w:rsid w:val="00501B6F"/>
    <w:rsid w:val="00501D44"/>
    <w:rsid w:val="00501EFF"/>
    <w:rsid w:val="00501F76"/>
    <w:rsid w:val="00501FB1"/>
    <w:rsid w:val="00501FBC"/>
    <w:rsid w:val="00501FC4"/>
    <w:rsid w:val="00501FFA"/>
    <w:rsid w:val="0050206D"/>
    <w:rsid w:val="00502144"/>
    <w:rsid w:val="005021BA"/>
    <w:rsid w:val="005021D0"/>
    <w:rsid w:val="00502265"/>
    <w:rsid w:val="0050226F"/>
    <w:rsid w:val="00502290"/>
    <w:rsid w:val="005023A2"/>
    <w:rsid w:val="00502420"/>
    <w:rsid w:val="00502462"/>
    <w:rsid w:val="0050247F"/>
    <w:rsid w:val="00502583"/>
    <w:rsid w:val="005026E3"/>
    <w:rsid w:val="0050276A"/>
    <w:rsid w:val="00502895"/>
    <w:rsid w:val="005029D6"/>
    <w:rsid w:val="00502A51"/>
    <w:rsid w:val="00502AA3"/>
    <w:rsid w:val="00502B11"/>
    <w:rsid w:val="00502BA2"/>
    <w:rsid w:val="00502C70"/>
    <w:rsid w:val="00502DA6"/>
    <w:rsid w:val="00502DC2"/>
    <w:rsid w:val="00502F2A"/>
    <w:rsid w:val="00502F3A"/>
    <w:rsid w:val="00503029"/>
    <w:rsid w:val="005030BB"/>
    <w:rsid w:val="00503185"/>
    <w:rsid w:val="0050318C"/>
    <w:rsid w:val="005031E5"/>
    <w:rsid w:val="00503298"/>
    <w:rsid w:val="00503383"/>
    <w:rsid w:val="0050340A"/>
    <w:rsid w:val="0050349D"/>
    <w:rsid w:val="005034EC"/>
    <w:rsid w:val="00503523"/>
    <w:rsid w:val="005036BB"/>
    <w:rsid w:val="005037A5"/>
    <w:rsid w:val="005037B7"/>
    <w:rsid w:val="0050387D"/>
    <w:rsid w:val="005038F0"/>
    <w:rsid w:val="0050396D"/>
    <w:rsid w:val="00503982"/>
    <w:rsid w:val="005039E1"/>
    <w:rsid w:val="00503BB2"/>
    <w:rsid w:val="00503BD1"/>
    <w:rsid w:val="00503C31"/>
    <w:rsid w:val="00503CB5"/>
    <w:rsid w:val="00503D09"/>
    <w:rsid w:val="00503D84"/>
    <w:rsid w:val="00503DB9"/>
    <w:rsid w:val="00503DDF"/>
    <w:rsid w:val="00503E54"/>
    <w:rsid w:val="00503E55"/>
    <w:rsid w:val="00503F8F"/>
    <w:rsid w:val="00503FC5"/>
    <w:rsid w:val="00504013"/>
    <w:rsid w:val="00504088"/>
    <w:rsid w:val="0050414C"/>
    <w:rsid w:val="00504239"/>
    <w:rsid w:val="00504371"/>
    <w:rsid w:val="0050437B"/>
    <w:rsid w:val="0050438D"/>
    <w:rsid w:val="005043CB"/>
    <w:rsid w:val="0050440F"/>
    <w:rsid w:val="00504540"/>
    <w:rsid w:val="0050458B"/>
    <w:rsid w:val="00504654"/>
    <w:rsid w:val="00504726"/>
    <w:rsid w:val="00504740"/>
    <w:rsid w:val="00504771"/>
    <w:rsid w:val="005047B7"/>
    <w:rsid w:val="00504800"/>
    <w:rsid w:val="00504970"/>
    <w:rsid w:val="0050499B"/>
    <w:rsid w:val="005049A8"/>
    <w:rsid w:val="00504CB5"/>
    <w:rsid w:val="00504D3A"/>
    <w:rsid w:val="00504E2C"/>
    <w:rsid w:val="00504E2F"/>
    <w:rsid w:val="00504F4E"/>
    <w:rsid w:val="00504F96"/>
    <w:rsid w:val="00505058"/>
    <w:rsid w:val="00505104"/>
    <w:rsid w:val="00505383"/>
    <w:rsid w:val="005053D7"/>
    <w:rsid w:val="005054BB"/>
    <w:rsid w:val="00505535"/>
    <w:rsid w:val="00505681"/>
    <w:rsid w:val="00505770"/>
    <w:rsid w:val="005057F2"/>
    <w:rsid w:val="00505848"/>
    <w:rsid w:val="0050587D"/>
    <w:rsid w:val="0050592F"/>
    <w:rsid w:val="00505999"/>
    <w:rsid w:val="00505A0C"/>
    <w:rsid w:val="00505ABC"/>
    <w:rsid w:val="00505AC4"/>
    <w:rsid w:val="00505C3F"/>
    <w:rsid w:val="00505C50"/>
    <w:rsid w:val="00505DBC"/>
    <w:rsid w:val="00505F1B"/>
    <w:rsid w:val="00505F8D"/>
    <w:rsid w:val="00506104"/>
    <w:rsid w:val="00506198"/>
    <w:rsid w:val="005061D9"/>
    <w:rsid w:val="0050620B"/>
    <w:rsid w:val="00506243"/>
    <w:rsid w:val="00506256"/>
    <w:rsid w:val="0050630A"/>
    <w:rsid w:val="00506397"/>
    <w:rsid w:val="005063DE"/>
    <w:rsid w:val="00506403"/>
    <w:rsid w:val="0050647D"/>
    <w:rsid w:val="00506622"/>
    <w:rsid w:val="00506653"/>
    <w:rsid w:val="005067D6"/>
    <w:rsid w:val="00506822"/>
    <w:rsid w:val="00506837"/>
    <w:rsid w:val="0050685A"/>
    <w:rsid w:val="005068A4"/>
    <w:rsid w:val="0050691B"/>
    <w:rsid w:val="005069A6"/>
    <w:rsid w:val="005069B6"/>
    <w:rsid w:val="005069C8"/>
    <w:rsid w:val="005069DF"/>
    <w:rsid w:val="00506A6F"/>
    <w:rsid w:val="00506AD2"/>
    <w:rsid w:val="00506AF7"/>
    <w:rsid w:val="00506B46"/>
    <w:rsid w:val="00506B59"/>
    <w:rsid w:val="00506B71"/>
    <w:rsid w:val="00506B9C"/>
    <w:rsid w:val="00506C4C"/>
    <w:rsid w:val="00506C94"/>
    <w:rsid w:val="00506D38"/>
    <w:rsid w:val="00506D5D"/>
    <w:rsid w:val="00506E61"/>
    <w:rsid w:val="00506EE2"/>
    <w:rsid w:val="00506F30"/>
    <w:rsid w:val="005070AF"/>
    <w:rsid w:val="0050713C"/>
    <w:rsid w:val="00507181"/>
    <w:rsid w:val="00507190"/>
    <w:rsid w:val="005072ED"/>
    <w:rsid w:val="00507342"/>
    <w:rsid w:val="00507346"/>
    <w:rsid w:val="0050734F"/>
    <w:rsid w:val="00507380"/>
    <w:rsid w:val="005073A7"/>
    <w:rsid w:val="00507405"/>
    <w:rsid w:val="005074FA"/>
    <w:rsid w:val="005075D3"/>
    <w:rsid w:val="00507660"/>
    <w:rsid w:val="0050768A"/>
    <w:rsid w:val="005076A2"/>
    <w:rsid w:val="005076B2"/>
    <w:rsid w:val="005076DF"/>
    <w:rsid w:val="005076FA"/>
    <w:rsid w:val="0050772E"/>
    <w:rsid w:val="00507805"/>
    <w:rsid w:val="0050782A"/>
    <w:rsid w:val="00507880"/>
    <w:rsid w:val="005078B3"/>
    <w:rsid w:val="005078B7"/>
    <w:rsid w:val="005079C5"/>
    <w:rsid w:val="00507A80"/>
    <w:rsid w:val="00507B78"/>
    <w:rsid w:val="00507BD2"/>
    <w:rsid w:val="00507D1C"/>
    <w:rsid w:val="0051002D"/>
    <w:rsid w:val="0051008A"/>
    <w:rsid w:val="0051014F"/>
    <w:rsid w:val="00510154"/>
    <w:rsid w:val="005101B1"/>
    <w:rsid w:val="005103E1"/>
    <w:rsid w:val="00510415"/>
    <w:rsid w:val="005104ED"/>
    <w:rsid w:val="005104F6"/>
    <w:rsid w:val="005105D9"/>
    <w:rsid w:val="0051062E"/>
    <w:rsid w:val="005106EC"/>
    <w:rsid w:val="0051079E"/>
    <w:rsid w:val="005107D9"/>
    <w:rsid w:val="005109BA"/>
    <w:rsid w:val="00510BF5"/>
    <w:rsid w:val="00510CFA"/>
    <w:rsid w:val="00510EA4"/>
    <w:rsid w:val="00510F00"/>
    <w:rsid w:val="00510FBD"/>
    <w:rsid w:val="0051111E"/>
    <w:rsid w:val="005113E5"/>
    <w:rsid w:val="005114B9"/>
    <w:rsid w:val="00511637"/>
    <w:rsid w:val="005116CA"/>
    <w:rsid w:val="00511759"/>
    <w:rsid w:val="00511815"/>
    <w:rsid w:val="00511942"/>
    <w:rsid w:val="005119A1"/>
    <w:rsid w:val="00511A9F"/>
    <w:rsid w:val="00511C1C"/>
    <w:rsid w:val="00511C30"/>
    <w:rsid w:val="00511D90"/>
    <w:rsid w:val="00512053"/>
    <w:rsid w:val="005120A8"/>
    <w:rsid w:val="005121E3"/>
    <w:rsid w:val="00512229"/>
    <w:rsid w:val="005122C6"/>
    <w:rsid w:val="005122E6"/>
    <w:rsid w:val="00512333"/>
    <w:rsid w:val="0051243F"/>
    <w:rsid w:val="00512476"/>
    <w:rsid w:val="00512593"/>
    <w:rsid w:val="005127DC"/>
    <w:rsid w:val="00512831"/>
    <w:rsid w:val="00512864"/>
    <w:rsid w:val="005128AA"/>
    <w:rsid w:val="005128EE"/>
    <w:rsid w:val="0051296B"/>
    <w:rsid w:val="00512986"/>
    <w:rsid w:val="005129B1"/>
    <w:rsid w:val="00512B3D"/>
    <w:rsid w:val="00512B40"/>
    <w:rsid w:val="00512B50"/>
    <w:rsid w:val="00512B9B"/>
    <w:rsid w:val="00512BC8"/>
    <w:rsid w:val="00512C5D"/>
    <w:rsid w:val="00512CA3"/>
    <w:rsid w:val="00512D7B"/>
    <w:rsid w:val="00512F46"/>
    <w:rsid w:val="00513277"/>
    <w:rsid w:val="0051332D"/>
    <w:rsid w:val="00513390"/>
    <w:rsid w:val="005133D9"/>
    <w:rsid w:val="005134C3"/>
    <w:rsid w:val="0051366A"/>
    <w:rsid w:val="005136C1"/>
    <w:rsid w:val="00513753"/>
    <w:rsid w:val="005137BE"/>
    <w:rsid w:val="005138C2"/>
    <w:rsid w:val="005138E7"/>
    <w:rsid w:val="00513A1A"/>
    <w:rsid w:val="00513A68"/>
    <w:rsid w:val="00513A7D"/>
    <w:rsid w:val="00513D58"/>
    <w:rsid w:val="00513D95"/>
    <w:rsid w:val="00513EE4"/>
    <w:rsid w:val="00513FA4"/>
    <w:rsid w:val="00514031"/>
    <w:rsid w:val="00514098"/>
    <w:rsid w:val="005140A1"/>
    <w:rsid w:val="005140F2"/>
    <w:rsid w:val="00514182"/>
    <w:rsid w:val="00514277"/>
    <w:rsid w:val="005142B9"/>
    <w:rsid w:val="005142D2"/>
    <w:rsid w:val="005142DC"/>
    <w:rsid w:val="005144E2"/>
    <w:rsid w:val="0051465D"/>
    <w:rsid w:val="00514672"/>
    <w:rsid w:val="00514799"/>
    <w:rsid w:val="005147C7"/>
    <w:rsid w:val="00514843"/>
    <w:rsid w:val="005148DA"/>
    <w:rsid w:val="0051496A"/>
    <w:rsid w:val="00514A2C"/>
    <w:rsid w:val="00514AB9"/>
    <w:rsid w:val="00514BA4"/>
    <w:rsid w:val="00514C40"/>
    <w:rsid w:val="00514CBB"/>
    <w:rsid w:val="00514D80"/>
    <w:rsid w:val="00514DC0"/>
    <w:rsid w:val="00514EB7"/>
    <w:rsid w:val="00514EC6"/>
    <w:rsid w:val="00514F8E"/>
    <w:rsid w:val="00515039"/>
    <w:rsid w:val="0051503D"/>
    <w:rsid w:val="00515108"/>
    <w:rsid w:val="0051517D"/>
    <w:rsid w:val="005152D7"/>
    <w:rsid w:val="00515448"/>
    <w:rsid w:val="005155AD"/>
    <w:rsid w:val="005155DF"/>
    <w:rsid w:val="0051560D"/>
    <w:rsid w:val="00515661"/>
    <w:rsid w:val="005156EC"/>
    <w:rsid w:val="0051575C"/>
    <w:rsid w:val="00515782"/>
    <w:rsid w:val="005158F7"/>
    <w:rsid w:val="0051594E"/>
    <w:rsid w:val="00515AB9"/>
    <w:rsid w:val="00515B24"/>
    <w:rsid w:val="00515BA9"/>
    <w:rsid w:val="00515BBE"/>
    <w:rsid w:val="00515BD6"/>
    <w:rsid w:val="00515BD8"/>
    <w:rsid w:val="00515C2E"/>
    <w:rsid w:val="00515C45"/>
    <w:rsid w:val="00515C80"/>
    <w:rsid w:val="00515CC5"/>
    <w:rsid w:val="00515D12"/>
    <w:rsid w:val="00515E30"/>
    <w:rsid w:val="00515E62"/>
    <w:rsid w:val="00515EE7"/>
    <w:rsid w:val="00515FCB"/>
    <w:rsid w:val="005160C3"/>
    <w:rsid w:val="0051611B"/>
    <w:rsid w:val="00516141"/>
    <w:rsid w:val="00516195"/>
    <w:rsid w:val="00516231"/>
    <w:rsid w:val="00516291"/>
    <w:rsid w:val="005162D9"/>
    <w:rsid w:val="0051639A"/>
    <w:rsid w:val="00516507"/>
    <w:rsid w:val="00516532"/>
    <w:rsid w:val="0051681F"/>
    <w:rsid w:val="005168A0"/>
    <w:rsid w:val="005168B6"/>
    <w:rsid w:val="005169DA"/>
    <w:rsid w:val="00516A01"/>
    <w:rsid w:val="00516A03"/>
    <w:rsid w:val="00516A0B"/>
    <w:rsid w:val="00516C35"/>
    <w:rsid w:val="00516CE2"/>
    <w:rsid w:val="00516D85"/>
    <w:rsid w:val="00516D90"/>
    <w:rsid w:val="00516F68"/>
    <w:rsid w:val="00516FC7"/>
    <w:rsid w:val="00517011"/>
    <w:rsid w:val="00517049"/>
    <w:rsid w:val="00517053"/>
    <w:rsid w:val="00517124"/>
    <w:rsid w:val="0051730F"/>
    <w:rsid w:val="00517355"/>
    <w:rsid w:val="005173C4"/>
    <w:rsid w:val="005173D6"/>
    <w:rsid w:val="0051741D"/>
    <w:rsid w:val="00517493"/>
    <w:rsid w:val="00517544"/>
    <w:rsid w:val="005175D0"/>
    <w:rsid w:val="0051763E"/>
    <w:rsid w:val="00517795"/>
    <w:rsid w:val="005178D9"/>
    <w:rsid w:val="00517948"/>
    <w:rsid w:val="00517A4A"/>
    <w:rsid w:val="00517A53"/>
    <w:rsid w:val="00517AB9"/>
    <w:rsid w:val="00517ADC"/>
    <w:rsid w:val="00517B36"/>
    <w:rsid w:val="00517C68"/>
    <w:rsid w:val="00517C87"/>
    <w:rsid w:val="00517D48"/>
    <w:rsid w:val="00517D6B"/>
    <w:rsid w:val="00517D78"/>
    <w:rsid w:val="00517DA1"/>
    <w:rsid w:val="00517E13"/>
    <w:rsid w:val="00517E44"/>
    <w:rsid w:val="0052004E"/>
    <w:rsid w:val="0052018C"/>
    <w:rsid w:val="005202B2"/>
    <w:rsid w:val="0052031B"/>
    <w:rsid w:val="00520427"/>
    <w:rsid w:val="00520455"/>
    <w:rsid w:val="005204AE"/>
    <w:rsid w:val="00520542"/>
    <w:rsid w:val="0052075F"/>
    <w:rsid w:val="00520813"/>
    <w:rsid w:val="005208DC"/>
    <w:rsid w:val="00520905"/>
    <w:rsid w:val="00520ACF"/>
    <w:rsid w:val="00520CFE"/>
    <w:rsid w:val="00520D52"/>
    <w:rsid w:val="00520D80"/>
    <w:rsid w:val="00520E16"/>
    <w:rsid w:val="00520ED1"/>
    <w:rsid w:val="005210FF"/>
    <w:rsid w:val="005211AC"/>
    <w:rsid w:val="0052136B"/>
    <w:rsid w:val="0052177A"/>
    <w:rsid w:val="00521812"/>
    <w:rsid w:val="00521859"/>
    <w:rsid w:val="005218D6"/>
    <w:rsid w:val="00521AA9"/>
    <w:rsid w:val="00521ACB"/>
    <w:rsid w:val="00521B0D"/>
    <w:rsid w:val="00521B53"/>
    <w:rsid w:val="00521B62"/>
    <w:rsid w:val="00521C1F"/>
    <w:rsid w:val="00521C56"/>
    <w:rsid w:val="00521C81"/>
    <w:rsid w:val="00521CE1"/>
    <w:rsid w:val="00521D5D"/>
    <w:rsid w:val="00521E2F"/>
    <w:rsid w:val="00521F84"/>
    <w:rsid w:val="0052200A"/>
    <w:rsid w:val="0052203E"/>
    <w:rsid w:val="00522056"/>
    <w:rsid w:val="005221BB"/>
    <w:rsid w:val="005221F2"/>
    <w:rsid w:val="00522333"/>
    <w:rsid w:val="0052238B"/>
    <w:rsid w:val="0052250F"/>
    <w:rsid w:val="00522636"/>
    <w:rsid w:val="00522827"/>
    <w:rsid w:val="005228B8"/>
    <w:rsid w:val="005228C9"/>
    <w:rsid w:val="005228CB"/>
    <w:rsid w:val="005228F8"/>
    <w:rsid w:val="005229C7"/>
    <w:rsid w:val="005229E3"/>
    <w:rsid w:val="00522A3C"/>
    <w:rsid w:val="00522BB1"/>
    <w:rsid w:val="00522BC1"/>
    <w:rsid w:val="00522D6C"/>
    <w:rsid w:val="00522DB6"/>
    <w:rsid w:val="00522E00"/>
    <w:rsid w:val="00522E21"/>
    <w:rsid w:val="00522E42"/>
    <w:rsid w:val="00522E75"/>
    <w:rsid w:val="00522E7B"/>
    <w:rsid w:val="00522EBE"/>
    <w:rsid w:val="00522F9F"/>
    <w:rsid w:val="00523036"/>
    <w:rsid w:val="005230CC"/>
    <w:rsid w:val="005230E1"/>
    <w:rsid w:val="005230ED"/>
    <w:rsid w:val="00523119"/>
    <w:rsid w:val="005232D2"/>
    <w:rsid w:val="00523434"/>
    <w:rsid w:val="00523445"/>
    <w:rsid w:val="00523503"/>
    <w:rsid w:val="005235DE"/>
    <w:rsid w:val="0052379C"/>
    <w:rsid w:val="0052392E"/>
    <w:rsid w:val="00523985"/>
    <w:rsid w:val="005239A3"/>
    <w:rsid w:val="005239FF"/>
    <w:rsid w:val="00523AE1"/>
    <w:rsid w:val="00523AF7"/>
    <w:rsid w:val="00523DB8"/>
    <w:rsid w:val="00523F03"/>
    <w:rsid w:val="00524086"/>
    <w:rsid w:val="00524226"/>
    <w:rsid w:val="00524249"/>
    <w:rsid w:val="005242AF"/>
    <w:rsid w:val="005242C2"/>
    <w:rsid w:val="0052435F"/>
    <w:rsid w:val="005244DF"/>
    <w:rsid w:val="00524645"/>
    <w:rsid w:val="00524736"/>
    <w:rsid w:val="00524771"/>
    <w:rsid w:val="00524809"/>
    <w:rsid w:val="00524830"/>
    <w:rsid w:val="005248A2"/>
    <w:rsid w:val="005248B7"/>
    <w:rsid w:val="005248D2"/>
    <w:rsid w:val="00524961"/>
    <w:rsid w:val="005249F8"/>
    <w:rsid w:val="00524B60"/>
    <w:rsid w:val="00524C7F"/>
    <w:rsid w:val="00524CCD"/>
    <w:rsid w:val="00524E0D"/>
    <w:rsid w:val="00524EC6"/>
    <w:rsid w:val="005251A4"/>
    <w:rsid w:val="005251D9"/>
    <w:rsid w:val="005253DE"/>
    <w:rsid w:val="0052541A"/>
    <w:rsid w:val="00525420"/>
    <w:rsid w:val="00525443"/>
    <w:rsid w:val="005255F8"/>
    <w:rsid w:val="0052568C"/>
    <w:rsid w:val="00525737"/>
    <w:rsid w:val="00525742"/>
    <w:rsid w:val="00525791"/>
    <w:rsid w:val="0052579B"/>
    <w:rsid w:val="005257AA"/>
    <w:rsid w:val="005257E6"/>
    <w:rsid w:val="00525865"/>
    <w:rsid w:val="00525867"/>
    <w:rsid w:val="0052588B"/>
    <w:rsid w:val="00525922"/>
    <w:rsid w:val="00525937"/>
    <w:rsid w:val="00525944"/>
    <w:rsid w:val="005259CF"/>
    <w:rsid w:val="00525A8E"/>
    <w:rsid w:val="00525AA1"/>
    <w:rsid w:val="00525B19"/>
    <w:rsid w:val="00525B6F"/>
    <w:rsid w:val="00525CC2"/>
    <w:rsid w:val="00525CE1"/>
    <w:rsid w:val="00525DDE"/>
    <w:rsid w:val="0052606F"/>
    <w:rsid w:val="005261B6"/>
    <w:rsid w:val="0052622D"/>
    <w:rsid w:val="0052628A"/>
    <w:rsid w:val="00526290"/>
    <w:rsid w:val="00526525"/>
    <w:rsid w:val="00526531"/>
    <w:rsid w:val="0052665F"/>
    <w:rsid w:val="00526863"/>
    <w:rsid w:val="00526955"/>
    <w:rsid w:val="005269F5"/>
    <w:rsid w:val="00526A4F"/>
    <w:rsid w:val="00526B5A"/>
    <w:rsid w:val="00526B8C"/>
    <w:rsid w:val="00526BEC"/>
    <w:rsid w:val="00526C25"/>
    <w:rsid w:val="00526C56"/>
    <w:rsid w:val="00526C61"/>
    <w:rsid w:val="00526CAE"/>
    <w:rsid w:val="00526D31"/>
    <w:rsid w:val="00526ED7"/>
    <w:rsid w:val="00526EDF"/>
    <w:rsid w:val="00527013"/>
    <w:rsid w:val="005270E1"/>
    <w:rsid w:val="005270F9"/>
    <w:rsid w:val="005271B8"/>
    <w:rsid w:val="0052730E"/>
    <w:rsid w:val="00527408"/>
    <w:rsid w:val="0052746A"/>
    <w:rsid w:val="00527487"/>
    <w:rsid w:val="005274CC"/>
    <w:rsid w:val="005275A9"/>
    <w:rsid w:val="005275EF"/>
    <w:rsid w:val="0052766B"/>
    <w:rsid w:val="005276A2"/>
    <w:rsid w:val="005276CB"/>
    <w:rsid w:val="005277A8"/>
    <w:rsid w:val="00527860"/>
    <w:rsid w:val="00527A79"/>
    <w:rsid w:val="00527ADF"/>
    <w:rsid w:val="00527B2F"/>
    <w:rsid w:val="00527C42"/>
    <w:rsid w:val="00527C50"/>
    <w:rsid w:val="00527CCE"/>
    <w:rsid w:val="00527D50"/>
    <w:rsid w:val="00527DF7"/>
    <w:rsid w:val="00527E86"/>
    <w:rsid w:val="00527F6E"/>
    <w:rsid w:val="00530194"/>
    <w:rsid w:val="005301B7"/>
    <w:rsid w:val="005301FC"/>
    <w:rsid w:val="005302BA"/>
    <w:rsid w:val="00530633"/>
    <w:rsid w:val="00530716"/>
    <w:rsid w:val="005308DE"/>
    <w:rsid w:val="005308F8"/>
    <w:rsid w:val="00530911"/>
    <w:rsid w:val="00530B3F"/>
    <w:rsid w:val="00530B51"/>
    <w:rsid w:val="00530C3A"/>
    <w:rsid w:val="00530C77"/>
    <w:rsid w:val="00530EB3"/>
    <w:rsid w:val="00530EB6"/>
    <w:rsid w:val="00530EC6"/>
    <w:rsid w:val="00530F9E"/>
    <w:rsid w:val="00530FC7"/>
    <w:rsid w:val="0053109E"/>
    <w:rsid w:val="005310D4"/>
    <w:rsid w:val="00531127"/>
    <w:rsid w:val="00531147"/>
    <w:rsid w:val="0053125C"/>
    <w:rsid w:val="00531267"/>
    <w:rsid w:val="005312EB"/>
    <w:rsid w:val="00531375"/>
    <w:rsid w:val="0053138D"/>
    <w:rsid w:val="005314F2"/>
    <w:rsid w:val="0053151C"/>
    <w:rsid w:val="00531572"/>
    <w:rsid w:val="00531586"/>
    <w:rsid w:val="005315E8"/>
    <w:rsid w:val="00531626"/>
    <w:rsid w:val="0053162B"/>
    <w:rsid w:val="0053165E"/>
    <w:rsid w:val="005316B9"/>
    <w:rsid w:val="005317B9"/>
    <w:rsid w:val="00531804"/>
    <w:rsid w:val="00531820"/>
    <w:rsid w:val="00531855"/>
    <w:rsid w:val="005318E0"/>
    <w:rsid w:val="00531904"/>
    <w:rsid w:val="0053194B"/>
    <w:rsid w:val="00531961"/>
    <w:rsid w:val="0053196C"/>
    <w:rsid w:val="00531A06"/>
    <w:rsid w:val="00531ADB"/>
    <w:rsid w:val="00531B0D"/>
    <w:rsid w:val="00531C6C"/>
    <w:rsid w:val="00531C84"/>
    <w:rsid w:val="00531D3D"/>
    <w:rsid w:val="00531D7A"/>
    <w:rsid w:val="00531E98"/>
    <w:rsid w:val="00531FAB"/>
    <w:rsid w:val="0053208C"/>
    <w:rsid w:val="005320BD"/>
    <w:rsid w:val="005321D6"/>
    <w:rsid w:val="005321F2"/>
    <w:rsid w:val="00532232"/>
    <w:rsid w:val="00532248"/>
    <w:rsid w:val="00532310"/>
    <w:rsid w:val="00532323"/>
    <w:rsid w:val="005324B0"/>
    <w:rsid w:val="005324F3"/>
    <w:rsid w:val="00532559"/>
    <w:rsid w:val="00532576"/>
    <w:rsid w:val="00532675"/>
    <w:rsid w:val="005326D5"/>
    <w:rsid w:val="00532760"/>
    <w:rsid w:val="005327D3"/>
    <w:rsid w:val="00532844"/>
    <w:rsid w:val="00532A02"/>
    <w:rsid w:val="00532A28"/>
    <w:rsid w:val="00532B64"/>
    <w:rsid w:val="00532BAF"/>
    <w:rsid w:val="00532BCB"/>
    <w:rsid w:val="00532BD4"/>
    <w:rsid w:val="00532C19"/>
    <w:rsid w:val="00532C49"/>
    <w:rsid w:val="00532D89"/>
    <w:rsid w:val="00532E85"/>
    <w:rsid w:val="00532EC5"/>
    <w:rsid w:val="00532F9A"/>
    <w:rsid w:val="00532FD9"/>
    <w:rsid w:val="00533183"/>
    <w:rsid w:val="00533195"/>
    <w:rsid w:val="00533253"/>
    <w:rsid w:val="005332D0"/>
    <w:rsid w:val="00533301"/>
    <w:rsid w:val="00533321"/>
    <w:rsid w:val="005336BD"/>
    <w:rsid w:val="00533747"/>
    <w:rsid w:val="00533787"/>
    <w:rsid w:val="005337A0"/>
    <w:rsid w:val="0053388B"/>
    <w:rsid w:val="00533BF4"/>
    <w:rsid w:val="00533D01"/>
    <w:rsid w:val="00533D20"/>
    <w:rsid w:val="00533EB3"/>
    <w:rsid w:val="00533FE2"/>
    <w:rsid w:val="00534007"/>
    <w:rsid w:val="00534025"/>
    <w:rsid w:val="00534035"/>
    <w:rsid w:val="005340CD"/>
    <w:rsid w:val="0053418B"/>
    <w:rsid w:val="0053422E"/>
    <w:rsid w:val="0053429D"/>
    <w:rsid w:val="00534380"/>
    <w:rsid w:val="005343C5"/>
    <w:rsid w:val="005345F8"/>
    <w:rsid w:val="00534696"/>
    <w:rsid w:val="00534714"/>
    <w:rsid w:val="00534764"/>
    <w:rsid w:val="0053478A"/>
    <w:rsid w:val="00534978"/>
    <w:rsid w:val="00534A04"/>
    <w:rsid w:val="00534B9B"/>
    <w:rsid w:val="00534C86"/>
    <w:rsid w:val="00534D88"/>
    <w:rsid w:val="00534DE5"/>
    <w:rsid w:val="00534E03"/>
    <w:rsid w:val="00534EA1"/>
    <w:rsid w:val="00535055"/>
    <w:rsid w:val="00535069"/>
    <w:rsid w:val="0053506A"/>
    <w:rsid w:val="0053519B"/>
    <w:rsid w:val="00535229"/>
    <w:rsid w:val="0053522B"/>
    <w:rsid w:val="005352AB"/>
    <w:rsid w:val="0053544E"/>
    <w:rsid w:val="00535457"/>
    <w:rsid w:val="005355FE"/>
    <w:rsid w:val="00535681"/>
    <w:rsid w:val="005356C1"/>
    <w:rsid w:val="00535700"/>
    <w:rsid w:val="00535722"/>
    <w:rsid w:val="005357A8"/>
    <w:rsid w:val="005357E0"/>
    <w:rsid w:val="005358B3"/>
    <w:rsid w:val="005359C9"/>
    <w:rsid w:val="005359D1"/>
    <w:rsid w:val="00535A27"/>
    <w:rsid w:val="00535A8F"/>
    <w:rsid w:val="00535B0C"/>
    <w:rsid w:val="00535B4F"/>
    <w:rsid w:val="00535D1A"/>
    <w:rsid w:val="00535D6F"/>
    <w:rsid w:val="00535D8C"/>
    <w:rsid w:val="00535D90"/>
    <w:rsid w:val="00535D95"/>
    <w:rsid w:val="00535E5F"/>
    <w:rsid w:val="00535E7D"/>
    <w:rsid w:val="00535E92"/>
    <w:rsid w:val="00535F62"/>
    <w:rsid w:val="00536174"/>
    <w:rsid w:val="005361B8"/>
    <w:rsid w:val="005361E0"/>
    <w:rsid w:val="00536207"/>
    <w:rsid w:val="005362B8"/>
    <w:rsid w:val="0053631A"/>
    <w:rsid w:val="0053636C"/>
    <w:rsid w:val="00536389"/>
    <w:rsid w:val="005364E1"/>
    <w:rsid w:val="00536594"/>
    <w:rsid w:val="005366CD"/>
    <w:rsid w:val="005366ED"/>
    <w:rsid w:val="00536723"/>
    <w:rsid w:val="00536741"/>
    <w:rsid w:val="005367B4"/>
    <w:rsid w:val="005367CC"/>
    <w:rsid w:val="0053686A"/>
    <w:rsid w:val="00536998"/>
    <w:rsid w:val="00536AB8"/>
    <w:rsid w:val="00536ABD"/>
    <w:rsid w:val="00536BA4"/>
    <w:rsid w:val="00536CCA"/>
    <w:rsid w:val="00536D77"/>
    <w:rsid w:val="00536D9A"/>
    <w:rsid w:val="00536DAA"/>
    <w:rsid w:val="00536DCB"/>
    <w:rsid w:val="00536E11"/>
    <w:rsid w:val="00536E44"/>
    <w:rsid w:val="00536E9E"/>
    <w:rsid w:val="00537046"/>
    <w:rsid w:val="00537061"/>
    <w:rsid w:val="0053707E"/>
    <w:rsid w:val="00537094"/>
    <w:rsid w:val="005370D0"/>
    <w:rsid w:val="0053712B"/>
    <w:rsid w:val="00537277"/>
    <w:rsid w:val="005372AE"/>
    <w:rsid w:val="0053730C"/>
    <w:rsid w:val="00537340"/>
    <w:rsid w:val="005374BC"/>
    <w:rsid w:val="005375B1"/>
    <w:rsid w:val="005376E6"/>
    <w:rsid w:val="005376E7"/>
    <w:rsid w:val="00537859"/>
    <w:rsid w:val="00537881"/>
    <w:rsid w:val="005378AE"/>
    <w:rsid w:val="00537919"/>
    <w:rsid w:val="005379C6"/>
    <w:rsid w:val="00537A67"/>
    <w:rsid w:val="00537B95"/>
    <w:rsid w:val="00537C69"/>
    <w:rsid w:val="00537D5F"/>
    <w:rsid w:val="00537D88"/>
    <w:rsid w:val="00537E9E"/>
    <w:rsid w:val="00537FA4"/>
    <w:rsid w:val="0054005D"/>
    <w:rsid w:val="00540068"/>
    <w:rsid w:val="005400AC"/>
    <w:rsid w:val="005400F8"/>
    <w:rsid w:val="00540120"/>
    <w:rsid w:val="00540185"/>
    <w:rsid w:val="005405F9"/>
    <w:rsid w:val="00540702"/>
    <w:rsid w:val="00540714"/>
    <w:rsid w:val="0054076B"/>
    <w:rsid w:val="00540778"/>
    <w:rsid w:val="0054078C"/>
    <w:rsid w:val="0054078D"/>
    <w:rsid w:val="0054079B"/>
    <w:rsid w:val="00540A5E"/>
    <w:rsid w:val="00540BAB"/>
    <w:rsid w:val="00540CB3"/>
    <w:rsid w:val="00540CF3"/>
    <w:rsid w:val="00540D6A"/>
    <w:rsid w:val="00540D98"/>
    <w:rsid w:val="00540FB5"/>
    <w:rsid w:val="005411E5"/>
    <w:rsid w:val="00541209"/>
    <w:rsid w:val="0054120F"/>
    <w:rsid w:val="005412F2"/>
    <w:rsid w:val="00541489"/>
    <w:rsid w:val="00541555"/>
    <w:rsid w:val="0054162E"/>
    <w:rsid w:val="005417DA"/>
    <w:rsid w:val="00541899"/>
    <w:rsid w:val="00541A90"/>
    <w:rsid w:val="00541AF9"/>
    <w:rsid w:val="00541BBA"/>
    <w:rsid w:val="00541CEA"/>
    <w:rsid w:val="00541D1C"/>
    <w:rsid w:val="00541D5B"/>
    <w:rsid w:val="00541D86"/>
    <w:rsid w:val="00541E2B"/>
    <w:rsid w:val="00541E74"/>
    <w:rsid w:val="00541E89"/>
    <w:rsid w:val="00541FBA"/>
    <w:rsid w:val="00541FF7"/>
    <w:rsid w:val="005422B4"/>
    <w:rsid w:val="005422E9"/>
    <w:rsid w:val="00542309"/>
    <w:rsid w:val="005423AF"/>
    <w:rsid w:val="0054248F"/>
    <w:rsid w:val="00542505"/>
    <w:rsid w:val="0054255B"/>
    <w:rsid w:val="0054271E"/>
    <w:rsid w:val="00542725"/>
    <w:rsid w:val="005427A4"/>
    <w:rsid w:val="00542846"/>
    <w:rsid w:val="005429CF"/>
    <w:rsid w:val="00542A39"/>
    <w:rsid w:val="00542B33"/>
    <w:rsid w:val="00542B4E"/>
    <w:rsid w:val="00542BD6"/>
    <w:rsid w:val="00542CAB"/>
    <w:rsid w:val="00542CDA"/>
    <w:rsid w:val="00542ED3"/>
    <w:rsid w:val="00542F73"/>
    <w:rsid w:val="00542F85"/>
    <w:rsid w:val="00543195"/>
    <w:rsid w:val="005431C0"/>
    <w:rsid w:val="005431F4"/>
    <w:rsid w:val="0054321C"/>
    <w:rsid w:val="0054325D"/>
    <w:rsid w:val="005432D2"/>
    <w:rsid w:val="005432F2"/>
    <w:rsid w:val="00543354"/>
    <w:rsid w:val="00543544"/>
    <w:rsid w:val="00543568"/>
    <w:rsid w:val="005436E9"/>
    <w:rsid w:val="0054377B"/>
    <w:rsid w:val="0054377C"/>
    <w:rsid w:val="00543843"/>
    <w:rsid w:val="005438C2"/>
    <w:rsid w:val="0054394A"/>
    <w:rsid w:val="00543960"/>
    <w:rsid w:val="005439B0"/>
    <w:rsid w:val="005439C5"/>
    <w:rsid w:val="005439F9"/>
    <w:rsid w:val="00543BA8"/>
    <w:rsid w:val="00543C40"/>
    <w:rsid w:val="00543CF6"/>
    <w:rsid w:val="00543D07"/>
    <w:rsid w:val="00543D73"/>
    <w:rsid w:val="00543DB4"/>
    <w:rsid w:val="00543EDD"/>
    <w:rsid w:val="00543EFD"/>
    <w:rsid w:val="00543F83"/>
    <w:rsid w:val="00543FAD"/>
    <w:rsid w:val="00544032"/>
    <w:rsid w:val="00544040"/>
    <w:rsid w:val="0054409F"/>
    <w:rsid w:val="0054426C"/>
    <w:rsid w:val="005443C5"/>
    <w:rsid w:val="005443CD"/>
    <w:rsid w:val="005443EE"/>
    <w:rsid w:val="00544464"/>
    <w:rsid w:val="005444A0"/>
    <w:rsid w:val="005444D0"/>
    <w:rsid w:val="005445B7"/>
    <w:rsid w:val="0054465A"/>
    <w:rsid w:val="005446AD"/>
    <w:rsid w:val="005446CE"/>
    <w:rsid w:val="005446D9"/>
    <w:rsid w:val="0054471B"/>
    <w:rsid w:val="00544783"/>
    <w:rsid w:val="005447FD"/>
    <w:rsid w:val="00544852"/>
    <w:rsid w:val="005449E2"/>
    <w:rsid w:val="00544A98"/>
    <w:rsid w:val="00544AA8"/>
    <w:rsid w:val="00544B1D"/>
    <w:rsid w:val="00544B9E"/>
    <w:rsid w:val="00544C22"/>
    <w:rsid w:val="00544C75"/>
    <w:rsid w:val="00544CD1"/>
    <w:rsid w:val="00544DD9"/>
    <w:rsid w:val="00544DDE"/>
    <w:rsid w:val="00544DFD"/>
    <w:rsid w:val="00544E0C"/>
    <w:rsid w:val="00544E1F"/>
    <w:rsid w:val="00544EB5"/>
    <w:rsid w:val="00544F09"/>
    <w:rsid w:val="00544F56"/>
    <w:rsid w:val="00544F81"/>
    <w:rsid w:val="00544FFC"/>
    <w:rsid w:val="0054504E"/>
    <w:rsid w:val="0054509A"/>
    <w:rsid w:val="0054519C"/>
    <w:rsid w:val="00545435"/>
    <w:rsid w:val="0054557F"/>
    <w:rsid w:val="00545667"/>
    <w:rsid w:val="005456D0"/>
    <w:rsid w:val="00545871"/>
    <w:rsid w:val="005458D5"/>
    <w:rsid w:val="00545916"/>
    <w:rsid w:val="0054596A"/>
    <w:rsid w:val="005459BE"/>
    <w:rsid w:val="00545BD9"/>
    <w:rsid w:val="00545C63"/>
    <w:rsid w:val="00545CAC"/>
    <w:rsid w:val="00545CF2"/>
    <w:rsid w:val="00545CF6"/>
    <w:rsid w:val="00545D27"/>
    <w:rsid w:val="00545D43"/>
    <w:rsid w:val="00545DCE"/>
    <w:rsid w:val="00545DE1"/>
    <w:rsid w:val="00545DEA"/>
    <w:rsid w:val="00545E7E"/>
    <w:rsid w:val="00545EB6"/>
    <w:rsid w:val="0054602C"/>
    <w:rsid w:val="00546083"/>
    <w:rsid w:val="005460E5"/>
    <w:rsid w:val="00546105"/>
    <w:rsid w:val="005461AC"/>
    <w:rsid w:val="005461EE"/>
    <w:rsid w:val="00546233"/>
    <w:rsid w:val="005462A2"/>
    <w:rsid w:val="0054632D"/>
    <w:rsid w:val="005463E6"/>
    <w:rsid w:val="005463EA"/>
    <w:rsid w:val="0054640E"/>
    <w:rsid w:val="00546519"/>
    <w:rsid w:val="00546534"/>
    <w:rsid w:val="005465F6"/>
    <w:rsid w:val="00546659"/>
    <w:rsid w:val="0054680A"/>
    <w:rsid w:val="005468BF"/>
    <w:rsid w:val="0054696D"/>
    <w:rsid w:val="00546C0D"/>
    <w:rsid w:val="00546D52"/>
    <w:rsid w:val="00546E2D"/>
    <w:rsid w:val="00546E82"/>
    <w:rsid w:val="00546EB7"/>
    <w:rsid w:val="00546EFD"/>
    <w:rsid w:val="005470A7"/>
    <w:rsid w:val="005470F3"/>
    <w:rsid w:val="005471ED"/>
    <w:rsid w:val="005472A1"/>
    <w:rsid w:val="005472DA"/>
    <w:rsid w:val="00547588"/>
    <w:rsid w:val="00547708"/>
    <w:rsid w:val="0054774A"/>
    <w:rsid w:val="0054789F"/>
    <w:rsid w:val="005478CC"/>
    <w:rsid w:val="005478EA"/>
    <w:rsid w:val="00547AF9"/>
    <w:rsid w:val="00547DF7"/>
    <w:rsid w:val="00547E5A"/>
    <w:rsid w:val="00547E9E"/>
    <w:rsid w:val="00547F6D"/>
    <w:rsid w:val="00547FD3"/>
    <w:rsid w:val="00547FD4"/>
    <w:rsid w:val="00550090"/>
    <w:rsid w:val="0055016E"/>
    <w:rsid w:val="00550181"/>
    <w:rsid w:val="00550184"/>
    <w:rsid w:val="0055031D"/>
    <w:rsid w:val="005504BF"/>
    <w:rsid w:val="00550587"/>
    <w:rsid w:val="005508A3"/>
    <w:rsid w:val="005508DF"/>
    <w:rsid w:val="00550920"/>
    <w:rsid w:val="0055095D"/>
    <w:rsid w:val="0055098C"/>
    <w:rsid w:val="00550A4E"/>
    <w:rsid w:val="00550A5C"/>
    <w:rsid w:val="00550A93"/>
    <w:rsid w:val="00550BF5"/>
    <w:rsid w:val="00550C3B"/>
    <w:rsid w:val="00550CAE"/>
    <w:rsid w:val="00550D10"/>
    <w:rsid w:val="00550D11"/>
    <w:rsid w:val="00550D8C"/>
    <w:rsid w:val="00550D95"/>
    <w:rsid w:val="00550DCC"/>
    <w:rsid w:val="00550DFA"/>
    <w:rsid w:val="00550EA6"/>
    <w:rsid w:val="00550ED9"/>
    <w:rsid w:val="00551085"/>
    <w:rsid w:val="005510DC"/>
    <w:rsid w:val="0055115A"/>
    <w:rsid w:val="0055125B"/>
    <w:rsid w:val="00551281"/>
    <w:rsid w:val="0055128E"/>
    <w:rsid w:val="005512BB"/>
    <w:rsid w:val="0055138F"/>
    <w:rsid w:val="00551397"/>
    <w:rsid w:val="00551447"/>
    <w:rsid w:val="0055146D"/>
    <w:rsid w:val="005514D8"/>
    <w:rsid w:val="005514E3"/>
    <w:rsid w:val="005515B0"/>
    <w:rsid w:val="00551601"/>
    <w:rsid w:val="00551709"/>
    <w:rsid w:val="0055190E"/>
    <w:rsid w:val="00551930"/>
    <w:rsid w:val="00551963"/>
    <w:rsid w:val="0055198D"/>
    <w:rsid w:val="00551AC4"/>
    <w:rsid w:val="00551B4E"/>
    <w:rsid w:val="00551C42"/>
    <w:rsid w:val="00551C50"/>
    <w:rsid w:val="00551CF8"/>
    <w:rsid w:val="00551D6B"/>
    <w:rsid w:val="00551E4B"/>
    <w:rsid w:val="00551FA0"/>
    <w:rsid w:val="0055204B"/>
    <w:rsid w:val="00552063"/>
    <w:rsid w:val="0055206B"/>
    <w:rsid w:val="005520CD"/>
    <w:rsid w:val="00552261"/>
    <w:rsid w:val="005523AD"/>
    <w:rsid w:val="0055257A"/>
    <w:rsid w:val="005525C6"/>
    <w:rsid w:val="005525CB"/>
    <w:rsid w:val="00552691"/>
    <w:rsid w:val="00552719"/>
    <w:rsid w:val="00552897"/>
    <w:rsid w:val="00552905"/>
    <w:rsid w:val="005529B1"/>
    <w:rsid w:val="00552ABE"/>
    <w:rsid w:val="00552AD9"/>
    <w:rsid w:val="00552B36"/>
    <w:rsid w:val="00552C4A"/>
    <w:rsid w:val="00552C76"/>
    <w:rsid w:val="00552CCC"/>
    <w:rsid w:val="00552CD2"/>
    <w:rsid w:val="00552D49"/>
    <w:rsid w:val="00552D6C"/>
    <w:rsid w:val="00552DCA"/>
    <w:rsid w:val="00552E8F"/>
    <w:rsid w:val="00552F80"/>
    <w:rsid w:val="0055300A"/>
    <w:rsid w:val="0055306E"/>
    <w:rsid w:val="005530BB"/>
    <w:rsid w:val="00553145"/>
    <w:rsid w:val="00553173"/>
    <w:rsid w:val="00553321"/>
    <w:rsid w:val="005533DA"/>
    <w:rsid w:val="005534EC"/>
    <w:rsid w:val="005534FD"/>
    <w:rsid w:val="005537C5"/>
    <w:rsid w:val="005538E2"/>
    <w:rsid w:val="0055395E"/>
    <w:rsid w:val="00553A33"/>
    <w:rsid w:val="00553B2A"/>
    <w:rsid w:val="00553BFF"/>
    <w:rsid w:val="00553CC2"/>
    <w:rsid w:val="00553D54"/>
    <w:rsid w:val="00553D8E"/>
    <w:rsid w:val="00553DDA"/>
    <w:rsid w:val="00553E19"/>
    <w:rsid w:val="00553F80"/>
    <w:rsid w:val="00554068"/>
    <w:rsid w:val="005540B3"/>
    <w:rsid w:val="005540C1"/>
    <w:rsid w:val="005542B4"/>
    <w:rsid w:val="0055431A"/>
    <w:rsid w:val="00554339"/>
    <w:rsid w:val="0055435C"/>
    <w:rsid w:val="005543DD"/>
    <w:rsid w:val="00554556"/>
    <w:rsid w:val="005545E3"/>
    <w:rsid w:val="0055467F"/>
    <w:rsid w:val="005546BF"/>
    <w:rsid w:val="005546F9"/>
    <w:rsid w:val="0055482E"/>
    <w:rsid w:val="0055488C"/>
    <w:rsid w:val="005548F4"/>
    <w:rsid w:val="00554971"/>
    <w:rsid w:val="00554AD8"/>
    <w:rsid w:val="00554ADA"/>
    <w:rsid w:val="00554AF2"/>
    <w:rsid w:val="00554B0F"/>
    <w:rsid w:val="00554B38"/>
    <w:rsid w:val="00554B83"/>
    <w:rsid w:val="00554BD2"/>
    <w:rsid w:val="00554BF9"/>
    <w:rsid w:val="00554C1D"/>
    <w:rsid w:val="00554C1E"/>
    <w:rsid w:val="00554C55"/>
    <w:rsid w:val="00554DE7"/>
    <w:rsid w:val="00554E47"/>
    <w:rsid w:val="00554F5E"/>
    <w:rsid w:val="00555048"/>
    <w:rsid w:val="00555399"/>
    <w:rsid w:val="005553D0"/>
    <w:rsid w:val="0055548A"/>
    <w:rsid w:val="00555507"/>
    <w:rsid w:val="00555655"/>
    <w:rsid w:val="005556FA"/>
    <w:rsid w:val="0055571E"/>
    <w:rsid w:val="00555726"/>
    <w:rsid w:val="0055576C"/>
    <w:rsid w:val="005557E9"/>
    <w:rsid w:val="00555810"/>
    <w:rsid w:val="005558CC"/>
    <w:rsid w:val="005559DC"/>
    <w:rsid w:val="00555B7D"/>
    <w:rsid w:val="00555BB5"/>
    <w:rsid w:val="00555C1D"/>
    <w:rsid w:val="00555C1F"/>
    <w:rsid w:val="00555C56"/>
    <w:rsid w:val="00555CF9"/>
    <w:rsid w:val="00555D49"/>
    <w:rsid w:val="00555DC8"/>
    <w:rsid w:val="00555EA8"/>
    <w:rsid w:val="00555EE9"/>
    <w:rsid w:val="00555F28"/>
    <w:rsid w:val="00556011"/>
    <w:rsid w:val="00556055"/>
    <w:rsid w:val="005560A3"/>
    <w:rsid w:val="005560E3"/>
    <w:rsid w:val="005560E9"/>
    <w:rsid w:val="00556236"/>
    <w:rsid w:val="005562BD"/>
    <w:rsid w:val="005563BF"/>
    <w:rsid w:val="0055640C"/>
    <w:rsid w:val="00556447"/>
    <w:rsid w:val="00556463"/>
    <w:rsid w:val="00556467"/>
    <w:rsid w:val="005564F0"/>
    <w:rsid w:val="0055666B"/>
    <w:rsid w:val="00556686"/>
    <w:rsid w:val="005566A3"/>
    <w:rsid w:val="0055671C"/>
    <w:rsid w:val="0055679E"/>
    <w:rsid w:val="005567F4"/>
    <w:rsid w:val="00556803"/>
    <w:rsid w:val="00556805"/>
    <w:rsid w:val="005568CC"/>
    <w:rsid w:val="00556960"/>
    <w:rsid w:val="00556A9E"/>
    <w:rsid w:val="00556AF0"/>
    <w:rsid w:val="00556B88"/>
    <w:rsid w:val="00556D2E"/>
    <w:rsid w:val="00556DC6"/>
    <w:rsid w:val="00556DE4"/>
    <w:rsid w:val="00556E4E"/>
    <w:rsid w:val="00556EEC"/>
    <w:rsid w:val="00556F10"/>
    <w:rsid w:val="00556F87"/>
    <w:rsid w:val="00557013"/>
    <w:rsid w:val="0055712C"/>
    <w:rsid w:val="00557196"/>
    <w:rsid w:val="005571BF"/>
    <w:rsid w:val="00557341"/>
    <w:rsid w:val="00557394"/>
    <w:rsid w:val="00557396"/>
    <w:rsid w:val="005573FB"/>
    <w:rsid w:val="00557459"/>
    <w:rsid w:val="005574CC"/>
    <w:rsid w:val="0055755B"/>
    <w:rsid w:val="00557580"/>
    <w:rsid w:val="005575C0"/>
    <w:rsid w:val="0055762E"/>
    <w:rsid w:val="0055778B"/>
    <w:rsid w:val="00557964"/>
    <w:rsid w:val="00557B42"/>
    <w:rsid w:val="00557B83"/>
    <w:rsid w:val="00557CC2"/>
    <w:rsid w:val="00557D7C"/>
    <w:rsid w:val="00557DF7"/>
    <w:rsid w:val="00557E64"/>
    <w:rsid w:val="00557F91"/>
    <w:rsid w:val="00560036"/>
    <w:rsid w:val="005600AB"/>
    <w:rsid w:val="005601BE"/>
    <w:rsid w:val="005601D3"/>
    <w:rsid w:val="0056021C"/>
    <w:rsid w:val="0056023A"/>
    <w:rsid w:val="0056031B"/>
    <w:rsid w:val="005603D2"/>
    <w:rsid w:val="00560427"/>
    <w:rsid w:val="005604AA"/>
    <w:rsid w:val="005605C9"/>
    <w:rsid w:val="0056067B"/>
    <w:rsid w:val="00560685"/>
    <w:rsid w:val="005606A3"/>
    <w:rsid w:val="005606F2"/>
    <w:rsid w:val="0056070F"/>
    <w:rsid w:val="00560765"/>
    <w:rsid w:val="0056076D"/>
    <w:rsid w:val="005607A4"/>
    <w:rsid w:val="00560A41"/>
    <w:rsid w:val="00560A7B"/>
    <w:rsid w:val="00560AC8"/>
    <w:rsid w:val="00560AD6"/>
    <w:rsid w:val="00560BC9"/>
    <w:rsid w:val="00560E52"/>
    <w:rsid w:val="00560FBD"/>
    <w:rsid w:val="005610E8"/>
    <w:rsid w:val="00561195"/>
    <w:rsid w:val="00561228"/>
    <w:rsid w:val="005612BB"/>
    <w:rsid w:val="005612CB"/>
    <w:rsid w:val="00561300"/>
    <w:rsid w:val="00561308"/>
    <w:rsid w:val="0056153C"/>
    <w:rsid w:val="00561862"/>
    <w:rsid w:val="00561888"/>
    <w:rsid w:val="0056191E"/>
    <w:rsid w:val="00561992"/>
    <w:rsid w:val="00561A71"/>
    <w:rsid w:val="00561AD2"/>
    <w:rsid w:val="00561B2C"/>
    <w:rsid w:val="00561C15"/>
    <w:rsid w:val="00561DE8"/>
    <w:rsid w:val="00561E27"/>
    <w:rsid w:val="00561F05"/>
    <w:rsid w:val="00561FAE"/>
    <w:rsid w:val="00561FBB"/>
    <w:rsid w:val="0056203F"/>
    <w:rsid w:val="0056206C"/>
    <w:rsid w:val="0056209B"/>
    <w:rsid w:val="005622D1"/>
    <w:rsid w:val="00562458"/>
    <w:rsid w:val="0056252E"/>
    <w:rsid w:val="0056252F"/>
    <w:rsid w:val="0056267D"/>
    <w:rsid w:val="005627E4"/>
    <w:rsid w:val="005628A0"/>
    <w:rsid w:val="00562916"/>
    <w:rsid w:val="005629CD"/>
    <w:rsid w:val="00562A53"/>
    <w:rsid w:val="00562A78"/>
    <w:rsid w:val="00562AE9"/>
    <w:rsid w:val="00562C7C"/>
    <w:rsid w:val="00562CC0"/>
    <w:rsid w:val="00562D57"/>
    <w:rsid w:val="00562DF7"/>
    <w:rsid w:val="00562E0F"/>
    <w:rsid w:val="00562F97"/>
    <w:rsid w:val="00563002"/>
    <w:rsid w:val="0056309A"/>
    <w:rsid w:val="005630BC"/>
    <w:rsid w:val="0056314B"/>
    <w:rsid w:val="005632A1"/>
    <w:rsid w:val="005633CF"/>
    <w:rsid w:val="00563401"/>
    <w:rsid w:val="00563413"/>
    <w:rsid w:val="0056365D"/>
    <w:rsid w:val="005636A6"/>
    <w:rsid w:val="00563746"/>
    <w:rsid w:val="00563778"/>
    <w:rsid w:val="005637DE"/>
    <w:rsid w:val="00563809"/>
    <w:rsid w:val="0056398E"/>
    <w:rsid w:val="00563A45"/>
    <w:rsid w:val="00563A58"/>
    <w:rsid w:val="00563B88"/>
    <w:rsid w:val="00563C6F"/>
    <w:rsid w:val="00563D36"/>
    <w:rsid w:val="00563D62"/>
    <w:rsid w:val="00563DEC"/>
    <w:rsid w:val="00563E13"/>
    <w:rsid w:val="00563E63"/>
    <w:rsid w:val="00563FEA"/>
    <w:rsid w:val="0056410A"/>
    <w:rsid w:val="005641DC"/>
    <w:rsid w:val="00564251"/>
    <w:rsid w:val="00564271"/>
    <w:rsid w:val="00564405"/>
    <w:rsid w:val="0056461E"/>
    <w:rsid w:val="005647A5"/>
    <w:rsid w:val="005648F4"/>
    <w:rsid w:val="00564950"/>
    <w:rsid w:val="00564A92"/>
    <w:rsid w:val="00564B5E"/>
    <w:rsid w:val="00564B91"/>
    <w:rsid w:val="00564BEA"/>
    <w:rsid w:val="00564BEF"/>
    <w:rsid w:val="00564C17"/>
    <w:rsid w:val="00564C48"/>
    <w:rsid w:val="00564C53"/>
    <w:rsid w:val="00564C64"/>
    <w:rsid w:val="00564E28"/>
    <w:rsid w:val="00564EC1"/>
    <w:rsid w:val="00564F21"/>
    <w:rsid w:val="00565203"/>
    <w:rsid w:val="00565425"/>
    <w:rsid w:val="0056550C"/>
    <w:rsid w:val="0056570E"/>
    <w:rsid w:val="0056576F"/>
    <w:rsid w:val="00565856"/>
    <w:rsid w:val="005659E4"/>
    <w:rsid w:val="00565ACA"/>
    <w:rsid w:val="00565BA8"/>
    <w:rsid w:val="00565C5F"/>
    <w:rsid w:val="00565C98"/>
    <w:rsid w:val="00565CC4"/>
    <w:rsid w:val="00565D8C"/>
    <w:rsid w:val="00565F4A"/>
    <w:rsid w:val="00565F7F"/>
    <w:rsid w:val="00565FF0"/>
    <w:rsid w:val="00566053"/>
    <w:rsid w:val="005660C4"/>
    <w:rsid w:val="00566152"/>
    <w:rsid w:val="005661DF"/>
    <w:rsid w:val="00566305"/>
    <w:rsid w:val="00566337"/>
    <w:rsid w:val="005663C4"/>
    <w:rsid w:val="0056654A"/>
    <w:rsid w:val="00566628"/>
    <w:rsid w:val="00566692"/>
    <w:rsid w:val="0056670D"/>
    <w:rsid w:val="00566893"/>
    <w:rsid w:val="005668EB"/>
    <w:rsid w:val="005668F6"/>
    <w:rsid w:val="00566975"/>
    <w:rsid w:val="00566AD2"/>
    <w:rsid w:val="00566B4D"/>
    <w:rsid w:val="00566B88"/>
    <w:rsid w:val="00566BCE"/>
    <w:rsid w:val="00566C44"/>
    <w:rsid w:val="00566D73"/>
    <w:rsid w:val="00566D9C"/>
    <w:rsid w:val="00566E67"/>
    <w:rsid w:val="00566ECF"/>
    <w:rsid w:val="00566EE5"/>
    <w:rsid w:val="00566F5D"/>
    <w:rsid w:val="00566FB5"/>
    <w:rsid w:val="0056703C"/>
    <w:rsid w:val="00567083"/>
    <w:rsid w:val="0056709E"/>
    <w:rsid w:val="0056716D"/>
    <w:rsid w:val="00567203"/>
    <w:rsid w:val="00567390"/>
    <w:rsid w:val="0056742E"/>
    <w:rsid w:val="0056754A"/>
    <w:rsid w:val="00567569"/>
    <w:rsid w:val="005675B7"/>
    <w:rsid w:val="005675E5"/>
    <w:rsid w:val="005677CC"/>
    <w:rsid w:val="005678CA"/>
    <w:rsid w:val="00567931"/>
    <w:rsid w:val="00567957"/>
    <w:rsid w:val="005679A1"/>
    <w:rsid w:val="00567B6F"/>
    <w:rsid w:val="00567C56"/>
    <w:rsid w:val="00567CA0"/>
    <w:rsid w:val="00567CB1"/>
    <w:rsid w:val="00567E89"/>
    <w:rsid w:val="00567FAC"/>
    <w:rsid w:val="00570070"/>
    <w:rsid w:val="0057016C"/>
    <w:rsid w:val="00570196"/>
    <w:rsid w:val="005701CD"/>
    <w:rsid w:val="005701E9"/>
    <w:rsid w:val="0057020F"/>
    <w:rsid w:val="005702FD"/>
    <w:rsid w:val="005703FF"/>
    <w:rsid w:val="00570640"/>
    <w:rsid w:val="005706BA"/>
    <w:rsid w:val="005706F9"/>
    <w:rsid w:val="00570710"/>
    <w:rsid w:val="005707A8"/>
    <w:rsid w:val="00570856"/>
    <w:rsid w:val="005708A9"/>
    <w:rsid w:val="00570911"/>
    <w:rsid w:val="005709F9"/>
    <w:rsid w:val="00570A43"/>
    <w:rsid w:val="00570B45"/>
    <w:rsid w:val="00570B63"/>
    <w:rsid w:val="00570B8E"/>
    <w:rsid w:val="00570D49"/>
    <w:rsid w:val="00570EDC"/>
    <w:rsid w:val="00570EEC"/>
    <w:rsid w:val="00570EF8"/>
    <w:rsid w:val="00570F05"/>
    <w:rsid w:val="00570FE1"/>
    <w:rsid w:val="0057102C"/>
    <w:rsid w:val="0057129F"/>
    <w:rsid w:val="005712A2"/>
    <w:rsid w:val="005712C5"/>
    <w:rsid w:val="0057146C"/>
    <w:rsid w:val="005714FC"/>
    <w:rsid w:val="00571503"/>
    <w:rsid w:val="00571608"/>
    <w:rsid w:val="00571731"/>
    <w:rsid w:val="005717BC"/>
    <w:rsid w:val="005717D4"/>
    <w:rsid w:val="00571807"/>
    <w:rsid w:val="00571A76"/>
    <w:rsid w:val="00571CA2"/>
    <w:rsid w:val="00571CB6"/>
    <w:rsid w:val="00571CBE"/>
    <w:rsid w:val="00571DC9"/>
    <w:rsid w:val="00571E0B"/>
    <w:rsid w:val="00571EC8"/>
    <w:rsid w:val="00571EE9"/>
    <w:rsid w:val="00571F7C"/>
    <w:rsid w:val="00572128"/>
    <w:rsid w:val="005721C9"/>
    <w:rsid w:val="0057220C"/>
    <w:rsid w:val="0057223D"/>
    <w:rsid w:val="00572295"/>
    <w:rsid w:val="005722DA"/>
    <w:rsid w:val="0057238C"/>
    <w:rsid w:val="00572426"/>
    <w:rsid w:val="0057246A"/>
    <w:rsid w:val="005724E5"/>
    <w:rsid w:val="005724F4"/>
    <w:rsid w:val="00572594"/>
    <w:rsid w:val="005725D5"/>
    <w:rsid w:val="005725E5"/>
    <w:rsid w:val="005725E8"/>
    <w:rsid w:val="005725EC"/>
    <w:rsid w:val="00572616"/>
    <w:rsid w:val="0057263C"/>
    <w:rsid w:val="00572651"/>
    <w:rsid w:val="005727B6"/>
    <w:rsid w:val="00572864"/>
    <w:rsid w:val="005728B2"/>
    <w:rsid w:val="00572953"/>
    <w:rsid w:val="005729E6"/>
    <w:rsid w:val="00572A08"/>
    <w:rsid w:val="00572A78"/>
    <w:rsid w:val="00572B0B"/>
    <w:rsid w:val="00572B1E"/>
    <w:rsid w:val="00572C06"/>
    <w:rsid w:val="00572C6C"/>
    <w:rsid w:val="00572C8C"/>
    <w:rsid w:val="00572CC8"/>
    <w:rsid w:val="00572D43"/>
    <w:rsid w:val="00572D73"/>
    <w:rsid w:val="00572E14"/>
    <w:rsid w:val="00572EDA"/>
    <w:rsid w:val="00572FDA"/>
    <w:rsid w:val="0057305A"/>
    <w:rsid w:val="0057312F"/>
    <w:rsid w:val="005731DF"/>
    <w:rsid w:val="005731E7"/>
    <w:rsid w:val="0057323B"/>
    <w:rsid w:val="0057325C"/>
    <w:rsid w:val="005732CE"/>
    <w:rsid w:val="005732FA"/>
    <w:rsid w:val="0057330C"/>
    <w:rsid w:val="00573367"/>
    <w:rsid w:val="0057338B"/>
    <w:rsid w:val="005733A7"/>
    <w:rsid w:val="005733C2"/>
    <w:rsid w:val="00573533"/>
    <w:rsid w:val="00573556"/>
    <w:rsid w:val="005735A3"/>
    <w:rsid w:val="005735A7"/>
    <w:rsid w:val="005738D6"/>
    <w:rsid w:val="00573967"/>
    <w:rsid w:val="00573ACD"/>
    <w:rsid w:val="00573C8A"/>
    <w:rsid w:val="00573C90"/>
    <w:rsid w:val="00573D2F"/>
    <w:rsid w:val="00573D9D"/>
    <w:rsid w:val="00573DBA"/>
    <w:rsid w:val="00573DEB"/>
    <w:rsid w:val="00573F00"/>
    <w:rsid w:val="00573F66"/>
    <w:rsid w:val="00573FD9"/>
    <w:rsid w:val="00573FEA"/>
    <w:rsid w:val="0057400D"/>
    <w:rsid w:val="0057404C"/>
    <w:rsid w:val="005740F8"/>
    <w:rsid w:val="00574122"/>
    <w:rsid w:val="00574130"/>
    <w:rsid w:val="00574140"/>
    <w:rsid w:val="005741E8"/>
    <w:rsid w:val="00574242"/>
    <w:rsid w:val="00574244"/>
    <w:rsid w:val="005742E6"/>
    <w:rsid w:val="00574335"/>
    <w:rsid w:val="00574337"/>
    <w:rsid w:val="0057433A"/>
    <w:rsid w:val="00574390"/>
    <w:rsid w:val="005743B3"/>
    <w:rsid w:val="00574449"/>
    <w:rsid w:val="00574510"/>
    <w:rsid w:val="005745CA"/>
    <w:rsid w:val="005746C0"/>
    <w:rsid w:val="00574776"/>
    <w:rsid w:val="005748BD"/>
    <w:rsid w:val="005748D8"/>
    <w:rsid w:val="0057493E"/>
    <w:rsid w:val="00574A9F"/>
    <w:rsid w:val="00574AB8"/>
    <w:rsid w:val="00574B0E"/>
    <w:rsid w:val="00574C47"/>
    <w:rsid w:val="00574D59"/>
    <w:rsid w:val="00574ED0"/>
    <w:rsid w:val="00574EE8"/>
    <w:rsid w:val="00574F0D"/>
    <w:rsid w:val="00574F31"/>
    <w:rsid w:val="00575110"/>
    <w:rsid w:val="005752A2"/>
    <w:rsid w:val="005752CF"/>
    <w:rsid w:val="00575314"/>
    <w:rsid w:val="0057539C"/>
    <w:rsid w:val="005753D2"/>
    <w:rsid w:val="00575436"/>
    <w:rsid w:val="005754F1"/>
    <w:rsid w:val="00575613"/>
    <w:rsid w:val="00575632"/>
    <w:rsid w:val="005757C8"/>
    <w:rsid w:val="005757DE"/>
    <w:rsid w:val="0057585E"/>
    <w:rsid w:val="005758D3"/>
    <w:rsid w:val="00575A20"/>
    <w:rsid w:val="00575B7B"/>
    <w:rsid w:val="00575C0D"/>
    <w:rsid w:val="00575C3D"/>
    <w:rsid w:val="00575C57"/>
    <w:rsid w:val="00575EB4"/>
    <w:rsid w:val="00575F0A"/>
    <w:rsid w:val="00575F31"/>
    <w:rsid w:val="00575F3C"/>
    <w:rsid w:val="005760C3"/>
    <w:rsid w:val="005760CB"/>
    <w:rsid w:val="005760E3"/>
    <w:rsid w:val="005760ED"/>
    <w:rsid w:val="0057612C"/>
    <w:rsid w:val="005764D4"/>
    <w:rsid w:val="0057656F"/>
    <w:rsid w:val="00576633"/>
    <w:rsid w:val="005766B6"/>
    <w:rsid w:val="0057689B"/>
    <w:rsid w:val="005768DF"/>
    <w:rsid w:val="005769DE"/>
    <w:rsid w:val="00576A55"/>
    <w:rsid w:val="00576C1A"/>
    <w:rsid w:val="00576DC0"/>
    <w:rsid w:val="00576DF0"/>
    <w:rsid w:val="00576E43"/>
    <w:rsid w:val="00576EF2"/>
    <w:rsid w:val="00576F89"/>
    <w:rsid w:val="0057706D"/>
    <w:rsid w:val="00577101"/>
    <w:rsid w:val="00577315"/>
    <w:rsid w:val="00577395"/>
    <w:rsid w:val="0057747F"/>
    <w:rsid w:val="005774BF"/>
    <w:rsid w:val="005774DC"/>
    <w:rsid w:val="0057756D"/>
    <w:rsid w:val="00577598"/>
    <w:rsid w:val="005775FF"/>
    <w:rsid w:val="0057776F"/>
    <w:rsid w:val="0057778D"/>
    <w:rsid w:val="005777A1"/>
    <w:rsid w:val="0057796E"/>
    <w:rsid w:val="00577987"/>
    <w:rsid w:val="005779D5"/>
    <w:rsid w:val="00577BE7"/>
    <w:rsid w:val="00577C93"/>
    <w:rsid w:val="00577CAE"/>
    <w:rsid w:val="00577D05"/>
    <w:rsid w:val="00577D06"/>
    <w:rsid w:val="00577D73"/>
    <w:rsid w:val="00577DC9"/>
    <w:rsid w:val="00577E03"/>
    <w:rsid w:val="00577E07"/>
    <w:rsid w:val="00577EA1"/>
    <w:rsid w:val="00577F23"/>
    <w:rsid w:val="00577F4C"/>
    <w:rsid w:val="00577FA0"/>
    <w:rsid w:val="00577FEB"/>
    <w:rsid w:val="0058003F"/>
    <w:rsid w:val="00580073"/>
    <w:rsid w:val="00580099"/>
    <w:rsid w:val="005801E9"/>
    <w:rsid w:val="0058024C"/>
    <w:rsid w:val="005802A3"/>
    <w:rsid w:val="005803E0"/>
    <w:rsid w:val="00580527"/>
    <w:rsid w:val="005806B6"/>
    <w:rsid w:val="00580720"/>
    <w:rsid w:val="005807F4"/>
    <w:rsid w:val="00580932"/>
    <w:rsid w:val="00580973"/>
    <w:rsid w:val="0058098B"/>
    <w:rsid w:val="005809CC"/>
    <w:rsid w:val="005809E8"/>
    <w:rsid w:val="005809F1"/>
    <w:rsid w:val="00580A0B"/>
    <w:rsid w:val="00580AAD"/>
    <w:rsid w:val="00580B2F"/>
    <w:rsid w:val="00580B80"/>
    <w:rsid w:val="00580C6C"/>
    <w:rsid w:val="00580C95"/>
    <w:rsid w:val="00580D65"/>
    <w:rsid w:val="00580E6C"/>
    <w:rsid w:val="00580E89"/>
    <w:rsid w:val="005810B8"/>
    <w:rsid w:val="005810CE"/>
    <w:rsid w:val="00581104"/>
    <w:rsid w:val="005811D3"/>
    <w:rsid w:val="005812EE"/>
    <w:rsid w:val="005812F4"/>
    <w:rsid w:val="005812FE"/>
    <w:rsid w:val="00581370"/>
    <w:rsid w:val="0058139D"/>
    <w:rsid w:val="005813CB"/>
    <w:rsid w:val="00581432"/>
    <w:rsid w:val="0058143B"/>
    <w:rsid w:val="005814FA"/>
    <w:rsid w:val="00581527"/>
    <w:rsid w:val="00581629"/>
    <w:rsid w:val="005817E6"/>
    <w:rsid w:val="005817E7"/>
    <w:rsid w:val="0058185A"/>
    <w:rsid w:val="0058187F"/>
    <w:rsid w:val="005818BA"/>
    <w:rsid w:val="0058193B"/>
    <w:rsid w:val="00581940"/>
    <w:rsid w:val="00581AAB"/>
    <w:rsid w:val="00581AEA"/>
    <w:rsid w:val="00581AEC"/>
    <w:rsid w:val="00581B33"/>
    <w:rsid w:val="00581B40"/>
    <w:rsid w:val="00581B96"/>
    <w:rsid w:val="00581BE1"/>
    <w:rsid w:val="00581CD4"/>
    <w:rsid w:val="00581D1A"/>
    <w:rsid w:val="00581D2C"/>
    <w:rsid w:val="00581D53"/>
    <w:rsid w:val="00581D9A"/>
    <w:rsid w:val="00581E4A"/>
    <w:rsid w:val="00581F8C"/>
    <w:rsid w:val="00581FC3"/>
    <w:rsid w:val="00582025"/>
    <w:rsid w:val="005820B9"/>
    <w:rsid w:val="005821D1"/>
    <w:rsid w:val="005821EC"/>
    <w:rsid w:val="00582216"/>
    <w:rsid w:val="00582228"/>
    <w:rsid w:val="0058240D"/>
    <w:rsid w:val="00582484"/>
    <w:rsid w:val="005824C5"/>
    <w:rsid w:val="00582544"/>
    <w:rsid w:val="00582548"/>
    <w:rsid w:val="00582576"/>
    <w:rsid w:val="005825B3"/>
    <w:rsid w:val="005826D6"/>
    <w:rsid w:val="00582715"/>
    <w:rsid w:val="005828D2"/>
    <w:rsid w:val="00582B1B"/>
    <w:rsid w:val="00582B85"/>
    <w:rsid w:val="00582B95"/>
    <w:rsid w:val="00582C52"/>
    <w:rsid w:val="00582DED"/>
    <w:rsid w:val="00582E38"/>
    <w:rsid w:val="00582EE7"/>
    <w:rsid w:val="00582FA8"/>
    <w:rsid w:val="00582FEC"/>
    <w:rsid w:val="0058312D"/>
    <w:rsid w:val="005831C8"/>
    <w:rsid w:val="00583219"/>
    <w:rsid w:val="00583228"/>
    <w:rsid w:val="00583299"/>
    <w:rsid w:val="005832AC"/>
    <w:rsid w:val="005832FF"/>
    <w:rsid w:val="0058343C"/>
    <w:rsid w:val="0058350F"/>
    <w:rsid w:val="00583609"/>
    <w:rsid w:val="0058373D"/>
    <w:rsid w:val="00583781"/>
    <w:rsid w:val="0058378C"/>
    <w:rsid w:val="00583825"/>
    <w:rsid w:val="005838EF"/>
    <w:rsid w:val="005839C5"/>
    <w:rsid w:val="00583A33"/>
    <w:rsid w:val="00583A5F"/>
    <w:rsid w:val="00583C08"/>
    <w:rsid w:val="00583D05"/>
    <w:rsid w:val="00583DCD"/>
    <w:rsid w:val="00583E09"/>
    <w:rsid w:val="00583E50"/>
    <w:rsid w:val="00583EF5"/>
    <w:rsid w:val="00584082"/>
    <w:rsid w:val="005841B6"/>
    <w:rsid w:val="00584245"/>
    <w:rsid w:val="0058430A"/>
    <w:rsid w:val="0058431D"/>
    <w:rsid w:val="005843DE"/>
    <w:rsid w:val="00584447"/>
    <w:rsid w:val="005844D0"/>
    <w:rsid w:val="005844D3"/>
    <w:rsid w:val="005844EB"/>
    <w:rsid w:val="005844F2"/>
    <w:rsid w:val="0058462B"/>
    <w:rsid w:val="005846CC"/>
    <w:rsid w:val="005846E5"/>
    <w:rsid w:val="0058473D"/>
    <w:rsid w:val="005849E1"/>
    <w:rsid w:val="00584A64"/>
    <w:rsid w:val="00584D35"/>
    <w:rsid w:val="00584E7C"/>
    <w:rsid w:val="00584EB7"/>
    <w:rsid w:val="00584FBD"/>
    <w:rsid w:val="00584FBF"/>
    <w:rsid w:val="00585073"/>
    <w:rsid w:val="005850ED"/>
    <w:rsid w:val="0058521F"/>
    <w:rsid w:val="00585264"/>
    <w:rsid w:val="0058534B"/>
    <w:rsid w:val="00585543"/>
    <w:rsid w:val="0058554D"/>
    <w:rsid w:val="0058556C"/>
    <w:rsid w:val="005855A2"/>
    <w:rsid w:val="0058562E"/>
    <w:rsid w:val="00585790"/>
    <w:rsid w:val="0058579F"/>
    <w:rsid w:val="005857F1"/>
    <w:rsid w:val="005857FE"/>
    <w:rsid w:val="005858BA"/>
    <w:rsid w:val="005858C8"/>
    <w:rsid w:val="00585959"/>
    <w:rsid w:val="00585992"/>
    <w:rsid w:val="005859A8"/>
    <w:rsid w:val="005859D9"/>
    <w:rsid w:val="00585B24"/>
    <w:rsid w:val="00585B8E"/>
    <w:rsid w:val="00585C55"/>
    <w:rsid w:val="00585C5E"/>
    <w:rsid w:val="00585C87"/>
    <w:rsid w:val="00585D9A"/>
    <w:rsid w:val="00585DB8"/>
    <w:rsid w:val="00585E23"/>
    <w:rsid w:val="00585E65"/>
    <w:rsid w:val="00585EF8"/>
    <w:rsid w:val="00585FB9"/>
    <w:rsid w:val="0058613D"/>
    <w:rsid w:val="00586142"/>
    <w:rsid w:val="00586148"/>
    <w:rsid w:val="00586178"/>
    <w:rsid w:val="005861D3"/>
    <w:rsid w:val="005861EF"/>
    <w:rsid w:val="0058635D"/>
    <w:rsid w:val="00586380"/>
    <w:rsid w:val="00586381"/>
    <w:rsid w:val="005864E5"/>
    <w:rsid w:val="0058676D"/>
    <w:rsid w:val="005867C4"/>
    <w:rsid w:val="00586804"/>
    <w:rsid w:val="00586864"/>
    <w:rsid w:val="0058695E"/>
    <w:rsid w:val="00586971"/>
    <w:rsid w:val="00586A21"/>
    <w:rsid w:val="00586B52"/>
    <w:rsid w:val="00586BCE"/>
    <w:rsid w:val="00586C09"/>
    <w:rsid w:val="00586C2A"/>
    <w:rsid w:val="00586C77"/>
    <w:rsid w:val="00586CA4"/>
    <w:rsid w:val="00586CB0"/>
    <w:rsid w:val="00586F2E"/>
    <w:rsid w:val="00586F7E"/>
    <w:rsid w:val="0058709F"/>
    <w:rsid w:val="0058719C"/>
    <w:rsid w:val="005871E4"/>
    <w:rsid w:val="00587269"/>
    <w:rsid w:val="005872E6"/>
    <w:rsid w:val="00587305"/>
    <w:rsid w:val="00587394"/>
    <w:rsid w:val="005875E7"/>
    <w:rsid w:val="0058764D"/>
    <w:rsid w:val="0058766A"/>
    <w:rsid w:val="00587673"/>
    <w:rsid w:val="005876B5"/>
    <w:rsid w:val="005876E9"/>
    <w:rsid w:val="00587711"/>
    <w:rsid w:val="00587724"/>
    <w:rsid w:val="0058779A"/>
    <w:rsid w:val="005877C5"/>
    <w:rsid w:val="0058780A"/>
    <w:rsid w:val="005878C7"/>
    <w:rsid w:val="00587A88"/>
    <w:rsid w:val="00587AAA"/>
    <w:rsid w:val="00587B60"/>
    <w:rsid w:val="00587B9B"/>
    <w:rsid w:val="00587BA7"/>
    <w:rsid w:val="00587C9A"/>
    <w:rsid w:val="00587D7D"/>
    <w:rsid w:val="00587D7F"/>
    <w:rsid w:val="00587EB1"/>
    <w:rsid w:val="00590002"/>
    <w:rsid w:val="0059013D"/>
    <w:rsid w:val="0059017A"/>
    <w:rsid w:val="00590194"/>
    <w:rsid w:val="00590213"/>
    <w:rsid w:val="00590356"/>
    <w:rsid w:val="00590546"/>
    <w:rsid w:val="005905BC"/>
    <w:rsid w:val="005906D4"/>
    <w:rsid w:val="005907A1"/>
    <w:rsid w:val="005907C4"/>
    <w:rsid w:val="00590804"/>
    <w:rsid w:val="00590918"/>
    <w:rsid w:val="0059091C"/>
    <w:rsid w:val="00590997"/>
    <w:rsid w:val="00590A33"/>
    <w:rsid w:val="00590B25"/>
    <w:rsid w:val="00590C48"/>
    <w:rsid w:val="00590CA3"/>
    <w:rsid w:val="00590CEB"/>
    <w:rsid w:val="00590DE5"/>
    <w:rsid w:val="00590DFA"/>
    <w:rsid w:val="00590E3D"/>
    <w:rsid w:val="00590EC6"/>
    <w:rsid w:val="00590EE3"/>
    <w:rsid w:val="00590F55"/>
    <w:rsid w:val="00590F8B"/>
    <w:rsid w:val="00591032"/>
    <w:rsid w:val="0059108C"/>
    <w:rsid w:val="005911B9"/>
    <w:rsid w:val="005911BA"/>
    <w:rsid w:val="005911EB"/>
    <w:rsid w:val="0059120B"/>
    <w:rsid w:val="0059127D"/>
    <w:rsid w:val="00591347"/>
    <w:rsid w:val="00591431"/>
    <w:rsid w:val="00591482"/>
    <w:rsid w:val="00591492"/>
    <w:rsid w:val="00591567"/>
    <w:rsid w:val="00591584"/>
    <w:rsid w:val="005915D0"/>
    <w:rsid w:val="005916DD"/>
    <w:rsid w:val="00591980"/>
    <w:rsid w:val="00591A7B"/>
    <w:rsid w:val="00591B6A"/>
    <w:rsid w:val="00591BB0"/>
    <w:rsid w:val="00591C13"/>
    <w:rsid w:val="00591C85"/>
    <w:rsid w:val="00591F94"/>
    <w:rsid w:val="00592083"/>
    <w:rsid w:val="005920CB"/>
    <w:rsid w:val="005920FD"/>
    <w:rsid w:val="0059226B"/>
    <w:rsid w:val="005923E2"/>
    <w:rsid w:val="00592571"/>
    <w:rsid w:val="005925C8"/>
    <w:rsid w:val="00592708"/>
    <w:rsid w:val="00592709"/>
    <w:rsid w:val="005927E2"/>
    <w:rsid w:val="00592898"/>
    <w:rsid w:val="005929A0"/>
    <w:rsid w:val="005929B8"/>
    <w:rsid w:val="005929D7"/>
    <w:rsid w:val="00592A5E"/>
    <w:rsid w:val="00592B3E"/>
    <w:rsid w:val="00592B63"/>
    <w:rsid w:val="00592C2D"/>
    <w:rsid w:val="00592C52"/>
    <w:rsid w:val="00592C63"/>
    <w:rsid w:val="00592CFB"/>
    <w:rsid w:val="00592D30"/>
    <w:rsid w:val="00592DC3"/>
    <w:rsid w:val="00592E15"/>
    <w:rsid w:val="00592E5B"/>
    <w:rsid w:val="00592E6C"/>
    <w:rsid w:val="00592F0C"/>
    <w:rsid w:val="00593032"/>
    <w:rsid w:val="005930D4"/>
    <w:rsid w:val="0059318B"/>
    <w:rsid w:val="0059324A"/>
    <w:rsid w:val="00593294"/>
    <w:rsid w:val="005932BF"/>
    <w:rsid w:val="005932EE"/>
    <w:rsid w:val="00593412"/>
    <w:rsid w:val="0059342A"/>
    <w:rsid w:val="00593627"/>
    <w:rsid w:val="00593657"/>
    <w:rsid w:val="005936B9"/>
    <w:rsid w:val="0059374C"/>
    <w:rsid w:val="0059376D"/>
    <w:rsid w:val="005938ED"/>
    <w:rsid w:val="00593930"/>
    <w:rsid w:val="0059396A"/>
    <w:rsid w:val="00593A12"/>
    <w:rsid w:val="00593AA2"/>
    <w:rsid w:val="00593AA5"/>
    <w:rsid w:val="00593B06"/>
    <w:rsid w:val="00593B25"/>
    <w:rsid w:val="00593B71"/>
    <w:rsid w:val="00593BF1"/>
    <w:rsid w:val="00593BF7"/>
    <w:rsid w:val="00593C33"/>
    <w:rsid w:val="00593E1E"/>
    <w:rsid w:val="00593E88"/>
    <w:rsid w:val="00593E9C"/>
    <w:rsid w:val="00593EEC"/>
    <w:rsid w:val="00593F24"/>
    <w:rsid w:val="00593F5D"/>
    <w:rsid w:val="005940E5"/>
    <w:rsid w:val="005941D7"/>
    <w:rsid w:val="0059424E"/>
    <w:rsid w:val="0059443A"/>
    <w:rsid w:val="005946F6"/>
    <w:rsid w:val="005947DD"/>
    <w:rsid w:val="0059482C"/>
    <w:rsid w:val="00594860"/>
    <w:rsid w:val="0059489B"/>
    <w:rsid w:val="0059496B"/>
    <w:rsid w:val="00594A11"/>
    <w:rsid w:val="00594AC4"/>
    <w:rsid w:val="00594BA1"/>
    <w:rsid w:val="00594BB7"/>
    <w:rsid w:val="00594C20"/>
    <w:rsid w:val="00594C32"/>
    <w:rsid w:val="00594DBA"/>
    <w:rsid w:val="00594E27"/>
    <w:rsid w:val="00594E2E"/>
    <w:rsid w:val="00594E56"/>
    <w:rsid w:val="00594E63"/>
    <w:rsid w:val="00594F41"/>
    <w:rsid w:val="00594F6B"/>
    <w:rsid w:val="00594F97"/>
    <w:rsid w:val="005950F8"/>
    <w:rsid w:val="005952B7"/>
    <w:rsid w:val="005952F8"/>
    <w:rsid w:val="00595318"/>
    <w:rsid w:val="00595398"/>
    <w:rsid w:val="00595432"/>
    <w:rsid w:val="005955E0"/>
    <w:rsid w:val="0059561E"/>
    <w:rsid w:val="00595782"/>
    <w:rsid w:val="00595806"/>
    <w:rsid w:val="005958AD"/>
    <w:rsid w:val="005959FB"/>
    <w:rsid w:val="00595A26"/>
    <w:rsid w:val="00595A95"/>
    <w:rsid w:val="00595AA1"/>
    <w:rsid w:val="00595AD3"/>
    <w:rsid w:val="00595BF3"/>
    <w:rsid w:val="00595C18"/>
    <w:rsid w:val="00595C22"/>
    <w:rsid w:val="00595C5A"/>
    <w:rsid w:val="00595CBE"/>
    <w:rsid w:val="00595CFB"/>
    <w:rsid w:val="00595D04"/>
    <w:rsid w:val="00595DF6"/>
    <w:rsid w:val="00595E5F"/>
    <w:rsid w:val="00595F90"/>
    <w:rsid w:val="0059617C"/>
    <w:rsid w:val="005962E6"/>
    <w:rsid w:val="005962F4"/>
    <w:rsid w:val="00596381"/>
    <w:rsid w:val="0059639A"/>
    <w:rsid w:val="005963A6"/>
    <w:rsid w:val="0059664D"/>
    <w:rsid w:val="0059668D"/>
    <w:rsid w:val="0059674E"/>
    <w:rsid w:val="005967D7"/>
    <w:rsid w:val="0059682F"/>
    <w:rsid w:val="005968C5"/>
    <w:rsid w:val="005969B8"/>
    <w:rsid w:val="005969C1"/>
    <w:rsid w:val="005969FB"/>
    <w:rsid w:val="00596A38"/>
    <w:rsid w:val="00596AA0"/>
    <w:rsid w:val="00596AE3"/>
    <w:rsid w:val="00596C37"/>
    <w:rsid w:val="00596C4D"/>
    <w:rsid w:val="00596CB9"/>
    <w:rsid w:val="00596CBB"/>
    <w:rsid w:val="00596D01"/>
    <w:rsid w:val="00596D80"/>
    <w:rsid w:val="00596E09"/>
    <w:rsid w:val="0059703C"/>
    <w:rsid w:val="005970B1"/>
    <w:rsid w:val="00597174"/>
    <w:rsid w:val="005971CA"/>
    <w:rsid w:val="005971DD"/>
    <w:rsid w:val="00597255"/>
    <w:rsid w:val="005972C0"/>
    <w:rsid w:val="005972D0"/>
    <w:rsid w:val="00597679"/>
    <w:rsid w:val="005976D6"/>
    <w:rsid w:val="00597707"/>
    <w:rsid w:val="0059778A"/>
    <w:rsid w:val="00597826"/>
    <w:rsid w:val="005978D3"/>
    <w:rsid w:val="005978D6"/>
    <w:rsid w:val="00597916"/>
    <w:rsid w:val="00597943"/>
    <w:rsid w:val="00597976"/>
    <w:rsid w:val="00597BC7"/>
    <w:rsid w:val="00597C04"/>
    <w:rsid w:val="00597DA6"/>
    <w:rsid w:val="00597EDF"/>
    <w:rsid w:val="00597EE9"/>
    <w:rsid w:val="00597EED"/>
    <w:rsid w:val="00597F32"/>
    <w:rsid w:val="00597F5B"/>
    <w:rsid w:val="00597FFE"/>
    <w:rsid w:val="005A0153"/>
    <w:rsid w:val="005A0164"/>
    <w:rsid w:val="005A018D"/>
    <w:rsid w:val="005A0278"/>
    <w:rsid w:val="005A029F"/>
    <w:rsid w:val="005A04B2"/>
    <w:rsid w:val="005A04ED"/>
    <w:rsid w:val="005A0525"/>
    <w:rsid w:val="005A055A"/>
    <w:rsid w:val="005A05A1"/>
    <w:rsid w:val="005A06B3"/>
    <w:rsid w:val="005A06E7"/>
    <w:rsid w:val="005A073E"/>
    <w:rsid w:val="005A082A"/>
    <w:rsid w:val="005A0881"/>
    <w:rsid w:val="005A08C8"/>
    <w:rsid w:val="005A09D7"/>
    <w:rsid w:val="005A0B6B"/>
    <w:rsid w:val="005A0BE0"/>
    <w:rsid w:val="005A0C32"/>
    <w:rsid w:val="005A0D24"/>
    <w:rsid w:val="005A0F57"/>
    <w:rsid w:val="005A0F92"/>
    <w:rsid w:val="005A0FEE"/>
    <w:rsid w:val="005A101E"/>
    <w:rsid w:val="005A1060"/>
    <w:rsid w:val="005A13BE"/>
    <w:rsid w:val="005A13C8"/>
    <w:rsid w:val="005A142F"/>
    <w:rsid w:val="005A14B9"/>
    <w:rsid w:val="005A157F"/>
    <w:rsid w:val="005A15E6"/>
    <w:rsid w:val="005A161F"/>
    <w:rsid w:val="005A1730"/>
    <w:rsid w:val="005A1733"/>
    <w:rsid w:val="005A1755"/>
    <w:rsid w:val="005A177B"/>
    <w:rsid w:val="005A1821"/>
    <w:rsid w:val="005A18C8"/>
    <w:rsid w:val="005A18E8"/>
    <w:rsid w:val="005A1A2D"/>
    <w:rsid w:val="005A1A3A"/>
    <w:rsid w:val="005A1AE9"/>
    <w:rsid w:val="005A1AEF"/>
    <w:rsid w:val="005A1BBA"/>
    <w:rsid w:val="005A1BE5"/>
    <w:rsid w:val="005A1BF5"/>
    <w:rsid w:val="005A1BF9"/>
    <w:rsid w:val="005A1C1B"/>
    <w:rsid w:val="005A1C2A"/>
    <w:rsid w:val="005A1C46"/>
    <w:rsid w:val="005A1CA3"/>
    <w:rsid w:val="005A1CBF"/>
    <w:rsid w:val="005A1EBB"/>
    <w:rsid w:val="005A1EBC"/>
    <w:rsid w:val="005A1EDE"/>
    <w:rsid w:val="005A1EF6"/>
    <w:rsid w:val="005A1F14"/>
    <w:rsid w:val="005A1F92"/>
    <w:rsid w:val="005A1F9F"/>
    <w:rsid w:val="005A1FBA"/>
    <w:rsid w:val="005A203E"/>
    <w:rsid w:val="005A20E1"/>
    <w:rsid w:val="005A20EC"/>
    <w:rsid w:val="005A20F6"/>
    <w:rsid w:val="005A2177"/>
    <w:rsid w:val="005A21EB"/>
    <w:rsid w:val="005A2497"/>
    <w:rsid w:val="005A24FD"/>
    <w:rsid w:val="005A25F0"/>
    <w:rsid w:val="005A278F"/>
    <w:rsid w:val="005A27A0"/>
    <w:rsid w:val="005A27B2"/>
    <w:rsid w:val="005A2988"/>
    <w:rsid w:val="005A29E3"/>
    <w:rsid w:val="005A29F6"/>
    <w:rsid w:val="005A2B8D"/>
    <w:rsid w:val="005A2BA5"/>
    <w:rsid w:val="005A2C99"/>
    <w:rsid w:val="005A2CD4"/>
    <w:rsid w:val="005A2D54"/>
    <w:rsid w:val="005A2DAD"/>
    <w:rsid w:val="005A2EE4"/>
    <w:rsid w:val="005A2F9A"/>
    <w:rsid w:val="005A2FFD"/>
    <w:rsid w:val="005A3073"/>
    <w:rsid w:val="005A307C"/>
    <w:rsid w:val="005A30D0"/>
    <w:rsid w:val="005A3145"/>
    <w:rsid w:val="005A314B"/>
    <w:rsid w:val="005A3158"/>
    <w:rsid w:val="005A315E"/>
    <w:rsid w:val="005A31E4"/>
    <w:rsid w:val="005A321A"/>
    <w:rsid w:val="005A3242"/>
    <w:rsid w:val="005A3382"/>
    <w:rsid w:val="005A34D0"/>
    <w:rsid w:val="005A3506"/>
    <w:rsid w:val="005A3518"/>
    <w:rsid w:val="005A3680"/>
    <w:rsid w:val="005A36B3"/>
    <w:rsid w:val="005A3758"/>
    <w:rsid w:val="005A37A6"/>
    <w:rsid w:val="005A388D"/>
    <w:rsid w:val="005A38D3"/>
    <w:rsid w:val="005A390F"/>
    <w:rsid w:val="005A39EC"/>
    <w:rsid w:val="005A39F1"/>
    <w:rsid w:val="005A39FB"/>
    <w:rsid w:val="005A3A2A"/>
    <w:rsid w:val="005A3AFE"/>
    <w:rsid w:val="005A3B60"/>
    <w:rsid w:val="005A3C10"/>
    <w:rsid w:val="005A3C87"/>
    <w:rsid w:val="005A3CCA"/>
    <w:rsid w:val="005A3CDC"/>
    <w:rsid w:val="005A3D02"/>
    <w:rsid w:val="005A3DAD"/>
    <w:rsid w:val="005A3EAA"/>
    <w:rsid w:val="005A3EB6"/>
    <w:rsid w:val="005A3EE4"/>
    <w:rsid w:val="005A3F3F"/>
    <w:rsid w:val="005A3F5F"/>
    <w:rsid w:val="005A406F"/>
    <w:rsid w:val="005A408D"/>
    <w:rsid w:val="005A40DE"/>
    <w:rsid w:val="005A41B1"/>
    <w:rsid w:val="005A41B5"/>
    <w:rsid w:val="005A426A"/>
    <w:rsid w:val="005A43FC"/>
    <w:rsid w:val="005A440E"/>
    <w:rsid w:val="005A45D5"/>
    <w:rsid w:val="005A4688"/>
    <w:rsid w:val="005A46C5"/>
    <w:rsid w:val="005A46E5"/>
    <w:rsid w:val="005A4825"/>
    <w:rsid w:val="005A4873"/>
    <w:rsid w:val="005A4876"/>
    <w:rsid w:val="005A48A9"/>
    <w:rsid w:val="005A48E5"/>
    <w:rsid w:val="005A495F"/>
    <w:rsid w:val="005A49BB"/>
    <w:rsid w:val="005A49CC"/>
    <w:rsid w:val="005A49DB"/>
    <w:rsid w:val="005A4AEC"/>
    <w:rsid w:val="005A4B26"/>
    <w:rsid w:val="005A4B87"/>
    <w:rsid w:val="005A4BBA"/>
    <w:rsid w:val="005A4EE5"/>
    <w:rsid w:val="005A4FDE"/>
    <w:rsid w:val="005A51B7"/>
    <w:rsid w:val="005A52AA"/>
    <w:rsid w:val="005A5329"/>
    <w:rsid w:val="005A5358"/>
    <w:rsid w:val="005A538D"/>
    <w:rsid w:val="005A544D"/>
    <w:rsid w:val="005A54A1"/>
    <w:rsid w:val="005A54B4"/>
    <w:rsid w:val="005A54CC"/>
    <w:rsid w:val="005A5843"/>
    <w:rsid w:val="005A5928"/>
    <w:rsid w:val="005A5A3A"/>
    <w:rsid w:val="005A5A70"/>
    <w:rsid w:val="005A5B19"/>
    <w:rsid w:val="005A5BCD"/>
    <w:rsid w:val="005A5BFA"/>
    <w:rsid w:val="005A5C0D"/>
    <w:rsid w:val="005A5CC7"/>
    <w:rsid w:val="005A5D8F"/>
    <w:rsid w:val="005A5E5C"/>
    <w:rsid w:val="005A5EAE"/>
    <w:rsid w:val="005A5F57"/>
    <w:rsid w:val="005A5F76"/>
    <w:rsid w:val="005A603B"/>
    <w:rsid w:val="005A6084"/>
    <w:rsid w:val="005A62AB"/>
    <w:rsid w:val="005A62D6"/>
    <w:rsid w:val="005A638E"/>
    <w:rsid w:val="005A63FA"/>
    <w:rsid w:val="005A653F"/>
    <w:rsid w:val="005A66F4"/>
    <w:rsid w:val="005A6723"/>
    <w:rsid w:val="005A67BC"/>
    <w:rsid w:val="005A67D2"/>
    <w:rsid w:val="005A6822"/>
    <w:rsid w:val="005A6892"/>
    <w:rsid w:val="005A6967"/>
    <w:rsid w:val="005A6A13"/>
    <w:rsid w:val="005A6AB9"/>
    <w:rsid w:val="005A6AC6"/>
    <w:rsid w:val="005A6C8C"/>
    <w:rsid w:val="005A6CB3"/>
    <w:rsid w:val="005A6CBF"/>
    <w:rsid w:val="005A6D22"/>
    <w:rsid w:val="005A6D36"/>
    <w:rsid w:val="005A6DB2"/>
    <w:rsid w:val="005A6DF9"/>
    <w:rsid w:val="005A6E43"/>
    <w:rsid w:val="005A6E90"/>
    <w:rsid w:val="005A6F39"/>
    <w:rsid w:val="005A6F4B"/>
    <w:rsid w:val="005A6F54"/>
    <w:rsid w:val="005A6FAB"/>
    <w:rsid w:val="005A6FC7"/>
    <w:rsid w:val="005A70D9"/>
    <w:rsid w:val="005A715E"/>
    <w:rsid w:val="005A718D"/>
    <w:rsid w:val="005A7217"/>
    <w:rsid w:val="005A7226"/>
    <w:rsid w:val="005A72B0"/>
    <w:rsid w:val="005A7355"/>
    <w:rsid w:val="005A7428"/>
    <w:rsid w:val="005A7449"/>
    <w:rsid w:val="005A7459"/>
    <w:rsid w:val="005A74F5"/>
    <w:rsid w:val="005A751F"/>
    <w:rsid w:val="005A7613"/>
    <w:rsid w:val="005A7661"/>
    <w:rsid w:val="005A783D"/>
    <w:rsid w:val="005A792A"/>
    <w:rsid w:val="005A794B"/>
    <w:rsid w:val="005A7A62"/>
    <w:rsid w:val="005A7B83"/>
    <w:rsid w:val="005A7C93"/>
    <w:rsid w:val="005A7D5B"/>
    <w:rsid w:val="005A7D8D"/>
    <w:rsid w:val="005A7DBD"/>
    <w:rsid w:val="005A7E19"/>
    <w:rsid w:val="005A7E37"/>
    <w:rsid w:val="005A7ED2"/>
    <w:rsid w:val="005A7FA1"/>
    <w:rsid w:val="005A7FAF"/>
    <w:rsid w:val="005B00A6"/>
    <w:rsid w:val="005B00AA"/>
    <w:rsid w:val="005B00B8"/>
    <w:rsid w:val="005B00CE"/>
    <w:rsid w:val="005B00EC"/>
    <w:rsid w:val="005B0124"/>
    <w:rsid w:val="005B01E5"/>
    <w:rsid w:val="005B0276"/>
    <w:rsid w:val="005B0291"/>
    <w:rsid w:val="005B0382"/>
    <w:rsid w:val="005B0474"/>
    <w:rsid w:val="005B04D8"/>
    <w:rsid w:val="005B052D"/>
    <w:rsid w:val="005B055E"/>
    <w:rsid w:val="005B06AC"/>
    <w:rsid w:val="005B06E9"/>
    <w:rsid w:val="005B0944"/>
    <w:rsid w:val="005B098F"/>
    <w:rsid w:val="005B0A54"/>
    <w:rsid w:val="005B0A9C"/>
    <w:rsid w:val="005B0AAF"/>
    <w:rsid w:val="005B0ADD"/>
    <w:rsid w:val="005B0BF2"/>
    <w:rsid w:val="005B0D28"/>
    <w:rsid w:val="005B0D7C"/>
    <w:rsid w:val="005B0DB2"/>
    <w:rsid w:val="005B0FE9"/>
    <w:rsid w:val="005B110B"/>
    <w:rsid w:val="005B11CC"/>
    <w:rsid w:val="005B12D8"/>
    <w:rsid w:val="005B13F8"/>
    <w:rsid w:val="005B1586"/>
    <w:rsid w:val="005B15A4"/>
    <w:rsid w:val="005B161D"/>
    <w:rsid w:val="005B1630"/>
    <w:rsid w:val="005B1722"/>
    <w:rsid w:val="005B17E2"/>
    <w:rsid w:val="005B180D"/>
    <w:rsid w:val="005B182F"/>
    <w:rsid w:val="005B184B"/>
    <w:rsid w:val="005B18AE"/>
    <w:rsid w:val="005B1C5A"/>
    <w:rsid w:val="005B1DAB"/>
    <w:rsid w:val="005B1DAC"/>
    <w:rsid w:val="005B1DD7"/>
    <w:rsid w:val="005B1DE5"/>
    <w:rsid w:val="005B1E1A"/>
    <w:rsid w:val="005B1FEC"/>
    <w:rsid w:val="005B20B4"/>
    <w:rsid w:val="005B2149"/>
    <w:rsid w:val="005B2267"/>
    <w:rsid w:val="005B2292"/>
    <w:rsid w:val="005B2406"/>
    <w:rsid w:val="005B275A"/>
    <w:rsid w:val="005B2A8A"/>
    <w:rsid w:val="005B2BA0"/>
    <w:rsid w:val="005B2C50"/>
    <w:rsid w:val="005B2C81"/>
    <w:rsid w:val="005B2DDB"/>
    <w:rsid w:val="005B2E68"/>
    <w:rsid w:val="005B31DF"/>
    <w:rsid w:val="005B3233"/>
    <w:rsid w:val="005B3290"/>
    <w:rsid w:val="005B32E5"/>
    <w:rsid w:val="005B3616"/>
    <w:rsid w:val="005B3617"/>
    <w:rsid w:val="005B3686"/>
    <w:rsid w:val="005B3716"/>
    <w:rsid w:val="005B3771"/>
    <w:rsid w:val="005B3798"/>
    <w:rsid w:val="005B37DF"/>
    <w:rsid w:val="005B3838"/>
    <w:rsid w:val="005B389B"/>
    <w:rsid w:val="005B3955"/>
    <w:rsid w:val="005B3977"/>
    <w:rsid w:val="005B3AD2"/>
    <w:rsid w:val="005B3B58"/>
    <w:rsid w:val="005B3BA4"/>
    <w:rsid w:val="005B3DCD"/>
    <w:rsid w:val="005B3E41"/>
    <w:rsid w:val="005B3E5B"/>
    <w:rsid w:val="005B3E93"/>
    <w:rsid w:val="005B3EEC"/>
    <w:rsid w:val="005B3F58"/>
    <w:rsid w:val="005B3FEE"/>
    <w:rsid w:val="005B4010"/>
    <w:rsid w:val="005B40C9"/>
    <w:rsid w:val="005B40DC"/>
    <w:rsid w:val="005B417F"/>
    <w:rsid w:val="005B41C0"/>
    <w:rsid w:val="005B42DA"/>
    <w:rsid w:val="005B4334"/>
    <w:rsid w:val="005B4458"/>
    <w:rsid w:val="005B44E6"/>
    <w:rsid w:val="005B465D"/>
    <w:rsid w:val="005B468A"/>
    <w:rsid w:val="005B4829"/>
    <w:rsid w:val="005B48C1"/>
    <w:rsid w:val="005B48FB"/>
    <w:rsid w:val="005B4A15"/>
    <w:rsid w:val="005B4A20"/>
    <w:rsid w:val="005B4C5D"/>
    <w:rsid w:val="005B4C66"/>
    <w:rsid w:val="005B4DAA"/>
    <w:rsid w:val="005B4DEF"/>
    <w:rsid w:val="005B4E48"/>
    <w:rsid w:val="005B4E4B"/>
    <w:rsid w:val="005B4E5F"/>
    <w:rsid w:val="005B4E8F"/>
    <w:rsid w:val="005B4F30"/>
    <w:rsid w:val="005B4F5D"/>
    <w:rsid w:val="005B50A9"/>
    <w:rsid w:val="005B50BC"/>
    <w:rsid w:val="005B5285"/>
    <w:rsid w:val="005B52EA"/>
    <w:rsid w:val="005B5354"/>
    <w:rsid w:val="005B537E"/>
    <w:rsid w:val="005B5477"/>
    <w:rsid w:val="005B550F"/>
    <w:rsid w:val="005B5581"/>
    <w:rsid w:val="005B5612"/>
    <w:rsid w:val="005B5658"/>
    <w:rsid w:val="005B5682"/>
    <w:rsid w:val="005B573A"/>
    <w:rsid w:val="005B5782"/>
    <w:rsid w:val="005B585C"/>
    <w:rsid w:val="005B587D"/>
    <w:rsid w:val="005B58B3"/>
    <w:rsid w:val="005B59A7"/>
    <w:rsid w:val="005B59E4"/>
    <w:rsid w:val="005B59F5"/>
    <w:rsid w:val="005B5A6C"/>
    <w:rsid w:val="005B5A6E"/>
    <w:rsid w:val="005B5C30"/>
    <w:rsid w:val="005B5C71"/>
    <w:rsid w:val="005B5CDF"/>
    <w:rsid w:val="005B5D04"/>
    <w:rsid w:val="005B5D0E"/>
    <w:rsid w:val="005B5DFB"/>
    <w:rsid w:val="005B5EBF"/>
    <w:rsid w:val="005B5FBD"/>
    <w:rsid w:val="005B5FC8"/>
    <w:rsid w:val="005B604E"/>
    <w:rsid w:val="005B6096"/>
    <w:rsid w:val="005B60D0"/>
    <w:rsid w:val="005B60D9"/>
    <w:rsid w:val="005B610D"/>
    <w:rsid w:val="005B6132"/>
    <w:rsid w:val="005B6135"/>
    <w:rsid w:val="005B6193"/>
    <w:rsid w:val="005B61C3"/>
    <w:rsid w:val="005B622B"/>
    <w:rsid w:val="005B6253"/>
    <w:rsid w:val="005B6265"/>
    <w:rsid w:val="005B628B"/>
    <w:rsid w:val="005B62E9"/>
    <w:rsid w:val="005B6312"/>
    <w:rsid w:val="005B6457"/>
    <w:rsid w:val="005B648D"/>
    <w:rsid w:val="005B648F"/>
    <w:rsid w:val="005B6587"/>
    <w:rsid w:val="005B6937"/>
    <w:rsid w:val="005B6962"/>
    <w:rsid w:val="005B6B53"/>
    <w:rsid w:val="005B6C76"/>
    <w:rsid w:val="005B6E67"/>
    <w:rsid w:val="005B6EB6"/>
    <w:rsid w:val="005B705D"/>
    <w:rsid w:val="005B70D8"/>
    <w:rsid w:val="005B7135"/>
    <w:rsid w:val="005B7188"/>
    <w:rsid w:val="005B71C6"/>
    <w:rsid w:val="005B723A"/>
    <w:rsid w:val="005B7445"/>
    <w:rsid w:val="005B7463"/>
    <w:rsid w:val="005B7716"/>
    <w:rsid w:val="005B7757"/>
    <w:rsid w:val="005B7820"/>
    <w:rsid w:val="005B799C"/>
    <w:rsid w:val="005B7A27"/>
    <w:rsid w:val="005B7A6B"/>
    <w:rsid w:val="005B7AE9"/>
    <w:rsid w:val="005B7B73"/>
    <w:rsid w:val="005B7D31"/>
    <w:rsid w:val="005B7D4C"/>
    <w:rsid w:val="005B7D56"/>
    <w:rsid w:val="005B7E29"/>
    <w:rsid w:val="005B7E9A"/>
    <w:rsid w:val="005B7F06"/>
    <w:rsid w:val="005B7F36"/>
    <w:rsid w:val="005B7FC7"/>
    <w:rsid w:val="005C0235"/>
    <w:rsid w:val="005C0287"/>
    <w:rsid w:val="005C037B"/>
    <w:rsid w:val="005C0419"/>
    <w:rsid w:val="005C0430"/>
    <w:rsid w:val="005C04F3"/>
    <w:rsid w:val="005C0706"/>
    <w:rsid w:val="005C078A"/>
    <w:rsid w:val="005C08B0"/>
    <w:rsid w:val="005C08D0"/>
    <w:rsid w:val="005C093B"/>
    <w:rsid w:val="005C095E"/>
    <w:rsid w:val="005C09B9"/>
    <w:rsid w:val="005C0ACB"/>
    <w:rsid w:val="005C0B7B"/>
    <w:rsid w:val="005C0BB8"/>
    <w:rsid w:val="005C0C2F"/>
    <w:rsid w:val="005C0C4B"/>
    <w:rsid w:val="005C0C4F"/>
    <w:rsid w:val="005C0C7D"/>
    <w:rsid w:val="005C0CB2"/>
    <w:rsid w:val="005C0CD8"/>
    <w:rsid w:val="005C0FC5"/>
    <w:rsid w:val="005C10C2"/>
    <w:rsid w:val="005C119A"/>
    <w:rsid w:val="005C11F9"/>
    <w:rsid w:val="005C12DB"/>
    <w:rsid w:val="005C1395"/>
    <w:rsid w:val="005C151F"/>
    <w:rsid w:val="005C1628"/>
    <w:rsid w:val="005C1691"/>
    <w:rsid w:val="005C176B"/>
    <w:rsid w:val="005C1788"/>
    <w:rsid w:val="005C18BF"/>
    <w:rsid w:val="005C1A63"/>
    <w:rsid w:val="005C1AA6"/>
    <w:rsid w:val="005C1B60"/>
    <w:rsid w:val="005C1B9F"/>
    <w:rsid w:val="005C1DCE"/>
    <w:rsid w:val="005C1E65"/>
    <w:rsid w:val="005C1F22"/>
    <w:rsid w:val="005C209A"/>
    <w:rsid w:val="005C20B7"/>
    <w:rsid w:val="005C213E"/>
    <w:rsid w:val="005C214A"/>
    <w:rsid w:val="005C2216"/>
    <w:rsid w:val="005C2276"/>
    <w:rsid w:val="005C231D"/>
    <w:rsid w:val="005C2446"/>
    <w:rsid w:val="005C24FC"/>
    <w:rsid w:val="005C263A"/>
    <w:rsid w:val="005C2651"/>
    <w:rsid w:val="005C267F"/>
    <w:rsid w:val="005C26CB"/>
    <w:rsid w:val="005C274C"/>
    <w:rsid w:val="005C2781"/>
    <w:rsid w:val="005C280D"/>
    <w:rsid w:val="005C2A93"/>
    <w:rsid w:val="005C2AD2"/>
    <w:rsid w:val="005C2AF4"/>
    <w:rsid w:val="005C2C43"/>
    <w:rsid w:val="005C2D06"/>
    <w:rsid w:val="005C2E99"/>
    <w:rsid w:val="005C2EC0"/>
    <w:rsid w:val="005C2F47"/>
    <w:rsid w:val="005C2FE3"/>
    <w:rsid w:val="005C302F"/>
    <w:rsid w:val="005C31BB"/>
    <w:rsid w:val="005C3235"/>
    <w:rsid w:val="005C324B"/>
    <w:rsid w:val="005C3276"/>
    <w:rsid w:val="005C32F6"/>
    <w:rsid w:val="005C3328"/>
    <w:rsid w:val="005C3430"/>
    <w:rsid w:val="005C3458"/>
    <w:rsid w:val="005C354D"/>
    <w:rsid w:val="005C366F"/>
    <w:rsid w:val="005C369B"/>
    <w:rsid w:val="005C3701"/>
    <w:rsid w:val="005C3720"/>
    <w:rsid w:val="005C378E"/>
    <w:rsid w:val="005C38A9"/>
    <w:rsid w:val="005C3A09"/>
    <w:rsid w:val="005C3A14"/>
    <w:rsid w:val="005C3A36"/>
    <w:rsid w:val="005C3B62"/>
    <w:rsid w:val="005C3C0A"/>
    <w:rsid w:val="005C3D01"/>
    <w:rsid w:val="005C3D0D"/>
    <w:rsid w:val="005C3D1B"/>
    <w:rsid w:val="005C3D45"/>
    <w:rsid w:val="005C3DF1"/>
    <w:rsid w:val="005C3E0E"/>
    <w:rsid w:val="005C3E1C"/>
    <w:rsid w:val="005C3E55"/>
    <w:rsid w:val="005C3EBC"/>
    <w:rsid w:val="005C3EDC"/>
    <w:rsid w:val="005C3EE4"/>
    <w:rsid w:val="005C403D"/>
    <w:rsid w:val="005C40BE"/>
    <w:rsid w:val="005C40F0"/>
    <w:rsid w:val="005C416F"/>
    <w:rsid w:val="005C42DB"/>
    <w:rsid w:val="005C4328"/>
    <w:rsid w:val="005C4424"/>
    <w:rsid w:val="005C442C"/>
    <w:rsid w:val="005C4472"/>
    <w:rsid w:val="005C4562"/>
    <w:rsid w:val="005C462F"/>
    <w:rsid w:val="005C4667"/>
    <w:rsid w:val="005C46A3"/>
    <w:rsid w:val="005C4813"/>
    <w:rsid w:val="005C4849"/>
    <w:rsid w:val="005C488B"/>
    <w:rsid w:val="005C48B1"/>
    <w:rsid w:val="005C4A14"/>
    <w:rsid w:val="005C4A64"/>
    <w:rsid w:val="005C4AFC"/>
    <w:rsid w:val="005C4B37"/>
    <w:rsid w:val="005C4C5C"/>
    <w:rsid w:val="005C4C92"/>
    <w:rsid w:val="005C4DB1"/>
    <w:rsid w:val="005C4F10"/>
    <w:rsid w:val="005C4F5D"/>
    <w:rsid w:val="005C5060"/>
    <w:rsid w:val="005C506C"/>
    <w:rsid w:val="005C50E3"/>
    <w:rsid w:val="005C5254"/>
    <w:rsid w:val="005C5384"/>
    <w:rsid w:val="005C53C3"/>
    <w:rsid w:val="005C5486"/>
    <w:rsid w:val="005C56A3"/>
    <w:rsid w:val="005C5846"/>
    <w:rsid w:val="005C5858"/>
    <w:rsid w:val="005C5896"/>
    <w:rsid w:val="005C58F4"/>
    <w:rsid w:val="005C5984"/>
    <w:rsid w:val="005C59D6"/>
    <w:rsid w:val="005C5C6A"/>
    <w:rsid w:val="005C5E2C"/>
    <w:rsid w:val="005C5F2C"/>
    <w:rsid w:val="005C5F3A"/>
    <w:rsid w:val="005C5F8C"/>
    <w:rsid w:val="005C5F96"/>
    <w:rsid w:val="005C6215"/>
    <w:rsid w:val="005C62F6"/>
    <w:rsid w:val="005C6379"/>
    <w:rsid w:val="005C63A8"/>
    <w:rsid w:val="005C63F1"/>
    <w:rsid w:val="005C6520"/>
    <w:rsid w:val="005C6890"/>
    <w:rsid w:val="005C68DA"/>
    <w:rsid w:val="005C68F0"/>
    <w:rsid w:val="005C69B6"/>
    <w:rsid w:val="005C69CB"/>
    <w:rsid w:val="005C6C60"/>
    <w:rsid w:val="005C6D34"/>
    <w:rsid w:val="005C6EA7"/>
    <w:rsid w:val="005C6F31"/>
    <w:rsid w:val="005C6F4E"/>
    <w:rsid w:val="005C6F65"/>
    <w:rsid w:val="005C6FA0"/>
    <w:rsid w:val="005C70B0"/>
    <w:rsid w:val="005C720D"/>
    <w:rsid w:val="005C7251"/>
    <w:rsid w:val="005C7280"/>
    <w:rsid w:val="005C72CF"/>
    <w:rsid w:val="005C737B"/>
    <w:rsid w:val="005C73A0"/>
    <w:rsid w:val="005C74DA"/>
    <w:rsid w:val="005C757B"/>
    <w:rsid w:val="005C761A"/>
    <w:rsid w:val="005C76D2"/>
    <w:rsid w:val="005C76E0"/>
    <w:rsid w:val="005C76E8"/>
    <w:rsid w:val="005C783E"/>
    <w:rsid w:val="005C78AB"/>
    <w:rsid w:val="005C793F"/>
    <w:rsid w:val="005C7952"/>
    <w:rsid w:val="005C79CD"/>
    <w:rsid w:val="005C7B3D"/>
    <w:rsid w:val="005C7BA8"/>
    <w:rsid w:val="005C7BC0"/>
    <w:rsid w:val="005C7CC9"/>
    <w:rsid w:val="005C7D94"/>
    <w:rsid w:val="005C7FE4"/>
    <w:rsid w:val="005C7FE7"/>
    <w:rsid w:val="005D00C6"/>
    <w:rsid w:val="005D0128"/>
    <w:rsid w:val="005D0142"/>
    <w:rsid w:val="005D0147"/>
    <w:rsid w:val="005D01DE"/>
    <w:rsid w:val="005D0315"/>
    <w:rsid w:val="005D034B"/>
    <w:rsid w:val="005D03B8"/>
    <w:rsid w:val="005D046F"/>
    <w:rsid w:val="005D0564"/>
    <w:rsid w:val="005D0606"/>
    <w:rsid w:val="005D0696"/>
    <w:rsid w:val="005D079B"/>
    <w:rsid w:val="005D07B9"/>
    <w:rsid w:val="005D07CC"/>
    <w:rsid w:val="005D0913"/>
    <w:rsid w:val="005D0A7A"/>
    <w:rsid w:val="005D0A88"/>
    <w:rsid w:val="005D0B77"/>
    <w:rsid w:val="005D0B96"/>
    <w:rsid w:val="005D0BDB"/>
    <w:rsid w:val="005D0C6B"/>
    <w:rsid w:val="005D0D20"/>
    <w:rsid w:val="005D0DFE"/>
    <w:rsid w:val="005D0E18"/>
    <w:rsid w:val="005D0E3E"/>
    <w:rsid w:val="005D0E6B"/>
    <w:rsid w:val="005D0E94"/>
    <w:rsid w:val="005D0EAD"/>
    <w:rsid w:val="005D0EF7"/>
    <w:rsid w:val="005D0F40"/>
    <w:rsid w:val="005D0F5C"/>
    <w:rsid w:val="005D107E"/>
    <w:rsid w:val="005D10B0"/>
    <w:rsid w:val="005D11BB"/>
    <w:rsid w:val="005D123A"/>
    <w:rsid w:val="005D12E3"/>
    <w:rsid w:val="005D131E"/>
    <w:rsid w:val="005D136E"/>
    <w:rsid w:val="005D13AD"/>
    <w:rsid w:val="005D13B5"/>
    <w:rsid w:val="005D14D5"/>
    <w:rsid w:val="005D1500"/>
    <w:rsid w:val="005D1514"/>
    <w:rsid w:val="005D1568"/>
    <w:rsid w:val="005D156B"/>
    <w:rsid w:val="005D15AC"/>
    <w:rsid w:val="005D1611"/>
    <w:rsid w:val="005D1807"/>
    <w:rsid w:val="005D18C2"/>
    <w:rsid w:val="005D1967"/>
    <w:rsid w:val="005D19FE"/>
    <w:rsid w:val="005D1A85"/>
    <w:rsid w:val="005D1CF8"/>
    <w:rsid w:val="005D1E9B"/>
    <w:rsid w:val="005D1EAF"/>
    <w:rsid w:val="005D1F32"/>
    <w:rsid w:val="005D203D"/>
    <w:rsid w:val="005D20B8"/>
    <w:rsid w:val="005D20F6"/>
    <w:rsid w:val="005D2134"/>
    <w:rsid w:val="005D2171"/>
    <w:rsid w:val="005D2192"/>
    <w:rsid w:val="005D2199"/>
    <w:rsid w:val="005D2229"/>
    <w:rsid w:val="005D2246"/>
    <w:rsid w:val="005D22F1"/>
    <w:rsid w:val="005D2357"/>
    <w:rsid w:val="005D239B"/>
    <w:rsid w:val="005D23CB"/>
    <w:rsid w:val="005D249D"/>
    <w:rsid w:val="005D24AC"/>
    <w:rsid w:val="005D2586"/>
    <w:rsid w:val="005D271E"/>
    <w:rsid w:val="005D27A7"/>
    <w:rsid w:val="005D285C"/>
    <w:rsid w:val="005D2B43"/>
    <w:rsid w:val="005D2B4A"/>
    <w:rsid w:val="005D2B75"/>
    <w:rsid w:val="005D2BF6"/>
    <w:rsid w:val="005D2C91"/>
    <w:rsid w:val="005D2CC0"/>
    <w:rsid w:val="005D2D58"/>
    <w:rsid w:val="005D2D74"/>
    <w:rsid w:val="005D2DB7"/>
    <w:rsid w:val="005D2F0B"/>
    <w:rsid w:val="005D2F15"/>
    <w:rsid w:val="005D306A"/>
    <w:rsid w:val="005D30CE"/>
    <w:rsid w:val="005D30E9"/>
    <w:rsid w:val="005D318D"/>
    <w:rsid w:val="005D343A"/>
    <w:rsid w:val="005D349B"/>
    <w:rsid w:val="005D34F0"/>
    <w:rsid w:val="005D352F"/>
    <w:rsid w:val="005D361C"/>
    <w:rsid w:val="005D36EF"/>
    <w:rsid w:val="005D372E"/>
    <w:rsid w:val="005D3736"/>
    <w:rsid w:val="005D3780"/>
    <w:rsid w:val="005D37B1"/>
    <w:rsid w:val="005D3800"/>
    <w:rsid w:val="005D3889"/>
    <w:rsid w:val="005D3898"/>
    <w:rsid w:val="005D3905"/>
    <w:rsid w:val="005D3932"/>
    <w:rsid w:val="005D39F4"/>
    <w:rsid w:val="005D3B85"/>
    <w:rsid w:val="005D3BAC"/>
    <w:rsid w:val="005D3CA2"/>
    <w:rsid w:val="005D3CD1"/>
    <w:rsid w:val="005D3E46"/>
    <w:rsid w:val="005D4082"/>
    <w:rsid w:val="005D40EB"/>
    <w:rsid w:val="005D40F5"/>
    <w:rsid w:val="005D42A3"/>
    <w:rsid w:val="005D42CF"/>
    <w:rsid w:val="005D452C"/>
    <w:rsid w:val="005D4654"/>
    <w:rsid w:val="005D4790"/>
    <w:rsid w:val="005D4806"/>
    <w:rsid w:val="005D49E4"/>
    <w:rsid w:val="005D49EE"/>
    <w:rsid w:val="005D4A7D"/>
    <w:rsid w:val="005D4A99"/>
    <w:rsid w:val="005D4C31"/>
    <w:rsid w:val="005D4CBF"/>
    <w:rsid w:val="005D4D36"/>
    <w:rsid w:val="005D5298"/>
    <w:rsid w:val="005D52F4"/>
    <w:rsid w:val="005D5326"/>
    <w:rsid w:val="005D53FC"/>
    <w:rsid w:val="005D5476"/>
    <w:rsid w:val="005D550E"/>
    <w:rsid w:val="005D5512"/>
    <w:rsid w:val="005D5578"/>
    <w:rsid w:val="005D5589"/>
    <w:rsid w:val="005D55C8"/>
    <w:rsid w:val="005D55CD"/>
    <w:rsid w:val="005D56DD"/>
    <w:rsid w:val="005D571F"/>
    <w:rsid w:val="005D5743"/>
    <w:rsid w:val="005D57C0"/>
    <w:rsid w:val="005D5832"/>
    <w:rsid w:val="005D58C8"/>
    <w:rsid w:val="005D59BE"/>
    <w:rsid w:val="005D59E1"/>
    <w:rsid w:val="005D5AAA"/>
    <w:rsid w:val="005D5CCC"/>
    <w:rsid w:val="005D5CCD"/>
    <w:rsid w:val="005D5CDF"/>
    <w:rsid w:val="005D5D0A"/>
    <w:rsid w:val="005D5EC7"/>
    <w:rsid w:val="005D5F69"/>
    <w:rsid w:val="005D6014"/>
    <w:rsid w:val="005D603A"/>
    <w:rsid w:val="005D6040"/>
    <w:rsid w:val="005D611B"/>
    <w:rsid w:val="005D615D"/>
    <w:rsid w:val="005D61F8"/>
    <w:rsid w:val="005D621C"/>
    <w:rsid w:val="005D623C"/>
    <w:rsid w:val="005D6259"/>
    <w:rsid w:val="005D63CB"/>
    <w:rsid w:val="005D6453"/>
    <w:rsid w:val="005D64E2"/>
    <w:rsid w:val="005D65DD"/>
    <w:rsid w:val="005D65F5"/>
    <w:rsid w:val="005D6648"/>
    <w:rsid w:val="005D6657"/>
    <w:rsid w:val="005D67BA"/>
    <w:rsid w:val="005D67CC"/>
    <w:rsid w:val="005D67DF"/>
    <w:rsid w:val="005D67EC"/>
    <w:rsid w:val="005D6829"/>
    <w:rsid w:val="005D6884"/>
    <w:rsid w:val="005D689B"/>
    <w:rsid w:val="005D6922"/>
    <w:rsid w:val="005D6A08"/>
    <w:rsid w:val="005D6AAA"/>
    <w:rsid w:val="005D6AC2"/>
    <w:rsid w:val="005D6AD9"/>
    <w:rsid w:val="005D6BB2"/>
    <w:rsid w:val="005D6BC4"/>
    <w:rsid w:val="005D6C4E"/>
    <w:rsid w:val="005D6E02"/>
    <w:rsid w:val="005D6E30"/>
    <w:rsid w:val="005D6F65"/>
    <w:rsid w:val="005D70E8"/>
    <w:rsid w:val="005D70FA"/>
    <w:rsid w:val="005D71AD"/>
    <w:rsid w:val="005D7214"/>
    <w:rsid w:val="005D721B"/>
    <w:rsid w:val="005D721E"/>
    <w:rsid w:val="005D765C"/>
    <w:rsid w:val="005D767C"/>
    <w:rsid w:val="005D76A6"/>
    <w:rsid w:val="005D773E"/>
    <w:rsid w:val="005D77DA"/>
    <w:rsid w:val="005D77E5"/>
    <w:rsid w:val="005D7818"/>
    <w:rsid w:val="005D7863"/>
    <w:rsid w:val="005D7975"/>
    <w:rsid w:val="005D799B"/>
    <w:rsid w:val="005D7A72"/>
    <w:rsid w:val="005D7F00"/>
    <w:rsid w:val="005D7F6A"/>
    <w:rsid w:val="005D7F79"/>
    <w:rsid w:val="005D7FBB"/>
    <w:rsid w:val="005E028F"/>
    <w:rsid w:val="005E0332"/>
    <w:rsid w:val="005E033B"/>
    <w:rsid w:val="005E0399"/>
    <w:rsid w:val="005E05FA"/>
    <w:rsid w:val="005E0627"/>
    <w:rsid w:val="005E0655"/>
    <w:rsid w:val="005E0785"/>
    <w:rsid w:val="005E07D5"/>
    <w:rsid w:val="005E0899"/>
    <w:rsid w:val="005E08BB"/>
    <w:rsid w:val="005E095C"/>
    <w:rsid w:val="005E0AF4"/>
    <w:rsid w:val="005E0B5B"/>
    <w:rsid w:val="005E0C48"/>
    <w:rsid w:val="005E0CEE"/>
    <w:rsid w:val="005E0E05"/>
    <w:rsid w:val="005E0E6D"/>
    <w:rsid w:val="005E0F59"/>
    <w:rsid w:val="005E0F7C"/>
    <w:rsid w:val="005E0FEF"/>
    <w:rsid w:val="005E1072"/>
    <w:rsid w:val="005E10E5"/>
    <w:rsid w:val="005E10F2"/>
    <w:rsid w:val="005E1119"/>
    <w:rsid w:val="005E111F"/>
    <w:rsid w:val="005E120B"/>
    <w:rsid w:val="005E138A"/>
    <w:rsid w:val="005E13A2"/>
    <w:rsid w:val="005E1580"/>
    <w:rsid w:val="005E1591"/>
    <w:rsid w:val="005E159D"/>
    <w:rsid w:val="005E15DE"/>
    <w:rsid w:val="005E1726"/>
    <w:rsid w:val="005E172C"/>
    <w:rsid w:val="005E190D"/>
    <w:rsid w:val="005E191F"/>
    <w:rsid w:val="005E197F"/>
    <w:rsid w:val="005E1A32"/>
    <w:rsid w:val="005E1A3D"/>
    <w:rsid w:val="005E1B96"/>
    <w:rsid w:val="005E1BD6"/>
    <w:rsid w:val="005E1BE2"/>
    <w:rsid w:val="005E1BE7"/>
    <w:rsid w:val="005E1C1B"/>
    <w:rsid w:val="005E1C39"/>
    <w:rsid w:val="005E1C51"/>
    <w:rsid w:val="005E1D19"/>
    <w:rsid w:val="005E1D43"/>
    <w:rsid w:val="005E1D90"/>
    <w:rsid w:val="005E1EA6"/>
    <w:rsid w:val="005E20BA"/>
    <w:rsid w:val="005E20FC"/>
    <w:rsid w:val="005E2132"/>
    <w:rsid w:val="005E2141"/>
    <w:rsid w:val="005E214D"/>
    <w:rsid w:val="005E2227"/>
    <w:rsid w:val="005E22F8"/>
    <w:rsid w:val="005E22F9"/>
    <w:rsid w:val="005E2396"/>
    <w:rsid w:val="005E2436"/>
    <w:rsid w:val="005E2462"/>
    <w:rsid w:val="005E2466"/>
    <w:rsid w:val="005E2505"/>
    <w:rsid w:val="005E258C"/>
    <w:rsid w:val="005E2698"/>
    <w:rsid w:val="005E26EA"/>
    <w:rsid w:val="005E27EE"/>
    <w:rsid w:val="005E2822"/>
    <w:rsid w:val="005E2850"/>
    <w:rsid w:val="005E28A4"/>
    <w:rsid w:val="005E290F"/>
    <w:rsid w:val="005E2923"/>
    <w:rsid w:val="005E295B"/>
    <w:rsid w:val="005E2980"/>
    <w:rsid w:val="005E29A9"/>
    <w:rsid w:val="005E29FA"/>
    <w:rsid w:val="005E29FE"/>
    <w:rsid w:val="005E2B0B"/>
    <w:rsid w:val="005E2B73"/>
    <w:rsid w:val="005E2B81"/>
    <w:rsid w:val="005E2BFD"/>
    <w:rsid w:val="005E2C7C"/>
    <w:rsid w:val="005E2CAD"/>
    <w:rsid w:val="005E2CC8"/>
    <w:rsid w:val="005E2CDA"/>
    <w:rsid w:val="005E2DF9"/>
    <w:rsid w:val="005E2EB5"/>
    <w:rsid w:val="005E2F45"/>
    <w:rsid w:val="005E2FDB"/>
    <w:rsid w:val="005E308C"/>
    <w:rsid w:val="005E33B2"/>
    <w:rsid w:val="005E33B8"/>
    <w:rsid w:val="005E34A8"/>
    <w:rsid w:val="005E3501"/>
    <w:rsid w:val="005E3552"/>
    <w:rsid w:val="005E35C4"/>
    <w:rsid w:val="005E35E6"/>
    <w:rsid w:val="005E36A3"/>
    <w:rsid w:val="005E36FF"/>
    <w:rsid w:val="005E381D"/>
    <w:rsid w:val="005E3822"/>
    <w:rsid w:val="005E3954"/>
    <w:rsid w:val="005E39AA"/>
    <w:rsid w:val="005E3B7F"/>
    <w:rsid w:val="005E3C12"/>
    <w:rsid w:val="005E3C64"/>
    <w:rsid w:val="005E3C78"/>
    <w:rsid w:val="005E3CFF"/>
    <w:rsid w:val="005E3E90"/>
    <w:rsid w:val="005E3EF3"/>
    <w:rsid w:val="005E3F11"/>
    <w:rsid w:val="005E3F69"/>
    <w:rsid w:val="005E3F7D"/>
    <w:rsid w:val="005E3F88"/>
    <w:rsid w:val="005E4076"/>
    <w:rsid w:val="005E40AC"/>
    <w:rsid w:val="005E40CF"/>
    <w:rsid w:val="005E40DE"/>
    <w:rsid w:val="005E4101"/>
    <w:rsid w:val="005E416D"/>
    <w:rsid w:val="005E428C"/>
    <w:rsid w:val="005E429C"/>
    <w:rsid w:val="005E42DE"/>
    <w:rsid w:val="005E433C"/>
    <w:rsid w:val="005E4462"/>
    <w:rsid w:val="005E45E7"/>
    <w:rsid w:val="005E463A"/>
    <w:rsid w:val="005E46EB"/>
    <w:rsid w:val="005E4812"/>
    <w:rsid w:val="005E4902"/>
    <w:rsid w:val="005E4A98"/>
    <w:rsid w:val="005E4AD9"/>
    <w:rsid w:val="005E4B1C"/>
    <w:rsid w:val="005E4B2B"/>
    <w:rsid w:val="005E4D5E"/>
    <w:rsid w:val="005E4DA2"/>
    <w:rsid w:val="005E4DB2"/>
    <w:rsid w:val="005E4E05"/>
    <w:rsid w:val="005E4EB0"/>
    <w:rsid w:val="005E4F25"/>
    <w:rsid w:val="005E4F38"/>
    <w:rsid w:val="005E4F3B"/>
    <w:rsid w:val="005E4F66"/>
    <w:rsid w:val="005E5001"/>
    <w:rsid w:val="005E5018"/>
    <w:rsid w:val="005E54D1"/>
    <w:rsid w:val="005E555B"/>
    <w:rsid w:val="005E567D"/>
    <w:rsid w:val="005E569B"/>
    <w:rsid w:val="005E5798"/>
    <w:rsid w:val="005E586B"/>
    <w:rsid w:val="005E590F"/>
    <w:rsid w:val="005E594D"/>
    <w:rsid w:val="005E5973"/>
    <w:rsid w:val="005E59E6"/>
    <w:rsid w:val="005E5D9F"/>
    <w:rsid w:val="005E5DDD"/>
    <w:rsid w:val="005E5E1D"/>
    <w:rsid w:val="005E609F"/>
    <w:rsid w:val="005E6118"/>
    <w:rsid w:val="005E6145"/>
    <w:rsid w:val="005E620A"/>
    <w:rsid w:val="005E629D"/>
    <w:rsid w:val="005E6659"/>
    <w:rsid w:val="005E67E3"/>
    <w:rsid w:val="005E684B"/>
    <w:rsid w:val="005E6AE6"/>
    <w:rsid w:val="005E6B49"/>
    <w:rsid w:val="005E6C15"/>
    <w:rsid w:val="005E6C2E"/>
    <w:rsid w:val="005E6C45"/>
    <w:rsid w:val="005E6C5A"/>
    <w:rsid w:val="005E6E17"/>
    <w:rsid w:val="005E6F6E"/>
    <w:rsid w:val="005E7035"/>
    <w:rsid w:val="005E703E"/>
    <w:rsid w:val="005E70DE"/>
    <w:rsid w:val="005E71B0"/>
    <w:rsid w:val="005E71EE"/>
    <w:rsid w:val="005E7228"/>
    <w:rsid w:val="005E72A1"/>
    <w:rsid w:val="005E7321"/>
    <w:rsid w:val="005E7376"/>
    <w:rsid w:val="005E738E"/>
    <w:rsid w:val="005E7467"/>
    <w:rsid w:val="005E754B"/>
    <w:rsid w:val="005E755E"/>
    <w:rsid w:val="005E75AA"/>
    <w:rsid w:val="005E7645"/>
    <w:rsid w:val="005E767A"/>
    <w:rsid w:val="005E76C6"/>
    <w:rsid w:val="005E7702"/>
    <w:rsid w:val="005E771D"/>
    <w:rsid w:val="005E7759"/>
    <w:rsid w:val="005E77BF"/>
    <w:rsid w:val="005E7856"/>
    <w:rsid w:val="005E7861"/>
    <w:rsid w:val="005E789A"/>
    <w:rsid w:val="005E78E4"/>
    <w:rsid w:val="005E79E2"/>
    <w:rsid w:val="005E7ACD"/>
    <w:rsid w:val="005E7CC4"/>
    <w:rsid w:val="005E7DDB"/>
    <w:rsid w:val="005E7E2A"/>
    <w:rsid w:val="005E7EE8"/>
    <w:rsid w:val="005E7F16"/>
    <w:rsid w:val="005E7FA9"/>
    <w:rsid w:val="005F0067"/>
    <w:rsid w:val="005F00F8"/>
    <w:rsid w:val="005F01CC"/>
    <w:rsid w:val="005F01D0"/>
    <w:rsid w:val="005F02D1"/>
    <w:rsid w:val="005F0318"/>
    <w:rsid w:val="005F0333"/>
    <w:rsid w:val="005F03C1"/>
    <w:rsid w:val="005F0437"/>
    <w:rsid w:val="005F043A"/>
    <w:rsid w:val="005F0545"/>
    <w:rsid w:val="005F05FC"/>
    <w:rsid w:val="005F0633"/>
    <w:rsid w:val="005F069A"/>
    <w:rsid w:val="005F06D9"/>
    <w:rsid w:val="005F073E"/>
    <w:rsid w:val="005F0778"/>
    <w:rsid w:val="005F07F6"/>
    <w:rsid w:val="005F09CD"/>
    <w:rsid w:val="005F0A0B"/>
    <w:rsid w:val="005F0AA9"/>
    <w:rsid w:val="005F0AF7"/>
    <w:rsid w:val="005F0B04"/>
    <w:rsid w:val="005F0D44"/>
    <w:rsid w:val="005F0D68"/>
    <w:rsid w:val="005F0E09"/>
    <w:rsid w:val="005F0E80"/>
    <w:rsid w:val="005F1042"/>
    <w:rsid w:val="005F1198"/>
    <w:rsid w:val="005F11AE"/>
    <w:rsid w:val="005F11DF"/>
    <w:rsid w:val="005F124B"/>
    <w:rsid w:val="005F1253"/>
    <w:rsid w:val="005F1455"/>
    <w:rsid w:val="005F14E5"/>
    <w:rsid w:val="005F1557"/>
    <w:rsid w:val="005F15A2"/>
    <w:rsid w:val="005F163C"/>
    <w:rsid w:val="005F16A3"/>
    <w:rsid w:val="005F1707"/>
    <w:rsid w:val="005F1805"/>
    <w:rsid w:val="005F18C0"/>
    <w:rsid w:val="005F1905"/>
    <w:rsid w:val="005F1944"/>
    <w:rsid w:val="005F19D2"/>
    <w:rsid w:val="005F1A58"/>
    <w:rsid w:val="005F1A8F"/>
    <w:rsid w:val="005F1AC3"/>
    <w:rsid w:val="005F1B1B"/>
    <w:rsid w:val="005F1B21"/>
    <w:rsid w:val="005F1BE2"/>
    <w:rsid w:val="005F1CC8"/>
    <w:rsid w:val="005F1D5A"/>
    <w:rsid w:val="005F1DAE"/>
    <w:rsid w:val="005F1DD9"/>
    <w:rsid w:val="005F1E0E"/>
    <w:rsid w:val="005F1F83"/>
    <w:rsid w:val="005F20E3"/>
    <w:rsid w:val="005F2147"/>
    <w:rsid w:val="005F21C7"/>
    <w:rsid w:val="005F2258"/>
    <w:rsid w:val="005F22DB"/>
    <w:rsid w:val="005F2310"/>
    <w:rsid w:val="005F25D9"/>
    <w:rsid w:val="005F2724"/>
    <w:rsid w:val="005F27D5"/>
    <w:rsid w:val="005F28EF"/>
    <w:rsid w:val="005F298F"/>
    <w:rsid w:val="005F2A02"/>
    <w:rsid w:val="005F2A6C"/>
    <w:rsid w:val="005F2A8E"/>
    <w:rsid w:val="005F2AC9"/>
    <w:rsid w:val="005F2AE4"/>
    <w:rsid w:val="005F2BDD"/>
    <w:rsid w:val="005F2D5D"/>
    <w:rsid w:val="005F2D86"/>
    <w:rsid w:val="005F2D99"/>
    <w:rsid w:val="005F2E15"/>
    <w:rsid w:val="005F2E37"/>
    <w:rsid w:val="005F2EA6"/>
    <w:rsid w:val="005F2ECE"/>
    <w:rsid w:val="005F2EEC"/>
    <w:rsid w:val="005F2F65"/>
    <w:rsid w:val="005F2F8F"/>
    <w:rsid w:val="005F30EF"/>
    <w:rsid w:val="005F3129"/>
    <w:rsid w:val="005F31AA"/>
    <w:rsid w:val="005F31F3"/>
    <w:rsid w:val="005F320B"/>
    <w:rsid w:val="005F3311"/>
    <w:rsid w:val="005F337E"/>
    <w:rsid w:val="005F33A2"/>
    <w:rsid w:val="005F33FB"/>
    <w:rsid w:val="005F346D"/>
    <w:rsid w:val="005F34FC"/>
    <w:rsid w:val="005F35EB"/>
    <w:rsid w:val="005F35F0"/>
    <w:rsid w:val="005F35F6"/>
    <w:rsid w:val="005F362F"/>
    <w:rsid w:val="005F3653"/>
    <w:rsid w:val="005F3688"/>
    <w:rsid w:val="005F3836"/>
    <w:rsid w:val="005F394F"/>
    <w:rsid w:val="005F3A7F"/>
    <w:rsid w:val="005F3AA7"/>
    <w:rsid w:val="005F3AB4"/>
    <w:rsid w:val="005F3B6E"/>
    <w:rsid w:val="005F3BE6"/>
    <w:rsid w:val="005F3D63"/>
    <w:rsid w:val="005F3D7B"/>
    <w:rsid w:val="005F3E71"/>
    <w:rsid w:val="005F3F2B"/>
    <w:rsid w:val="005F4197"/>
    <w:rsid w:val="005F41B9"/>
    <w:rsid w:val="005F41BC"/>
    <w:rsid w:val="005F41E5"/>
    <w:rsid w:val="005F41FF"/>
    <w:rsid w:val="005F4208"/>
    <w:rsid w:val="005F42C6"/>
    <w:rsid w:val="005F44BA"/>
    <w:rsid w:val="005F44BE"/>
    <w:rsid w:val="005F44D4"/>
    <w:rsid w:val="005F4501"/>
    <w:rsid w:val="005F4554"/>
    <w:rsid w:val="005F459F"/>
    <w:rsid w:val="005F45BA"/>
    <w:rsid w:val="005F45CD"/>
    <w:rsid w:val="005F463B"/>
    <w:rsid w:val="005F4673"/>
    <w:rsid w:val="005F46CB"/>
    <w:rsid w:val="005F473C"/>
    <w:rsid w:val="005F475E"/>
    <w:rsid w:val="005F47EB"/>
    <w:rsid w:val="005F484B"/>
    <w:rsid w:val="005F486A"/>
    <w:rsid w:val="005F487D"/>
    <w:rsid w:val="005F4C03"/>
    <w:rsid w:val="005F4C22"/>
    <w:rsid w:val="005F4D9F"/>
    <w:rsid w:val="005F4DD4"/>
    <w:rsid w:val="005F4DF1"/>
    <w:rsid w:val="005F4E47"/>
    <w:rsid w:val="005F4E76"/>
    <w:rsid w:val="005F520F"/>
    <w:rsid w:val="005F525A"/>
    <w:rsid w:val="005F5271"/>
    <w:rsid w:val="005F52B1"/>
    <w:rsid w:val="005F54BD"/>
    <w:rsid w:val="005F54F5"/>
    <w:rsid w:val="005F5760"/>
    <w:rsid w:val="005F57A0"/>
    <w:rsid w:val="005F586F"/>
    <w:rsid w:val="005F58C8"/>
    <w:rsid w:val="005F5936"/>
    <w:rsid w:val="005F5AB3"/>
    <w:rsid w:val="005F5B63"/>
    <w:rsid w:val="005F5D5A"/>
    <w:rsid w:val="005F5EAE"/>
    <w:rsid w:val="005F5F7C"/>
    <w:rsid w:val="005F61D0"/>
    <w:rsid w:val="005F635C"/>
    <w:rsid w:val="005F6396"/>
    <w:rsid w:val="005F63D0"/>
    <w:rsid w:val="005F64B6"/>
    <w:rsid w:val="005F668E"/>
    <w:rsid w:val="005F67CD"/>
    <w:rsid w:val="005F68BA"/>
    <w:rsid w:val="005F68ED"/>
    <w:rsid w:val="005F68FD"/>
    <w:rsid w:val="005F692C"/>
    <w:rsid w:val="005F6B86"/>
    <w:rsid w:val="005F6BA7"/>
    <w:rsid w:val="005F6D13"/>
    <w:rsid w:val="005F6D1E"/>
    <w:rsid w:val="005F6D4C"/>
    <w:rsid w:val="005F6D95"/>
    <w:rsid w:val="005F6E17"/>
    <w:rsid w:val="005F6F7B"/>
    <w:rsid w:val="005F707E"/>
    <w:rsid w:val="005F70DB"/>
    <w:rsid w:val="005F7112"/>
    <w:rsid w:val="005F71AE"/>
    <w:rsid w:val="005F7209"/>
    <w:rsid w:val="005F7230"/>
    <w:rsid w:val="005F72DC"/>
    <w:rsid w:val="005F72DD"/>
    <w:rsid w:val="005F7334"/>
    <w:rsid w:val="005F7336"/>
    <w:rsid w:val="005F73AF"/>
    <w:rsid w:val="005F73FA"/>
    <w:rsid w:val="005F74B0"/>
    <w:rsid w:val="005F74C0"/>
    <w:rsid w:val="005F761B"/>
    <w:rsid w:val="005F7676"/>
    <w:rsid w:val="005F7760"/>
    <w:rsid w:val="005F7775"/>
    <w:rsid w:val="005F77B2"/>
    <w:rsid w:val="005F7823"/>
    <w:rsid w:val="005F7833"/>
    <w:rsid w:val="005F7839"/>
    <w:rsid w:val="005F793F"/>
    <w:rsid w:val="005F7A9E"/>
    <w:rsid w:val="005F7B03"/>
    <w:rsid w:val="005F7B48"/>
    <w:rsid w:val="005F7BE3"/>
    <w:rsid w:val="005F7C5E"/>
    <w:rsid w:val="005F7CDE"/>
    <w:rsid w:val="005F7D7C"/>
    <w:rsid w:val="005F7F38"/>
    <w:rsid w:val="00600152"/>
    <w:rsid w:val="006001BD"/>
    <w:rsid w:val="006002AB"/>
    <w:rsid w:val="00600477"/>
    <w:rsid w:val="00600602"/>
    <w:rsid w:val="00600723"/>
    <w:rsid w:val="00600808"/>
    <w:rsid w:val="00600856"/>
    <w:rsid w:val="006008D0"/>
    <w:rsid w:val="006009D1"/>
    <w:rsid w:val="00600A92"/>
    <w:rsid w:val="00600B4C"/>
    <w:rsid w:val="00600B90"/>
    <w:rsid w:val="00600B9D"/>
    <w:rsid w:val="00600BDA"/>
    <w:rsid w:val="00600D1C"/>
    <w:rsid w:val="00600ED9"/>
    <w:rsid w:val="00600EF9"/>
    <w:rsid w:val="00600F61"/>
    <w:rsid w:val="0060102F"/>
    <w:rsid w:val="006010EF"/>
    <w:rsid w:val="00601195"/>
    <w:rsid w:val="006011E4"/>
    <w:rsid w:val="00601245"/>
    <w:rsid w:val="0060139B"/>
    <w:rsid w:val="00601527"/>
    <w:rsid w:val="0060168B"/>
    <w:rsid w:val="00601792"/>
    <w:rsid w:val="0060180B"/>
    <w:rsid w:val="00601876"/>
    <w:rsid w:val="0060188C"/>
    <w:rsid w:val="00601AF6"/>
    <w:rsid w:val="00601B6F"/>
    <w:rsid w:val="00601BDA"/>
    <w:rsid w:val="00601BDC"/>
    <w:rsid w:val="00601BEA"/>
    <w:rsid w:val="00601C1E"/>
    <w:rsid w:val="00601C76"/>
    <w:rsid w:val="00601C92"/>
    <w:rsid w:val="00601CAB"/>
    <w:rsid w:val="00601CAF"/>
    <w:rsid w:val="00601CEC"/>
    <w:rsid w:val="0060208C"/>
    <w:rsid w:val="00602281"/>
    <w:rsid w:val="0060228A"/>
    <w:rsid w:val="006022CF"/>
    <w:rsid w:val="006023A2"/>
    <w:rsid w:val="006024C9"/>
    <w:rsid w:val="00602549"/>
    <w:rsid w:val="00602551"/>
    <w:rsid w:val="00602647"/>
    <w:rsid w:val="0060264B"/>
    <w:rsid w:val="00602720"/>
    <w:rsid w:val="0060286E"/>
    <w:rsid w:val="00602AC2"/>
    <w:rsid w:val="00602AD9"/>
    <w:rsid w:val="00602B83"/>
    <w:rsid w:val="00602C2B"/>
    <w:rsid w:val="00602C3C"/>
    <w:rsid w:val="00602CD2"/>
    <w:rsid w:val="00602CF2"/>
    <w:rsid w:val="00602D5A"/>
    <w:rsid w:val="00602E2E"/>
    <w:rsid w:val="00602E31"/>
    <w:rsid w:val="00602E79"/>
    <w:rsid w:val="00602EBB"/>
    <w:rsid w:val="00602FB4"/>
    <w:rsid w:val="00602FF0"/>
    <w:rsid w:val="00602FFB"/>
    <w:rsid w:val="00603024"/>
    <w:rsid w:val="006030AD"/>
    <w:rsid w:val="006030AF"/>
    <w:rsid w:val="0060320D"/>
    <w:rsid w:val="00603271"/>
    <w:rsid w:val="00603274"/>
    <w:rsid w:val="006032D6"/>
    <w:rsid w:val="0060339A"/>
    <w:rsid w:val="0060339B"/>
    <w:rsid w:val="00603461"/>
    <w:rsid w:val="006035C9"/>
    <w:rsid w:val="0060360B"/>
    <w:rsid w:val="006036E3"/>
    <w:rsid w:val="0060385C"/>
    <w:rsid w:val="00603A70"/>
    <w:rsid w:val="00603B12"/>
    <w:rsid w:val="00603B23"/>
    <w:rsid w:val="00603CA1"/>
    <w:rsid w:val="00603CFC"/>
    <w:rsid w:val="00603D00"/>
    <w:rsid w:val="00603E14"/>
    <w:rsid w:val="00603F4B"/>
    <w:rsid w:val="00603FC5"/>
    <w:rsid w:val="00604017"/>
    <w:rsid w:val="00604160"/>
    <w:rsid w:val="006042C5"/>
    <w:rsid w:val="0060430C"/>
    <w:rsid w:val="00604314"/>
    <w:rsid w:val="006043E6"/>
    <w:rsid w:val="00604435"/>
    <w:rsid w:val="006044A3"/>
    <w:rsid w:val="00604576"/>
    <w:rsid w:val="006045CC"/>
    <w:rsid w:val="0060472E"/>
    <w:rsid w:val="00604792"/>
    <w:rsid w:val="00604869"/>
    <w:rsid w:val="006048EF"/>
    <w:rsid w:val="00604969"/>
    <w:rsid w:val="00604CA3"/>
    <w:rsid w:val="00604E92"/>
    <w:rsid w:val="00604EE9"/>
    <w:rsid w:val="00604EED"/>
    <w:rsid w:val="00604F50"/>
    <w:rsid w:val="00604F98"/>
    <w:rsid w:val="00604FD9"/>
    <w:rsid w:val="00605044"/>
    <w:rsid w:val="006050B0"/>
    <w:rsid w:val="006050E1"/>
    <w:rsid w:val="0060510E"/>
    <w:rsid w:val="00605199"/>
    <w:rsid w:val="006053E9"/>
    <w:rsid w:val="006054D8"/>
    <w:rsid w:val="0060562C"/>
    <w:rsid w:val="00605659"/>
    <w:rsid w:val="0060567F"/>
    <w:rsid w:val="0060575C"/>
    <w:rsid w:val="006058CE"/>
    <w:rsid w:val="006058FD"/>
    <w:rsid w:val="0060594D"/>
    <w:rsid w:val="006059D2"/>
    <w:rsid w:val="00605B00"/>
    <w:rsid w:val="00605B0B"/>
    <w:rsid w:val="00605B91"/>
    <w:rsid w:val="00605E3A"/>
    <w:rsid w:val="00605E55"/>
    <w:rsid w:val="00605F62"/>
    <w:rsid w:val="00605F65"/>
    <w:rsid w:val="00605F6D"/>
    <w:rsid w:val="00605F83"/>
    <w:rsid w:val="00605F8D"/>
    <w:rsid w:val="0060602C"/>
    <w:rsid w:val="00606052"/>
    <w:rsid w:val="0060608E"/>
    <w:rsid w:val="0060611C"/>
    <w:rsid w:val="00606120"/>
    <w:rsid w:val="006061F3"/>
    <w:rsid w:val="00606212"/>
    <w:rsid w:val="00606328"/>
    <w:rsid w:val="0060643F"/>
    <w:rsid w:val="00606489"/>
    <w:rsid w:val="00606511"/>
    <w:rsid w:val="00606617"/>
    <w:rsid w:val="0060677D"/>
    <w:rsid w:val="0060683E"/>
    <w:rsid w:val="0060686B"/>
    <w:rsid w:val="00606898"/>
    <w:rsid w:val="00606911"/>
    <w:rsid w:val="006069C4"/>
    <w:rsid w:val="006069DC"/>
    <w:rsid w:val="00606A82"/>
    <w:rsid w:val="00606B47"/>
    <w:rsid w:val="00606C47"/>
    <w:rsid w:val="00606C60"/>
    <w:rsid w:val="00606D2A"/>
    <w:rsid w:val="00606D4D"/>
    <w:rsid w:val="00606DAF"/>
    <w:rsid w:val="00606E02"/>
    <w:rsid w:val="00606E48"/>
    <w:rsid w:val="00606E6D"/>
    <w:rsid w:val="00606F09"/>
    <w:rsid w:val="00607004"/>
    <w:rsid w:val="0060727D"/>
    <w:rsid w:val="0060731B"/>
    <w:rsid w:val="006074A1"/>
    <w:rsid w:val="0060759C"/>
    <w:rsid w:val="0060765E"/>
    <w:rsid w:val="006077CD"/>
    <w:rsid w:val="00607862"/>
    <w:rsid w:val="0060788A"/>
    <w:rsid w:val="006078DF"/>
    <w:rsid w:val="006078FD"/>
    <w:rsid w:val="006079A2"/>
    <w:rsid w:val="00607B18"/>
    <w:rsid w:val="00607BB3"/>
    <w:rsid w:val="00607BCB"/>
    <w:rsid w:val="00607BF7"/>
    <w:rsid w:val="00607D5B"/>
    <w:rsid w:val="00607DA9"/>
    <w:rsid w:val="00607DBE"/>
    <w:rsid w:val="00607E1C"/>
    <w:rsid w:val="00607F9A"/>
    <w:rsid w:val="00610055"/>
    <w:rsid w:val="00610275"/>
    <w:rsid w:val="006102EE"/>
    <w:rsid w:val="00610319"/>
    <w:rsid w:val="00610354"/>
    <w:rsid w:val="006104B9"/>
    <w:rsid w:val="0061050D"/>
    <w:rsid w:val="00610592"/>
    <w:rsid w:val="00610828"/>
    <w:rsid w:val="00610873"/>
    <w:rsid w:val="006108A4"/>
    <w:rsid w:val="00610C28"/>
    <w:rsid w:val="00610C3F"/>
    <w:rsid w:val="00610CA0"/>
    <w:rsid w:val="00610CA4"/>
    <w:rsid w:val="00610CC7"/>
    <w:rsid w:val="00610CD8"/>
    <w:rsid w:val="00610D6F"/>
    <w:rsid w:val="00610E5D"/>
    <w:rsid w:val="00610EEB"/>
    <w:rsid w:val="00610F6C"/>
    <w:rsid w:val="0061100C"/>
    <w:rsid w:val="00611129"/>
    <w:rsid w:val="0061112F"/>
    <w:rsid w:val="0061120C"/>
    <w:rsid w:val="00611268"/>
    <w:rsid w:val="00611283"/>
    <w:rsid w:val="0061130A"/>
    <w:rsid w:val="00611313"/>
    <w:rsid w:val="0061134D"/>
    <w:rsid w:val="00611359"/>
    <w:rsid w:val="006114C7"/>
    <w:rsid w:val="006115EC"/>
    <w:rsid w:val="00611609"/>
    <w:rsid w:val="00611650"/>
    <w:rsid w:val="0061168F"/>
    <w:rsid w:val="006116A4"/>
    <w:rsid w:val="00611788"/>
    <w:rsid w:val="00611795"/>
    <w:rsid w:val="006117DE"/>
    <w:rsid w:val="00611819"/>
    <w:rsid w:val="006118F1"/>
    <w:rsid w:val="00611912"/>
    <w:rsid w:val="00611AB9"/>
    <w:rsid w:val="00611CA4"/>
    <w:rsid w:val="00611D10"/>
    <w:rsid w:val="00611E30"/>
    <w:rsid w:val="00611F96"/>
    <w:rsid w:val="0061213F"/>
    <w:rsid w:val="006121E1"/>
    <w:rsid w:val="00612232"/>
    <w:rsid w:val="006122A4"/>
    <w:rsid w:val="006122DF"/>
    <w:rsid w:val="00612322"/>
    <w:rsid w:val="0061246F"/>
    <w:rsid w:val="00612537"/>
    <w:rsid w:val="00612563"/>
    <w:rsid w:val="006125F8"/>
    <w:rsid w:val="00612643"/>
    <w:rsid w:val="006126B6"/>
    <w:rsid w:val="006126E9"/>
    <w:rsid w:val="006126EA"/>
    <w:rsid w:val="0061273F"/>
    <w:rsid w:val="006128EB"/>
    <w:rsid w:val="0061291B"/>
    <w:rsid w:val="00612991"/>
    <w:rsid w:val="00612995"/>
    <w:rsid w:val="006129E5"/>
    <w:rsid w:val="00612A1D"/>
    <w:rsid w:val="00612A78"/>
    <w:rsid w:val="00612ADB"/>
    <w:rsid w:val="00612B81"/>
    <w:rsid w:val="00612C35"/>
    <w:rsid w:val="00612C51"/>
    <w:rsid w:val="00612C83"/>
    <w:rsid w:val="00612CE7"/>
    <w:rsid w:val="00612D1F"/>
    <w:rsid w:val="00612D76"/>
    <w:rsid w:val="00612D94"/>
    <w:rsid w:val="00612DAE"/>
    <w:rsid w:val="00612E7F"/>
    <w:rsid w:val="00612ECE"/>
    <w:rsid w:val="00612F6D"/>
    <w:rsid w:val="00612FB3"/>
    <w:rsid w:val="00612FC6"/>
    <w:rsid w:val="00613050"/>
    <w:rsid w:val="00613090"/>
    <w:rsid w:val="006133D5"/>
    <w:rsid w:val="00613799"/>
    <w:rsid w:val="00613820"/>
    <w:rsid w:val="006138A3"/>
    <w:rsid w:val="0061394E"/>
    <w:rsid w:val="006139BD"/>
    <w:rsid w:val="00613A56"/>
    <w:rsid w:val="00613AB9"/>
    <w:rsid w:val="00613AEF"/>
    <w:rsid w:val="00613C27"/>
    <w:rsid w:val="00613D01"/>
    <w:rsid w:val="00613D60"/>
    <w:rsid w:val="00613DCD"/>
    <w:rsid w:val="00613E84"/>
    <w:rsid w:val="00613F17"/>
    <w:rsid w:val="00613F21"/>
    <w:rsid w:val="00614054"/>
    <w:rsid w:val="0061405F"/>
    <w:rsid w:val="0061414E"/>
    <w:rsid w:val="006143AA"/>
    <w:rsid w:val="006143E9"/>
    <w:rsid w:val="00614487"/>
    <w:rsid w:val="00614590"/>
    <w:rsid w:val="0061459B"/>
    <w:rsid w:val="006145B7"/>
    <w:rsid w:val="0061460C"/>
    <w:rsid w:val="00614622"/>
    <w:rsid w:val="00614723"/>
    <w:rsid w:val="006147E2"/>
    <w:rsid w:val="0061491B"/>
    <w:rsid w:val="00614953"/>
    <w:rsid w:val="00614A68"/>
    <w:rsid w:val="00614B47"/>
    <w:rsid w:val="00614BB9"/>
    <w:rsid w:val="00614BDE"/>
    <w:rsid w:val="00614D8A"/>
    <w:rsid w:val="00614E03"/>
    <w:rsid w:val="00614E69"/>
    <w:rsid w:val="00614EC2"/>
    <w:rsid w:val="0061509B"/>
    <w:rsid w:val="006151B7"/>
    <w:rsid w:val="0061543F"/>
    <w:rsid w:val="0061545D"/>
    <w:rsid w:val="006154C2"/>
    <w:rsid w:val="006154F5"/>
    <w:rsid w:val="00615630"/>
    <w:rsid w:val="00615655"/>
    <w:rsid w:val="00615707"/>
    <w:rsid w:val="0061575C"/>
    <w:rsid w:val="0061577F"/>
    <w:rsid w:val="0061578E"/>
    <w:rsid w:val="00615924"/>
    <w:rsid w:val="00615AC2"/>
    <w:rsid w:val="00615B30"/>
    <w:rsid w:val="00615C10"/>
    <w:rsid w:val="00615C15"/>
    <w:rsid w:val="00615C44"/>
    <w:rsid w:val="00615C62"/>
    <w:rsid w:val="00615C81"/>
    <w:rsid w:val="00615D2F"/>
    <w:rsid w:val="00615D37"/>
    <w:rsid w:val="00615D3E"/>
    <w:rsid w:val="00615D46"/>
    <w:rsid w:val="00615DD1"/>
    <w:rsid w:val="00615E04"/>
    <w:rsid w:val="00615E18"/>
    <w:rsid w:val="00615ECA"/>
    <w:rsid w:val="00615F2B"/>
    <w:rsid w:val="00615F71"/>
    <w:rsid w:val="00615F77"/>
    <w:rsid w:val="00616009"/>
    <w:rsid w:val="0061624E"/>
    <w:rsid w:val="006162A2"/>
    <w:rsid w:val="006162D9"/>
    <w:rsid w:val="00616341"/>
    <w:rsid w:val="00616376"/>
    <w:rsid w:val="00616468"/>
    <w:rsid w:val="006164F6"/>
    <w:rsid w:val="0061659C"/>
    <w:rsid w:val="006165EA"/>
    <w:rsid w:val="00616643"/>
    <w:rsid w:val="00616754"/>
    <w:rsid w:val="00616847"/>
    <w:rsid w:val="00616929"/>
    <w:rsid w:val="0061693F"/>
    <w:rsid w:val="00616971"/>
    <w:rsid w:val="00616A0F"/>
    <w:rsid w:val="00616A13"/>
    <w:rsid w:val="00616BCF"/>
    <w:rsid w:val="00616C1F"/>
    <w:rsid w:val="00616CF2"/>
    <w:rsid w:val="00616D1E"/>
    <w:rsid w:val="00616D58"/>
    <w:rsid w:val="00616E5F"/>
    <w:rsid w:val="00616E9B"/>
    <w:rsid w:val="00616EAC"/>
    <w:rsid w:val="00616F52"/>
    <w:rsid w:val="00616F65"/>
    <w:rsid w:val="00616FA8"/>
    <w:rsid w:val="006170B6"/>
    <w:rsid w:val="006171C0"/>
    <w:rsid w:val="006171DC"/>
    <w:rsid w:val="006171FE"/>
    <w:rsid w:val="0061721D"/>
    <w:rsid w:val="00617236"/>
    <w:rsid w:val="0061748D"/>
    <w:rsid w:val="00617537"/>
    <w:rsid w:val="006175DD"/>
    <w:rsid w:val="00617636"/>
    <w:rsid w:val="0061779D"/>
    <w:rsid w:val="006177DF"/>
    <w:rsid w:val="00617831"/>
    <w:rsid w:val="00617870"/>
    <w:rsid w:val="006178F7"/>
    <w:rsid w:val="00617A16"/>
    <w:rsid w:val="00617AA9"/>
    <w:rsid w:val="00617B6F"/>
    <w:rsid w:val="00617B80"/>
    <w:rsid w:val="00617C2C"/>
    <w:rsid w:val="00617C3E"/>
    <w:rsid w:val="00617ECD"/>
    <w:rsid w:val="00617ED0"/>
    <w:rsid w:val="00620015"/>
    <w:rsid w:val="00620152"/>
    <w:rsid w:val="00620163"/>
    <w:rsid w:val="00620165"/>
    <w:rsid w:val="00620189"/>
    <w:rsid w:val="006202F4"/>
    <w:rsid w:val="00620384"/>
    <w:rsid w:val="00620424"/>
    <w:rsid w:val="006204A6"/>
    <w:rsid w:val="0062053D"/>
    <w:rsid w:val="0062066B"/>
    <w:rsid w:val="00620786"/>
    <w:rsid w:val="006207B9"/>
    <w:rsid w:val="006207C7"/>
    <w:rsid w:val="0062086F"/>
    <w:rsid w:val="006209F6"/>
    <w:rsid w:val="00620A3A"/>
    <w:rsid w:val="00620A5B"/>
    <w:rsid w:val="00620ADB"/>
    <w:rsid w:val="00620B63"/>
    <w:rsid w:val="00620C74"/>
    <w:rsid w:val="00620CA1"/>
    <w:rsid w:val="00620CCC"/>
    <w:rsid w:val="00620D0D"/>
    <w:rsid w:val="00620D53"/>
    <w:rsid w:val="00620D9D"/>
    <w:rsid w:val="00620D9E"/>
    <w:rsid w:val="00620F43"/>
    <w:rsid w:val="006210E0"/>
    <w:rsid w:val="00621128"/>
    <w:rsid w:val="0062118C"/>
    <w:rsid w:val="00621218"/>
    <w:rsid w:val="00621245"/>
    <w:rsid w:val="006213DC"/>
    <w:rsid w:val="00621540"/>
    <w:rsid w:val="00621546"/>
    <w:rsid w:val="00621553"/>
    <w:rsid w:val="00621698"/>
    <w:rsid w:val="00621787"/>
    <w:rsid w:val="006217A2"/>
    <w:rsid w:val="0062184A"/>
    <w:rsid w:val="006218BA"/>
    <w:rsid w:val="006218EE"/>
    <w:rsid w:val="006219F8"/>
    <w:rsid w:val="00621A06"/>
    <w:rsid w:val="00621A2F"/>
    <w:rsid w:val="00621A50"/>
    <w:rsid w:val="00621BAE"/>
    <w:rsid w:val="00621BDB"/>
    <w:rsid w:val="00621CF6"/>
    <w:rsid w:val="00621DE2"/>
    <w:rsid w:val="00621E1D"/>
    <w:rsid w:val="00621F1E"/>
    <w:rsid w:val="00621F80"/>
    <w:rsid w:val="00621F91"/>
    <w:rsid w:val="006220B1"/>
    <w:rsid w:val="0062220E"/>
    <w:rsid w:val="006222F7"/>
    <w:rsid w:val="0062240F"/>
    <w:rsid w:val="006226F0"/>
    <w:rsid w:val="006226F7"/>
    <w:rsid w:val="00622754"/>
    <w:rsid w:val="00622767"/>
    <w:rsid w:val="006227EF"/>
    <w:rsid w:val="00622858"/>
    <w:rsid w:val="006228C0"/>
    <w:rsid w:val="0062292E"/>
    <w:rsid w:val="00622936"/>
    <w:rsid w:val="00622A47"/>
    <w:rsid w:val="00622A6B"/>
    <w:rsid w:val="00622ADC"/>
    <w:rsid w:val="00622AEB"/>
    <w:rsid w:val="00622BB5"/>
    <w:rsid w:val="00622C69"/>
    <w:rsid w:val="00622CBB"/>
    <w:rsid w:val="00622D4D"/>
    <w:rsid w:val="00622DBC"/>
    <w:rsid w:val="00622F60"/>
    <w:rsid w:val="006230D4"/>
    <w:rsid w:val="00623223"/>
    <w:rsid w:val="00623234"/>
    <w:rsid w:val="00623280"/>
    <w:rsid w:val="0062330D"/>
    <w:rsid w:val="0062336F"/>
    <w:rsid w:val="006233D6"/>
    <w:rsid w:val="006233FD"/>
    <w:rsid w:val="0062340E"/>
    <w:rsid w:val="00623511"/>
    <w:rsid w:val="006235CB"/>
    <w:rsid w:val="006235FC"/>
    <w:rsid w:val="0062373F"/>
    <w:rsid w:val="00623949"/>
    <w:rsid w:val="006239AB"/>
    <w:rsid w:val="006239E0"/>
    <w:rsid w:val="00623AC3"/>
    <w:rsid w:val="00623D58"/>
    <w:rsid w:val="00623D61"/>
    <w:rsid w:val="00623DCB"/>
    <w:rsid w:val="00623E02"/>
    <w:rsid w:val="00623F0A"/>
    <w:rsid w:val="00623F1D"/>
    <w:rsid w:val="00623FC7"/>
    <w:rsid w:val="00623FEE"/>
    <w:rsid w:val="00623FF4"/>
    <w:rsid w:val="0062404D"/>
    <w:rsid w:val="006242A2"/>
    <w:rsid w:val="00624408"/>
    <w:rsid w:val="0062445A"/>
    <w:rsid w:val="0062446F"/>
    <w:rsid w:val="0062452D"/>
    <w:rsid w:val="00624581"/>
    <w:rsid w:val="0062468F"/>
    <w:rsid w:val="00624800"/>
    <w:rsid w:val="00624918"/>
    <w:rsid w:val="00624997"/>
    <w:rsid w:val="00624BA1"/>
    <w:rsid w:val="00624BDA"/>
    <w:rsid w:val="00624C1C"/>
    <w:rsid w:val="00624C5E"/>
    <w:rsid w:val="00624D86"/>
    <w:rsid w:val="00624DA4"/>
    <w:rsid w:val="00624E81"/>
    <w:rsid w:val="00624E9A"/>
    <w:rsid w:val="00624F02"/>
    <w:rsid w:val="00624F51"/>
    <w:rsid w:val="006250C5"/>
    <w:rsid w:val="006251E0"/>
    <w:rsid w:val="006252FA"/>
    <w:rsid w:val="00625300"/>
    <w:rsid w:val="0062530E"/>
    <w:rsid w:val="0062539F"/>
    <w:rsid w:val="006253EB"/>
    <w:rsid w:val="0062545F"/>
    <w:rsid w:val="0062547B"/>
    <w:rsid w:val="00625494"/>
    <w:rsid w:val="00625495"/>
    <w:rsid w:val="006254C9"/>
    <w:rsid w:val="006254D6"/>
    <w:rsid w:val="006254D9"/>
    <w:rsid w:val="00625525"/>
    <w:rsid w:val="006255C9"/>
    <w:rsid w:val="006256B3"/>
    <w:rsid w:val="006256D1"/>
    <w:rsid w:val="006256FB"/>
    <w:rsid w:val="006257C5"/>
    <w:rsid w:val="006257FB"/>
    <w:rsid w:val="00625812"/>
    <w:rsid w:val="006258D3"/>
    <w:rsid w:val="006259B8"/>
    <w:rsid w:val="00625A02"/>
    <w:rsid w:val="00625B42"/>
    <w:rsid w:val="00625BDB"/>
    <w:rsid w:val="00625C0A"/>
    <w:rsid w:val="00625C45"/>
    <w:rsid w:val="00625DDD"/>
    <w:rsid w:val="00625EC2"/>
    <w:rsid w:val="00625F0E"/>
    <w:rsid w:val="00625F59"/>
    <w:rsid w:val="006263A9"/>
    <w:rsid w:val="006264F3"/>
    <w:rsid w:val="00626512"/>
    <w:rsid w:val="006265DA"/>
    <w:rsid w:val="0062665C"/>
    <w:rsid w:val="0062670F"/>
    <w:rsid w:val="00626829"/>
    <w:rsid w:val="00626862"/>
    <w:rsid w:val="006268A7"/>
    <w:rsid w:val="006268FB"/>
    <w:rsid w:val="0062699B"/>
    <w:rsid w:val="006269C0"/>
    <w:rsid w:val="00626BC3"/>
    <w:rsid w:val="00626D17"/>
    <w:rsid w:val="00626D78"/>
    <w:rsid w:val="00626E49"/>
    <w:rsid w:val="00626E6B"/>
    <w:rsid w:val="00626F52"/>
    <w:rsid w:val="00626FD8"/>
    <w:rsid w:val="00627030"/>
    <w:rsid w:val="00627191"/>
    <w:rsid w:val="00627288"/>
    <w:rsid w:val="006273A1"/>
    <w:rsid w:val="006274C8"/>
    <w:rsid w:val="0062751D"/>
    <w:rsid w:val="0062761E"/>
    <w:rsid w:val="00627626"/>
    <w:rsid w:val="00627646"/>
    <w:rsid w:val="0062777E"/>
    <w:rsid w:val="006278B4"/>
    <w:rsid w:val="00627A2D"/>
    <w:rsid w:val="00627A8E"/>
    <w:rsid w:val="00627BCF"/>
    <w:rsid w:val="00627C24"/>
    <w:rsid w:val="00627D96"/>
    <w:rsid w:val="00627E5E"/>
    <w:rsid w:val="00627EB6"/>
    <w:rsid w:val="00627F9F"/>
    <w:rsid w:val="00630032"/>
    <w:rsid w:val="00630052"/>
    <w:rsid w:val="0063005D"/>
    <w:rsid w:val="006301DF"/>
    <w:rsid w:val="00630378"/>
    <w:rsid w:val="00630428"/>
    <w:rsid w:val="0063046D"/>
    <w:rsid w:val="00630510"/>
    <w:rsid w:val="00630564"/>
    <w:rsid w:val="0063064D"/>
    <w:rsid w:val="0063065D"/>
    <w:rsid w:val="006306BE"/>
    <w:rsid w:val="006307CC"/>
    <w:rsid w:val="00630804"/>
    <w:rsid w:val="00630AEE"/>
    <w:rsid w:val="00630B7C"/>
    <w:rsid w:val="00630C18"/>
    <w:rsid w:val="00630C59"/>
    <w:rsid w:val="00630CBE"/>
    <w:rsid w:val="00630CFF"/>
    <w:rsid w:val="00630D33"/>
    <w:rsid w:val="0063109B"/>
    <w:rsid w:val="006310BB"/>
    <w:rsid w:val="006310D6"/>
    <w:rsid w:val="0063110F"/>
    <w:rsid w:val="0063112F"/>
    <w:rsid w:val="006311F9"/>
    <w:rsid w:val="0063137A"/>
    <w:rsid w:val="00631470"/>
    <w:rsid w:val="00631515"/>
    <w:rsid w:val="006315F0"/>
    <w:rsid w:val="00631660"/>
    <w:rsid w:val="006316C2"/>
    <w:rsid w:val="006316FF"/>
    <w:rsid w:val="0063170F"/>
    <w:rsid w:val="00631735"/>
    <w:rsid w:val="00631740"/>
    <w:rsid w:val="0063176F"/>
    <w:rsid w:val="006318C3"/>
    <w:rsid w:val="00631990"/>
    <w:rsid w:val="00631AD2"/>
    <w:rsid w:val="00631CB7"/>
    <w:rsid w:val="00631D0B"/>
    <w:rsid w:val="00631D3C"/>
    <w:rsid w:val="00631DA2"/>
    <w:rsid w:val="00631E53"/>
    <w:rsid w:val="00632010"/>
    <w:rsid w:val="0063208A"/>
    <w:rsid w:val="006322E4"/>
    <w:rsid w:val="0063233C"/>
    <w:rsid w:val="00632405"/>
    <w:rsid w:val="00632490"/>
    <w:rsid w:val="006324A7"/>
    <w:rsid w:val="0063255F"/>
    <w:rsid w:val="006325CC"/>
    <w:rsid w:val="0063265B"/>
    <w:rsid w:val="006326A3"/>
    <w:rsid w:val="00632818"/>
    <w:rsid w:val="0063288E"/>
    <w:rsid w:val="006328F8"/>
    <w:rsid w:val="00632928"/>
    <w:rsid w:val="006329EB"/>
    <w:rsid w:val="00632BCB"/>
    <w:rsid w:val="00632BD8"/>
    <w:rsid w:val="00632D30"/>
    <w:rsid w:val="00632E2F"/>
    <w:rsid w:val="00632E43"/>
    <w:rsid w:val="00632F82"/>
    <w:rsid w:val="0063306B"/>
    <w:rsid w:val="006330E2"/>
    <w:rsid w:val="00633314"/>
    <w:rsid w:val="006333E2"/>
    <w:rsid w:val="0063353E"/>
    <w:rsid w:val="0063358F"/>
    <w:rsid w:val="00633657"/>
    <w:rsid w:val="006336A7"/>
    <w:rsid w:val="006336DF"/>
    <w:rsid w:val="00633816"/>
    <w:rsid w:val="0063381F"/>
    <w:rsid w:val="006338F4"/>
    <w:rsid w:val="006339BB"/>
    <w:rsid w:val="00633ACA"/>
    <w:rsid w:val="00633CA9"/>
    <w:rsid w:val="00633CDC"/>
    <w:rsid w:val="00633EB9"/>
    <w:rsid w:val="00633F77"/>
    <w:rsid w:val="00633FBD"/>
    <w:rsid w:val="00633FCE"/>
    <w:rsid w:val="0063404B"/>
    <w:rsid w:val="006340D9"/>
    <w:rsid w:val="0063411B"/>
    <w:rsid w:val="0063413B"/>
    <w:rsid w:val="00634186"/>
    <w:rsid w:val="0063429A"/>
    <w:rsid w:val="006342D6"/>
    <w:rsid w:val="006342DF"/>
    <w:rsid w:val="006343FD"/>
    <w:rsid w:val="00634464"/>
    <w:rsid w:val="00634497"/>
    <w:rsid w:val="0063449B"/>
    <w:rsid w:val="00634574"/>
    <w:rsid w:val="0063481F"/>
    <w:rsid w:val="006348D8"/>
    <w:rsid w:val="0063493A"/>
    <w:rsid w:val="0063497A"/>
    <w:rsid w:val="00634A2E"/>
    <w:rsid w:val="00634A33"/>
    <w:rsid w:val="00634A45"/>
    <w:rsid w:val="00634A60"/>
    <w:rsid w:val="00634B39"/>
    <w:rsid w:val="00634BD2"/>
    <w:rsid w:val="00634E5B"/>
    <w:rsid w:val="00634E8B"/>
    <w:rsid w:val="00634EE1"/>
    <w:rsid w:val="00634EF5"/>
    <w:rsid w:val="00634FB7"/>
    <w:rsid w:val="00635002"/>
    <w:rsid w:val="00635043"/>
    <w:rsid w:val="006350A6"/>
    <w:rsid w:val="006351F3"/>
    <w:rsid w:val="006352D7"/>
    <w:rsid w:val="0063548D"/>
    <w:rsid w:val="006354B9"/>
    <w:rsid w:val="006354CF"/>
    <w:rsid w:val="006354D6"/>
    <w:rsid w:val="006354E8"/>
    <w:rsid w:val="0063555E"/>
    <w:rsid w:val="00635568"/>
    <w:rsid w:val="006357A3"/>
    <w:rsid w:val="006357B3"/>
    <w:rsid w:val="006357E2"/>
    <w:rsid w:val="00635A5A"/>
    <w:rsid w:val="00635AD2"/>
    <w:rsid w:val="00635AE7"/>
    <w:rsid w:val="00635C05"/>
    <w:rsid w:val="00635C1A"/>
    <w:rsid w:val="00635CA0"/>
    <w:rsid w:val="00635D0D"/>
    <w:rsid w:val="00635D8C"/>
    <w:rsid w:val="00635D9C"/>
    <w:rsid w:val="00635E14"/>
    <w:rsid w:val="00635E3C"/>
    <w:rsid w:val="00635EA4"/>
    <w:rsid w:val="00635F74"/>
    <w:rsid w:val="00635FC3"/>
    <w:rsid w:val="00635FCA"/>
    <w:rsid w:val="006360F1"/>
    <w:rsid w:val="00636135"/>
    <w:rsid w:val="006361A6"/>
    <w:rsid w:val="00636282"/>
    <w:rsid w:val="006362A4"/>
    <w:rsid w:val="006362F6"/>
    <w:rsid w:val="00636343"/>
    <w:rsid w:val="0063638D"/>
    <w:rsid w:val="006363B9"/>
    <w:rsid w:val="00636401"/>
    <w:rsid w:val="00636426"/>
    <w:rsid w:val="00636479"/>
    <w:rsid w:val="006364A2"/>
    <w:rsid w:val="006364B4"/>
    <w:rsid w:val="00636501"/>
    <w:rsid w:val="0063653B"/>
    <w:rsid w:val="006365E9"/>
    <w:rsid w:val="0063667D"/>
    <w:rsid w:val="00636687"/>
    <w:rsid w:val="006366CC"/>
    <w:rsid w:val="006367B1"/>
    <w:rsid w:val="00636826"/>
    <w:rsid w:val="0063694A"/>
    <w:rsid w:val="0063695B"/>
    <w:rsid w:val="0063696C"/>
    <w:rsid w:val="00636A24"/>
    <w:rsid w:val="00636AEA"/>
    <w:rsid w:val="00636B2E"/>
    <w:rsid w:val="00636BFD"/>
    <w:rsid w:val="00636CD8"/>
    <w:rsid w:val="00636D6F"/>
    <w:rsid w:val="00636EF1"/>
    <w:rsid w:val="00636F25"/>
    <w:rsid w:val="006370AF"/>
    <w:rsid w:val="00637175"/>
    <w:rsid w:val="00637276"/>
    <w:rsid w:val="0063728F"/>
    <w:rsid w:val="0063732F"/>
    <w:rsid w:val="006373FE"/>
    <w:rsid w:val="00637496"/>
    <w:rsid w:val="006374F5"/>
    <w:rsid w:val="0063750E"/>
    <w:rsid w:val="00637631"/>
    <w:rsid w:val="00637799"/>
    <w:rsid w:val="00637979"/>
    <w:rsid w:val="006379B4"/>
    <w:rsid w:val="006379F8"/>
    <w:rsid w:val="00637A0D"/>
    <w:rsid w:val="00637B6E"/>
    <w:rsid w:val="00637C73"/>
    <w:rsid w:val="00637E2A"/>
    <w:rsid w:val="00637E66"/>
    <w:rsid w:val="00637EF9"/>
    <w:rsid w:val="00637F34"/>
    <w:rsid w:val="00637F4E"/>
    <w:rsid w:val="00640179"/>
    <w:rsid w:val="006401BF"/>
    <w:rsid w:val="0064022C"/>
    <w:rsid w:val="00640261"/>
    <w:rsid w:val="006402A4"/>
    <w:rsid w:val="00640306"/>
    <w:rsid w:val="0064030D"/>
    <w:rsid w:val="00640442"/>
    <w:rsid w:val="0064048D"/>
    <w:rsid w:val="006404D5"/>
    <w:rsid w:val="0064053F"/>
    <w:rsid w:val="0064058D"/>
    <w:rsid w:val="006405AA"/>
    <w:rsid w:val="00640662"/>
    <w:rsid w:val="006406E7"/>
    <w:rsid w:val="006407D4"/>
    <w:rsid w:val="00640826"/>
    <w:rsid w:val="00640866"/>
    <w:rsid w:val="0064088B"/>
    <w:rsid w:val="006408FF"/>
    <w:rsid w:val="00640909"/>
    <w:rsid w:val="0064098A"/>
    <w:rsid w:val="006409F3"/>
    <w:rsid w:val="00640BA3"/>
    <w:rsid w:val="00640C5B"/>
    <w:rsid w:val="00640C6D"/>
    <w:rsid w:val="00640CB6"/>
    <w:rsid w:val="00640CFF"/>
    <w:rsid w:val="00640DBE"/>
    <w:rsid w:val="00640DEA"/>
    <w:rsid w:val="00640E31"/>
    <w:rsid w:val="00640E6F"/>
    <w:rsid w:val="00640F2A"/>
    <w:rsid w:val="00640F37"/>
    <w:rsid w:val="00640F3C"/>
    <w:rsid w:val="00640FC5"/>
    <w:rsid w:val="00641023"/>
    <w:rsid w:val="00641032"/>
    <w:rsid w:val="00641163"/>
    <w:rsid w:val="00641220"/>
    <w:rsid w:val="00641373"/>
    <w:rsid w:val="006413EF"/>
    <w:rsid w:val="00641465"/>
    <w:rsid w:val="00641599"/>
    <w:rsid w:val="00641656"/>
    <w:rsid w:val="0064169E"/>
    <w:rsid w:val="00641736"/>
    <w:rsid w:val="0064173A"/>
    <w:rsid w:val="006417AC"/>
    <w:rsid w:val="00641841"/>
    <w:rsid w:val="006418A6"/>
    <w:rsid w:val="006418FC"/>
    <w:rsid w:val="00641905"/>
    <w:rsid w:val="00641B37"/>
    <w:rsid w:val="00641C23"/>
    <w:rsid w:val="00641C25"/>
    <w:rsid w:val="00641D59"/>
    <w:rsid w:val="00641D7F"/>
    <w:rsid w:val="00641DCF"/>
    <w:rsid w:val="00641E2E"/>
    <w:rsid w:val="00641E82"/>
    <w:rsid w:val="00641E8A"/>
    <w:rsid w:val="00641F0F"/>
    <w:rsid w:val="00641FAE"/>
    <w:rsid w:val="00641FB1"/>
    <w:rsid w:val="0064211C"/>
    <w:rsid w:val="0064218D"/>
    <w:rsid w:val="00642286"/>
    <w:rsid w:val="006422B6"/>
    <w:rsid w:val="0064241D"/>
    <w:rsid w:val="00642474"/>
    <w:rsid w:val="006424F8"/>
    <w:rsid w:val="00642541"/>
    <w:rsid w:val="006425FA"/>
    <w:rsid w:val="00642621"/>
    <w:rsid w:val="006426BC"/>
    <w:rsid w:val="006427FE"/>
    <w:rsid w:val="0064284B"/>
    <w:rsid w:val="00642904"/>
    <w:rsid w:val="00642923"/>
    <w:rsid w:val="00642988"/>
    <w:rsid w:val="0064298C"/>
    <w:rsid w:val="00642994"/>
    <w:rsid w:val="006429A4"/>
    <w:rsid w:val="006429C2"/>
    <w:rsid w:val="00642A87"/>
    <w:rsid w:val="00642AB3"/>
    <w:rsid w:val="00642AC5"/>
    <w:rsid w:val="00642B3A"/>
    <w:rsid w:val="00642B76"/>
    <w:rsid w:val="00642B8C"/>
    <w:rsid w:val="00642BA4"/>
    <w:rsid w:val="00642BDE"/>
    <w:rsid w:val="00642C28"/>
    <w:rsid w:val="00642CC5"/>
    <w:rsid w:val="00642D19"/>
    <w:rsid w:val="00642D38"/>
    <w:rsid w:val="00642E04"/>
    <w:rsid w:val="00642E3B"/>
    <w:rsid w:val="00642E51"/>
    <w:rsid w:val="00642E55"/>
    <w:rsid w:val="00642E78"/>
    <w:rsid w:val="00642F46"/>
    <w:rsid w:val="00642F7A"/>
    <w:rsid w:val="00642FE0"/>
    <w:rsid w:val="00643071"/>
    <w:rsid w:val="00643109"/>
    <w:rsid w:val="0064310A"/>
    <w:rsid w:val="00643196"/>
    <w:rsid w:val="0064319C"/>
    <w:rsid w:val="00643209"/>
    <w:rsid w:val="0064328B"/>
    <w:rsid w:val="00643299"/>
    <w:rsid w:val="0064339E"/>
    <w:rsid w:val="0064340B"/>
    <w:rsid w:val="00643436"/>
    <w:rsid w:val="006435A8"/>
    <w:rsid w:val="0064376B"/>
    <w:rsid w:val="006438AC"/>
    <w:rsid w:val="0064395A"/>
    <w:rsid w:val="006439FC"/>
    <w:rsid w:val="00643A01"/>
    <w:rsid w:val="00643A46"/>
    <w:rsid w:val="00643A68"/>
    <w:rsid w:val="00643BAF"/>
    <w:rsid w:val="00643BB4"/>
    <w:rsid w:val="00643BBA"/>
    <w:rsid w:val="00643DC9"/>
    <w:rsid w:val="00643DCC"/>
    <w:rsid w:val="00643E64"/>
    <w:rsid w:val="0064403F"/>
    <w:rsid w:val="00644062"/>
    <w:rsid w:val="006440BE"/>
    <w:rsid w:val="00644164"/>
    <w:rsid w:val="006441E8"/>
    <w:rsid w:val="006441EC"/>
    <w:rsid w:val="00644259"/>
    <w:rsid w:val="0064426E"/>
    <w:rsid w:val="00644291"/>
    <w:rsid w:val="0064429E"/>
    <w:rsid w:val="00644325"/>
    <w:rsid w:val="00644517"/>
    <w:rsid w:val="0064455E"/>
    <w:rsid w:val="00644640"/>
    <w:rsid w:val="00644872"/>
    <w:rsid w:val="006448E5"/>
    <w:rsid w:val="0064496D"/>
    <w:rsid w:val="0064497D"/>
    <w:rsid w:val="00644AFF"/>
    <w:rsid w:val="00644B5D"/>
    <w:rsid w:val="00644D40"/>
    <w:rsid w:val="00644D69"/>
    <w:rsid w:val="00644DC3"/>
    <w:rsid w:val="00644DCA"/>
    <w:rsid w:val="00644E52"/>
    <w:rsid w:val="00644E65"/>
    <w:rsid w:val="00644E6D"/>
    <w:rsid w:val="00644E76"/>
    <w:rsid w:val="00644E96"/>
    <w:rsid w:val="00644EE4"/>
    <w:rsid w:val="00644FBC"/>
    <w:rsid w:val="00645051"/>
    <w:rsid w:val="00645077"/>
    <w:rsid w:val="006451D7"/>
    <w:rsid w:val="0064525F"/>
    <w:rsid w:val="0064527E"/>
    <w:rsid w:val="00645360"/>
    <w:rsid w:val="006453FB"/>
    <w:rsid w:val="006455CA"/>
    <w:rsid w:val="006455EE"/>
    <w:rsid w:val="0064570C"/>
    <w:rsid w:val="006457B9"/>
    <w:rsid w:val="006457DD"/>
    <w:rsid w:val="006457FA"/>
    <w:rsid w:val="0064581B"/>
    <w:rsid w:val="006459FE"/>
    <w:rsid w:val="00645A7B"/>
    <w:rsid w:val="00645C61"/>
    <w:rsid w:val="00645CBE"/>
    <w:rsid w:val="00645CE4"/>
    <w:rsid w:val="00645D48"/>
    <w:rsid w:val="00645D6F"/>
    <w:rsid w:val="00645E4E"/>
    <w:rsid w:val="00645E6C"/>
    <w:rsid w:val="00645E95"/>
    <w:rsid w:val="00645F1F"/>
    <w:rsid w:val="00645F69"/>
    <w:rsid w:val="00646006"/>
    <w:rsid w:val="0064605D"/>
    <w:rsid w:val="0064607B"/>
    <w:rsid w:val="00646097"/>
    <w:rsid w:val="006460B3"/>
    <w:rsid w:val="006460F1"/>
    <w:rsid w:val="0064618F"/>
    <w:rsid w:val="00646252"/>
    <w:rsid w:val="00646254"/>
    <w:rsid w:val="006462A3"/>
    <w:rsid w:val="006462D2"/>
    <w:rsid w:val="00646324"/>
    <w:rsid w:val="00646336"/>
    <w:rsid w:val="006463BD"/>
    <w:rsid w:val="006463E8"/>
    <w:rsid w:val="0064649E"/>
    <w:rsid w:val="006464CD"/>
    <w:rsid w:val="0064662F"/>
    <w:rsid w:val="006467A5"/>
    <w:rsid w:val="006467C6"/>
    <w:rsid w:val="0064699E"/>
    <w:rsid w:val="00646AAA"/>
    <w:rsid w:val="00646ABE"/>
    <w:rsid w:val="00646B99"/>
    <w:rsid w:val="00646C6A"/>
    <w:rsid w:val="00646D4B"/>
    <w:rsid w:val="00646E04"/>
    <w:rsid w:val="00646F04"/>
    <w:rsid w:val="00646F52"/>
    <w:rsid w:val="00646FE1"/>
    <w:rsid w:val="0064702C"/>
    <w:rsid w:val="006470CD"/>
    <w:rsid w:val="00647181"/>
    <w:rsid w:val="006471D5"/>
    <w:rsid w:val="00647266"/>
    <w:rsid w:val="0064740E"/>
    <w:rsid w:val="0064749E"/>
    <w:rsid w:val="006474D9"/>
    <w:rsid w:val="006475B2"/>
    <w:rsid w:val="006475D7"/>
    <w:rsid w:val="006475E0"/>
    <w:rsid w:val="00647738"/>
    <w:rsid w:val="006477F0"/>
    <w:rsid w:val="00647863"/>
    <w:rsid w:val="00647931"/>
    <w:rsid w:val="00647996"/>
    <w:rsid w:val="006479B8"/>
    <w:rsid w:val="006479CB"/>
    <w:rsid w:val="00647A2E"/>
    <w:rsid w:val="00647A8A"/>
    <w:rsid w:val="00647B37"/>
    <w:rsid w:val="00647B8B"/>
    <w:rsid w:val="00647C21"/>
    <w:rsid w:val="00647C99"/>
    <w:rsid w:val="00647D74"/>
    <w:rsid w:val="00647D8E"/>
    <w:rsid w:val="00647E0E"/>
    <w:rsid w:val="00647E73"/>
    <w:rsid w:val="00647EB2"/>
    <w:rsid w:val="00647F15"/>
    <w:rsid w:val="00647F79"/>
    <w:rsid w:val="00647FA2"/>
    <w:rsid w:val="006500EB"/>
    <w:rsid w:val="00650163"/>
    <w:rsid w:val="006501DF"/>
    <w:rsid w:val="006501F2"/>
    <w:rsid w:val="0065027A"/>
    <w:rsid w:val="006502A7"/>
    <w:rsid w:val="006502B9"/>
    <w:rsid w:val="0065036E"/>
    <w:rsid w:val="006503AE"/>
    <w:rsid w:val="0065042F"/>
    <w:rsid w:val="006504B1"/>
    <w:rsid w:val="006504DF"/>
    <w:rsid w:val="00650581"/>
    <w:rsid w:val="006505C9"/>
    <w:rsid w:val="0065075F"/>
    <w:rsid w:val="0065088B"/>
    <w:rsid w:val="00650949"/>
    <w:rsid w:val="006509C0"/>
    <w:rsid w:val="006509E3"/>
    <w:rsid w:val="00650A56"/>
    <w:rsid w:val="00650A8D"/>
    <w:rsid w:val="00650BD7"/>
    <w:rsid w:val="00650C12"/>
    <w:rsid w:val="00650C51"/>
    <w:rsid w:val="00650C73"/>
    <w:rsid w:val="00650C7E"/>
    <w:rsid w:val="00650C81"/>
    <w:rsid w:val="00650C8E"/>
    <w:rsid w:val="00650CA7"/>
    <w:rsid w:val="00650D85"/>
    <w:rsid w:val="00650E00"/>
    <w:rsid w:val="00650E43"/>
    <w:rsid w:val="00650E88"/>
    <w:rsid w:val="00650FE0"/>
    <w:rsid w:val="00650FFF"/>
    <w:rsid w:val="00651064"/>
    <w:rsid w:val="006510AE"/>
    <w:rsid w:val="0065110F"/>
    <w:rsid w:val="0065112B"/>
    <w:rsid w:val="006511FD"/>
    <w:rsid w:val="00651207"/>
    <w:rsid w:val="0065122D"/>
    <w:rsid w:val="006514D7"/>
    <w:rsid w:val="00651645"/>
    <w:rsid w:val="00651835"/>
    <w:rsid w:val="0065195E"/>
    <w:rsid w:val="00651974"/>
    <w:rsid w:val="006519F7"/>
    <w:rsid w:val="00651B05"/>
    <w:rsid w:val="00651B27"/>
    <w:rsid w:val="00651B9C"/>
    <w:rsid w:val="00651C2A"/>
    <w:rsid w:val="00651C9B"/>
    <w:rsid w:val="00651DE1"/>
    <w:rsid w:val="00651F90"/>
    <w:rsid w:val="00651FA6"/>
    <w:rsid w:val="00652003"/>
    <w:rsid w:val="00652116"/>
    <w:rsid w:val="006521BC"/>
    <w:rsid w:val="00652207"/>
    <w:rsid w:val="0065225C"/>
    <w:rsid w:val="00652413"/>
    <w:rsid w:val="00652424"/>
    <w:rsid w:val="0065248B"/>
    <w:rsid w:val="00652551"/>
    <w:rsid w:val="0065265E"/>
    <w:rsid w:val="00652713"/>
    <w:rsid w:val="006527F1"/>
    <w:rsid w:val="006527F2"/>
    <w:rsid w:val="00652871"/>
    <w:rsid w:val="006528C9"/>
    <w:rsid w:val="00652BBD"/>
    <w:rsid w:val="00652BCC"/>
    <w:rsid w:val="00652D19"/>
    <w:rsid w:val="00652D1E"/>
    <w:rsid w:val="00652D4C"/>
    <w:rsid w:val="00652D5A"/>
    <w:rsid w:val="00652D9E"/>
    <w:rsid w:val="00652F07"/>
    <w:rsid w:val="00652F0C"/>
    <w:rsid w:val="00653001"/>
    <w:rsid w:val="006530CD"/>
    <w:rsid w:val="006530E1"/>
    <w:rsid w:val="00653140"/>
    <w:rsid w:val="0065316F"/>
    <w:rsid w:val="00653220"/>
    <w:rsid w:val="00653227"/>
    <w:rsid w:val="00653335"/>
    <w:rsid w:val="0065343B"/>
    <w:rsid w:val="00653522"/>
    <w:rsid w:val="0065363D"/>
    <w:rsid w:val="006536C5"/>
    <w:rsid w:val="0065381D"/>
    <w:rsid w:val="00653864"/>
    <w:rsid w:val="00653B17"/>
    <w:rsid w:val="00653B33"/>
    <w:rsid w:val="00653B36"/>
    <w:rsid w:val="00653BD6"/>
    <w:rsid w:val="00653BDC"/>
    <w:rsid w:val="00653BE7"/>
    <w:rsid w:val="00653C0A"/>
    <w:rsid w:val="00653C31"/>
    <w:rsid w:val="00653C6A"/>
    <w:rsid w:val="00653D1C"/>
    <w:rsid w:val="00653D7A"/>
    <w:rsid w:val="00653E99"/>
    <w:rsid w:val="00653EB7"/>
    <w:rsid w:val="0065404D"/>
    <w:rsid w:val="00654092"/>
    <w:rsid w:val="006540CE"/>
    <w:rsid w:val="00654303"/>
    <w:rsid w:val="0065433B"/>
    <w:rsid w:val="00654351"/>
    <w:rsid w:val="00654377"/>
    <w:rsid w:val="006543AD"/>
    <w:rsid w:val="00654424"/>
    <w:rsid w:val="00654432"/>
    <w:rsid w:val="00654435"/>
    <w:rsid w:val="00654528"/>
    <w:rsid w:val="0065453D"/>
    <w:rsid w:val="0065457F"/>
    <w:rsid w:val="006545C0"/>
    <w:rsid w:val="006545D3"/>
    <w:rsid w:val="006545FD"/>
    <w:rsid w:val="0065461F"/>
    <w:rsid w:val="006546E0"/>
    <w:rsid w:val="0065476E"/>
    <w:rsid w:val="00654859"/>
    <w:rsid w:val="006548CE"/>
    <w:rsid w:val="00654961"/>
    <w:rsid w:val="006549FC"/>
    <w:rsid w:val="00654AB6"/>
    <w:rsid w:val="00654D96"/>
    <w:rsid w:val="00654DB0"/>
    <w:rsid w:val="00654E99"/>
    <w:rsid w:val="00654EB5"/>
    <w:rsid w:val="00655085"/>
    <w:rsid w:val="0065514B"/>
    <w:rsid w:val="0065518D"/>
    <w:rsid w:val="0065519A"/>
    <w:rsid w:val="006551B1"/>
    <w:rsid w:val="0065543A"/>
    <w:rsid w:val="00655732"/>
    <w:rsid w:val="0065575D"/>
    <w:rsid w:val="006557D0"/>
    <w:rsid w:val="006557ED"/>
    <w:rsid w:val="006558A1"/>
    <w:rsid w:val="00655919"/>
    <w:rsid w:val="00655A6D"/>
    <w:rsid w:val="00655A9B"/>
    <w:rsid w:val="00655AC5"/>
    <w:rsid w:val="00655B54"/>
    <w:rsid w:val="00655C1B"/>
    <w:rsid w:val="00655C41"/>
    <w:rsid w:val="00655C77"/>
    <w:rsid w:val="00655CE3"/>
    <w:rsid w:val="00655E10"/>
    <w:rsid w:val="00655E4D"/>
    <w:rsid w:val="00655EBB"/>
    <w:rsid w:val="00655EC2"/>
    <w:rsid w:val="00655EFF"/>
    <w:rsid w:val="00655F3C"/>
    <w:rsid w:val="00655F46"/>
    <w:rsid w:val="00655F50"/>
    <w:rsid w:val="00655FE4"/>
    <w:rsid w:val="00656068"/>
    <w:rsid w:val="00656083"/>
    <w:rsid w:val="006560C6"/>
    <w:rsid w:val="006560DC"/>
    <w:rsid w:val="0065618E"/>
    <w:rsid w:val="00656339"/>
    <w:rsid w:val="0065648D"/>
    <w:rsid w:val="0065650F"/>
    <w:rsid w:val="0065653C"/>
    <w:rsid w:val="00656595"/>
    <w:rsid w:val="00656611"/>
    <w:rsid w:val="00656873"/>
    <w:rsid w:val="00656907"/>
    <w:rsid w:val="00656928"/>
    <w:rsid w:val="00656969"/>
    <w:rsid w:val="00656A9F"/>
    <w:rsid w:val="00656AB0"/>
    <w:rsid w:val="00656BA8"/>
    <w:rsid w:val="00656BD4"/>
    <w:rsid w:val="00656BDC"/>
    <w:rsid w:val="00656D54"/>
    <w:rsid w:val="00656D88"/>
    <w:rsid w:val="00656E00"/>
    <w:rsid w:val="00656E01"/>
    <w:rsid w:val="00656E59"/>
    <w:rsid w:val="00656EE0"/>
    <w:rsid w:val="00656EFE"/>
    <w:rsid w:val="00657046"/>
    <w:rsid w:val="006570C9"/>
    <w:rsid w:val="00657185"/>
    <w:rsid w:val="006571A0"/>
    <w:rsid w:val="00657297"/>
    <w:rsid w:val="00657310"/>
    <w:rsid w:val="00657339"/>
    <w:rsid w:val="0065736B"/>
    <w:rsid w:val="00657666"/>
    <w:rsid w:val="006576B2"/>
    <w:rsid w:val="00657720"/>
    <w:rsid w:val="00657772"/>
    <w:rsid w:val="0065777C"/>
    <w:rsid w:val="006578C1"/>
    <w:rsid w:val="0065792D"/>
    <w:rsid w:val="00657946"/>
    <w:rsid w:val="0065795A"/>
    <w:rsid w:val="006579CF"/>
    <w:rsid w:val="00657BBF"/>
    <w:rsid w:val="00657C41"/>
    <w:rsid w:val="00657C68"/>
    <w:rsid w:val="00657CFD"/>
    <w:rsid w:val="00657CFE"/>
    <w:rsid w:val="00657D15"/>
    <w:rsid w:val="00657DF4"/>
    <w:rsid w:val="00657E08"/>
    <w:rsid w:val="00657F32"/>
    <w:rsid w:val="00660065"/>
    <w:rsid w:val="006600E6"/>
    <w:rsid w:val="006600F3"/>
    <w:rsid w:val="006601E0"/>
    <w:rsid w:val="0066024F"/>
    <w:rsid w:val="00660275"/>
    <w:rsid w:val="00660294"/>
    <w:rsid w:val="006602D0"/>
    <w:rsid w:val="00660345"/>
    <w:rsid w:val="00660461"/>
    <w:rsid w:val="006604D7"/>
    <w:rsid w:val="00660674"/>
    <w:rsid w:val="006606BF"/>
    <w:rsid w:val="006607AD"/>
    <w:rsid w:val="006607D1"/>
    <w:rsid w:val="006608B9"/>
    <w:rsid w:val="006608BF"/>
    <w:rsid w:val="00660A4B"/>
    <w:rsid w:val="00660B2D"/>
    <w:rsid w:val="00660B62"/>
    <w:rsid w:val="00660DB5"/>
    <w:rsid w:val="00660DFD"/>
    <w:rsid w:val="00660E3D"/>
    <w:rsid w:val="00660F78"/>
    <w:rsid w:val="00660FF6"/>
    <w:rsid w:val="0066100C"/>
    <w:rsid w:val="00661034"/>
    <w:rsid w:val="0066109B"/>
    <w:rsid w:val="00661128"/>
    <w:rsid w:val="00661159"/>
    <w:rsid w:val="006611BE"/>
    <w:rsid w:val="0066122C"/>
    <w:rsid w:val="00661251"/>
    <w:rsid w:val="00661363"/>
    <w:rsid w:val="006613B7"/>
    <w:rsid w:val="006613B8"/>
    <w:rsid w:val="006613C5"/>
    <w:rsid w:val="006614A2"/>
    <w:rsid w:val="006615B2"/>
    <w:rsid w:val="0066168D"/>
    <w:rsid w:val="00661772"/>
    <w:rsid w:val="00661824"/>
    <w:rsid w:val="0066193D"/>
    <w:rsid w:val="00661A00"/>
    <w:rsid w:val="00661AF5"/>
    <w:rsid w:val="00661B09"/>
    <w:rsid w:val="00661C6D"/>
    <w:rsid w:val="00661E46"/>
    <w:rsid w:val="00661F6B"/>
    <w:rsid w:val="0066200B"/>
    <w:rsid w:val="00662269"/>
    <w:rsid w:val="006622D3"/>
    <w:rsid w:val="00662312"/>
    <w:rsid w:val="0066234D"/>
    <w:rsid w:val="006623B2"/>
    <w:rsid w:val="00662403"/>
    <w:rsid w:val="00662468"/>
    <w:rsid w:val="00662529"/>
    <w:rsid w:val="006625A2"/>
    <w:rsid w:val="006625F5"/>
    <w:rsid w:val="0066274D"/>
    <w:rsid w:val="006627AF"/>
    <w:rsid w:val="00662869"/>
    <w:rsid w:val="00662893"/>
    <w:rsid w:val="006629BD"/>
    <w:rsid w:val="00662A3F"/>
    <w:rsid w:val="00662A8C"/>
    <w:rsid w:val="00662D51"/>
    <w:rsid w:val="00662D5A"/>
    <w:rsid w:val="00662F3B"/>
    <w:rsid w:val="00662F3E"/>
    <w:rsid w:val="00662F80"/>
    <w:rsid w:val="0066309D"/>
    <w:rsid w:val="006630F6"/>
    <w:rsid w:val="0066329C"/>
    <w:rsid w:val="0066338B"/>
    <w:rsid w:val="006633C2"/>
    <w:rsid w:val="006634AB"/>
    <w:rsid w:val="00663500"/>
    <w:rsid w:val="00663574"/>
    <w:rsid w:val="006636FC"/>
    <w:rsid w:val="0066370C"/>
    <w:rsid w:val="006637FB"/>
    <w:rsid w:val="0066387A"/>
    <w:rsid w:val="00663A3D"/>
    <w:rsid w:val="00663AA8"/>
    <w:rsid w:val="00663AFB"/>
    <w:rsid w:val="00663B2C"/>
    <w:rsid w:val="00663B50"/>
    <w:rsid w:val="00663BFB"/>
    <w:rsid w:val="00663CFA"/>
    <w:rsid w:val="00663D8D"/>
    <w:rsid w:val="00663E36"/>
    <w:rsid w:val="00663EDB"/>
    <w:rsid w:val="00663FC6"/>
    <w:rsid w:val="006640AA"/>
    <w:rsid w:val="006640B6"/>
    <w:rsid w:val="00664179"/>
    <w:rsid w:val="0066420E"/>
    <w:rsid w:val="00664216"/>
    <w:rsid w:val="006642E8"/>
    <w:rsid w:val="006643A3"/>
    <w:rsid w:val="006643BA"/>
    <w:rsid w:val="0066446E"/>
    <w:rsid w:val="00664553"/>
    <w:rsid w:val="006645D8"/>
    <w:rsid w:val="0066461A"/>
    <w:rsid w:val="0066462E"/>
    <w:rsid w:val="00664702"/>
    <w:rsid w:val="00664731"/>
    <w:rsid w:val="0066474F"/>
    <w:rsid w:val="00664759"/>
    <w:rsid w:val="006647D3"/>
    <w:rsid w:val="006647E6"/>
    <w:rsid w:val="00664880"/>
    <w:rsid w:val="00664892"/>
    <w:rsid w:val="00664A40"/>
    <w:rsid w:val="00664ADC"/>
    <w:rsid w:val="00664B9B"/>
    <w:rsid w:val="00664C22"/>
    <w:rsid w:val="00664CE3"/>
    <w:rsid w:val="00664CF1"/>
    <w:rsid w:val="00664CFD"/>
    <w:rsid w:val="00664D34"/>
    <w:rsid w:val="00664D45"/>
    <w:rsid w:val="00664DFC"/>
    <w:rsid w:val="00664E34"/>
    <w:rsid w:val="00664E4C"/>
    <w:rsid w:val="00664E5E"/>
    <w:rsid w:val="00664F18"/>
    <w:rsid w:val="0066503F"/>
    <w:rsid w:val="006651BD"/>
    <w:rsid w:val="006651F4"/>
    <w:rsid w:val="006652EE"/>
    <w:rsid w:val="00665399"/>
    <w:rsid w:val="006653AD"/>
    <w:rsid w:val="006653E9"/>
    <w:rsid w:val="006653EB"/>
    <w:rsid w:val="006653F8"/>
    <w:rsid w:val="0066545F"/>
    <w:rsid w:val="00665498"/>
    <w:rsid w:val="006654A0"/>
    <w:rsid w:val="006654ED"/>
    <w:rsid w:val="006654FB"/>
    <w:rsid w:val="00665508"/>
    <w:rsid w:val="006655E6"/>
    <w:rsid w:val="00665772"/>
    <w:rsid w:val="00665A5E"/>
    <w:rsid w:val="00665B5A"/>
    <w:rsid w:val="00665BE3"/>
    <w:rsid w:val="00665C4D"/>
    <w:rsid w:val="00665C7A"/>
    <w:rsid w:val="00665CD8"/>
    <w:rsid w:val="00665D94"/>
    <w:rsid w:val="00665DF0"/>
    <w:rsid w:val="00665E13"/>
    <w:rsid w:val="00665E2D"/>
    <w:rsid w:val="00665E99"/>
    <w:rsid w:val="00665EEA"/>
    <w:rsid w:val="00665F18"/>
    <w:rsid w:val="00666092"/>
    <w:rsid w:val="00666248"/>
    <w:rsid w:val="00666378"/>
    <w:rsid w:val="006663C3"/>
    <w:rsid w:val="00666503"/>
    <w:rsid w:val="0066652F"/>
    <w:rsid w:val="006665F4"/>
    <w:rsid w:val="006666D5"/>
    <w:rsid w:val="00666707"/>
    <w:rsid w:val="00666734"/>
    <w:rsid w:val="00666806"/>
    <w:rsid w:val="0066695F"/>
    <w:rsid w:val="006669B2"/>
    <w:rsid w:val="00666A78"/>
    <w:rsid w:val="00666B2E"/>
    <w:rsid w:val="00666C5A"/>
    <w:rsid w:val="00666D88"/>
    <w:rsid w:val="00666E22"/>
    <w:rsid w:val="00666EEE"/>
    <w:rsid w:val="00666F84"/>
    <w:rsid w:val="0066704A"/>
    <w:rsid w:val="00667078"/>
    <w:rsid w:val="00667086"/>
    <w:rsid w:val="006671BB"/>
    <w:rsid w:val="006671FD"/>
    <w:rsid w:val="00667255"/>
    <w:rsid w:val="006672AD"/>
    <w:rsid w:val="006673D2"/>
    <w:rsid w:val="006673E8"/>
    <w:rsid w:val="006674ED"/>
    <w:rsid w:val="0066753E"/>
    <w:rsid w:val="006675AC"/>
    <w:rsid w:val="006675BF"/>
    <w:rsid w:val="006675DA"/>
    <w:rsid w:val="0066766F"/>
    <w:rsid w:val="00667709"/>
    <w:rsid w:val="00667916"/>
    <w:rsid w:val="00667A4C"/>
    <w:rsid w:val="00667B07"/>
    <w:rsid w:val="00667C49"/>
    <w:rsid w:val="00667CFF"/>
    <w:rsid w:val="00667F35"/>
    <w:rsid w:val="0067005D"/>
    <w:rsid w:val="00670154"/>
    <w:rsid w:val="006701A2"/>
    <w:rsid w:val="0067025D"/>
    <w:rsid w:val="006702D9"/>
    <w:rsid w:val="006702E6"/>
    <w:rsid w:val="00670309"/>
    <w:rsid w:val="006703A8"/>
    <w:rsid w:val="00670438"/>
    <w:rsid w:val="006704D4"/>
    <w:rsid w:val="006704DB"/>
    <w:rsid w:val="00670560"/>
    <w:rsid w:val="00670586"/>
    <w:rsid w:val="006706C2"/>
    <w:rsid w:val="006707E8"/>
    <w:rsid w:val="006707FA"/>
    <w:rsid w:val="0067090D"/>
    <w:rsid w:val="00670983"/>
    <w:rsid w:val="00670A0A"/>
    <w:rsid w:val="00670ABD"/>
    <w:rsid w:val="00670ADF"/>
    <w:rsid w:val="00670C0E"/>
    <w:rsid w:val="00670C92"/>
    <w:rsid w:val="00670C97"/>
    <w:rsid w:val="00670CA8"/>
    <w:rsid w:val="00670CF2"/>
    <w:rsid w:val="00670D15"/>
    <w:rsid w:val="00670D25"/>
    <w:rsid w:val="00670D54"/>
    <w:rsid w:val="00670DC4"/>
    <w:rsid w:val="00671018"/>
    <w:rsid w:val="00671108"/>
    <w:rsid w:val="00671229"/>
    <w:rsid w:val="006712E5"/>
    <w:rsid w:val="00671424"/>
    <w:rsid w:val="006714A8"/>
    <w:rsid w:val="00671660"/>
    <w:rsid w:val="00671677"/>
    <w:rsid w:val="00671977"/>
    <w:rsid w:val="00671A6C"/>
    <w:rsid w:val="00671A88"/>
    <w:rsid w:val="00671C05"/>
    <w:rsid w:val="00671DED"/>
    <w:rsid w:val="00671DEE"/>
    <w:rsid w:val="00671DF0"/>
    <w:rsid w:val="00671EC0"/>
    <w:rsid w:val="00671FEC"/>
    <w:rsid w:val="00672158"/>
    <w:rsid w:val="00672161"/>
    <w:rsid w:val="006721A6"/>
    <w:rsid w:val="006721E3"/>
    <w:rsid w:val="006721F3"/>
    <w:rsid w:val="006722C6"/>
    <w:rsid w:val="00672300"/>
    <w:rsid w:val="0067239E"/>
    <w:rsid w:val="00672447"/>
    <w:rsid w:val="006724C3"/>
    <w:rsid w:val="006725E0"/>
    <w:rsid w:val="0067263F"/>
    <w:rsid w:val="006727D9"/>
    <w:rsid w:val="0067280C"/>
    <w:rsid w:val="00672857"/>
    <w:rsid w:val="0067288F"/>
    <w:rsid w:val="006729F3"/>
    <w:rsid w:val="006729F8"/>
    <w:rsid w:val="00672A33"/>
    <w:rsid w:val="00672AF3"/>
    <w:rsid w:val="00672B84"/>
    <w:rsid w:val="00672B88"/>
    <w:rsid w:val="00672CC0"/>
    <w:rsid w:val="00672CC4"/>
    <w:rsid w:val="00672D05"/>
    <w:rsid w:val="00672DD1"/>
    <w:rsid w:val="00672DE1"/>
    <w:rsid w:val="00672DFA"/>
    <w:rsid w:val="00672E3B"/>
    <w:rsid w:val="00672E98"/>
    <w:rsid w:val="00672EA7"/>
    <w:rsid w:val="00672EC6"/>
    <w:rsid w:val="00673051"/>
    <w:rsid w:val="00673128"/>
    <w:rsid w:val="00673142"/>
    <w:rsid w:val="006731D4"/>
    <w:rsid w:val="0067323C"/>
    <w:rsid w:val="00673302"/>
    <w:rsid w:val="00673326"/>
    <w:rsid w:val="00673346"/>
    <w:rsid w:val="00673435"/>
    <w:rsid w:val="0067347E"/>
    <w:rsid w:val="0067348D"/>
    <w:rsid w:val="006734C3"/>
    <w:rsid w:val="00673678"/>
    <w:rsid w:val="00673684"/>
    <w:rsid w:val="0067373A"/>
    <w:rsid w:val="0067375D"/>
    <w:rsid w:val="0067381D"/>
    <w:rsid w:val="00673974"/>
    <w:rsid w:val="00673A39"/>
    <w:rsid w:val="00673B01"/>
    <w:rsid w:val="00673B71"/>
    <w:rsid w:val="00673BB7"/>
    <w:rsid w:val="00673BBB"/>
    <w:rsid w:val="00673C67"/>
    <w:rsid w:val="00673CF7"/>
    <w:rsid w:val="00673D27"/>
    <w:rsid w:val="00673D2D"/>
    <w:rsid w:val="00673DC6"/>
    <w:rsid w:val="00673DD4"/>
    <w:rsid w:val="00673F04"/>
    <w:rsid w:val="00673F0A"/>
    <w:rsid w:val="00673FD9"/>
    <w:rsid w:val="0067407B"/>
    <w:rsid w:val="0067411B"/>
    <w:rsid w:val="00674121"/>
    <w:rsid w:val="00674146"/>
    <w:rsid w:val="006741C9"/>
    <w:rsid w:val="006741E7"/>
    <w:rsid w:val="006742AA"/>
    <w:rsid w:val="00674386"/>
    <w:rsid w:val="0067447D"/>
    <w:rsid w:val="006744A7"/>
    <w:rsid w:val="006744DD"/>
    <w:rsid w:val="0067452C"/>
    <w:rsid w:val="006745B6"/>
    <w:rsid w:val="00674654"/>
    <w:rsid w:val="00674707"/>
    <w:rsid w:val="00674711"/>
    <w:rsid w:val="00674771"/>
    <w:rsid w:val="0067477E"/>
    <w:rsid w:val="00674909"/>
    <w:rsid w:val="0067498B"/>
    <w:rsid w:val="00674A73"/>
    <w:rsid w:val="00674A9C"/>
    <w:rsid w:val="00674AAA"/>
    <w:rsid w:val="00674AC2"/>
    <w:rsid w:val="00674B0E"/>
    <w:rsid w:val="00674D8C"/>
    <w:rsid w:val="00674DA7"/>
    <w:rsid w:val="00674E80"/>
    <w:rsid w:val="00674E87"/>
    <w:rsid w:val="00675015"/>
    <w:rsid w:val="00675076"/>
    <w:rsid w:val="006750CB"/>
    <w:rsid w:val="006750E8"/>
    <w:rsid w:val="00675159"/>
    <w:rsid w:val="00675282"/>
    <w:rsid w:val="0067537A"/>
    <w:rsid w:val="0067541F"/>
    <w:rsid w:val="0067544F"/>
    <w:rsid w:val="00675583"/>
    <w:rsid w:val="006755FA"/>
    <w:rsid w:val="006756E6"/>
    <w:rsid w:val="0067590A"/>
    <w:rsid w:val="00675AE1"/>
    <w:rsid w:val="00675C8B"/>
    <w:rsid w:val="00675C94"/>
    <w:rsid w:val="00675CC4"/>
    <w:rsid w:val="00675D39"/>
    <w:rsid w:val="00675DDF"/>
    <w:rsid w:val="0067606A"/>
    <w:rsid w:val="00676078"/>
    <w:rsid w:val="0067623B"/>
    <w:rsid w:val="00676253"/>
    <w:rsid w:val="006762E3"/>
    <w:rsid w:val="00676367"/>
    <w:rsid w:val="0067643A"/>
    <w:rsid w:val="00676440"/>
    <w:rsid w:val="00676755"/>
    <w:rsid w:val="00676951"/>
    <w:rsid w:val="00676A33"/>
    <w:rsid w:val="00676BD9"/>
    <w:rsid w:val="00676D72"/>
    <w:rsid w:val="00676DFE"/>
    <w:rsid w:val="00676E61"/>
    <w:rsid w:val="00676ED2"/>
    <w:rsid w:val="00676F45"/>
    <w:rsid w:val="00676F48"/>
    <w:rsid w:val="00676FCB"/>
    <w:rsid w:val="00677024"/>
    <w:rsid w:val="00677051"/>
    <w:rsid w:val="006770D5"/>
    <w:rsid w:val="00677124"/>
    <w:rsid w:val="00677183"/>
    <w:rsid w:val="006771A8"/>
    <w:rsid w:val="006771EE"/>
    <w:rsid w:val="0067722D"/>
    <w:rsid w:val="006772E9"/>
    <w:rsid w:val="006772F6"/>
    <w:rsid w:val="00677326"/>
    <w:rsid w:val="006774AE"/>
    <w:rsid w:val="00677513"/>
    <w:rsid w:val="00677568"/>
    <w:rsid w:val="00677572"/>
    <w:rsid w:val="00677574"/>
    <w:rsid w:val="0067769D"/>
    <w:rsid w:val="006776D8"/>
    <w:rsid w:val="006776F8"/>
    <w:rsid w:val="0067770B"/>
    <w:rsid w:val="0067773E"/>
    <w:rsid w:val="006777AE"/>
    <w:rsid w:val="00677830"/>
    <w:rsid w:val="00677876"/>
    <w:rsid w:val="00677919"/>
    <w:rsid w:val="00677942"/>
    <w:rsid w:val="00677985"/>
    <w:rsid w:val="00677A6B"/>
    <w:rsid w:val="00677A6C"/>
    <w:rsid w:val="00677A96"/>
    <w:rsid w:val="00677ADD"/>
    <w:rsid w:val="00677BF8"/>
    <w:rsid w:val="00677C30"/>
    <w:rsid w:val="00677C94"/>
    <w:rsid w:val="00677CE8"/>
    <w:rsid w:val="00677DE7"/>
    <w:rsid w:val="00677F07"/>
    <w:rsid w:val="00677F65"/>
    <w:rsid w:val="00680154"/>
    <w:rsid w:val="0068017E"/>
    <w:rsid w:val="006801BD"/>
    <w:rsid w:val="006801F7"/>
    <w:rsid w:val="00680238"/>
    <w:rsid w:val="00680362"/>
    <w:rsid w:val="00680499"/>
    <w:rsid w:val="006804E1"/>
    <w:rsid w:val="00680515"/>
    <w:rsid w:val="00680554"/>
    <w:rsid w:val="006805FE"/>
    <w:rsid w:val="00680630"/>
    <w:rsid w:val="00680847"/>
    <w:rsid w:val="006808AB"/>
    <w:rsid w:val="006808DE"/>
    <w:rsid w:val="0068090D"/>
    <w:rsid w:val="006809D7"/>
    <w:rsid w:val="00680A78"/>
    <w:rsid w:val="00680A81"/>
    <w:rsid w:val="00680AAB"/>
    <w:rsid w:val="00680AD4"/>
    <w:rsid w:val="00680BA5"/>
    <w:rsid w:val="00680C62"/>
    <w:rsid w:val="00680C71"/>
    <w:rsid w:val="00680CEC"/>
    <w:rsid w:val="00680D5D"/>
    <w:rsid w:val="00680D94"/>
    <w:rsid w:val="00680E8F"/>
    <w:rsid w:val="00680F1E"/>
    <w:rsid w:val="00680F74"/>
    <w:rsid w:val="00681130"/>
    <w:rsid w:val="0068122A"/>
    <w:rsid w:val="006812D7"/>
    <w:rsid w:val="006813C2"/>
    <w:rsid w:val="00681430"/>
    <w:rsid w:val="00681540"/>
    <w:rsid w:val="006815A5"/>
    <w:rsid w:val="0068163C"/>
    <w:rsid w:val="00681690"/>
    <w:rsid w:val="006817F4"/>
    <w:rsid w:val="00681851"/>
    <w:rsid w:val="00681873"/>
    <w:rsid w:val="00681955"/>
    <w:rsid w:val="00681999"/>
    <w:rsid w:val="00681A60"/>
    <w:rsid w:val="00681B38"/>
    <w:rsid w:val="00681BA3"/>
    <w:rsid w:val="00681C01"/>
    <w:rsid w:val="00681C1B"/>
    <w:rsid w:val="00681CEC"/>
    <w:rsid w:val="00681EAE"/>
    <w:rsid w:val="00681ECD"/>
    <w:rsid w:val="00681F34"/>
    <w:rsid w:val="00681F86"/>
    <w:rsid w:val="006821D6"/>
    <w:rsid w:val="0068220B"/>
    <w:rsid w:val="0068226A"/>
    <w:rsid w:val="006822DA"/>
    <w:rsid w:val="006822FA"/>
    <w:rsid w:val="0068239C"/>
    <w:rsid w:val="006823C1"/>
    <w:rsid w:val="0068241A"/>
    <w:rsid w:val="006824A9"/>
    <w:rsid w:val="006825B8"/>
    <w:rsid w:val="006825E2"/>
    <w:rsid w:val="006825FB"/>
    <w:rsid w:val="0068274A"/>
    <w:rsid w:val="006829F1"/>
    <w:rsid w:val="00682A6B"/>
    <w:rsid w:val="00682AD9"/>
    <w:rsid w:val="00682C36"/>
    <w:rsid w:val="00682C46"/>
    <w:rsid w:val="00682E31"/>
    <w:rsid w:val="00682E86"/>
    <w:rsid w:val="00682F4C"/>
    <w:rsid w:val="00682F56"/>
    <w:rsid w:val="00682F76"/>
    <w:rsid w:val="00682FD8"/>
    <w:rsid w:val="006830A2"/>
    <w:rsid w:val="0068312F"/>
    <w:rsid w:val="00683154"/>
    <w:rsid w:val="006831B4"/>
    <w:rsid w:val="0068323E"/>
    <w:rsid w:val="0068323F"/>
    <w:rsid w:val="006832E2"/>
    <w:rsid w:val="00683395"/>
    <w:rsid w:val="006833BD"/>
    <w:rsid w:val="006833CF"/>
    <w:rsid w:val="00683432"/>
    <w:rsid w:val="00683476"/>
    <w:rsid w:val="00683618"/>
    <w:rsid w:val="0068367E"/>
    <w:rsid w:val="006836A0"/>
    <w:rsid w:val="006836FC"/>
    <w:rsid w:val="006837D6"/>
    <w:rsid w:val="00683A4E"/>
    <w:rsid w:val="00683BA8"/>
    <w:rsid w:val="00683BCA"/>
    <w:rsid w:val="00683C1E"/>
    <w:rsid w:val="00683C46"/>
    <w:rsid w:val="00683C71"/>
    <w:rsid w:val="00683CC3"/>
    <w:rsid w:val="00683E52"/>
    <w:rsid w:val="00683EB4"/>
    <w:rsid w:val="00683FEB"/>
    <w:rsid w:val="00684006"/>
    <w:rsid w:val="00684026"/>
    <w:rsid w:val="00684092"/>
    <w:rsid w:val="0068410D"/>
    <w:rsid w:val="006841D0"/>
    <w:rsid w:val="0068437B"/>
    <w:rsid w:val="0068439C"/>
    <w:rsid w:val="006843D3"/>
    <w:rsid w:val="00684612"/>
    <w:rsid w:val="006846EC"/>
    <w:rsid w:val="0068473F"/>
    <w:rsid w:val="00684766"/>
    <w:rsid w:val="0068484C"/>
    <w:rsid w:val="00684851"/>
    <w:rsid w:val="00684994"/>
    <w:rsid w:val="006849EA"/>
    <w:rsid w:val="00684B22"/>
    <w:rsid w:val="00684B5E"/>
    <w:rsid w:val="00684C19"/>
    <w:rsid w:val="00684C28"/>
    <w:rsid w:val="00684C73"/>
    <w:rsid w:val="00684CD8"/>
    <w:rsid w:val="00684CEA"/>
    <w:rsid w:val="00684D33"/>
    <w:rsid w:val="00684D3B"/>
    <w:rsid w:val="00684DA6"/>
    <w:rsid w:val="00684EC8"/>
    <w:rsid w:val="00684F86"/>
    <w:rsid w:val="006850E1"/>
    <w:rsid w:val="006850FA"/>
    <w:rsid w:val="0068524F"/>
    <w:rsid w:val="0068526F"/>
    <w:rsid w:val="006853E2"/>
    <w:rsid w:val="006854DD"/>
    <w:rsid w:val="0068551F"/>
    <w:rsid w:val="0068556A"/>
    <w:rsid w:val="006856A5"/>
    <w:rsid w:val="006856A6"/>
    <w:rsid w:val="00685736"/>
    <w:rsid w:val="006857A1"/>
    <w:rsid w:val="006857B3"/>
    <w:rsid w:val="006858A5"/>
    <w:rsid w:val="0068592E"/>
    <w:rsid w:val="006859CA"/>
    <w:rsid w:val="00685ABF"/>
    <w:rsid w:val="00685BC3"/>
    <w:rsid w:val="00685C10"/>
    <w:rsid w:val="00685D13"/>
    <w:rsid w:val="00685DA5"/>
    <w:rsid w:val="00685E3F"/>
    <w:rsid w:val="00685EAE"/>
    <w:rsid w:val="00685F44"/>
    <w:rsid w:val="00685F6B"/>
    <w:rsid w:val="00686056"/>
    <w:rsid w:val="0068621E"/>
    <w:rsid w:val="00686347"/>
    <w:rsid w:val="006863D5"/>
    <w:rsid w:val="00686468"/>
    <w:rsid w:val="0068654C"/>
    <w:rsid w:val="006865E9"/>
    <w:rsid w:val="00686630"/>
    <w:rsid w:val="0068667A"/>
    <w:rsid w:val="006866C0"/>
    <w:rsid w:val="006866D7"/>
    <w:rsid w:val="00686730"/>
    <w:rsid w:val="00686793"/>
    <w:rsid w:val="006867BE"/>
    <w:rsid w:val="0068686F"/>
    <w:rsid w:val="006868D8"/>
    <w:rsid w:val="00686954"/>
    <w:rsid w:val="00686993"/>
    <w:rsid w:val="00686AA2"/>
    <w:rsid w:val="00686C0E"/>
    <w:rsid w:val="00686D18"/>
    <w:rsid w:val="00686D46"/>
    <w:rsid w:val="00686D6B"/>
    <w:rsid w:val="00686D84"/>
    <w:rsid w:val="00686DBB"/>
    <w:rsid w:val="00686F6A"/>
    <w:rsid w:val="00686FB5"/>
    <w:rsid w:val="00687038"/>
    <w:rsid w:val="0068709C"/>
    <w:rsid w:val="00687117"/>
    <w:rsid w:val="006871F6"/>
    <w:rsid w:val="00687219"/>
    <w:rsid w:val="00687333"/>
    <w:rsid w:val="0068734E"/>
    <w:rsid w:val="0068740C"/>
    <w:rsid w:val="006874DD"/>
    <w:rsid w:val="0068755A"/>
    <w:rsid w:val="006875B1"/>
    <w:rsid w:val="00687647"/>
    <w:rsid w:val="00687817"/>
    <w:rsid w:val="0068784A"/>
    <w:rsid w:val="006878D2"/>
    <w:rsid w:val="00687966"/>
    <w:rsid w:val="0068796B"/>
    <w:rsid w:val="00687996"/>
    <w:rsid w:val="006879EE"/>
    <w:rsid w:val="006879F4"/>
    <w:rsid w:val="00687A0F"/>
    <w:rsid w:val="00687A57"/>
    <w:rsid w:val="00687AE7"/>
    <w:rsid w:val="00687B91"/>
    <w:rsid w:val="00687CB3"/>
    <w:rsid w:val="00687CBC"/>
    <w:rsid w:val="00687DDD"/>
    <w:rsid w:val="00687F1A"/>
    <w:rsid w:val="00687F42"/>
    <w:rsid w:val="00687FCE"/>
    <w:rsid w:val="0069013F"/>
    <w:rsid w:val="00690155"/>
    <w:rsid w:val="00690197"/>
    <w:rsid w:val="006902B8"/>
    <w:rsid w:val="00690338"/>
    <w:rsid w:val="006903BF"/>
    <w:rsid w:val="0069042D"/>
    <w:rsid w:val="0069042E"/>
    <w:rsid w:val="00690482"/>
    <w:rsid w:val="006904B4"/>
    <w:rsid w:val="006904CB"/>
    <w:rsid w:val="00690512"/>
    <w:rsid w:val="0069067C"/>
    <w:rsid w:val="0069070A"/>
    <w:rsid w:val="006908CA"/>
    <w:rsid w:val="00690A78"/>
    <w:rsid w:val="00690AC4"/>
    <w:rsid w:val="00690D0E"/>
    <w:rsid w:val="00690E35"/>
    <w:rsid w:val="00690F25"/>
    <w:rsid w:val="00691011"/>
    <w:rsid w:val="00691034"/>
    <w:rsid w:val="006910EC"/>
    <w:rsid w:val="006910F2"/>
    <w:rsid w:val="006910F5"/>
    <w:rsid w:val="006911A2"/>
    <w:rsid w:val="006911BD"/>
    <w:rsid w:val="006911E9"/>
    <w:rsid w:val="0069124B"/>
    <w:rsid w:val="00691276"/>
    <w:rsid w:val="0069128F"/>
    <w:rsid w:val="00691369"/>
    <w:rsid w:val="0069146F"/>
    <w:rsid w:val="006914B6"/>
    <w:rsid w:val="00691533"/>
    <w:rsid w:val="0069161A"/>
    <w:rsid w:val="0069174D"/>
    <w:rsid w:val="0069179E"/>
    <w:rsid w:val="006917B4"/>
    <w:rsid w:val="006917F7"/>
    <w:rsid w:val="00691872"/>
    <w:rsid w:val="00691956"/>
    <w:rsid w:val="0069198D"/>
    <w:rsid w:val="006919CA"/>
    <w:rsid w:val="00691B62"/>
    <w:rsid w:val="00691B7B"/>
    <w:rsid w:val="00691B9C"/>
    <w:rsid w:val="00691BF7"/>
    <w:rsid w:val="00691C32"/>
    <w:rsid w:val="00691CC7"/>
    <w:rsid w:val="00691E61"/>
    <w:rsid w:val="00691E99"/>
    <w:rsid w:val="00691FB4"/>
    <w:rsid w:val="00692072"/>
    <w:rsid w:val="006920EC"/>
    <w:rsid w:val="0069213C"/>
    <w:rsid w:val="0069221D"/>
    <w:rsid w:val="00692242"/>
    <w:rsid w:val="0069225B"/>
    <w:rsid w:val="00692327"/>
    <w:rsid w:val="006923B5"/>
    <w:rsid w:val="00692411"/>
    <w:rsid w:val="0069242F"/>
    <w:rsid w:val="006924B8"/>
    <w:rsid w:val="006925C4"/>
    <w:rsid w:val="0069261B"/>
    <w:rsid w:val="0069280B"/>
    <w:rsid w:val="00692892"/>
    <w:rsid w:val="0069296C"/>
    <w:rsid w:val="00692991"/>
    <w:rsid w:val="006929A9"/>
    <w:rsid w:val="006929B0"/>
    <w:rsid w:val="00692BDF"/>
    <w:rsid w:val="00692CF0"/>
    <w:rsid w:val="00692D6A"/>
    <w:rsid w:val="00692D99"/>
    <w:rsid w:val="00692E29"/>
    <w:rsid w:val="00692E3D"/>
    <w:rsid w:val="00692ECA"/>
    <w:rsid w:val="00692F67"/>
    <w:rsid w:val="00693008"/>
    <w:rsid w:val="0069302A"/>
    <w:rsid w:val="0069304D"/>
    <w:rsid w:val="00693144"/>
    <w:rsid w:val="006931C6"/>
    <w:rsid w:val="006931D2"/>
    <w:rsid w:val="006931E1"/>
    <w:rsid w:val="00693247"/>
    <w:rsid w:val="006932D4"/>
    <w:rsid w:val="00693398"/>
    <w:rsid w:val="006934F5"/>
    <w:rsid w:val="006935E3"/>
    <w:rsid w:val="0069360B"/>
    <w:rsid w:val="0069362A"/>
    <w:rsid w:val="00693665"/>
    <w:rsid w:val="00693716"/>
    <w:rsid w:val="00693747"/>
    <w:rsid w:val="006937C3"/>
    <w:rsid w:val="00693A8E"/>
    <w:rsid w:val="00693AB4"/>
    <w:rsid w:val="00693AEF"/>
    <w:rsid w:val="00693B2C"/>
    <w:rsid w:val="00693B8B"/>
    <w:rsid w:val="00693BEC"/>
    <w:rsid w:val="00693CE5"/>
    <w:rsid w:val="00693E26"/>
    <w:rsid w:val="00693E51"/>
    <w:rsid w:val="00693E6D"/>
    <w:rsid w:val="00693EC6"/>
    <w:rsid w:val="00693F36"/>
    <w:rsid w:val="00693F5E"/>
    <w:rsid w:val="00693F8D"/>
    <w:rsid w:val="00694081"/>
    <w:rsid w:val="006940CD"/>
    <w:rsid w:val="00694185"/>
    <w:rsid w:val="0069419B"/>
    <w:rsid w:val="006942BE"/>
    <w:rsid w:val="006943D7"/>
    <w:rsid w:val="006943E4"/>
    <w:rsid w:val="00694471"/>
    <w:rsid w:val="006945DA"/>
    <w:rsid w:val="00694608"/>
    <w:rsid w:val="0069471A"/>
    <w:rsid w:val="00694782"/>
    <w:rsid w:val="0069478A"/>
    <w:rsid w:val="00694796"/>
    <w:rsid w:val="00694837"/>
    <w:rsid w:val="0069489B"/>
    <w:rsid w:val="006948A9"/>
    <w:rsid w:val="00694906"/>
    <w:rsid w:val="00694943"/>
    <w:rsid w:val="006949EF"/>
    <w:rsid w:val="00694A21"/>
    <w:rsid w:val="00694A41"/>
    <w:rsid w:val="00694AAE"/>
    <w:rsid w:val="00694B39"/>
    <w:rsid w:val="00694B43"/>
    <w:rsid w:val="00694BEF"/>
    <w:rsid w:val="00694C58"/>
    <w:rsid w:val="00694E09"/>
    <w:rsid w:val="00694E91"/>
    <w:rsid w:val="00694EA8"/>
    <w:rsid w:val="00694FEB"/>
    <w:rsid w:val="0069500C"/>
    <w:rsid w:val="006950B7"/>
    <w:rsid w:val="00695224"/>
    <w:rsid w:val="006952F3"/>
    <w:rsid w:val="00695323"/>
    <w:rsid w:val="006953DF"/>
    <w:rsid w:val="00695402"/>
    <w:rsid w:val="0069541F"/>
    <w:rsid w:val="006955EE"/>
    <w:rsid w:val="00695621"/>
    <w:rsid w:val="00695628"/>
    <w:rsid w:val="00695758"/>
    <w:rsid w:val="0069578C"/>
    <w:rsid w:val="006957FC"/>
    <w:rsid w:val="00695890"/>
    <w:rsid w:val="006958C0"/>
    <w:rsid w:val="006958CF"/>
    <w:rsid w:val="0069593C"/>
    <w:rsid w:val="0069594C"/>
    <w:rsid w:val="00695955"/>
    <w:rsid w:val="00695A01"/>
    <w:rsid w:val="00695A1E"/>
    <w:rsid w:val="00695A8A"/>
    <w:rsid w:val="00695BE2"/>
    <w:rsid w:val="00695C53"/>
    <w:rsid w:val="00695C78"/>
    <w:rsid w:val="00695DB0"/>
    <w:rsid w:val="00695EE5"/>
    <w:rsid w:val="00695F30"/>
    <w:rsid w:val="0069603D"/>
    <w:rsid w:val="0069603E"/>
    <w:rsid w:val="00696076"/>
    <w:rsid w:val="006960B4"/>
    <w:rsid w:val="006960BF"/>
    <w:rsid w:val="0069617E"/>
    <w:rsid w:val="00696187"/>
    <w:rsid w:val="006962C2"/>
    <w:rsid w:val="0069631B"/>
    <w:rsid w:val="0069636F"/>
    <w:rsid w:val="00696407"/>
    <w:rsid w:val="0069640C"/>
    <w:rsid w:val="00696493"/>
    <w:rsid w:val="00696519"/>
    <w:rsid w:val="006965AB"/>
    <w:rsid w:val="0069663F"/>
    <w:rsid w:val="00696709"/>
    <w:rsid w:val="006967F7"/>
    <w:rsid w:val="006967FB"/>
    <w:rsid w:val="006968DE"/>
    <w:rsid w:val="0069695A"/>
    <w:rsid w:val="006969CA"/>
    <w:rsid w:val="00696A11"/>
    <w:rsid w:val="00696AAB"/>
    <w:rsid w:val="00696BDF"/>
    <w:rsid w:val="00696C84"/>
    <w:rsid w:val="00696CAB"/>
    <w:rsid w:val="00696D08"/>
    <w:rsid w:val="00696EBF"/>
    <w:rsid w:val="00696F36"/>
    <w:rsid w:val="00696FE0"/>
    <w:rsid w:val="0069701D"/>
    <w:rsid w:val="00697052"/>
    <w:rsid w:val="00697134"/>
    <w:rsid w:val="0069713B"/>
    <w:rsid w:val="00697177"/>
    <w:rsid w:val="00697184"/>
    <w:rsid w:val="00697232"/>
    <w:rsid w:val="00697327"/>
    <w:rsid w:val="00697371"/>
    <w:rsid w:val="006973A3"/>
    <w:rsid w:val="006973A8"/>
    <w:rsid w:val="006974AF"/>
    <w:rsid w:val="006974FD"/>
    <w:rsid w:val="006975AA"/>
    <w:rsid w:val="0069763C"/>
    <w:rsid w:val="00697678"/>
    <w:rsid w:val="006976B0"/>
    <w:rsid w:val="006976BE"/>
    <w:rsid w:val="006976C1"/>
    <w:rsid w:val="006976F6"/>
    <w:rsid w:val="0069777E"/>
    <w:rsid w:val="00697882"/>
    <w:rsid w:val="006978A7"/>
    <w:rsid w:val="00697924"/>
    <w:rsid w:val="0069792B"/>
    <w:rsid w:val="00697AC9"/>
    <w:rsid w:val="00697B0C"/>
    <w:rsid w:val="00697B5D"/>
    <w:rsid w:val="00697BDF"/>
    <w:rsid w:val="00697C55"/>
    <w:rsid w:val="00697D7B"/>
    <w:rsid w:val="00697DB3"/>
    <w:rsid w:val="00697EFC"/>
    <w:rsid w:val="00697F91"/>
    <w:rsid w:val="006A0002"/>
    <w:rsid w:val="006A001B"/>
    <w:rsid w:val="006A00E1"/>
    <w:rsid w:val="006A0100"/>
    <w:rsid w:val="006A0294"/>
    <w:rsid w:val="006A03F8"/>
    <w:rsid w:val="006A03FE"/>
    <w:rsid w:val="006A0413"/>
    <w:rsid w:val="006A0565"/>
    <w:rsid w:val="006A0C15"/>
    <w:rsid w:val="006A0C61"/>
    <w:rsid w:val="006A0CB4"/>
    <w:rsid w:val="006A0CE5"/>
    <w:rsid w:val="006A0DD2"/>
    <w:rsid w:val="006A0E21"/>
    <w:rsid w:val="006A0E5F"/>
    <w:rsid w:val="006A0FE4"/>
    <w:rsid w:val="006A1082"/>
    <w:rsid w:val="006A1101"/>
    <w:rsid w:val="006A1103"/>
    <w:rsid w:val="006A1118"/>
    <w:rsid w:val="006A1131"/>
    <w:rsid w:val="006A113C"/>
    <w:rsid w:val="006A1161"/>
    <w:rsid w:val="006A11D1"/>
    <w:rsid w:val="006A1243"/>
    <w:rsid w:val="006A1290"/>
    <w:rsid w:val="006A12DB"/>
    <w:rsid w:val="006A12E9"/>
    <w:rsid w:val="006A1368"/>
    <w:rsid w:val="006A13DB"/>
    <w:rsid w:val="006A13E7"/>
    <w:rsid w:val="006A1506"/>
    <w:rsid w:val="006A1543"/>
    <w:rsid w:val="006A156B"/>
    <w:rsid w:val="006A1595"/>
    <w:rsid w:val="006A16D1"/>
    <w:rsid w:val="006A16F1"/>
    <w:rsid w:val="006A178B"/>
    <w:rsid w:val="006A1927"/>
    <w:rsid w:val="006A19BA"/>
    <w:rsid w:val="006A1A23"/>
    <w:rsid w:val="006A1BA6"/>
    <w:rsid w:val="006A1DA5"/>
    <w:rsid w:val="006A1FA9"/>
    <w:rsid w:val="006A20E2"/>
    <w:rsid w:val="006A21B0"/>
    <w:rsid w:val="006A221A"/>
    <w:rsid w:val="006A2239"/>
    <w:rsid w:val="006A2258"/>
    <w:rsid w:val="006A226F"/>
    <w:rsid w:val="006A2299"/>
    <w:rsid w:val="006A22A1"/>
    <w:rsid w:val="006A23BA"/>
    <w:rsid w:val="006A25A9"/>
    <w:rsid w:val="006A25B4"/>
    <w:rsid w:val="006A25CD"/>
    <w:rsid w:val="006A2677"/>
    <w:rsid w:val="006A26F7"/>
    <w:rsid w:val="006A2761"/>
    <w:rsid w:val="006A2765"/>
    <w:rsid w:val="006A285A"/>
    <w:rsid w:val="006A2865"/>
    <w:rsid w:val="006A291E"/>
    <w:rsid w:val="006A2985"/>
    <w:rsid w:val="006A29E3"/>
    <w:rsid w:val="006A2A43"/>
    <w:rsid w:val="006A2C09"/>
    <w:rsid w:val="006A2C2C"/>
    <w:rsid w:val="006A2D00"/>
    <w:rsid w:val="006A2F59"/>
    <w:rsid w:val="006A2F72"/>
    <w:rsid w:val="006A309B"/>
    <w:rsid w:val="006A3311"/>
    <w:rsid w:val="006A344E"/>
    <w:rsid w:val="006A34EA"/>
    <w:rsid w:val="006A3554"/>
    <w:rsid w:val="006A35A4"/>
    <w:rsid w:val="006A37CE"/>
    <w:rsid w:val="006A3804"/>
    <w:rsid w:val="006A384B"/>
    <w:rsid w:val="006A38BB"/>
    <w:rsid w:val="006A393E"/>
    <w:rsid w:val="006A3A54"/>
    <w:rsid w:val="006A3A6D"/>
    <w:rsid w:val="006A3A70"/>
    <w:rsid w:val="006A3A9C"/>
    <w:rsid w:val="006A3AC2"/>
    <w:rsid w:val="006A3BCD"/>
    <w:rsid w:val="006A3C6D"/>
    <w:rsid w:val="006A3CC0"/>
    <w:rsid w:val="006A3CDC"/>
    <w:rsid w:val="006A3CE8"/>
    <w:rsid w:val="006A3E75"/>
    <w:rsid w:val="006A3EBA"/>
    <w:rsid w:val="006A3EE2"/>
    <w:rsid w:val="006A3EF1"/>
    <w:rsid w:val="006A4126"/>
    <w:rsid w:val="006A415C"/>
    <w:rsid w:val="006A4162"/>
    <w:rsid w:val="006A417A"/>
    <w:rsid w:val="006A41C5"/>
    <w:rsid w:val="006A421F"/>
    <w:rsid w:val="006A43AE"/>
    <w:rsid w:val="006A440B"/>
    <w:rsid w:val="006A4419"/>
    <w:rsid w:val="006A4493"/>
    <w:rsid w:val="006A4546"/>
    <w:rsid w:val="006A4568"/>
    <w:rsid w:val="006A4662"/>
    <w:rsid w:val="006A46A4"/>
    <w:rsid w:val="006A46F8"/>
    <w:rsid w:val="006A473D"/>
    <w:rsid w:val="006A4766"/>
    <w:rsid w:val="006A47A6"/>
    <w:rsid w:val="006A47A7"/>
    <w:rsid w:val="006A485E"/>
    <w:rsid w:val="006A487D"/>
    <w:rsid w:val="006A4891"/>
    <w:rsid w:val="006A495C"/>
    <w:rsid w:val="006A49A3"/>
    <w:rsid w:val="006A4A23"/>
    <w:rsid w:val="006A4AFE"/>
    <w:rsid w:val="006A4B8A"/>
    <w:rsid w:val="006A4BC3"/>
    <w:rsid w:val="006A4BEA"/>
    <w:rsid w:val="006A4BF3"/>
    <w:rsid w:val="006A4CDE"/>
    <w:rsid w:val="006A4D13"/>
    <w:rsid w:val="006A4D4C"/>
    <w:rsid w:val="006A4D59"/>
    <w:rsid w:val="006A4D63"/>
    <w:rsid w:val="006A4DC2"/>
    <w:rsid w:val="006A4DE4"/>
    <w:rsid w:val="006A4DFE"/>
    <w:rsid w:val="006A4E18"/>
    <w:rsid w:val="006A4E65"/>
    <w:rsid w:val="006A4E6B"/>
    <w:rsid w:val="006A4F48"/>
    <w:rsid w:val="006A4FAC"/>
    <w:rsid w:val="006A4FB9"/>
    <w:rsid w:val="006A510C"/>
    <w:rsid w:val="006A5111"/>
    <w:rsid w:val="006A5114"/>
    <w:rsid w:val="006A520B"/>
    <w:rsid w:val="006A5223"/>
    <w:rsid w:val="006A5290"/>
    <w:rsid w:val="006A52C9"/>
    <w:rsid w:val="006A52D7"/>
    <w:rsid w:val="006A52FA"/>
    <w:rsid w:val="006A5327"/>
    <w:rsid w:val="006A53A6"/>
    <w:rsid w:val="006A5619"/>
    <w:rsid w:val="006A56CB"/>
    <w:rsid w:val="006A5734"/>
    <w:rsid w:val="006A5745"/>
    <w:rsid w:val="006A5789"/>
    <w:rsid w:val="006A57C7"/>
    <w:rsid w:val="006A59D8"/>
    <w:rsid w:val="006A5A85"/>
    <w:rsid w:val="006A5A96"/>
    <w:rsid w:val="006A5AC0"/>
    <w:rsid w:val="006A5B28"/>
    <w:rsid w:val="006A5C02"/>
    <w:rsid w:val="006A5C19"/>
    <w:rsid w:val="006A5C4D"/>
    <w:rsid w:val="006A5D6A"/>
    <w:rsid w:val="006A5E6D"/>
    <w:rsid w:val="006A5FC5"/>
    <w:rsid w:val="006A5FFE"/>
    <w:rsid w:val="006A619A"/>
    <w:rsid w:val="006A6263"/>
    <w:rsid w:val="006A65B2"/>
    <w:rsid w:val="006A65C6"/>
    <w:rsid w:val="006A6613"/>
    <w:rsid w:val="006A66ED"/>
    <w:rsid w:val="006A685D"/>
    <w:rsid w:val="006A6977"/>
    <w:rsid w:val="006A6AF8"/>
    <w:rsid w:val="006A6B8C"/>
    <w:rsid w:val="006A6C21"/>
    <w:rsid w:val="006A6CAC"/>
    <w:rsid w:val="006A6DE8"/>
    <w:rsid w:val="006A6F9A"/>
    <w:rsid w:val="006A7161"/>
    <w:rsid w:val="006A72D7"/>
    <w:rsid w:val="006A7354"/>
    <w:rsid w:val="006A7390"/>
    <w:rsid w:val="006A73C6"/>
    <w:rsid w:val="006A748B"/>
    <w:rsid w:val="006A748C"/>
    <w:rsid w:val="006A7498"/>
    <w:rsid w:val="006A763E"/>
    <w:rsid w:val="006A768F"/>
    <w:rsid w:val="006A775D"/>
    <w:rsid w:val="006A7774"/>
    <w:rsid w:val="006A7788"/>
    <w:rsid w:val="006A778C"/>
    <w:rsid w:val="006A77CE"/>
    <w:rsid w:val="006A77FD"/>
    <w:rsid w:val="006A793E"/>
    <w:rsid w:val="006A798E"/>
    <w:rsid w:val="006A79AA"/>
    <w:rsid w:val="006A7A04"/>
    <w:rsid w:val="006A7A1E"/>
    <w:rsid w:val="006A7A31"/>
    <w:rsid w:val="006A7A3B"/>
    <w:rsid w:val="006A7AE5"/>
    <w:rsid w:val="006A7AF5"/>
    <w:rsid w:val="006A7B1C"/>
    <w:rsid w:val="006A7B21"/>
    <w:rsid w:val="006A7B63"/>
    <w:rsid w:val="006A7DAF"/>
    <w:rsid w:val="006A7DC1"/>
    <w:rsid w:val="006A7E61"/>
    <w:rsid w:val="006A7F26"/>
    <w:rsid w:val="006A7F71"/>
    <w:rsid w:val="006A7FA3"/>
    <w:rsid w:val="006A7FBA"/>
    <w:rsid w:val="006B00C0"/>
    <w:rsid w:val="006B01CE"/>
    <w:rsid w:val="006B0278"/>
    <w:rsid w:val="006B0363"/>
    <w:rsid w:val="006B0377"/>
    <w:rsid w:val="006B0380"/>
    <w:rsid w:val="006B03A2"/>
    <w:rsid w:val="006B042A"/>
    <w:rsid w:val="006B0513"/>
    <w:rsid w:val="006B0537"/>
    <w:rsid w:val="006B0588"/>
    <w:rsid w:val="006B05DF"/>
    <w:rsid w:val="006B068F"/>
    <w:rsid w:val="006B06B7"/>
    <w:rsid w:val="006B07BC"/>
    <w:rsid w:val="006B0891"/>
    <w:rsid w:val="006B08D5"/>
    <w:rsid w:val="006B08D9"/>
    <w:rsid w:val="006B0A90"/>
    <w:rsid w:val="006B0AD8"/>
    <w:rsid w:val="006B0B8A"/>
    <w:rsid w:val="006B0BB3"/>
    <w:rsid w:val="006B0C32"/>
    <w:rsid w:val="006B0C3C"/>
    <w:rsid w:val="006B0D2F"/>
    <w:rsid w:val="006B0D75"/>
    <w:rsid w:val="006B0DE1"/>
    <w:rsid w:val="006B0E52"/>
    <w:rsid w:val="006B0EE9"/>
    <w:rsid w:val="006B0FDF"/>
    <w:rsid w:val="006B103A"/>
    <w:rsid w:val="006B1052"/>
    <w:rsid w:val="006B115B"/>
    <w:rsid w:val="006B122D"/>
    <w:rsid w:val="006B12A8"/>
    <w:rsid w:val="006B12B8"/>
    <w:rsid w:val="006B1404"/>
    <w:rsid w:val="006B143F"/>
    <w:rsid w:val="006B14B9"/>
    <w:rsid w:val="006B14D7"/>
    <w:rsid w:val="006B14DD"/>
    <w:rsid w:val="006B150E"/>
    <w:rsid w:val="006B154F"/>
    <w:rsid w:val="006B155A"/>
    <w:rsid w:val="006B155C"/>
    <w:rsid w:val="006B15AC"/>
    <w:rsid w:val="006B1609"/>
    <w:rsid w:val="006B16E0"/>
    <w:rsid w:val="006B1739"/>
    <w:rsid w:val="006B1784"/>
    <w:rsid w:val="006B182A"/>
    <w:rsid w:val="006B18A5"/>
    <w:rsid w:val="006B192A"/>
    <w:rsid w:val="006B1948"/>
    <w:rsid w:val="006B1A32"/>
    <w:rsid w:val="006B1CB7"/>
    <w:rsid w:val="006B1EB5"/>
    <w:rsid w:val="006B1F20"/>
    <w:rsid w:val="006B1F95"/>
    <w:rsid w:val="006B22A5"/>
    <w:rsid w:val="006B22B2"/>
    <w:rsid w:val="006B22C2"/>
    <w:rsid w:val="006B2359"/>
    <w:rsid w:val="006B239C"/>
    <w:rsid w:val="006B24BB"/>
    <w:rsid w:val="006B24BF"/>
    <w:rsid w:val="006B2515"/>
    <w:rsid w:val="006B2545"/>
    <w:rsid w:val="006B2590"/>
    <w:rsid w:val="006B25BB"/>
    <w:rsid w:val="006B27EA"/>
    <w:rsid w:val="006B282F"/>
    <w:rsid w:val="006B284C"/>
    <w:rsid w:val="006B293C"/>
    <w:rsid w:val="006B2978"/>
    <w:rsid w:val="006B2994"/>
    <w:rsid w:val="006B2A32"/>
    <w:rsid w:val="006B2B01"/>
    <w:rsid w:val="006B2B0F"/>
    <w:rsid w:val="006B2B3D"/>
    <w:rsid w:val="006B2C60"/>
    <w:rsid w:val="006B2EF6"/>
    <w:rsid w:val="006B2F52"/>
    <w:rsid w:val="006B2F84"/>
    <w:rsid w:val="006B3054"/>
    <w:rsid w:val="006B30D1"/>
    <w:rsid w:val="006B30EF"/>
    <w:rsid w:val="006B31F5"/>
    <w:rsid w:val="006B323F"/>
    <w:rsid w:val="006B3298"/>
    <w:rsid w:val="006B3439"/>
    <w:rsid w:val="006B354D"/>
    <w:rsid w:val="006B3680"/>
    <w:rsid w:val="006B3689"/>
    <w:rsid w:val="006B36D5"/>
    <w:rsid w:val="006B371D"/>
    <w:rsid w:val="006B377F"/>
    <w:rsid w:val="006B37A2"/>
    <w:rsid w:val="006B37D8"/>
    <w:rsid w:val="006B381E"/>
    <w:rsid w:val="006B3884"/>
    <w:rsid w:val="006B388B"/>
    <w:rsid w:val="006B38B6"/>
    <w:rsid w:val="006B38D0"/>
    <w:rsid w:val="006B3921"/>
    <w:rsid w:val="006B393B"/>
    <w:rsid w:val="006B3A60"/>
    <w:rsid w:val="006B3AF8"/>
    <w:rsid w:val="006B3B15"/>
    <w:rsid w:val="006B3B40"/>
    <w:rsid w:val="006B3B49"/>
    <w:rsid w:val="006B3B61"/>
    <w:rsid w:val="006B3CA7"/>
    <w:rsid w:val="006B3D49"/>
    <w:rsid w:val="006B3E45"/>
    <w:rsid w:val="006B3ECA"/>
    <w:rsid w:val="006B3F9B"/>
    <w:rsid w:val="006B4035"/>
    <w:rsid w:val="006B409B"/>
    <w:rsid w:val="006B40D1"/>
    <w:rsid w:val="006B40E8"/>
    <w:rsid w:val="006B4132"/>
    <w:rsid w:val="006B4182"/>
    <w:rsid w:val="006B41A1"/>
    <w:rsid w:val="006B420D"/>
    <w:rsid w:val="006B4222"/>
    <w:rsid w:val="006B422E"/>
    <w:rsid w:val="006B42A1"/>
    <w:rsid w:val="006B436E"/>
    <w:rsid w:val="006B44A1"/>
    <w:rsid w:val="006B46C9"/>
    <w:rsid w:val="006B47B4"/>
    <w:rsid w:val="006B4816"/>
    <w:rsid w:val="006B48C5"/>
    <w:rsid w:val="006B48D4"/>
    <w:rsid w:val="006B48F3"/>
    <w:rsid w:val="006B491F"/>
    <w:rsid w:val="006B49E0"/>
    <w:rsid w:val="006B4A42"/>
    <w:rsid w:val="006B4A68"/>
    <w:rsid w:val="006B4AFC"/>
    <w:rsid w:val="006B4CA5"/>
    <w:rsid w:val="006B4DE2"/>
    <w:rsid w:val="006B4E58"/>
    <w:rsid w:val="006B4ECE"/>
    <w:rsid w:val="006B4F5B"/>
    <w:rsid w:val="006B4FB0"/>
    <w:rsid w:val="006B4FF0"/>
    <w:rsid w:val="006B50A6"/>
    <w:rsid w:val="006B5129"/>
    <w:rsid w:val="006B51E8"/>
    <w:rsid w:val="006B5259"/>
    <w:rsid w:val="006B5262"/>
    <w:rsid w:val="006B52B0"/>
    <w:rsid w:val="006B534C"/>
    <w:rsid w:val="006B5370"/>
    <w:rsid w:val="006B5391"/>
    <w:rsid w:val="006B54C5"/>
    <w:rsid w:val="006B5511"/>
    <w:rsid w:val="006B5519"/>
    <w:rsid w:val="006B55F6"/>
    <w:rsid w:val="006B579B"/>
    <w:rsid w:val="006B57BC"/>
    <w:rsid w:val="006B5826"/>
    <w:rsid w:val="006B583C"/>
    <w:rsid w:val="006B5861"/>
    <w:rsid w:val="006B58A0"/>
    <w:rsid w:val="006B5971"/>
    <w:rsid w:val="006B59AC"/>
    <w:rsid w:val="006B5A44"/>
    <w:rsid w:val="006B5B15"/>
    <w:rsid w:val="006B5CAA"/>
    <w:rsid w:val="006B5D01"/>
    <w:rsid w:val="006B5DD8"/>
    <w:rsid w:val="006B606C"/>
    <w:rsid w:val="006B6075"/>
    <w:rsid w:val="006B6107"/>
    <w:rsid w:val="006B6171"/>
    <w:rsid w:val="006B617D"/>
    <w:rsid w:val="006B61BD"/>
    <w:rsid w:val="006B63C5"/>
    <w:rsid w:val="006B643D"/>
    <w:rsid w:val="006B644B"/>
    <w:rsid w:val="006B6610"/>
    <w:rsid w:val="006B6677"/>
    <w:rsid w:val="006B676D"/>
    <w:rsid w:val="006B6974"/>
    <w:rsid w:val="006B6A91"/>
    <w:rsid w:val="006B6ADB"/>
    <w:rsid w:val="006B6AEE"/>
    <w:rsid w:val="006B6B3E"/>
    <w:rsid w:val="006B6C21"/>
    <w:rsid w:val="006B6C65"/>
    <w:rsid w:val="006B6D9A"/>
    <w:rsid w:val="006B6DB2"/>
    <w:rsid w:val="006B6E7A"/>
    <w:rsid w:val="006B6EB5"/>
    <w:rsid w:val="006B6F00"/>
    <w:rsid w:val="006B6F59"/>
    <w:rsid w:val="006B6F6D"/>
    <w:rsid w:val="006B7044"/>
    <w:rsid w:val="006B70AC"/>
    <w:rsid w:val="006B70FF"/>
    <w:rsid w:val="006B71F2"/>
    <w:rsid w:val="006B724A"/>
    <w:rsid w:val="006B7291"/>
    <w:rsid w:val="006B74A8"/>
    <w:rsid w:val="006B74C0"/>
    <w:rsid w:val="006B74CB"/>
    <w:rsid w:val="006B74CD"/>
    <w:rsid w:val="006B7623"/>
    <w:rsid w:val="006B765A"/>
    <w:rsid w:val="006B766D"/>
    <w:rsid w:val="006B773E"/>
    <w:rsid w:val="006B78A7"/>
    <w:rsid w:val="006B7950"/>
    <w:rsid w:val="006B79ED"/>
    <w:rsid w:val="006B7A27"/>
    <w:rsid w:val="006B7B7D"/>
    <w:rsid w:val="006B7BBF"/>
    <w:rsid w:val="006B7BE7"/>
    <w:rsid w:val="006B7C09"/>
    <w:rsid w:val="006B7C4D"/>
    <w:rsid w:val="006B7C5E"/>
    <w:rsid w:val="006B7D46"/>
    <w:rsid w:val="006B7D9B"/>
    <w:rsid w:val="006B7E29"/>
    <w:rsid w:val="006B7E9F"/>
    <w:rsid w:val="006B7F10"/>
    <w:rsid w:val="006C007B"/>
    <w:rsid w:val="006C00BA"/>
    <w:rsid w:val="006C0273"/>
    <w:rsid w:val="006C02E4"/>
    <w:rsid w:val="006C03B6"/>
    <w:rsid w:val="006C0404"/>
    <w:rsid w:val="006C0494"/>
    <w:rsid w:val="006C04C8"/>
    <w:rsid w:val="006C0523"/>
    <w:rsid w:val="006C0629"/>
    <w:rsid w:val="006C0664"/>
    <w:rsid w:val="006C06C1"/>
    <w:rsid w:val="006C06ED"/>
    <w:rsid w:val="006C072E"/>
    <w:rsid w:val="006C073A"/>
    <w:rsid w:val="006C0917"/>
    <w:rsid w:val="006C0C1C"/>
    <w:rsid w:val="006C0D1E"/>
    <w:rsid w:val="006C0DCF"/>
    <w:rsid w:val="006C0ED5"/>
    <w:rsid w:val="006C0F18"/>
    <w:rsid w:val="006C0F4A"/>
    <w:rsid w:val="006C0F6A"/>
    <w:rsid w:val="006C0FEA"/>
    <w:rsid w:val="006C1002"/>
    <w:rsid w:val="006C10AE"/>
    <w:rsid w:val="006C10CA"/>
    <w:rsid w:val="006C10DB"/>
    <w:rsid w:val="006C1127"/>
    <w:rsid w:val="006C117C"/>
    <w:rsid w:val="006C121D"/>
    <w:rsid w:val="006C127A"/>
    <w:rsid w:val="006C1337"/>
    <w:rsid w:val="006C134D"/>
    <w:rsid w:val="006C1398"/>
    <w:rsid w:val="006C151C"/>
    <w:rsid w:val="006C1522"/>
    <w:rsid w:val="006C15DF"/>
    <w:rsid w:val="006C16F3"/>
    <w:rsid w:val="006C18BD"/>
    <w:rsid w:val="006C18C1"/>
    <w:rsid w:val="006C19F6"/>
    <w:rsid w:val="006C1A9C"/>
    <w:rsid w:val="006C1B30"/>
    <w:rsid w:val="006C1B91"/>
    <w:rsid w:val="006C1C0D"/>
    <w:rsid w:val="006C1C2D"/>
    <w:rsid w:val="006C1D07"/>
    <w:rsid w:val="006C1E09"/>
    <w:rsid w:val="006C1EB9"/>
    <w:rsid w:val="006C1F0B"/>
    <w:rsid w:val="006C1F18"/>
    <w:rsid w:val="006C1FB5"/>
    <w:rsid w:val="006C1FB9"/>
    <w:rsid w:val="006C20DC"/>
    <w:rsid w:val="006C2175"/>
    <w:rsid w:val="006C21F2"/>
    <w:rsid w:val="006C231A"/>
    <w:rsid w:val="006C2365"/>
    <w:rsid w:val="006C237D"/>
    <w:rsid w:val="006C2424"/>
    <w:rsid w:val="006C2466"/>
    <w:rsid w:val="006C2621"/>
    <w:rsid w:val="006C263F"/>
    <w:rsid w:val="006C265E"/>
    <w:rsid w:val="006C2698"/>
    <w:rsid w:val="006C271D"/>
    <w:rsid w:val="006C2727"/>
    <w:rsid w:val="006C2751"/>
    <w:rsid w:val="006C27AB"/>
    <w:rsid w:val="006C27D3"/>
    <w:rsid w:val="006C2851"/>
    <w:rsid w:val="006C2938"/>
    <w:rsid w:val="006C293A"/>
    <w:rsid w:val="006C29B8"/>
    <w:rsid w:val="006C2A87"/>
    <w:rsid w:val="006C2A9A"/>
    <w:rsid w:val="006C2BDE"/>
    <w:rsid w:val="006C2C09"/>
    <w:rsid w:val="006C2C30"/>
    <w:rsid w:val="006C2C39"/>
    <w:rsid w:val="006C2DAD"/>
    <w:rsid w:val="006C2E84"/>
    <w:rsid w:val="006C2EC4"/>
    <w:rsid w:val="006C3043"/>
    <w:rsid w:val="006C3073"/>
    <w:rsid w:val="006C311D"/>
    <w:rsid w:val="006C311F"/>
    <w:rsid w:val="006C31F9"/>
    <w:rsid w:val="006C323B"/>
    <w:rsid w:val="006C3250"/>
    <w:rsid w:val="006C32B4"/>
    <w:rsid w:val="006C33ED"/>
    <w:rsid w:val="006C3559"/>
    <w:rsid w:val="006C3699"/>
    <w:rsid w:val="006C39E0"/>
    <w:rsid w:val="006C3D48"/>
    <w:rsid w:val="006C3D75"/>
    <w:rsid w:val="006C3DD2"/>
    <w:rsid w:val="006C3DDA"/>
    <w:rsid w:val="006C3DE0"/>
    <w:rsid w:val="006C3E1E"/>
    <w:rsid w:val="006C3E32"/>
    <w:rsid w:val="006C3E58"/>
    <w:rsid w:val="006C3F05"/>
    <w:rsid w:val="006C4000"/>
    <w:rsid w:val="006C404D"/>
    <w:rsid w:val="006C40E4"/>
    <w:rsid w:val="006C4195"/>
    <w:rsid w:val="006C419A"/>
    <w:rsid w:val="006C42BC"/>
    <w:rsid w:val="006C4367"/>
    <w:rsid w:val="006C43DE"/>
    <w:rsid w:val="006C4422"/>
    <w:rsid w:val="006C4424"/>
    <w:rsid w:val="006C44AE"/>
    <w:rsid w:val="006C456F"/>
    <w:rsid w:val="006C4587"/>
    <w:rsid w:val="006C47D6"/>
    <w:rsid w:val="006C47E2"/>
    <w:rsid w:val="006C49AB"/>
    <w:rsid w:val="006C4A62"/>
    <w:rsid w:val="006C4AE9"/>
    <w:rsid w:val="006C4BA1"/>
    <w:rsid w:val="006C4C06"/>
    <w:rsid w:val="006C4C82"/>
    <w:rsid w:val="006C4C83"/>
    <w:rsid w:val="006C4CB9"/>
    <w:rsid w:val="006C4D44"/>
    <w:rsid w:val="006C4D45"/>
    <w:rsid w:val="006C4E06"/>
    <w:rsid w:val="006C4E3F"/>
    <w:rsid w:val="006C4EBB"/>
    <w:rsid w:val="006C4EC7"/>
    <w:rsid w:val="006C4ECE"/>
    <w:rsid w:val="006C5187"/>
    <w:rsid w:val="006C5286"/>
    <w:rsid w:val="006C5377"/>
    <w:rsid w:val="006C54C9"/>
    <w:rsid w:val="006C565C"/>
    <w:rsid w:val="006C5865"/>
    <w:rsid w:val="006C5883"/>
    <w:rsid w:val="006C58B2"/>
    <w:rsid w:val="006C58D5"/>
    <w:rsid w:val="006C592D"/>
    <w:rsid w:val="006C59B3"/>
    <w:rsid w:val="006C5A9B"/>
    <w:rsid w:val="006C5ACB"/>
    <w:rsid w:val="006C5AD3"/>
    <w:rsid w:val="006C5B1F"/>
    <w:rsid w:val="006C5C63"/>
    <w:rsid w:val="006C5C88"/>
    <w:rsid w:val="006C5D37"/>
    <w:rsid w:val="006C5D57"/>
    <w:rsid w:val="006C5DF8"/>
    <w:rsid w:val="006C5FDD"/>
    <w:rsid w:val="006C602E"/>
    <w:rsid w:val="006C617F"/>
    <w:rsid w:val="006C61E5"/>
    <w:rsid w:val="006C6238"/>
    <w:rsid w:val="006C64D6"/>
    <w:rsid w:val="006C6589"/>
    <w:rsid w:val="006C65A7"/>
    <w:rsid w:val="006C6716"/>
    <w:rsid w:val="006C67AF"/>
    <w:rsid w:val="006C6827"/>
    <w:rsid w:val="006C68A9"/>
    <w:rsid w:val="006C69B6"/>
    <w:rsid w:val="006C6ABA"/>
    <w:rsid w:val="006C6B58"/>
    <w:rsid w:val="006C6BCF"/>
    <w:rsid w:val="006C6C0A"/>
    <w:rsid w:val="006C6C0C"/>
    <w:rsid w:val="006C6C17"/>
    <w:rsid w:val="006C6CBD"/>
    <w:rsid w:val="006C6CF6"/>
    <w:rsid w:val="006C6DD5"/>
    <w:rsid w:val="006C6F3D"/>
    <w:rsid w:val="006C6F79"/>
    <w:rsid w:val="006C6FD9"/>
    <w:rsid w:val="006C7053"/>
    <w:rsid w:val="006C70DC"/>
    <w:rsid w:val="006C71FE"/>
    <w:rsid w:val="006C7216"/>
    <w:rsid w:val="006C72A2"/>
    <w:rsid w:val="006C7330"/>
    <w:rsid w:val="006C7415"/>
    <w:rsid w:val="006C74B8"/>
    <w:rsid w:val="006C75A0"/>
    <w:rsid w:val="006C75A5"/>
    <w:rsid w:val="006C75E4"/>
    <w:rsid w:val="006C7603"/>
    <w:rsid w:val="006C762B"/>
    <w:rsid w:val="006C76EA"/>
    <w:rsid w:val="006C779F"/>
    <w:rsid w:val="006C77B6"/>
    <w:rsid w:val="006C7845"/>
    <w:rsid w:val="006C785B"/>
    <w:rsid w:val="006C788C"/>
    <w:rsid w:val="006C78CA"/>
    <w:rsid w:val="006C7942"/>
    <w:rsid w:val="006C7996"/>
    <w:rsid w:val="006C7A9E"/>
    <w:rsid w:val="006C7AA8"/>
    <w:rsid w:val="006C7AF8"/>
    <w:rsid w:val="006C7C6A"/>
    <w:rsid w:val="006C7CB6"/>
    <w:rsid w:val="006C7DB2"/>
    <w:rsid w:val="006C7DD4"/>
    <w:rsid w:val="006C7DFF"/>
    <w:rsid w:val="006C7F38"/>
    <w:rsid w:val="006C7F73"/>
    <w:rsid w:val="006C7FEB"/>
    <w:rsid w:val="006D008B"/>
    <w:rsid w:val="006D00B1"/>
    <w:rsid w:val="006D013F"/>
    <w:rsid w:val="006D020C"/>
    <w:rsid w:val="006D0330"/>
    <w:rsid w:val="006D0381"/>
    <w:rsid w:val="006D03EB"/>
    <w:rsid w:val="006D03F0"/>
    <w:rsid w:val="006D0418"/>
    <w:rsid w:val="006D0456"/>
    <w:rsid w:val="006D04E9"/>
    <w:rsid w:val="006D0509"/>
    <w:rsid w:val="006D051B"/>
    <w:rsid w:val="006D0530"/>
    <w:rsid w:val="006D0553"/>
    <w:rsid w:val="006D0604"/>
    <w:rsid w:val="006D0CA8"/>
    <w:rsid w:val="006D0CEA"/>
    <w:rsid w:val="006D0D15"/>
    <w:rsid w:val="006D0D98"/>
    <w:rsid w:val="006D0DD0"/>
    <w:rsid w:val="006D0E76"/>
    <w:rsid w:val="006D1220"/>
    <w:rsid w:val="006D12F6"/>
    <w:rsid w:val="006D139D"/>
    <w:rsid w:val="006D1439"/>
    <w:rsid w:val="006D145D"/>
    <w:rsid w:val="006D155F"/>
    <w:rsid w:val="006D156D"/>
    <w:rsid w:val="006D1577"/>
    <w:rsid w:val="006D15BF"/>
    <w:rsid w:val="006D15F9"/>
    <w:rsid w:val="006D162F"/>
    <w:rsid w:val="006D1656"/>
    <w:rsid w:val="006D1712"/>
    <w:rsid w:val="006D17CE"/>
    <w:rsid w:val="006D181C"/>
    <w:rsid w:val="006D18B2"/>
    <w:rsid w:val="006D18DC"/>
    <w:rsid w:val="006D190C"/>
    <w:rsid w:val="006D1945"/>
    <w:rsid w:val="006D1A71"/>
    <w:rsid w:val="006D1BFB"/>
    <w:rsid w:val="006D1D13"/>
    <w:rsid w:val="006D1D2B"/>
    <w:rsid w:val="006D1D46"/>
    <w:rsid w:val="006D1DF2"/>
    <w:rsid w:val="006D1F3A"/>
    <w:rsid w:val="006D2007"/>
    <w:rsid w:val="006D21F8"/>
    <w:rsid w:val="006D2220"/>
    <w:rsid w:val="006D2277"/>
    <w:rsid w:val="006D22A4"/>
    <w:rsid w:val="006D22D9"/>
    <w:rsid w:val="006D233B"/>
    <w:rsid w:val="006D2416"/>
    <w:rsid w:val="006D2430"/>
    <w:rsid w:val="006D24D8"/>
    <w:rsid w:val="006D252A"/>
    <w:rsid w:val="006D25B0"/>
    <w:rsid w:val="006D25F0"/>
    <w:rsid w:val="006D2607"/>
    <w:rsid w:val="006D2666"/>
    <w:rsid w:val="006D266A"/>
    <w:rsid w:val="006D270E"/>
    <w:rsid w:val="006D272B"/>
    <w:rsid w:val="006D27EE"/>
    <w:rsid w:val="006D2828"/>
    <w:rsid w:val="006D288D"/>
    <w:rsid w:val="006D28E3"/>
    <w:rsid w:val="006D294E"/>
    <w:rsid w:val="006D2AA5"/>
    <w:rsid w:val="006D2AF9"/>
    <w:rsid w:val="006D2BA0"/>
    <w:rsid w:val="006D2BB2"/>
    <w:rsid w:val="006D2C45"/>
    <w:rsid w:val="006D2C7E"/>
    <w:rsid w:val="006D2C8B"/>
    <w:rsid w:val="006D2CE6"/>
    <w:rsid w:val="006D2D28"/>
    <w:rsid w:val="006D2D57"/>
    <w:rsid w:val="006D2D7A"/>
    <w:rsid w:val="006D2D8D"/>
    <w:rsid w:val="006D2DC5"/>
    <w:rsid w:val="006D2E1B"/>
    <w:rsid w:val="006D2EE7"/>
    <w:rsid w:val="006D2F16"/>
    <w:rsid w:val="006D3084"/>
    <w:rsid w:val="006D309B"/>
    <w:rsid w:val="006D3130"/>
    <w:rsid w:val="006D31BA"/>
    <w:rsid w:val="006D324C"/>
    <w:rsid w:val="006D33E6"/>
    <w:rsid w:val="006D3433"/>
    <w:rsid w:val="006D3649"/>
    <w:rsid w:val="006D36FD"/>
    <w:rsid w:val="006D3755"/>
    <w:rsid w:val="006D38D8"/>
    <w:rsid w:val="006D38FB"/>
    <w:rsid w:val="006D3931"/>
    <w:rsid w:val="006D3AB4"/>
    <w:rsid w:val="006D3AB7"/>
    <w:rsid w:val="006D3B52"/>
    <w:rsid w:val="006D3B9E"/>
    <w:rsid w:val="006D3C40"/>
    <w:rsid w:val="006D3C49"/>
    <w:rsid w:val="006D3CD7"/>
    <w:rsid w:val="006D3D36"/>
    <w:rsid w:val="006D3DA4"/>
    <w:rsid w:val="006D3DAF"/>
    <w:rsid w:val="006D3E15"/>
    <w:rsid w:val="006D3EF8"/>
    <w:rsid w:val="006D3F93"/>
    <w:rsid w:val="006D3FF3"/>
    <w:rsid w:val="006D4016"/>
    <w:rsid w:val="006D4094"/>
    <w:rsid w:val="006D40CB"/>
    <w:rsid w:val="006D4105"/>
    <w:rsid w:val="006D413B"/>
    <w:rsid w:val="006D42C9"/>
    <w:rsid w:val="006D436C"/>
    <w:rsid w:val="006D4460"/>
    <w:rsid w:val="006D44CD"/>
    <w:rsid w:val="006D4526"/>
    <w:rsid w:val="006D45A9"/>
    <w:rsid w:val="006D464F"/>
    <w:rsid w:val="006D4675"/>
    <w:rsid w:val="006D474E"/>
    <w:rsid w:val="006D489D"/>
    <w:rsid w:val="006D4A2D"/>
    <w:rsid w:val="006D4B9F"/>
    <w:rsid w:val="006D4BAA"/>
    <w:rsid w:val="006D4C22"/>
    <w:rsid w:val="006D4C63"/>
    <w:rsid w:val="006D4CDE"/>
    <w:rsid w:val="006D4DBF"/>
    <w:rsid w:val="006D4EBB"/>
    <w:rsid w:val="006D4EF9"/>
    <w:rsid w:val="006D4F0B"/>
    <w:rsid w:val="006D4F78"/>
    <w:rsid w:val="006D511D"/>
    <w:rsid w:val="006D5130"/>
    <w:rsid w:val="006D5142"/>
    <w:rsid w:val="006D5220"/>
    <w:rsid w:val="006D5228"/>
    <w:rsid w:val="006D523F"/>
    <w:rsid w:val="006D52C3"/>
    <w:rsid w:val="006D532C"/>
    <w:rsid w:val="006D54B1"/>
    <w:rsid w:val="006D556A"/>
    <w:rsid w:val="006D5618"/>
    <w:rsid w:val="006D562E"/>
    <w:rsid w:val="006D5674"/>
    <w:rsid w:val="006D57EC"/>
    <w:rsid w:val="006D5989"/>
    <w:rsid w:val="006D59EE"/>
    <w:rsid w:val="006D5B83"/>
    <w:rsid w:val="006D5BAB"/>
    <w:rsid w:val="006D5D66"/>
    <w:rsid w:val="006D5D7C"/>
    <w:rsid w:val="006D5F04"/>
    <w:rsid w:val="006D5F07"/>
    <w:rsid w:val="006D5F88"/>
    <w:rsid w:val="006D5FCF"/>
    <w:rsid w:val="006D6072"/>
    <w:rsid w:val="006D60A2"/>
    <w:rsid w:val="006D6180"/>
    <w:rsid w:val="006D6232"/>
    <w:rsid w:val="006D62E2"/>
    <w:rsid w:val="006D64B4"/>
    <w:rsid w:val="006D6514"/>
    <w:rsid w:val="006D6518"/>
    <w:rsid w:val="006D66AD"/>
    <w:rsid w:val="006D6745"/>
    <w:rsid w:val="006D6767"/>
    <w:rsid w:val="006D67DB"/>
    <w:rsid w:val="006D684E"/>
    <w:rsid w:val="006D69E2"/>
    <w:rsid w:val="006D6A17"/>
    <w:rsid w:val="006D6BD2"/>
    <w:rsid w:val="006D6BF7"/>
    <w:rsid w:val="006D6C2A"/>
    <w:rsid w:val="006D6D43"/>
    <w:rsid w:val="006D6D66"/>
    <w:rsid w:val="006D6DA5"/>
    <w:rsid w:val="006D6E36"/>
    <w:rsid w:val="006D6E69"/>
    <w:rsid w:val="006D6F64"/>
    <w:rsid w:val="006D6F91"/>
    <w:rsid w:val="006D7000"/>
    <w:rsid w:val="006D70A1"/>
    <w:rsid w:val="006D71F0"/>
    <w:rsid w:val="006D72E7"/>
    <w:rsid w:val="006D738C"/>
    <w:rsid w:val="006D73BB"/>
    <w:rsid w:val="006D7413"/>
    <w:rsid w:val="006D74F0"/>
    <w:rsid w:val="006D7597"/>
    <w:rsid w:val="006D7603"/>
    <w:rsid w:val="006D7655"/>
    <w:rsid w:val="006D7662"/>
    <w:rsid w:val="006D76DA"/>
    <w:rsid w:val="006D7735"/>
    <w:rsid w:val="006D77A1"/>
    <w:rsid w:val="006D78D2"/>
    <w:rsid w:val="006D78F2"/>
    <w:rsid w:val="006D7A13"/>
    <w:rsid w:val="006D7A27"/>
    <w:rsid w:val="006D7A6F"/>
    <w:rsid w:val="006D7A82"/>
    <w:rsid w:val="006D7B2E"/>
    <w:rsid w:val="006D7B56"/>
    <w:rsid w:val="006D7BB4"/>
    <w:rsid w:val="006D7BCA"/>
    <w:rsid w:val="006D7C46"/>
    <w:rsid w:val="006D7C7B"/>
    <w:rsid w:val="006D7D2F"/>
    <w:rsid w:val="006D7D31"/>
    <w:rsid w:val="006D7D3C"/>
    <w:rsid w:val="006D7E38"/>
    <w:rsid w:val="006D7E48"/>
    <w:rsid w:val="006E0003"/>
    <w:rsid w:val="006E00C9"/>
    <w:rsid w:val="006E0196"/>
    <w:rsid w:val="006E019C"/>
    <w:rsid w:val="006E019F"/>
    <w:rsid w:val="006E0246"/>
    <w:rsid w:val="006E04D7"/>
    <w:rsid w:val="006E04EE"/>
    <w:rsid w:val="006E0741"/>
    <w:rsid w:val="006E0923"/>
    <w:rsid w:val="006E0928"/>
    <w:rsid w:val="006E09AA"/>
    <w:rsid w:val="006E0A79"/>
    <w:rsid w:val="006E0B9A"/>
    <w:rsid w:val="006E0BC2"/>
    <w:rsid w:val="006E0C6E"/>
    <w:rsid w:val="006E0C70"/>
    <w:rsid w:val="006E0D10"/>
    <w:rsid w:val="006E0D31"/>
    <w:rsid w:val="006E0D7A"/>
    <w:rsid w:val="006E0DD6"/>
    <w:rsid w:val="006E0DD8"/>
    <w:rsid w:val="006E0EA6"/>
    <w:rsid w:val="006E0EEA"/>
    <w:rsid w:val="006E0F06"/>
    <w:rsid w:val="006E0F75"/>
    <w:rsid w:val="006E10E7"/>
    <w:rsid w:val="006E1144"/>
    <w:rsid w:val="006E123E"/>
    <w:rsid w:val="006E12C5"/>
    <w:rsid w:val="006E1310"/>
    <w:rsid w:val="006E14CC"/>
    <w:rsid w:val="006E1527"/>
    <w:rsid w:val="006E15AA"/>
    <w:rsid w:val="006E161B"/>
    <w:rsid w:val="006E167B"/>
    <w:rsid w:val="006E1732"/>
    <w:rsid w:val="006E1794"/>
    <w:rsid w:val="006E1922"/>
    <w:rsid w:val="006E1A23"/>
    <w:rsid w:val="006E1A42"/>
    <w:rsid w:val="006E1AA3"/>
    <w:rsid w:val="006E1B0F"/>
    <w:rsid w:val="006E1C04"/>
    <w:rsid w:val="006E1CE1"/>
    <w:rsid w:val="006E1D47"/>
    <w:rsid w:val="006E1D86"/>
    <w:rsid w:val="006E1F1A"/>
    <w:rsid w:val="006E1FA3"/>
    <w:rsid w:val="006E1FAD"/>
    <w:rsid w:val="006E2057"/>
    <w:rsid w:val="006E22D9"/>
    <w:rsid w:val="006E2326"/>
    <w:rsid w:val="006E2381"/>
    <w:rsid w:val="006E2588"/>
    <w:rsid w:val="006E2607"/>
    <w:rsid w:val="006E2634"/>
    <w:rsid w:val="006E267E"/>
    <w:rsid w:val="006E2842"/>
    <w:rsid w:val="006E28CB"/>
    <w:rsid w:val="006E2A27"/>
    <w:rsid w:val="006E2B03"/>
    <w:rsid w:val="006E2C36"/>
    <w:rsid w:val="006E2C5B"/>
    <w:rsid w:val="006E2C8E"/>
    <w:rsid w:val="006E2E0D"/>
    <w:rsid w:val="006E2EAD"/>
    <w:rsid w:val="006E2F54"/>
    <w:rsid w:val="006E31D9"/>
    <w:rsid w:val="006E32A4"/>
    <w:rsid w:val="006E32CC"/>
    <w:rsid w:val="006E347E"/>
    <w:rsid w:val="006E3496"/>
    <w:rsid w:val="006E35C3"/>
    <w:rsid w:val="006E361E"/>
    <w:rsid w:val="006E366D"/>
    <w:rsid w:val="006E370D"/>
    <w:rsid w:val="006E3731"/>
    <w:rsid w:val="006E380C"/>
    <w:rsid w:val="006E38A8"/>
    <w:rsid w:val="006E3900"/>
    <w:rsid w:val="006E3A16"/>
    <w:rsid w:val="006E3B1E"/>
    <w:rsid w:val="006E3B3F"/>
    <w:rsid w:val="006E3BF0"/>
    <w:rsid w:val="006E3C4D"/>
    <w:rsid w:val="006E3C9D"/>
    <w:rsid w:val="006E3CA1"/>
    <w:rsid w:val="006E3CCD"/>
    <w:rsid w:val="006E3D7D"/>
    <w:rsid w:val="006E3DA1"/>
    <w:rsid w:val="006E3DDA"/>
    <w:rsid w:val="006E3E4B"/>
    <w:rsid w:val="006E3EE1"/>
    <w:rsid w:val="006E3F55"/>
    <w:rsid w:val="006E3FCF"/>
    <w:rsid w:val="006E4054"/>
    <w:rsid w:val="006E40BB"/>
    <w:rsid w:val="006E40BC"/>
    <w:rsid w:val="006E40C8"/>
    <w:rsid w:val="006E4137"/>
    <w:rsid w:val="006E41B0"/>
    <w:rsid w:val="006E4248"/>
    <w:rsid w:val="006E4441"/>
    <w:rsid w:val="006E4463"/>
    <w:rsid w:val="006E469F"/>
    <w:rsid w:val="006E4755"/>
    <w:rsid w:val="006E4A64"/>
    <w:rsid w:val="006E4AD5"/>
    <w:rsid w:val="006E4BF3"/>
    <w:rsid w:val="006E4D70"/>
    <w:rsid w:val="006E4D94"/>
    <w:rsid w:val="006E4E07"/>
    <w:rsid w:val="006E4E4B"/>
    <w:rsid w:val="006E4F7B"/>
    <w:rsid w:val="006E4F7F"/>
    <w:rsid w:val="006E4FA1"/>
    <w:rsid w:val="006E4FCA"/>
    <w:rsid w:val="006E4FE8"/>
    <w:rsid w:val="006E504C"/>
    <w:rsid w:val="006E523B"/>
    <w:rsid w:val="006E52BB"/>
    <w:rsid w:val="006E52BF"/>
    <w:rsid w:val="006E52D3"/>
    <w:rsid w:val="006E5400"/>
    <w:rsid w:val="006E5478"/>
    <w:rsid w:val="006E5547"/>
    <w:rsid w:val="006E5579"/>
    <w:rsid w:val="006E5590"/>
    <w:rsid w:val="006E5674"/>
    <w:rsid w:val="006E56E7"/>
    <w:rsid w:val="006E5834"/>
    <w:rsid w:val="006E588C"/>
    <w:rsid w:val="006E58C1"/>
    <w:rsid w:val="006E58D8"/>
    <w:rsid w:val="006E5A2A"/>
    <w:rsid w:val="006E5B12"/>
    <w:rsid w:val="006E5B35"/>
    <w:rsid w:val="006E5BDC"/>
    <w:rsid w:val="006E5CD1"/>
    <w:rsid w:val="006E5D63"/>
    <w:rsid w:val="006E5E12"/>
    <w:rsid w:val="006E5E4A"/>
    <w:rsid w:val="006E5EF7"/>
    <w:rsid w:val="006E5F6D"/>
    <w:rsid w:val="006E5FBF"/>
    <w:rsid w:val="006E5FE3"/>
    <w:rsid w:val="006E60BF"/>
    <w:rsid w:val="006E6156"/>
    <w:rsid w:val="006E61E8"/>
    <w:rsid w:val="006E62CB"/>
    <w:rsid w:val="006E62F3"/>
    <w:rsid w:val="006E6436"/>
    <w:rsid w:val="006E6451"/>
    <w:rsid w:val="006E64E4"/>
    <w:rsid w:val="006E65E8"/>
    <w:rsid w:val="006E6609"/>
    <w:rsid w:val="006E686F"/>
    <w:rsid w:val="006E68D0"/>
    <w:rsid w:val="006E68EE"/>
    <w:rsid w:val="006E6941"/>
    <w:rsid w:val="006E69A8"/>
    <w:rsid w:val="006E6A47"/>
    <w:rsid w:val="006E6A56"/>
    <w:rsid w:val="006E6BA6"/>
    <w:rsid w:val="006E6BFC"/>
    <w:rsid w:val="006E6C27"/>
    <w:rsid w:val="006E6D44"/>
    <w:rsid w:val="006E6DBC"/>
    <w:rsid w:val="006E6E71"/>
    <w:rsid w:val="006E6E74"/>
    <w:rsid w:val="006E7005"/>
    <w:rsid w:val="006E70A7"/>
    <w:rsid w:val="006E70AC"/>
    <w:rsid w:val="006E714E"/>
    <w:rsid w:val="006E7172"/>
    <w:rsid w:val="006E71D1"/>
    <w:rsid w:val="006E7211"/>
    <w:rsid w:val="006E729F"/>
    <w:rsid w:val="006E7312"/>
    <w:rsid w:val="006E7387"/>
    <w:rsid w:val="006E7485"/>
    <w:rsid w:val="006E74AC"/>
    <w:rsid w:val="006E7552"/>
    <w:rsid w:val="006E7560"/>
    <w:rsid w:val="006E75AE"/>
    <w:rsid w:val="006E7680"/>
    <w:rsid w:val="006E777E"/>
    <w:rsid w:val="006E7782"/>
    <w:rsid w:val="006E783B"/>
    <w:rsid w:val="006E7A83"/>
    <w:rsid w:val="006E7B2F"/>
    <w:rsid w:val="006E7CB6"/>
    <w:rsid w:val="006E7DDD"/>
    <w:rsid w:val="006E7E0B"/>
    <w:rsid w:val="006E7E5D"/>
    <w:rsid w:val="006E7FA2"/>
    <w:rsid w:val="006E7FAE"/>
    <w:rsid w:val="006E7FE9"/>
    <w:rsid w:val="006F0217"/>
    <w:rsid w:val="006F025F"/>
    <w:rsid w:val="006F02A8"/>
    <w:rsid w:val="006F02DC"/>
    <w:rsid w:val="006F0361"/>
    <w:rsid w:val="006F03A7"/>
    <w:rsid w:val="006F044C"/>
    <w:rsid w:val="006F05F7"/>
    <w:rsid w:val="006F065E"/>
    <w:rsid w:val="006F06D3"/>
    <w:rsid w:val="006F078F"/>
    <w:rsid w:val="006F0842"/>
    <w:rsid w:val="006F0945"/>
    <w:rsid w:val="006F0BAE"/>
    <w:rsid w:val="006F0BC3"/>
    <w:rsid w:val="006F0BF3"/>
    <w:rsid w:val="006F0C70"/>
    <w:rsid w:val="006F0C80"/>
    <w:rsid w:val="006F0CE7"/>
    <w:rsid w:val="006F0D2B"/>
    <w:rsid w:val="006F0D33"/>
    <w:rsid w:val="006F0F32"/>
    <w:rsid w:val="006F0F90"/>
    <w:rsid w:val="006F0FA7"/>
    <w:rsid w:val="006F0FCE"/>
    <w:rsid w:val="006F1196"/>
    <w:rsid w:val="006F12AC"/>
    <w:rsid w:val="006F1343"/>
    <w:rsid w:val="006F134F"/>
    <w:rsid w:val="006F137E"/>
    <w:rsid w:val="006F13DF"/>
    <w:rsid w:val="006F149B"/>
    <w:rsid w:val="006F166F"/>
    <w:rsid w:val="006F168F"/>
    <w:rsid w:val="006F1800"/>
    <w:rsid w:val="006F1806"/>
    <w:rsid w:val="006F1965"/>
    <w:rsid w:val="006F1AD2"/>
    <w:rsid w:val="006F1B4A"/>
    <w:rsid w:val="006F1B97"/>
    <w:rsid w:val="006F1BA1"/>
    <w:rsid w:val="006F1BF3"/>
    <w:rsid w:val="006F1C2D"/>
    <w:rsid w:val="006F1D14"/>
    <w:rsid w:val="006F1D2F"/>
    <w:rsid w:val="006F1DBC"/>
    <w:rsid w:val="006F1EF3"/>
    <w:rsid w:val="006F207E"/>
    <w:rsid w:val="006F2148"/>
    <w:rsid w:val="006F2488"/>
    <w:rsid w:val="006F24C8"/>
    <w:rsid w:val="006F2618"/>
    <w:rsid w:val="006F2646"/>
    <w:rsid w:val="006F27C5"/>
    <w:rsid w:val="006F2810"/>
    <w:rsid w:val="006F28BA"/>
    <w:rsid w:val="006F2A26"/>
    <w:rsid w:val="006F2AC2"/>
    <w:rsid w:val="006F2C00"/>
    <w:rsid w:val="006F2D26"/>
    <w:rsid w:val="006F2D4A"/>
    <w:rsid w:val="006F2D73"/>
    <w:rsid w:val="006F2EBA"/>
    <w:rsid w:val="006F2EF9"/>
    <w:rsid w:val="006F2FA4"/>
    <w:rsid w:val="006F2FE2"/>
    <w:rsid w:val="006F30B9"/>
    <w:rsid w:val="006F31B9"/>
    <w:rsid w:val="006F32E5"/>
    <w:rsid w:val="006F3464"/>
    <w:rsid w:val="006F359A"/>
    <w:rsid w:val="006F3683"/>
    <w:rsid w:val="006F3686"/>
    <w:rsid w:val="006F372A"/>
    <w:rsid w:val="006F3753"/>
    <w:rsid w:val="006F3810"/>
    <w:rsid w:val="006F38DB"/>
    <w:rsid w:val="006F3A50"/>
    <w:rsid w:val="006F3A51"/>
    <w:rsid w:val="006F3A54"/>
    <w:rsid w:val="006F3A69"/>
    <w:rsid w:val="006F3A95"/>
    <w:rsid w:val="006F3B31"/>
    <w:rsid w:val="006F3E1E"/>
    <w:rsid w:val="006F3E28"/>
    <w:rsid w:val="006F3E82"/>
    <w:rsid w:val="006F404C"/>
    <w:rsid w:val="006F40EC"/>
    <w:rsid w:val="006F4185"/>
    <w:rsid w:val="006F430B"/>
    <w:rsid w:val="006F44BD"/>
    <w:rsid w:val="006F44C4"/>
    <w:rsid w:val="006F4671"/>
    <w:rsid w:val="006F479F"/>
    <w:rsid w:val="006F49B4"/>
    <w:rsid w:val="006F4A23"/>
    <w:rsid w:val="006F4A2C"/>
    <w:rsid w:val="006F4AEB"/>
    <w:rsid w:val="006F4AFC"/>
    <w:rsid w:val="006F4B86"/>
    <w:rsid w:val="006F4B93"/>
    <w:rsid w:val="006F4BAD"/>
    <w:rsid w:val="006F4C65"/>
    <w:rsid w:val="006F4DC4"/>
    <w:rsid w:val="006F4E59"/>
    <w:rsid w:val="006F4E6E"/>
    <w:rsid w:val="006F4E75"/>
    <w:rsid w:val="006F4EA8"/>
    <w:rsid w:val="006F4EC3"/>
    <w:rsid w:val="006F5113"/>
    <w:rsid w:val="006F52E4"/>
    <w:rsid w:val="006F54E9"/>
    <w:rsid w:val="006F5665"/>
    <w:rsid w:val="006F569A"/>
    <w:rsid w:val="006F569F"/>
    <w:rsid w:val="006F574A"/>
    <w:rsid w:val="006F577E"/>
    <w:rsid w:val="006F57C2"/>
    <w:rsid w:val="006F57E0"/>
    <w:rsid w:val="006F585C"/>
    <w:rsid w:val="006F59C7"/>
    <w:rsid w:val="006F5AB1"/>
    <w:rsid w:val="006F5B77"/>
    <w:rsid w:val="006F5BBB"/>
    <w:rsid w:val="006F5C04"/>
    <w:rsid w:val="006F5D9F"/>
    <w:rsid w:val="006F5FF9"/>
    <w:rsid w:val="006F600E"/>
    <w:rsid w:val="006F626D"/>
    <w:rsid w:val="006F6339"/>
    <w:rsid w:val="006F6472"/>
    <w:rsid w:val="006F652E"/>
    <w:rsid w:val="006F66FC"/>
    <w:rsid w:val="006F6706"/>
    <w:rsid w:val="006F672F"/>
    <w:rsid w:val="006F67DD"/>
    <w:rsid w:val="006F6818"/>
    <w:rsid w:val="006F68C0"/>
    <w:rsid w:val="006F697F"/>
    <w:rsid w:val="006F69CF"/>
    <w:rsid w:val="006F6A97"/>
    <w:rsid w:val="006F6AC1"/>
    <w:rsid w:val="006F6C3A"/>
    <w:rsid w:val="006F6D66"/>
    <w:rsid w:val="006F6DF5"/>
    <w:rsid w:val="006F6F1F"/>
    <w:rsid w:val="006F6FAE"/>
    <w:rsid w:val="006F700A"/>
    <w:rsid w:val="006F7022"/>
    <w:rsid w:val="006F706E"/>
    <w:rsid w:val="006F70E9"/>
    <w:rsid w:val="006F711E"/>
    <w:rsid w:val="006F7243"/>
    <w:rsid w:val="006F7251"/>
    <w:rsid w:val="006F741D"/>
    <w:rsid w:val="006F74FF"/>
    <w:rsid w:val="006F7591"/>
    <w:rsid w:val="006F75C8"/>
    <w:rsid w:val="006F7725"/>
    <w:rsid w:val="006F772E"/>
    <w:rsid w:val="006F7788"/>
    <w:rsid w:val="006F79B0"/>
    <w:rsid w:val="006F79C6"/>
    <w:rsid w:val="006F7A9B"/>
    <w:rsid w:val="006F7AB2"/>
    <w:rsid w:val="006F7BA7"/>
    <w:rsid w:val="006F7C40"/>
    <w:rsid w:val="006F7DFB"/>
    <w:rsid w:val="006F7ED7"/>
    <w:rsid w:val="006F7F88"/>
    <w:rsid w:val="0070006A"/>
    <w:rsid w:val="0070025A"/>
    <w:rsid w:val="007002CE"/>
    <w:rsid w:val="007003D4"/>
    <w:rsid w:val="00700415"/>
    <w:rsid w:val="0070078B"/>
    <w:rsid w:val="007007F7"/>
    <w:rsid w:val="00700A68"/>
    <w:rsid w:val="00700A86"/>
    <w:rsid w:val="00700AD3"/>
    <w:rsid w:val="00700B2F"/>
    <w:rsid w:val="00700B30"/>
    <w:rsid w:val="00700B45"/>
    <w:rsid w:val="00700C8A"/>
    <w:rsid w:val="00700CA6"/>
    <w:rsid w:val="00700CCB"/>
    <w:rsid w:val="00700CD5"/>
    <w:rsid w:val="00700D8B"/>
    <w:rsid w:val="00700F5C"/>
    <w:rsid w:val="00700FA1"/>
    <w:rsid w:val="0070110C"/>
    <w:rsid w:val="00701220"/>
    <w:rsid w:val="00701361"/>
    <w:rsid w:val="00701416"/>
    <w:rsid w:val="00701445"/>
    <w:rsid w:val="007014D7"/>
    <w:rsid w:val="0070150E"/>
    <w:rsid w:val="0070161C"/>
    <w:rsid w:val="00701625"/>
    <w:rsid w:val="00701709"/>
    <w:rsid w:val="007017A2"/>
    <w:rsid w:val="007017F6"/>
    <w:rsid w:val="00701839"/>
    <w:rsid w:val="0070187D"/>
    <w:rsid w:val="007018AF"/>
    <w:rsid w:val="007019F8"/>
    <w:rsid w:val="00701A53"/>
    <w:rsid w:val="00701B22"/>
    <w:rsid w:val="00701B31"/>
    <w:rsid w:val="00701B76"/>
    <w:rsid w:val="00701BD6"/>
    <w:rsid w:val="00701C50"/>
    <w:rsid w:val="00701C79"/>
    <w:rsid w:val="00701C7B"/>
    <w:rsid w:val="00701D31"/>
    <w:rsid w:val="00701E19"/>
    <w:rsid w:val="00701E1F"/>
    <w:rsid w:val="00701EB1"/>
    <w:rsid w:val="00701EC8"/>
    <w:rsid w:val="00701F49"/>
    <w:rsid w:val="0070210B"/>
    <w:rsid w:val="00702171"/>
    <w:rsid w:val="007021F6"/>
    <w:rsid w:val="007023CD"/>
    <w:rsid w:val="007023F1"/>
    <w:rsid w:val="00702484"/>
    <w:rsid w:val="00702488"/>
    <w:rsid w:val="0070261F"/>
    <w:rsid w:val="0070266A"/>
    <w:rsid w:val="00702675"/>
    <w:rsid w:val="007026B1"/>
    <w:rsid w:val="007027E5"/>
    <w:rsid w:val="007028C1"/>
    <w:rsid w:val="00702974"/>
    <w:rsid w:val="00702A38"/>
    <w:rsid w:val="00702A51"/>
    <w:rsid w:val="00702A58"/>
    <w:rsid w:val="00702AD9"/>
    <w:rsid w:val="00702B0B"/>
    <w:rsid w:val="00702BCC"/>
    <w:rsid w:val="00702C2E"/>
    <w:rsid w:val="00702C8E"/>
    <w:rsid w:val="00702D2B"/>
    <w:rsid w:val="00702E8E"/>
    <w:rsid w:val="00702EDF"/>
    <w:rsid w:val="00702FF7"/>
    <w:rsid w:val="0070314C"/>
    <w:rsid w:val="00703175"/>
    <w:rsid w:val="007031C6"/>
    <w:rsid w:val="007031F9"/>
    <w:rsid w:val="00703253"/>
    <w:rsid w:val="00703338"/>
    <w:rsid w:val="0070335C"/>
    <w:rsid w:val="007033BC"/>
    <w:rsid w:val="00703408"/>
    <w:rsid w:val="0070341E"/>
    <w:rsid w:val="007034B7"/>
    <w:rsid w:val="007034C9"/>
    <w:rsid w:val="0070359B"/>
    <w:rsid w:val="0070363B"/>
    <w:rsid w:val="0070369E"/>
    <w:rsid w:val="00703900"/>
    <w:rsid w:val="00703911"/>
    <w:rsid w:val="007039A5"/>
    <w:rsid w:val="00703A90"/>
    <w:rsid w:val="00703B0E"/>
    <w:rsid w:val="00703B42"/>
    <w:rsid w:val="00703C36"/>
    <w:rsid w:val="00703C66"/>
    <w:rsid w:val="00703DDD"/>
    <w:rsid w:val="00703F45"/>
    <w:rsid w:val="007041CE"/>
    <w:rsid w:val="00704201"/>
    <w:rsid w:val="00704225"/>
    <w:rsid w:val="0070424B"/>
    <w:rsid w:val="00704278"/>
    <w:rsid w:val="007042F0"/>
    <w:rsid w:val="0070439A"/>
    <w:rsid w:val="007043A5"/>
    <w:rsid w:val="007043AA"/>
    <w:rsid w:val="007047C2"/>
    <w:rsid w:val="0070489E"/>
    <w:rsid w:val="00704916"/>
    <w:rsid w:val="007049E8"/>
    <w:rsid w:val="00704A15"/>
    <w:rsid w:val="00704A7C"/>
    <w:rsid w:val="00704B0A"/>
    <w:rsid w:val="00704B2D"/>
    <w:rsid w:val="00704C03"/>
    <w:rsid w:val="00704C37"/>
    <w:rsid w:val="00704E6A"/>
    <w:rsid w:val="00705083"/>
    <w:rsid w:val="007050CB"/>
    <w:rsid w:val="007051B0"/>
    <w:rsid w:val="00705270"/>
    <w:rsid w:val="00705297"/>
    <w:rsid w:val="007052C0"/>
    <w:rsid w:val="007052C5"/>
    <w:rsid w:val="007052CD"/>
    <w:rsid w:val="007053B1"/>
    <w:rsid w:val="00705543"/>
    <w:rsid w:val="00705554"/>
    <w:rsid w:val="007056A1"/>
    <w:rsid w:val="007056D0"/>
    <w:rsid w:val="007056FD"/>
    <w:rsid w:val="00705766"/>
    <w:rsid w:val="007057BA"/>
    <w:rsid w:val="00705821"/>
    <w:rsid w:val="00705838"/>
    <w:rsid w:val="00705876"/>
    <w:rsid w:val="0070595C"/>
    <w:rsid w:val="00705976"/>
    <w:rsid w:val="00705A06"/>
    <w:rsid w:val="00705A78"/>
    <w:rsid w:val="00705DC4"/>
    <w:rsid w:val="00705DDB"/>
    <w:rsid w:val="00705DE8"/>
    <w:rsid w:val="00705F1A"/>
    <w:rsid w:val="00705F3A"/>
    <w:rsid w:val="00705FA6"/>
    <w:rsid w:val="00705FE1"/>
    <w:rsid w:val="0070612B"/>
    <w:rsid w:val="0070616B"/>
    <w:rsid w:val="00706224"/>
    <w:rsid w:val="00706322"/>
    <w:rsid w:val="00706459"/>
    <w:rsid w:val="0070646A"/>
    <w:rsid w:val="007064B7"/>
    <w:rsid w:val="00706550"/>
    <w:rsid w:val="007066F4"/>
    <w:rsid w:val="00706736"/>
    <w:rsid w:val="00706759"/>
    <w:rsid w:val="007067E9"/>
    <w:rsid w:val="007068A0"/>
    <w:rsid w:val="00706965"/>
    <w:rsid w:val="00706983"/>
    <w:rsid w:val="0070699C"/>
    <w:rsid w:val="00706B0A"/>
    <w:rsid w:val="00706B98"/>
    <w:rsid w:val="00706B9E"/>
    <w:rsid w:val="00706BF8"/>
    <w:rsid w:val="00706C23"/>
    <w:rsid w:val="00706C88"/>
    <w:rsid w:val="00706DB6"/>
    <w:rsid w:val="00706DF9"/>
    <w:rsid w:val="00706E28"/>
    <w:rsid w:val="00706E89"/>
    <w:rsid w:val="00706E99"/>
    <w:rsid w:val="00706EF0"/>
    <w:rsid w:val="00706F2C"/>
    <w:rsid w:val="00706FDD"/>
    <w:rsid w:val="00707012"/>
    <w:rsid w:val="00707114"/>
    <w:rsid w:val="00707398"/>
    <w:rsid w:val="007073B0"/>
    <w:rsid w:val="007073B4"/>
    <w:rsid w:val="007073D1"/>
    <w:rsid w:val="00707530"/>
    <w:rsid w:val="00707539"/>
    <w:rsid w:val="00707696"/>
    <w:rsid w:val="007077B7"/>
    <w:rsid w:val="00707894"/>
    <w:rsid w:val="00707ACE"/>
    <w:rsid w:val="00707BE6"/>
    <w:rsid w:val="00707C89"/>
    <w:rsid w:val="00707E71"/>
    <w:rsid w:val="00707EB1"/>
    <w:rsid w:val="00707ED4"/>
    <w:rsid w:val="00707F43"/>
    <w:rsid w:val="00707F89"/>
    <w:rsid w:val="0071004A"/>
    <w:rsid w:val="007100CA"/>
    <w:rsid w:val="0071026C"/>
    <w:rsid w:val="0071027B"/>
    <w:rsid w:val="007103CF"/>
    <w:rsid w:val="00710480"/>
    <w:rsid w:val="007104BD"/>
    <w:rsid w:val="00710685"/>
    <w:rsid w:val="007106A9"/>
    <w:rsid w:val="007106E0"/>
    <w:rsid w:val="0071070A"/>
    <w:rsid w:val="007107E9"/>
    <w:rsid w:val="0071083C"/>
    <w:rsid w:val="007109D4"/>
    <w:rsid w:val="00710AF8"/>
    <w:rsid w:val="00710B28"/>
    <w:rsid w:val="00710C0C"/>
    <w:rsid w:val="00710C6F"/>
    <w:rsid w:val="00710C84"/>
    <w:rsid w:val="00710C93"/>
    <w:rsid w:val="00710DAF"/>
    <w:rsid w:val="00710E47"/>
    <w:rsid w:val="00710F33"/>
    <w:rsid w:val="00710FF7"/>
    <w:rsid w:val="00711039"/>
    <w:rsid w:val="00711077"/>
    <w:rsid w:val="007110EF"/>
    <w:rsid w:val="00711162"/>
    <w:rsid w:val="007111E0"/>
    <w:rsid w:val="007111FA"/>
    <w:rsid w:val="00711251"/>
    <w:rsid w:val="007112E6"/>
    <w:rsid w:val="007112EB"/>
    <w:rsid w:val="00711309"/>
    <w:rsid w:val="00711347"/>
    <w:rsid w:val="0071135C"/>
    <w:rsid w:val="00711365"/>
    <w:rsid w:val="0071145F"/>
    <w:rsid w:val="0071161E"/>
    <w:rsid w:val="00711662"/>
    <w:rsid w:val="007116DD"/>
    <w:rsid w:val="0071174A"/>
    <w:rsid w:val="0071179F"/>
    <w:rsid w:val="007119C4"/>
    <w:rsid w:val="00711B0F"/>
    <w:rsid w:val="00711B8B"/>
    <w:rsid w:val="00711CED"/>
    <w:rsid w:val="00711D99"/>
    <w:rsid w:val="00711E31"/>
    <w:rsid w:val="00711EEB"/>
    <w:rsid w:val="00711F2B"/>
    <w:rsid w:val="00711FF4"/>
    <w:rsid w:val="00712042"/>
    <w:rsid w:val="0071211F"/>
    <w:rsid w:val="00712140"/>
    <w:rsid w:val="007122F0"/>
    <w:rsid w:val="007122F6"/>
    <w:rsid w:val="00712369"/>
    <w:rsid w:val="00712376"/>
    <w:rsid w:val="007124E6"/>
    <w:rsid w:val="00712563"/>
    <w:rsid w:val="0071259A"/>
    <w:rsid w:val="007125CF"/>
    <w:rsid w:val="0071260E"/>
    <w:rsid w:val="00712632"/>
    <w:rsid w:val="0071263C"/>
    <w:rsid w:val="007126A3"/>
    <w:rsid w:val="007126E2"/>
    <w:rsid w:val="0071271A"/>
    <w:rsid w:val="00712736"/>
    <w:rsid w:val="00712739"/>
    <w:rsid w:val="00712795"/>
    <w:rsid w:val="007127F9"/>
    <w:rsid w:val="007129AB"/>
    <w:rsid w:val="00712BE6"/>
    <w:rsid w:val="00712C9F"/>
    <w:rsid w:val="00712D20"/>
    <w:rsid w:val="00712F06"/>
    <w:rsid w:val="00712FA0"/>
    <w:rsid w:val="00712FFE"/>
    <w:rsid w:val="00713099"/>
    <w:rsid w:val="007130B8"/>
    <w:rsid w:val="007130C6"/>
    <w:rsid w:val="0071328D"/>
    <w:rsid w:val="007132E9"/>
    <w:rsid w:val="0071332F"/>
    <w:rsid w:val="007133D7"/>
    <w:rsid w:val="00713677"/>
    <w:rsid w:val="007136D3"/>
    <w:rsid w:val="00713796"/>
    <w:rsid w:val="007137D6"/>
    <w:rsid w:val="00713821"/>
    <w:rsid w:val="00713919"/>
    <w:rsid w:val="00713A37"/>
    <w:rsid w:val="00713A6F"/>
    <w:rsid w:val="00713B20"/>
    <w:rsid w:val="00713B79"/>
    <w:rsid w:val="00713BBB"/>
    <w:rsid w:val="00713C00"/>
    <w:rsid w:val="00713C87"/>
    <w:rsid w:val="00713D88"/>
    <w:rsid w:val="00713DBE"/>
    <w:rsid w:val="00713DE7"/>
    <w:rsid w:val="00713E0F"/>
    <w:rsid w:val="00713EA0"/>
    <w:rsid w:val="00713F99"/>
    <w:rsid w:val="00713FE7"/>
    <w:rsid w:val="0071415E"/>
    <w:rsid w:val="0071433E"/>
    <w:rsid w:val="00714341"/>
    <w:rsid w:val="00714440"/>
    <w:rsid w:val="0071448D"/>
    <w:rsid w:val="007144D6"/>
    <w:rsid w:val="00714632"/>
    <w:rsid w:val="00714778"/>
    <w:rsid w:val="00714871"/>
    <w:rsid w:val="0071489B"/>
    <w:rsid w:val="007148F0"/>
    <w:rsid w:val="00714930"/>
    <w:rsid w:val="0071495C"/>
    <w:rsid w:val="00714981"/>
    <w:rsid w:val="007149D2"/>
    <w:rsid w:val="00714A80"/>
    <w:rsid w:val="00714AD4"/>
    <w:rsid w:val="00714B07"/>
    <w:rsid w:val="00714B0B"/>
    <w:rsid w:val="00714B1C"/>
    <w:rsid w:val="00714BD2"/>
    <w:rsid w:val="00714C6A"/>
    <w:rsid w:val="00714C75"/>
    <w:rsid w:val="00714C84"/>
    <w:rsid w:val="00714D50"/>
    <w:rsid w:val="00714DC7"/>
    <w:rsid w:val="00714E2A"/>
    <w:rsid w:val="00714F7E"/>
    <w:rsid w:val="00714FE8"/>
    <w:rsid w:val="007150C9"/>
    <w:rsid w:val="00715117"/>
    <w:rsid w:val="00715242"/>
    <w:rsid w:val="00715474"/>
    <w:rsid w:val="007154BE"/>
    <w:rsid w:val="00715573"/>
    <w:rsid w:val="0071569E"/>
    <w:rsid w:val="007156BE"/>
    <w:rsid w:val="007157A0"/>
    <w:rsid w:val="0071595C"/>
    <w:rsid w:val="00715990"/>
    <w:rsid w:val="00715A0C"/>
    <w:rsid w:val="00715A3D"/>
    <w:rsid w:val="00715B2C"/>
    <w:rsid w:val="00715B55"/>
    <w:rsid w:val="00715B6B"/>
    <w:rsid w:val="00715C03"/>
    <w:rsid w:val="00715C1E"/>
    <w:rsid w:val="00715CD6"/>
    <w:rsid w:val="00715D89"/>
    <w:rsid w:val="007160BF"/>
    <w:rsid w:val="00716285"/>
    <w:rsid w:val="007162C7"/>
    <w:rsid w:val="007162F7"/>
    <w:rsid w:val="00716305"/>
    <w:rsid w:val="00716307"/>
    <w:rsid w:val="00716391"/>
    <w:rsid w:val="007166BD"/>
    <w:rsid w:val="00716787"/>
    <w:rsid w:val="007169E0"/>
    <w:rsid w:val="00716A16"/>
    <w:rsid w:val="00716A1B"/>
    <w:rsid w:val="00716B05"/>
    <w:rsid w:val="00716BC5"/>
    <w:rsid w:val="00716C14"/>
    <w:rsid w:val="00716C9E"/>
    <w:rsid w:val="00716D78"/>
    <w:rsid w:val="00716DDB"/>
    <w:rsid w:val="00716E18"/>
    <w:rsid w:val="00716E42"/>
    <w:rsid w:val="00716EEF"/>
    <w:rsid w:val="007170FB"/>
    <w:rsid w:val="00717120"/>
    <w:rsid w:val="0071712E"/>
    <w:rsid w:val="00717147"/>
    <w:rsid w:val="0071715C"/>
    <w:rsid w:val="00717191"/>
    <w:rsid w:val="007171CF"/>
    <w:rsid w:val="00717216"/>
    <w:rsid w:val="007172D9"/>
    <w:rsid w:val="00717316"/>
    <w:rsid w:val="00717418"/>
    <w:rsid w:val="00717450"/>
    <w:rsid w:val="0071766B"/>
    <w:rsid w:val="0071771E"/>
    <w:rsid w:val="00717741"/>
    <w:rsid w:val="007178B7"/>
    <w:rsid w:val="007178FC"/>
    <w:rsid w:val="00717951"/>
    <w:rsid w:val="00717A09"/>
    <w:rsid w:val="00717C99"/>
    <w:rsid w:val="00717CDF"/>
    <w:rsid w:val="00717D52"/>
    <w:rsid w:val="00717E0C"/>
    <w:rsid w:val="00717E39"/>
    <w:rsid w:val="00717E50"/>
    <w:rsid w:val="00717E67"/>
    <w:rsid w:val="00717E8F"/>
    <w:rsid w:val="00717EDE"/>
    <w:rsid w:val="00717EFC"/>
    <w:rsid w:val="00717F04"/>
    <w:rsid w:val="00717F3D"/>
    <w:rsid w:val="00717FFE"/>
    <w:rsid w:val="007200F5"/>
    <w:rsid w:val="0072023A"/>
    <w:rsid w:val="007202A3"/>
    <w:rsid w:val="007203AB"/>
    <w:rsid w:val="007203DF"/>
    <w:rsid w:val="007203E5"/>
    <w:rsid w:val="007204D0"/>
    <w:rsid w:val="007205C6"/>
    <w:rsid w:val="007206C9"/>
    <w:rsid w:val="00720730"/>
    <w:rsid w:val="00720880"/>
    <w:rsid w:val="00720888"/>
    <w:rsid w:val="007208B6"/>
    <w:rsid w:val="00720990"/>
    <w:rsid w:val="00720A89"/>
    <w:rsid w:val="00720C60"/>
    <w:rsid w:val="00720D54"/>
    <w:rsid w:val="00720D81"/>
    <w:rsid w:val="00720DBB"/>
    <w:rsid w:val="00720DE6"/>
    <w:rsid w:val="00720DF3"/>
    <w:rsid w:val="00720E08"/>
    <w:rsid w:val="00720F1F"/>
    <w:rsid w:val="00720F23"/>
    <w:rsid w:val="00720FBC"/>
    <w:rsid w:val="0072109D"/>
    <w:rsid w:val="0072118B"/>
    <w:rsid w:val="007211A7"/>
    <w:rsid w:val="007211BF"/>
    <w:rsid w:val="007212B0"/>
    <w:rsid w:val="0072130B"/>
    <w:rsid w:val="0072131E"/>
    <w:rsid w:val="0072138D"/>
    <w:rsid w:val="007213E8"/>
    <w:rsid w:val="00721453"/>
    <w:rsid w:val="00721553"/>
    <w:rsid w:val="007215F0"/>
    <w:rsid w:val="0072164D"/>
    <w:rsid w:val="0072178B"/>
    <w:rsid w:val="007218B0"/>
    <w:rsid w:val="007219C1"/>
    <w:rsid w:val="007219E6"/>
    <w:rsid w:val="00721A02"/>
    <w:rsid w:val="00721A77"/>
    <w:rsid w:val="00721B94"/>
    <w:rsid w:val="00721C58"/>
    <w:rsid w:val="00721D48"/>
    <w:rsid w:val="00721D6D"/>
    <w:rsid w:val="00721FA6"/>
    <w:rsid w:val="007220ED"/>
    <w:rsid w:val="0072210D"/>
    <w:rsid w:val="0072215C"/>
    <w:rsid w:val="0072223E"/>
    <w:rsid w:val="00722258"/>
    <w:rsid w:val="007222D4"/>
    <w:rsid w:val="00722406"/>
    <w:rsid w:val="00722529"/>
    <w:rsid w:val="0072252F"/>
    <w:rsid w:val="007226C6"/>
    <w:rsid w:val="00722706"/>
    <w:rsid w:val="00722822"/>
    <w:rsid w:val="00722845"/>
    <w:rsid w:val="007228BF"/>
    <w:rsid w:val="007228C7"/>
    <w:rsid w:val="00722934"/>
    <w:rsid w:val="00722991"/>
    <w:rsid w:val="0072299A"/>
    <w:rsid w:val="00722A20"/>
    <w:rsid w:val="00722ACD"/>
    <w:rsid w:val="00722B22"/>
    <w:rsid w:val="00722B6F"/>
    <w:rsid w:val="00722BB2"/>
    <w:rsid w:val="00722BD6"/>
    <w:rsid w:val="00722BED"/>
    <w:rsid w:val="00722C32"/>
    <w:rsid w:val="00722D7E"/>
    <w:rsid w:val="00722E49"/>
    <w:rsid w:val="0072302B"/>
    <w:rsid w:val="00723144"/>
    <w:rsid w:val="007231B5"/>
    <w:rsid w:val="007231C8"/>
    <w:rsid w:val="00723367"/>
    <w:rsid w:val="00723487"/>
    <w:rsid w:val="007234CA"/>
    <w:rsid w:val="007234F8"/>
    <w:rsid w:val="0072350F"/>
    <w:rsid w:val="007235AE"/>
    <w:rsid w:val="007235C5"/>
    <w:rsid w:val="007235EE"/>
    <w:rsid w:val="00723733"/>
    <w:rsid w:val="00723763"/>
    <w:rsid w:val="0072376C"/>
    <w:rsid w:val="00723801"/>
    <w:rsid w:val="007238B6"/>
    <w:rsid w:val="007238D5"/>
    <w:rsid w:val="0072393E"/>
    <w:rsid w:val="00723948"/>
    <w:rsid w:val="00723AD2"/>
    <w:rsid w:val="00723B4D"/>
    <w:rsid w:val="00723BB6"/>
    <w:rsid w:val="00723D25"/>
    <w:rsid w:val="00723DDE"/>
    <w:rsid w:val="00723E5E"/>
    <w:rsid w:val="00723E63"/>
    <w:rsid w:val="00723EA3"/>
    <w:rsid w:val="00723EE0"/>
    <w:rsid w:val="00723F1A"/>
    <w:rsid w:val="00723FE8"/>
    <w:rsid w:val="00724028"/>
    <w:rsid w:val="00724095"/>
    <w:rsid w:val="007241E2"/>
    <w:rsid w:val="00724221"/>
    <w:rsid w:val="00724299"/>
    <w:rsid w:val="007243AD"/>
    <w:rsid w:val="007244D1"/>
    <w:rsid w:val="007245FF"/>
    <w:rsid w:val="00724626"/>
    <w:rsid w:val="0072469A"/>
    <w:rsid w:val="007246C6"/>
    <w:rsid w:val="007246DB"/>
    <w:rsid w:val="007247A1"/>
    <w:rsid w:val="00724871"/>
    <w:rsid w:val="007248AF"/>
    <w:rsid w:val="00724938"/>
    <w:rsid w:val="0072496D"/>
    <w:rsid w:val="007249E3"/>
    <w:rsid w:val="00724A5B"/>
    <w:rsid w:val="00724A71"/>
    <w:rsid w:val="00724AC0"/>
    <w:rsid w:val="00724CE5"/>
    <w:rsid w:val="00724D58"/>
    <w:rsid w:val="00724EB8"/>
    <w:rsid w:val="00724EC3"/>
    <w:rsid w:val="00724F72"/>
    <w:rsid w:val="00724F8B"/>
    <w:rsid w:val="00725095"/>
    <w:rsid w:val="00725105"/>
    <w:rsid w:val="00725131"/>
    <w:rsid w:val="00725226"/>
    <w:rsid w:val="007252F5"/>
    <w:rsid w:val="0072538C"/>
    <w:rsid w:val="007253AE"/>
    <w:rsid w:val="00725451"/>
    <w:rsid w:val="00725592"/>
    <w:rsid w:val="00725596"/>
    <w:rsid w:val="00725638"/>
    <w:rsid w:val="00725664"/>
    <w:rsid w:val="0072569D"/>
    <w:rsid w:val="007256AD"/>
    <w:rsid w:val="00725791"/>
    <w:rsid w:val="007258FA"/>
    <w:rsid w:val="00725A22"/>
    <w:rsid w:val="00725B26"/>
    <w:rsid w:val="00725BD3"/>
    <w:rsid w:val="00725CA0"/>
    <w:rsid w:val="00725DA2"/>
    <w:rsid w:val="00725DF8"/>
    <w:rsid w:val="00725E23"/>
    <w:rsid w:val="00725E2F"/>
    <w:rsid w:val="00725FB3"/>
    <w:rsid w:val="00726027"/>
    <w:rsid w:val="007260CB"/>
    <w:rsid w:val="007260E7"/>
    <w:rsid w:val="0072611C"/>
    <w:rsid w:val="00726322"/>
    <w:rsid w:val="00726369"/>
    <w:rsid w:val="007263F9"/>
    <w:rsid w:val="007264A1"/>
    <w:rsid w:val="007264C6"/>
    <w:rsid w:val="00726581"/>
    <w:rsid w:val="007265FC"/>
    <w:rsid w:val="00726603"/>
    <w:rsid w:val="0072662C"/>
    <w:rsid w:val="00726783"/>
    <w:rsid w:val="00726899"/>
    <w:rsid w:val="00726963"/>
    <w:rsid w:val="007269F8"/>
    <w:rsid w:val="00726BC0"/>
    <w:rsid w:val="00726CB0"/>
    <w:rsid w:val="00726DD7"/>
    <w:rsid w:val="00726F04"/>
    <w:rsid w:val="00726FBB"/>
    <w:rsid w:val="00727073"/>
    <w:rsid w:val="00727120"/>
    <w:rsid w:val="00727313"/>
    <w:rsid w:val="007273CF"/>
    <w:rsid w:val="007273D7"/>
    <w:rsid w:val="0072746D"/>
    <w:rsid w:val="00727475"/>
    <w:rsid w:val="007274BB"/>
    <w:rsid w:val="007274CB"/>
    <w:rsid w:val="00727546"/>
    <w:rsid w:val="0072759F"/>
    <w:rsid w:val="007275B4"/>
    <w:rsid w:val="00727680"/>
    <w:rsid w:val="007276DC"/>
    <w:rsid w:val="00727727"/>
    <w:rsid w:val="00727749"/>
    <w:rsid w:val="00727775"/>
    <w:rsid w:val="007278CC"/>
    <w:rsid w:val="00727A03"/>
    <w:rsid w:val="00727A0F"/>
    <w:rsid w:val="00727A2E"/>
    <w:rsid w:val="00727A66"/>
    <w:rsid w:val="00727ACF"/>
    <w:rsid w:val="00727B36"/>
    <w:rsid w:val="00727BEE"/>
    <w:rsid w:val="00727C5E"/>
    <w:rsid w:val="00727CA5"/>
    <w:rsid w:val="00727D8F"/>
    <w:rsid w:val="00727DD6"/>
    <w:rsid w:val="00727E91"/>
    <w:rsid w:val="00727F04"/>
    <w:rsid w:val="00727F23"/>
    <w:rsid w:val="00727F2A"/>
    <w:rsid w:val="0073011F"/>
    <w:rsid w:val="0073028C"/>
    <w:rsid w:val="0073034A"/>
    <w:rsid w:val="00730362"/>
    <w:rsid w:val="007303C2"/>
    <w:rsid w:val="007303D6"/>
    <w:rsid w:val="007304EE"/>
    <w:rsid w:val="00730701"/>
    <w:rsid w:val="007307A0"/>
    <w:rsid w:val="007307D3"/>
    <w:rsid w:val="0073082A"/>
    <w:rsid w:val="007308E1"/>
    <w:rsid w:val="0073097F"/>
    <w:rsid w:val="00730992"/>
    <w:rsid w:val="00730A55"/>
    <w:rsid w:val="00730B35"/>
    <w:rsid w:val="00730C18"/>
    <w:rsid w:val="00730D35"/>
    <w:rsid w:val="00730EAF"/>
    <w:rsid w:val="00730EBC"/>
    <w:rsid w:val="00731007"/>
    <w:rsid w:val="00731084"/>
    <w:rsid w:val="007312AA"/>
    <w:rsid w:val="007312C1"/>
    <w:rsid w:val="0073134F"/>
    <w:rsid w:val="00731407"/>
    <w:rsid w:val="0073141B"/>
    <w:rsid w:val="0073153B"/>
    <w:rsid w:val="00731551"/>
    <w:rsid w:val="00731587"/>
    <w:rsid w:val="0073159C"/>
    <w:rsid w:val="00731670"/>
    <w:rsid w:val="007316F7"/>
    <w:rsid w:val="007318A2"/>
    <w:rsid w:val="00731B60"/>
    <w:rsid w:val="00731CD9"/>
    <w:rsid w:val="00731D0C"/>
    <w:rsid w:val="00731D82"/>
    <w:rsid w:val="00731D94"/>
    <w:rsid w:val="00731DCA"/>
    <w:rsid w:val="00731ED4"/>
    <w:rsid w:val="007321E0"/>
    <w:rsid w:val="007324E0"/>
    <w:rsid w:val="00732519"/>
    <w:rsid w:val="007325D2"/>
    <w:rsid w:val="00732B22"/>
    <w:rsid w:val="00732BB3"/>
    <w:rsid w:val="00732C47"/>
    <w:rsid w:val="00732D3F"/>
    <w:rsid w:val="00732DB1"/>
    <w:rsid w:val="00732EAF"/>
    <w:rsid w:val="00732EB3"/>
    <w:rsid w:val="00732EEA"/>
    <w:rsid w:val="00732EEE"/>
    <w:rsid w:val="00732F18"/>
    <w:rsid w:val="00732F38"/>
    <w:rsid w:val="00732FC5"/>
    <w:rsid w:val="00732FE8"/>
    <w:rsid w:val="00732FF8"/>
    <w:rsid w:val="00732FFF"/>
    <w:rsid w:val="0073308F"/>
    <w:rsid w:val="00733106"/>
    <w:rsid w:val="0073322E"/>
    <w:rsid w:val="00733263"/>
    <w:rsid w:val="00733504"/>
    <w:rsid w:val="0073377D"/>
    <w:rsid w:val="007337D1"/>
    <w:rsid w:val="007338F7"/>
    <w:rsid w:val="00733A5D"/>
    <w:rsid w:val="00733B44"/>
    <w:rsid w:val="00733C69"/>
    <w:rsid w:val="00733D2F"/>
    <w:rsid w:val="00733D50"/>
    <w:rsid w:val="00733EDA"/>
    <w:rsid w:val="00733F06"/>
    <w:rsid w:val="00733F07"/>
    <w:rsid w:val="00733F22"/>
    <w:rsid w:val="00733F79"/>
    <w:rsid w:val="00733FEA"/>
    <w:rsid w:val="0073402F"/>
    <w:rsid w:val="007340EC"/>
    <w:rsid w:val="007340FB"/>
    <w:rsid w:val="0073415B"/>
    <w:rsid w:val="0073416A"/>
    <w:rsid w:val="0073421E"/>
    <w:rsid w:val="00734246"/>
    <w:rsid w:val="007342DB"/>
    <w:rsid w:val="00734315"/>
    <w:rsid w:val="007344F9"/>
    <w:rsid w:val="0073456F"/>
    <w:rsid w:val="007345BA"/>
    <w:rsid w:val="0073464B"/>
    <w:rsid w:val="007346A1"/>
    <w:rsid w:val="007346C9"/>
    <w:rsid w:val="00734809"/>
    <w:rsid w:val="00734905"/>
    <w:rsid w:val="00734AAC"/>
    <w:rsid w:val="00734B13"/>
    <w:rsid w:val="00734C1B"/>
    <w:rsid w:val="00734C31"/>
    <w:rsid w:val="00734CE1"/>
    <w:rsid w:val="00734D74"/>
    <w:rsid w:val="00734D8F"/>
    <w:rsid w:val="00734DBF"/>
    <w:rsid w:val="00734E3E"/>
    <w:rsid w:val="00734E45"/>
    <w:rsid w:val="00734ED0"/>
    <w:rsid w:val="00734F02"/>
    <w:rsid w:val="00734F2A"/>
    <w:rsid w:val="00734F8E"/>
    <w:rsid w:val="00735044"/>
    <w:rsid w:val="0073516E"/>
    <w:rsid w:val="007351B0"/>
    <w:rsid w:val="007351DD"/>
    <w:rsid w:val="00735317"/>
    <w:rsid w:val="007354DF"/>
    <w:rsid w:val="007354EB"/>
    <w:rsid w:val="0073556F"/>
    <w:rsid w:val="00735627"/>
    <w:rsid w:val="00735724"/>
    <w:rsid w:val="0073573C"/>
    <w:rsid w:val="0073576A"/>
    <w:rsid w:val="0073577B"/>
    <w:rsid w:val="007358E5"/>
    <w:rsid w:val="00735942"/>
    <w:rsid w:val="00735A7C"/>
    <w:rsid w:val="00735A7F"/>
    <w:rsid w:val="00735A9E"/>
    <w:rsid w:val="00735B62"/>
    <w:rsid w:val="00735BA0"/>
    <w:rsid w:val="00735C37"/>
    <w:rsid w:val="00735CB9"/>
    <w:rsid w:val="00735D1D"/>
    <w:rsid w:val="00735D2C"/>
    <w:rsid w:val="00735D82"/>
    <w:rsid w:val="00735E95"/>
    <w:rsid w:val="00735FA4"/>
    <w:rsid w:val="00735FF7"/>
    <w:rsid w:val="00736096"/>
    <w:rsid w:val="007360B2"/>
    <w:rsid w:val="00736293"/>
    <w:rsid w:val="007362CB"/>
    <w:rsid w:val="007362D8"/>
    <w:rsid w:val="007364A0"/>
    <w:rsid w:val="007364EE"/>
    <w:rsid w:val="007366D5"/>
    <w:rsid w:val="007369AE"/>
    <w:rsid w:val="00736AA8"/>
    <w:rsid w:val="00736ACD"/>
    <w:rsid w:val="00736BAC"/>
    <w:rsid w:val="00736CED"/>
    <w:rsid w:val="00736D05"/>
    <w:rsid w:val="00736DAA"/>
    <w:rsid w:val="00736DB8"/>
    <w:rsid w:val="00736DF5"/>
    <w:rsid w:val="00737079"/>
    <w:rsid w:val="00737093"/>
    <w:rsid w:val="007373E9"/>
    <w:rsid w:val="007373F5"/>
    <w:rsid w:val="00737466"/>
    <w:rsid w:val="0073748F"/>
    <w:rsid w:val="0073751B"/>
    <w:rsid w:val="00737674"/>
    <w:rsid w:val="007376CE"/>
    <w:rsid w:val="007377FE"/>
    <w:rsid w:val="00737835"/>
    <w:rsid w:val="00737848"/>
    <w:rsid w:val="007378F0"/>
    <w:rsid w:val="00737AA7"/>
    <w:rsid w:val="00737B86"/>
    <w:rsid w:val="00737C28"/>
    <w:rsid w:val="00737D1A"/>
    <w:rsid w:val="007400E9"/>
    <w:rsid w:val="007401E4"/>
    <w:rsid w:val="0074030A"/>
    <w:rsid w:val="00740442"/>
    <w:rsid w:val="007404D8"/>
    <w:rsid w:val="007406A1"/>
    <w:rsid w:val="00740788"/>
    <w:rsid w:val="0074083B"/>
    <w:rsid w:val="007409FD"/>
    <w:rsid w:val="00740A61"/>
    <w:rsid w:val="00740B49"/>
    <w:rsid w:val="00740B4D"/>
    <w:rsid w:val="00740D27"/>
    <w:rsid w:val="00740D3E"/>
    <w:rsid w:val="00740E2F"/>
    <w:rsid w:val="00740E58"/>
    <w:rsid w:val="00740EC4"/>
    <w:rsid w:val="00740F39"/>
    <w:rsid w:val="00740F82"/>
    <w:rsid w:val="00740FE8"/>
    <w:rsid w:val="00741007"/>
    <w:rsid w:val="00741163"/>
    <w:rsid w:val="007411A7"/>
    <w:rsid w:val="007411D8"/>
    <w:rsid w:val="00741237"/>
    <w:rsid w:val="00741317"/>
    <w:rsid w:val="0074157E"/>
    <w:rsid w:val="007415AF"/>
    <w:rsid w:val="0074181D"/>
    <w:rsid w:val="007418C6"/>
    <w:rsid w:val="0074194E"/>
    <w:rsid w:val="007419B2"/>
    <w:rsid w:val="00741A2F"/>
    <w:rsid w:val="00741B97"/>
    <w:rsid w:val="00741CA7"/>
    <w:rsid w:val="00741CF2"/>
    <w:rsid w:val="00741CF6"/>
    <w:rsid w:val="00741FFB"/>
    <w:rsid w:val="0074207F"/>
    <w:rsid w:val="007420B5"/>
    <w:rsid w:val="007420EF"/>
    <w:rsid w:val="007420F9"/>
    <w:rsid w:val="007421C8"/>
    <w:rsid w:val="00742205"/>
    <w:rsid w:val="0074226B"/>
    <w:rsid w:val="0074233B"/>
    <w:rsid w:val="0074246F"/>
    <w:rsid w:val="00742631"/>
    <w:rsid w:val="00742730"/>
    <w:rsid w:val="00742748"/>
    <w:rsid w:val="0074276A"/>
    <w:rsid w:val="0074283F"/>
    <w:rsid w:val="00742962"/>
    <w:rsid w:val="007429C7"/>
    <w:rsid w:val="00742A9D"/>
    <w:rsid w:val="00742AE8"/>
    <w:rsid w:val="00742D21"/>
    <w:rsid w:val="00742D75"/>
    <w:rsid w:val="00742F7B"/>
    <w:rsid w:val="00742FB5"/>
    <w:rsid w:val="00743048"/>
    <w:rsid w:val="0074336B"/>
    <w:rsid w:val="0074350A"/>
    <w:rsid w:val="007435C2"/>
    <w:rsid w:val="007435EF"/>
    <w:rsid w:val="007436C3"/>
    <w:rsid w:val="0074386B"/>
    <w:rsid w:val="00743944"/>
    <w:rsid w:val="00743AC7"/>
    <w:rsid w:val="00743B49"/>
    <w:rsid w:val="00743B64"/>
    <w:rsid w:val="00743B82"/>
    <w:rsid w:val="00743B8E"/>
    <w:rsid w:val="00743C65"/>
    <w:rsid w:val="00743CB3"/>
    <w:rsid w:val="00743D9F"/>
    <w:rsid w:val="00743DD1"/>
    <w:rsid w:val="00743E1E"/>
    <w:rsid w:val="00743E30"/>
    <w:rsid w:val="00743EFE"/>
    <w:rsid w:val="00743FB7"/>
    <w:rsid w:val="00744003"/>
    <w:rsid w:val="00744019"/>
    <w:rsid w:val="007440B8"/>
    <w:rsid w:val="00744114"/>
    <w:rsid w:val="00744164"/>
    <w:rsid w:val="007441B3"/>
    <w:rsid w:val="0074420A"/>
    <w:rsid w:val="007442E7"/>
    <w:rsid w:val="00744393"/>
    <w:rsid w:val="00744440"/>
    <w:rsid w:val="00744558"/>
    <w:rsid w:val="0074456A"/>
    <w:rsid w:val="007445B4"/>
    <w:rsid w:val="0074461F"/>
    <w:rsid w:val="00744659"/>
    <w:rsid w:val="0074468F"/>
    <w:rsid w:val="00744815"/>
    <w:rsid w:val="00744A0D"/>
    <w:rsid w:val="00744B4F"/>
    <w:rsid w:val="00744C49"/>
    <w:rsid w:val="00744DE5"/>
    <w:rsid w:val="00744DFA"/>
    <w:rsid w:val="00744E65"/>
    <w:rsid w:val="00744E7D"/>
    <w:rsid w:val="00744ECC"/>
    <w:rsid w:val="00744EE6"/>
    <w:rsid w:val="00744FC1"/>
    <w:rsid w:val="0074520A"/>
    <w:rsid w:val="0074521E"/>
    <w:rsid w:val="00745258"/>
    <w:rsid w:val="00745279"/>
    <w:rsid w:val="0074538F"/>
    <w:rsid w:val="007454EA"/>
    <w:rsid w:val="00745541"/>
    <w:rsid w:val="00745632"/>
    <w:rsid w:val="007456D6"/>
    <w:rsid w:val="00745712"/>
    <w:rsid w:val="007457B2"/>
    <w:rsid w:val="007458C3"/>
    <w:rsid w:val="00745944"/>
    <w:rsid w:val="00745979"/>
    <w:rsid w:val="0074598F"/>
    <w:rsid w:val="00745ABC"/>
    <w:rsid w:val="00745B45"/>
    <w:rsid w:val="00745C55"/>
    <w:rsid w:val="00745CFD"/>
    <w:rsid w:val="00745D49"/>
    <w:rsid w:val="00745DAF"/>
    <w:rsid w:val="00745E2E"/>
    <w:rsid w:val="00745E48"/>
    <w:rsid w:val="00745F3F"/>
    <w:rsid w:val="00745F88"/>
    <w:rsid w:val="00745FFA"/>
    <w:rsid w:val="00746003"/>
    <w:rsid w:val="007460A4"/>
    <w:rsid w:val="007461B9"/>
    <w:rsid w:val="00746220"/>
    <w:rsid w:val="00746293"/>
    <w:rsid w:val="007462E3"/>
    <w:rsid w:val="007464C1"/>
    <w:rsid w:val="0074659E"/>
    <w:rsid w:val="00746622"/>
    <w:rsid w:val="0074676A"/>
    <w:rsid w:val="007468D2"/>
    <w:rsid w:val="00746A02"/>
    <w:rsid w:val="00746A9E"/>
    <w:rsid w:val="00746B9B"/>
    <w:rsid w:val="00746C72"/>
    <w:rsid w:val="00746CA1"/>
    <w:rsid w:val="00746D1C"/>
    <w:rsid w:val="00746E4C"/>
    <w:rsid w:val="00746F05"/>
    <w:rsid w:val="00746F31"/>
    <w:rsid w:val="00746F49"/>
    <w:rsid w:val="00746FBD"/>
    <w:rsid w:val="007470BE"/>
    <w:rsid w:val="00747111"/>
    <w:rsid w:val="007471F4"/>
    <w:rsid w:val="0074735F"/>
    <w:rsid w:val="00747527"/>
    <w:rsid w:val="00747610"/>
    <w:rsid w:val="00747795"/>
    <w:rsid w:val="007477AA"/>
    <w:rsid w:val="007477E3"/>
    <w:rsid w:val="007478D7"/>
    <w:rsid w:val="00747B3A"/>
    <w:rsid w:val="00747D5A"/>
    <w:rsid w:val="00747DF5"/>
    <w:rsid w:val="00747E56"/>
    <w:rsid w:val="00747F96"/>
    <w:rsid w:val="00750033"/>
    <w:rsid w:val="00750035"/>
    <w:rsid w:val="00750079"/>
    <w:rsid w:val="00750232"/>
    <w:rsid w:val="00750262"/>
    <w:rsid w:val="00750263"/>
    <w:rsid w:val="007502E8"/>
    <w:rsid w:val="007504F3"/>
    <w:rsid w:val="00750541"/>
    <w:rsid w:val="00750545"/>
    <w:rsid w:val="0075065F"/>
    <w:rsid w:val="00750685"/>
    <w:rsid w:val="007506D6"/>
    <w:rsid w:val="00750770"/>
    <w:rsid w:val="00750ACE"/>
    <w:rsid w:val="00750AD4"/>
    <w:rsid w:val="00750B5F"/>
    <w:rsid w:val="00750C4C"/>
    <w:rsid w:val="00750C6E"/>
    <w:rsid w:val="00750C97"/>
    <w:rsid w:val="00750CDA"/>
    <w:rsid w:val="00750D0D"/>
    <w:rsid w:val="00750D3B"/>
    <w:rsid w:val="00750E14"/>
    <w:rsid w:val="00750E17"/>
    <w:rsid w:val="00750EBB"/>
    <w:rsid w:val="00750EE0"/>
    <w:rsid w:val="00750F04"/>
    <w:rsid w:val="00750FA1"/>
    <w:rsid w:val="00751044"/>
    <w:rsid w:val="00751097"/>
    <w:rsid w:val="00751101"/>
    <w:rsid w:val="00751105"/>
    <w:rsid w:val="00751118"/>
    <w:rsid w:val="007512B7"/>
    <w:rsid w:val="007512BF"/>
    <w:rsid w:val="007513A4"/>
    <w:rsid w:val="00751414"/>
    <w:rsid w:val="0075147E"/>
    <w:rsid w:val="007514ED"/>
    <w:rsid w:val="00751527"/>
    <w:rsid w:val="0075152C"/>
    <w:rsid w:val="0075160E"/>
    <w:rsid w:val="00751653"/>
    <w:rsid w:val="007516F0"/>
    <w:rsid w:val="007518D9"/>
    <w:rsid w:val="0075193B"/>
    <w:rsid w:val="0075195B"/>
    <w:rsid w:val="007519B6"/>
    <w:rsid w:val="00751AC2"/>
    <w:rsid w:val="00751BC8"/>
    <w:rsid w:val="00751CD6"/>
    <w:rsid w:val="00751D4E"/>
    <w:rsid w:val="00751DCA"/>
    <w:rsid w:val="00751DE4"/>
    <w:rsid w:val="00751E61"/>
    <w:rsid w:val="00751ED6"/>
    <w:rsid w:val="00751EDD"/>
    <w:rsid w:val="00751F79"/>
    <w:rsid w:val="007520B2"/>
    <w:rsid w:val="0075227A"/>
    <w:rsid w:val="007523C8"/>
    <w:rsid w:val="0075241D"/>
    <w:rsid w:val="00752630"/>
    <w:rsid w:val="00752756"/>
    <w:rsid w:val="00752778"/>
    <w:rsid w:val="0075279D"/>
    <w:rsid w:val="007527D4"/>
    <w:rsid w:val="007528D8"/>
    <w:rsid w:val="0075292C"/>
    <w:rsid w:val="00752A2D"/>
    <w:rsid w:val="00752A5D"/>
    <w:rsid w:val="00752A5E"/>
    <w:rsid w:val="00752AF0"/>
    <w:rsid w:val="00752B43"/>
    <w:rsid w:val="00752BC6"/>
    <w:rsid w:val="00752D16"/>
    <w:rsid w:val="00752D91"/>
    <w:rsid w:val="00752DA7"/>
    <w:rsid w:val="00752DE1"/>
    <w:rsid w:val="00752E50"/>
    <w:rsid w:val="00752ED8"/>
    <w:rsid w:val="00752FA2"/>
    <w:rsid w:val="00753016"/>
    <w:rsid w:val="007530CA"/>
    <w:rsid w:val="007531C9"/>
    <w:rsid w:val="0075322F"/>
    <w:rsid w:val="007532F0"/>
    <w:rsid w:val="007533D3"/>
    <w:rsid w:val="0075342A"/>
    <w:rsid w:val="00753468"/>
    <w:rsid w:val="007535FD"/>
    <w:rsid w:val="00753617"/>
    <w:rsid w:val="007536CD"/>
    <w:rsid w:val="00753A99"/>
    <w:rsid w:val="00753AA0"/>
    <w:rsid w:val="00753C80"/>
    <w:rsid w:val="00753C9B"/>
    <w:rsid w:val="00753D33"/>
    <w:rsid w:val="00753DBC"/>
    <w:rsid w:val="00753EF6"/>
    <w:rsid w:val="007540C6"/>
    <w:rsid w:val="007540F5"/>
    <w:rsid w:val="00754130"/>
    <w:rsid w:val="00754137"/>
    <w:rsid w:val="00754139"/>
    <w:rsid w:val="0075429C"/>
    <w:rsid w:val="00754331"/>
    <w:rsid w:val="0075449C"/>
    <w:rsid w:val="007544B6"/>
    <w:rsid w:val="007545C4"/>
    <w:rsid w:val="00754715"/>
    <w:rsid w:val="00754741"/>
    <w:rsid w:val="00754787"/>
    <w:rsid w:val="00754851"/>
    <w:rsid w:val="007548CC"/>
    <w:rsid w:val="00754A22"/>
    <w:rsid w:val="00754A3F"/>
    <w:rsid w:val="00754BA7"/>
    <w:rsid w:val="00754C33"/>
    <w:rsid w:val="00754CEA"/>
    <w:rsid w:val="00754D3A"/>
    <w:rsid w:val="00754DFE"/>
    <w:rsid w:val="00754EC0"/>
    <w:rsid w:val="00754F0A"/>
    <w:rsid w:val="00754FAC"/>
    <w:rsid w:val="00754FEE"/>
    <w:rsid w:val="0075500C"/>
    <w:rsid w:val="007550AB"/>
    <w:rsid w:val="007550C9"/>
    <w:rsid w:val="007550ED"/>
    <w:rsid w:val="007550F3"/>
    <w:rsid w:val="00755123"/>
    <w:rsid w:val="007551CD"/>
    <w:rsid w:val="007551CE"/>
    <w:rsid w:val="00755363"/>
    <w:rsid w:val="007553D9"/>
    <w:rsid w:val="007553E1"/>
    <w:rsid w:val="00755462"/>
    <w:rsid w:val="0075551A"/>
    <w:rsid w:val="00755844"/>
    <w:rsid w:val="00755926"/>
    <w:rsid w:val="0075599C"/>
    <w:rsid w:val="007559BC"/>
    <w:rsid w:val="00755A10"/>
    <w:rsid w:val="00755A11"/>
    <w:rsid w:val="00755CC2"/>
    <w:rsid w:val="00755D0E"/>
    <w:rsid w:val="00755E16"/>
    <w:rsid w:val="00755E6E"/>
    <w:rsid w:val="00755F1F"/>
    <w:rsid w:val="00755FCD"/>
    <w:rsid w:val="00755FCE"/>
    <w:rsid w:val="00756042"/>
    <w:rsid w:val="00756383"/>
    <w:rsid w:val="007563A5"/>
    <w:rsid w:val="0075644B"/>
    <w:rsid w:val="007564A8"/>
    <w:rsid w:val="0075655F"/>
    <w:rsid w:val="007566C2"/>
    <w:rsid w:val="007566F7"/>
    <w:rsid w:val="0075677B"/>
    <w:rsid w:val="00756801"/>
    <w:rsid w:val="0075692D"/>
    <w:rsid w:val="00756941"/>
    <w:rsid w:val="007569E3"/>
    <w:rsid w:val="00756A1F"/>
    <w:rsid w:val="00756A47"/>
    <w:rsid w:val="00756B58"/>
    <w:rsid w:val="00756B5E"/>
    <w:rsid w:val="00756B83"/>
    <w:rsid w:val="00756BA9"/>
    <w:rsid w:val="00756D1B"/>
    <w:rsid w:val="00756D1C"/>
    <w:rsid w:val="00756D4C"/>
    <w:rsid w:val="00756DCD"/>
    <w:rsid w:val="00756E44"/>
    <w:rsid w:val="00756EF4"/>
    <w:rsid w:val="0075711D"/>
    <w:rsid w:val="0075715A"/>
    <w:rsid w:val="00757242"/>
    <w:rsid w:val="0075726B"/>
    <w:rsid w:val="007572A6"/>
    <w:rsid w:val="00757381"/>
    <w:rsid w:val="0075738E"/>
    <w:rsid w:val="007574E0"/>
    <w:rsid w:val="0075754F"/>
    <w:rsid w:val="00757582"/>
    <w:rsid w:val="00757646"/>
    <w:rsid w:val="007577B6"/>
    <w:rsid w:val="0075786A"/>
    <w:rsid w:val="0075794D"/>
    <w:rsid w:val="007579BB"/>
    <w:rsid w:val="00757A9A"/>
    <w:rsid w:val="00757AA7"/>
    <w:rsid w:val="00757B51"/>
    <w:rsid w:val="00757BAE"/>
    <w:rsid w:val="00757C35"/>
    <w:rsid w:val="00757C7F"/>
    <w:rsid w:val="00757E49"/>
    <w:rsid w:val="00757EA4"/>
    <w:rsid w:val="00757F4D"/>
    <w:rsid w:val="0076009A"/>
    <w:rsid w:val="007600BB"/>
    <w:rsid w:val="007600DD"/>
    <w:rsid w:val="0076019E"/>
    <w:rsid w:val="007602BB"/>
    <w:rsid w:val="007602CD"/>
    <w:rsid w:val="00760374"/>
    <w:rsid w:val="007603B6"/>
    <w:rsid w:val="007604E9"/>
    <w:rsid w:val="00760562"/>
    <w:rsid w:val="00760597"/>
    <w:rsid w:val="0076062E"/>
    <w:rsid w:val="00760649"/>
    <w:rsid w:val="00760740"/>
    <w:rsid w:val="00760746"/>
    <w:rsid w:val="00760763"/>
    <w:rsid w:val="00760797"/>
    <w:rsid w:val="00760830"/>
    <w:rsid w:val="00760843"/>
    <w:rsid w:val="00760864"/>
    <w:rsid w:val="007608B4"/>
    <w:rsid w:val="007608F0"/>
    <w:rsid w:val="007609AF"/>
    <w:rsid w:val="007609D7"/>
    <w:rsid w:val="00760AA0"/>
    <w:rsid w:val="00760B0D"/>
    <w:rsid w:val="00760B36"/>
    <w:rsid w:val="00760BDD"/>
    <w:rsid w:val="00760C4C"/>
    <w:rsid w:val="00760C5C"/>
    <w:rsid w:val="00760C8F"/>
    <w:rsid w:val="00760D74"/>
    <w:rsid w:val="00760E17"/>
    <w:rsid w:val="00760E1E"/>
    <w:rsid w:val="00760F64"/>
    <w:rsid w:val="00761130"/>
    <w:rsid w:val="007611C3"/>
    <w:rsid w:val="00761222"/>
    <w:rsid w:val="00761491"/>
    <w:rsid w:val="0076150C"/>
    <w:rsid w:val="00761561"/>
    <w:rsid w:val="0076156E"/>
    <w:rsid w:val="00761578"/>
    <w:rsid w:val="007615F8"/>
    <w:rsid w:val="00761618"/>
    <w:rsid w:val="0076168D"/>
    <w:rsid w:val="0076171D"/>
    <w:rsid w:val="007617DE"/>
    <w:rsid w:val="007617FD"/>
    <w:rsid w:val="0076189E"/>
    <w:rsid w:val="007618B9"/>
    <w:rsid w:val="00761A33"/>
    <w:rsid w:val="00761B38"/>
    <w:rsid w:val="00761E30"/>
    <w:rsid w:val="00761E51"/>
    <w:rsid w:val="00761E76"/>
    <w:rsid w:val="00762286"/>
    <w:rsid w:val="007623F4"/>
    <w:rsid w:val="0076257A"/>
    <w:rsid w:val="0076263E"/>
    <w:rsid w:val="007626DA"/>
    <w:rsid w:val="0076272A"/>
    <w:rsid w:val="00762749"/>
    <w:rsid w:val="007628B1"/>
    <w:rsid w:val="007628B2"/>
    <w:rsid w:val="0076296E"/>
    <w:rsid w:val="007629C6"/>
    <w:rsid w:val="007629DE"/>
    <w:rsid w:val="00762A98"/>
    <w:rsid w:val="00762AD9"/>
    <w:rsid w:val="00762AF9"/>
    <w:rsid w:val="00762B62"/>
    <w:rsid w:val="00762C92"/>
    <w:rsid w:val="00762D68"/>
    <w:rsid w:val="00762DBF"/>
    <w:rsid w:val="00762DDD"/>
    <w:rsid w:val="00762E8B"/>
    <w:rsid w:val="00762EE6"/>
    <w:rsid w:val="00762FFD"/>
    <w:rsid w:val="00763136"/>
    <w:rsid w:val="00763434"/>
    <w:rsid w:val="00763439"/>
    <w:rsid w:val="0076358E"/>
    <w:rsid w:val="0076366E"/>
    <w:rsid w:val="00763672"/>
    <w:rsid w:val="007637FE"/>
    <w:rsid w:val="00763843"/>
    <w:rsid w:val="00763A66"/>
    <w:rsid w:val="00763B32"/>
    <w:rsid w:val="00763BC2"/>
    <w:rsid w:val="00763BEE"/>
    <w:rsid w:val="00763C15"/>
    <w:rsid w:val="00763C18"/>
    <w:rsid w:val="00763D3C"/>
    <w:rsid w:val="00763E0A"/>
    <w:rsid w:val="00763FA0"/>
    <w:rsid w:val="007640E2"/>
    <w:rsid w:val="007641BB"/>
    <w:rsid w:val="00764290"/>
    <w:rsid w:val="00764385"/>
    <w:rsid w:val="00764477"/>
    <w:rsid w:val="007644BA"/>
    <w:rsid w:val="007644E2"/>
    <w:rsid w:val="007645E2"/>
    <w:rsid w:val="007646A1"/>
    <w:rsid w:val="00764759"/>
    <w:rsid w:val="00764923"/>
    <w:rsid w:val="00764A16"/>
    <w:rsid w:val="00764A31"/>
    <w:rsid w:val="00764A37"/>
    <w:rsid w:val="00764AFE"/>
    <w:rsid w:val="00764BB9"/>
    <w:rsid w:val="00764CB7"/>
    <w:rsid w:val="00764D94"/>
    <w:rsid w:val="00764E0F"/>
    <w:rsid w:val="00764F5D"/>
    <w:rsid w:val="00764FA7"/>
    <w:rsid w:val="00765107"/>
    <w:rsid w:val="007651EA"/>
    <w:rsid w:val="007651F9"/>
    <w:rsid w:val="00765366"/>
    <w:rsid w:val="00765380"/>
    <w:rsid w:val="007653BD"/>
    <w:rsid w:val="007653DA"/>
    <w:rsid w:val="00765408"/>
    <w:rsid w:val="00765693"/>
    <w:rsid w:val="00765768"/>
    <w:rsid w:val="00765774"/>
    <w:rsid w:val="00765856"/>
    <w:rsid w:val="007658E1"/>
    <w:rsid w:val="00765933"/>
    <w:rsid w:val="00765945"/>
    <w:rsid w:val="00765A4A"/>
    <w:rsid w:val="00765A61"/>
    <w:rsid w:val="00765B12"/>
    <w:rsid w:val="00765BAE"/>
    <w:rsid w:val="00766035"/>
    <w:rsid w:val="00766046"/>
    <w:rsid w:val="0076606D"/>
    <w:rsid w:val="00766082"/>
    <w:rsid w:val="007660ED"/>
    <w:rsid w:val="007660FB"/>
    <w:rsid w:val="0076614E"/>
    <w:rsid w:val="00766234"/>
    <w:rsid w:val="007662DF"/>
    <w:rsid w:val="0076633F"/>
    <w:rsid w:val="0076635D"/>
    <w:rsid w:val="0076639B"/>
    <w:rsid w:val="007663C4"/>
    <w:rsid w:val="007663C6"/>
    <w:rsid w:val="00766592"/>
    <w:rsid w:val="007665AD"/>
    <w:rsid w:val="007665F0"/>
    <w:rsid w:val="007666E7"/>
    <w:rsid w:val="00766747"/>
    <w:rsid w:val="00766889"/>
    <w:rsid w:val="00766962"/>
    <w:rsid w:val="007669EA"/>
    <w:rsid w:val="00766A19"/>
    <w:rsid w:val="00766B66"/>
    <w:rsid w:val="00766B83"/>
    <w:rsid w:val="00766BE7"/>
    <w:rsid w:val="00766D70"/>
    <w:rsid w:val="00766EA3"/>
    <w:rsid w:val="00766EFD"/>
    <w:rsid w:val="00766F81"/>
    <w:rsid w:val="00766F98"/>
    <w:rsid w:val="00766FDC"/>
    <w:rsid w:val="007671D8"/>
    <w:rsid w:val="007671EC"/>
    <w:rsid w:val="007672AA"/>
    <w:rsid w:val="00767666"/>
    <w:rsid w:val="00767779"/>
    <w:rsid w:val="007677BE"/>
    <w:rsid w:val="007677E2"/>
    <w:rsid w:val="0076784A"/>
    <w:rsid w:val="007678D9"/>
    <w:rsid w:val="00767B49"/>
    <w:rsid w:val="00767B64"/>
    <w:rsid w:val="00767C21"/>
    <w:rsid w:val="00767C32"/>
    <w:rsid w:val="00767C59"/>
    <w:rsid w:val="00767D6C"/>
    <w:rsid w:val="00767DC9"/>
    <w:rsid w:val="00767E48"/>
    <w:rsid w:val="00767FED"/>
    <w:rsid w:val="00770002"/>
    <w:rsid w:val="00770141"/>
    <w:rsid w:val="00770158"/>
    <w:rsid w:val="0077021B"/>
    <w:rsid w:val="007704BF"/>
    <w:rsid w:val="007704E7"/>
    <w:rsid w:val="007706DC"/>
    <w:rsid w:val="0077073D"/>
    <w:rsid w:val="0077090C"/>
    <w:rsid w:val="00770A6A"/>
    <w:rsid w:val="00770A9B"/>
    <w:rsid w:val="00770B41"/>
    <w:rsid w:val="00770BA2"/>
    <w:rsid w:val="00770CD1"/>
    <w:rsid w:val="00770DE9"/>
    <w:rsid w:val="00770EA6"/>
    <w:rsid w:val="00770F2B"/>
    <w:rsid w:val="00770F95"/>
    <w:rsid w:val="00770FCF"/>
    <w:rsid w:val="007710B6"/>
    <w:rsid w:val="007710D9"/>
    <w:rsid w:val="00771138"/>
    <w:rsid w:val="007711BE"/>
    <w:rsid w:val="00771247"/>
    <w:rsid w:val="007712D3"/>
    <w:rsid w:val="007712FA"/>
    <w:rsid w:val="007713AD"/>
    <w:rsid w:val="007713E6"/>
    <w:rsid w:val="00771431"/>
    <w:rsid w:val="00771500"/>
    <w:rsid w:val="00771511"/>
    <w:rsid w:val="0077153E"/>
    <w:rsid w:val="0077155E"/>
    <w:rsid w:val="007715C1"/>
    <w:rsid w:val="00771661"/>
    <w:rsid w:val="007716A7"/>
    <w:rsid w:val="007716D1"/>
    <w:rsid w:val="00771750"/>
    <w:rsid w:val="0077180F"/>
    <w:rsid w:val="0077184A"/>
    <w:rsid w:val="0077184B"/>
    <w:rsid w:val="007718AC"/>
    <w:rsid w:val="00771912"/>
    <w:rsid w:val="007719AB"/>
    <w:rsid w:val="007719B3"/>
    <w:rsid w:val="007719C0"/>
    <w:rsid w:val="00771C13"/>
    <w:rsid w:val="00771C34"/>
    <w:rsid w:val="00771D3F"/>
    <w:rsid w:val="00771FCD"/>
    <w:rsid w:val="0077204B"/>
    <w:rsid w:val="00772096"/>
    <w:rsid w:val="007721D6"/>
    <w:rsid w:val="00772233"/>
    <w:rsid w:val="007722AD"/>
    <w:rsid w:val="007722EE"/>
    <w:rsid w:val="0077232D"/>
    <w:rsid w:val="0077233A"/>
    <w:rsid w:val="0077236F"/>
    <w:rsid w:val="007723A1"/>
    <w:rsid w:val="007723B1"/>
    <w:rsid w:val="0077243A"/>
    <w:rsid w:val="007724D5"/>
    <w:rsid w:val="007724E2"/>
    <w:rsid w:val="00772676"/>
    <w:rsid w:val="007726EA"/>
    <w:rsid w:val="00772757"/>
    <w:rsid w:val="0077285B"/>
    <w:rsid w:val="00772994"/>
    <w:rsid w:val="00772BBF"/>
    <w:rsid w:val="00772C64"/>
    <w:rsid w:val="00772CF2"/>
    <w:rsid w:val="00772D98"/>
    <w:rsid w:val="00772E03"/>
    <w:rsid w:val="00772E14"/>
    <w:rsid w:val="00772F81"/>
    <w:rsid w:val="007730ED"/>
    <w:rsid w:val="007730EE"/>
    <w:rsid w:val="007730FF"/>
    <w:rsid w:val="0077312E"/>
    <w:rsid w:val="00773380"/>
    <w:rsid w:val="007733E1"/>
    <w:rsid w:val="00773472"/>
    <w:rsid w:val="0077347E"/>
    <w:rsid w:val="0077351B"/>
    <w:rsid w:val="0077355D"/>
    <w:rsid w:val="007735F9"/>
    <w:rsid w:val="007736B1"/>
    <w:rsid w:val="007736BB"/>
    <w:rsid w:val="00773725"/>
    <w:rsid w:val="00773A35"/>
    <w:rsid w:val="00773A51"/>
    <w:rsid w:val="00773A97"/>
    <w:rsid w:val="00773C5B"/>
    <w:rsid w:val="00773D7D"/>
    <w:rsid w:val="00773D94"/>
    <w:rsid w:val="00773F3B"/>
    <w:rsid w:val="00773FA9"/>
    <w:rsid w:val="00774266"/>
    <w:rsid w:val="007742BD"/>
    <w:rsid w:val="0077431A"/>
    <w:rsid w:val="0077439C"/>
    <w:rsid w:val="0077444E"/>
    <w:rsid w:val="007744DF"/>
    <w:rsid w:val="007744E8"/>
    <w:rsid w:val="00774684"/>
    <w:rsid w:val="00774706"/>
    <w:rsid w:val="0077475F"/>
    <w:rsid w:val="00774880"/>
    <w:rsid w:val="0077489F"/>
    <w:rsid w:val="007748D0"/>
    <w:rsid w:val="00774982"/>
    <w:rsid w:val="00774A40"/>
    <w:rsid w:val="00774D45"/>
    <w:rsid w:val="00774DC4"/>
    <w:rsid w:val="00774E34"/>
    <w:rsid w:val="00774F53"/>
    <w:rsid w:val="00775049"/>
    <w:rsid w:val="00775086"/>
    <w:rsid w:val="0077511C"/>
    <w:rsid w:val="0077513A"/>
    <w:rsid w:val="00775352"/>
    <w:rsid w:val="007753DC"/>
    <w:rsid w:val="00775480"/>
    <w:rsid w:val="00775569"/>
    <w:rsid w:val="00775674"/>
    <w:rsid w:val="007756CE"/>
    <w:rsid w:val="007756D8"/>
    <w:rsid w:val="007758B1"/>
    <w:rsid w:val="00775911"/>
    <w:rsid w:val="0077594B"/>
    <w:rsid w:val="00775997"/>
    <w:rsid w:val="00775A1D"/>
    <w:rsid w:val="00775A3E"/>
    <w:rsid w:val="00775B58"/>
    <w:rsid w:val="00775B73"/>
    <w:rsid w:val="00775D27"/>
    <w:rsid w:val="00775D86"/>
    <w:rsid w:val="00775E44"/>
    <w:rsid w:val="00775EB5"/>
    <w:rsid w:val="00775F54"/>
    <w:rsid w:val="00776001"/>
    <w:rsid w:val="0077606C"/>
    <w:rsid w:val="007760B6"/>
    <w:rsid w:val="00776285"/>
    <w:rsid w:val="00776305"/>
    <w:rsid w:val="0077661B"/>
    <w:rsid w:val="00776694"/>
    <w:rsid w:val="007766AB"/>
    <w:rsid w:val="00776728"/>
    <w:rsid w:val="0077697A"/>
    <w:rsid w:val="007769C0"/>
    <w:rsid w:val="007769CF"/>
    <w:rsid w:val="00776C3C"/>
    <w:rsid w:val="00776C9A"/>
    <w:rsid w:val="00776D08"/>
    <w:rsid w:val="00776D55"/>
    <w:rsid w:val="00776D9C"/>
    <w:rsid w:val="00776F54"/>
    <w:rsid w:val="00777043"/>
    <w:rsid w:val="007771B1"/>
    <w:rsid w:val="0077726B"/>
    <w:rsid w:val="00777284"/>
    <w:rsid w:val="00777760"/>
    <w:rsid w:val="0077777B"/>
    <w:rsid w:val="007777F9"/>
    <w:rsid w:val="00777894"/>
    <w:rsid w:val="007779A7"/>
    <w:rsid w:val="00777A26"/>
    <w:rsid w:val="00777A89"/>
    <w:rsid w:val="00777B10"/>
    <w:rsid w:val="00777BC5"/>
    <w:rsid w:val="00777C5E"/>
    <w:rsid w:val="00777CCD"/>
    <w:rsid w:val="00777D7A"/>
    <w:rsid w:val="00777E55"/>
    <w:rsid w:val="00777E69"/>
    <w:rsid w:val="00777F68"/>
    <w:rsid w:val="007800D5"/>
    <w:rsid w:val="007801D9"/>
    <w:rsid w:val="0078032D"/>
    <w:rsid w:val="007803C4"/>
    <w:rsid w:val="0078048F"/>
    <w:rsid w:val="00780528"/>
    <w:rsid w:val="007805DC"/>
    <w:rsid w:val="007805E2"/>
    <w:rsid w:val="00780665"/>
    <w:rsid w:val="007806A6"/>
    <w:rsid w:val="007806A8"/>
    <w:rsid w:val="007806AB"/>
    <w:rsid w:val="00780719"/>
    <w:rsid w:val="0078081C"/>
    <w:rsid w:val="00780876"/>
    <w:rsid w:val="0078089D"/>
    <w:rsid w:val="007808DC"/>
    <w:rsid w:val="0078096F"/>
    <w:rsid w:val="00780B3A"/>
    <w:rsid w:val="00780D10"/>
    <w:rsid w:val="00780E64"/>
    <w:rsid w:val="00780E81"/>
    <w:rsid w:val="00780EF3"/>
    <w:rsid w:val="00780F92"/>
    <w:rsid w:val="00781008"/>
    <w:rsid w:val="0078109D"/>
    <w:rsid w:val="00781101"/>
    <w:rsid w:val="00781190"/>
    <w:rsid w:val="00781191"/>
    <w:rsid w:val="007812C7"/>
    <w:rsid w:val="007812F8"/>
    <w:rsid w:val="00781313"/>
    <w:rsid w:val="00781423"/>
    <w:rsid w:val="0078155E"/>
    <w:rsid w:val="007815F0"/>
    <w:rsid w:val="00781748"/>
    <w:rsid w:val="007818A0"/>
    <w:rsid w:val="00781997"/>
    <w:rsid w:val="007819E7"/>
    <w:rsid w:val="00781A1B"/>
    <w:rsid w:val="00781A92"/>
    <w:rsid w:val="00781A9E"/>
    <w:rsid w:val="00781B72"/>
    <w:rsid w:val="00781B74"/>
    <w:rsid w:val="00781C3A"/>
    <w:rsid w:val="00781C57"/>
    <w:rsid w:val="00781DC1"/>
    <w:rsid w:val="00781F8F"/>
    <w:rsid w:val="007820C4"/>
    <w:rsid w:val="00782112"/>
    <w:rsid w:val="00782114"/>
    <w:rsid w:val="007821E4"/>
    <w:rsid w:val="0078231D"/>
    <w:rsid w:val="00782328"/>
    <w:rsid w:val="00782339"/>
    <w:rsid w:val="007823EE"/>
    <w:rsid w:val="00782499"/>
    <w:rsid w:val="007824EA"/>
    <w:rsid w:val="00782508"/>
    <w:rsid w:val="007825C3"/>
    <w:rsid w:val="00782719"/>
    <w:rsid w:val="00782737"/>
    <w:rsid w:val="00782749"/>
    <w:rsid w:val="00782971"/>
    <w:rsid w:val="00782989"/>
    <w:rsid w:val="007829C0"/>
    <w:rsid w:val="00782A35"/>
    <w:rsid w:val="00782AA4"/>
    <w:rsid w:val="00782B02"/>
    <w:rsid w:val="00782B6D"/>
    <w:rsid w:val="00782B7E"/>
    <w:rsid w:val="00782B84"/>
    <w:rsid w:val="00782BBB"/>
    <w:rsid w:val="00782BF7"/>
    <w:rsid w:val="00782C16"/>
    <w:rsid w:val="00782C4A"/>
    <w:rsid w:val="00782CB3"/>
    <w:rsid w:val="00782E93"/>
    <w:rsid w:val="00782F56"/>
    <w:rsid w:val="00782F71"/>
    <w:rsid w:val="00782FA7"/>
    <w:rsid w:val="00783034"/>
    <w:rsid w:val="00783119"/>
    <w:rsid w:val="0078316C"/>
    <w:rsid w:val="00783195"/>
    <w:rsid w:val="00783245"/>
    <w:rsid w:val="00783281"/>
    <w:rsid w:val="00783299"/>
    <w:rsid w:val="0078338C"/>
    <w:rsid w:val="0078339B"/>
    <w:rsid w:val="00783409"/>
    <w:rsid w:val="00783426"/>
    <w:rsid w:val="007835EA"/>
    <w:rsid w:val="0078360C"/>
    <w:rsid w:val="00783705"/>
    <w:rsid w:val="00783763"/>
    <w:rsid w:val="007838EA"/>
    <w:rsid w:val="0078393E"/>
    <w:rsid w:val="0078399B"/>
    <w:rsid w:val="007839A4"/>
    <w:rsid w:val="00783AFA"/>
    <w:rsid w:val="00783B28"/>
    <w:rsid w:val="00783C5C"/>
    <w:rsid w:val="00783D48"/>
    <w:rsid w:val="00783ECE"/>
    <w:rsid w:val="00784071"/>
    <w:rsid w:val="0078407B"/>
    <w:rsid w:val="007841E6"/>
    <w:rsid w:val="00784201"/>
    <w:rsid w:val="007842A3"/>
    <w:rsid w:val="00784375"/>
    <w:rsid w:val="007845BB"/>
    <w:rsid w:val="007846C6"/>
    <w:rsid w:val="00784757"/>
    <w:rsid w:val="0078480B"/>
    <w:rsid w:val="00784828"/>
    <w:rsid w:val="00784938"/>
    <w:rsid w:val="00784C19"/>
    <w:rsid w:val="00784C65"/>
    <w:rsid w:val="00784CCF"/>
    <w:rsid w:val="00784D0A"/>
    <w:rsid w:val="00784D5F"/>
    <w:rsid w:val="00784DC3"/>
    <w:rsid w:val="00784DCB"/>
    <w:rsid w:val="00784DE4"/>
    <w:rsid w:val="00784E4A"/>
    <w:rsid w:val="00784E75"/>
    <w:rsid w:val="00784F6A"/>
    <w:rsid w:val="00784F86"/>
    <w:rsid w:val="00784FB7"/>
    <w:rsid w:val="0078507B"/>
    <w:rsid w:val="0078513D"/>
    <w:rsid w:val="00785192"/>
    <w:rsid w:val="00785292"/>
    <w:rsid w:val="00785297"/>
    <w:rsid w:val="007852DD"/>
    <w:rsid w:val="007853D0"/>
    <w:rsid w:val="00785435"/>
    <w:rsid w:val="007854F9"/>
    <w:rsid w:val="00785579"/>
    <w:rsid w:val="007856FD"/>
    <w:rsid w:val="00785713"/>
    <w:rsid w:val="00785775"/>
    <w:rsid w:val="007857BF"/>
    <w:rsid w:val="007857D5"/>
    <w:rsid w:val="00785897"/>
    <w:rsid w:val="007859FF"/>
    <w:rsid w:val="00785A01"/>
    <w:rsid w:val="00785A11"/>
    <w:rsid w:val="00785AB8"/>
    <w:rsid w:val="00785C42"/>
    <w:rsid w:val="00785CF6"/>
    <w:rsid w:val="00785D41"/>
    <w:rsid w:val="00785DB2"/>
    <w:rsid w:val="00785E5F"/>
    <w:rsid w:val="00785E6C"/>
    <w:rsid w:val="00785E77"/>
    <w:rsid w:val="0078600B"/>
    <w:rsid w:val="007860BD"/>
    <w:rsid w:val="007860EA"/>
    <w:rsid w:val="00786121"/>
    <w:rsid w:val="0078614C"/>
    <w:rsid w:val="0078618A"/>
    <w:rsid w:val="007861F3"/>
    <w:rsid w:val="0078621E"/>
    <w:rsid w:val="0078630B"/>
    <w:rsid w:val="0078642B"/>
    <w:rsid w:val="0078659E"/>
    <w:rsid w:val="007865ED"/>
    <w:rsid w:val="0078663D"/>
    <w:rsid w:val="007866E3"/>
    <w:rsid w:val="007867D9"/>
    <w:rsid w:val="007867F2"/>
    <w:rsid w:val="00786823"/>
    <w:rsid w:val="007869D1"/>
    <w:rsid w:val="00786A01"/>
    <w:rsid w:val="00786A17"/>
    <w:rsid w:val="00786AD2"/>
    <w:rsid w:val="00786B46"/>
    <w:rsid w:val="00786C4E"/>
    <w:rsid w:val="00786C72"/>
    <w:rsid w:val="00786D15"/>
    <w:rsid w:val="00786D8D"/>
    <w:rsid w:val="00786DC7"/>
    <w:rsid w:val="00786F54"/>
    <w:rsid w:val="00786F89"/>
    <w:rsid w:val="00786FC2"/>
    <w:rsid w:val="00786FFA"/>
    <w:rsid w:val="007871D6"/>
    <w:rsid w:val="007872A8"/>
    <w:rsid w:val="007872AC"/>
    <w:rsid w:val="007872EA"/>
    <w:rsid w:val="007872ED"/>
    <w:rsid w:val="007872FB"/>
    <w:rsid w:val="00787393"/>
    <w:rsid w:val="007873FE"/>
    <w:rsid w:val="00787419"/>
    <w:rsid w:val="0078744C"/>
    <w:rsid w:val="0078746C"/>
    <w:rsid w:val="007874B1"/>
    <w:rsid w:val="007874B2"/>
    <w:rsid w:val="00787566"/>
    <w:rsid w:val="007877FB"/>
    <w:rsid w:val="0078785A"/>
    <w:rsid w:val="00787920"/>
    <w:rsid w:val="0078796E"/>
    <w:rsid w:val="00787A35"/>
    <w:rsid w:val="00787A8E"/>
    <w:rsid w:val="00787AE1"/>
    <w:rsid w:val="00787B1A"/>
    <w:rsid w:val="00787B49"/>
    <w:rsid w:val="00787B7E"/>
    <w:rsid w:val="00787C09"/>
    <w:rsid w:val="00787DA4"/>
    <w:rsid w:val="00787E13"/>
    <w:rsid w:val="00787E50"/>
    <w:rsid w:val="00787F10"/>
    <w:rsid w:val="00787FFC"/>
    <w:rsid w:val="0079005E"/>
    <w:rsid w:val="00790097"/>
    <w:rsid w:val="007900C3"/>
    <w:rsid w:val="00790167"/>
    <w:rsid w:val="007901D4"/>
    <w:rsid w:val="00790212"/>
    <w:rsid w:val="00790337"/>
    <w:rsid w:val="0079033F"/>
    <w:rsid w:val="00790340"/>
    <w:rsid w:val="00790460"/>
    <w:rsid w:val="007905E5"/>
    <w:rsid w:val="00790613"/>
    <w:rsid w:val="00790629"/>
    <w:rsid w:val="007906B4"/>
    <w:rsid w:val="007906F2"/>
    <w:rsid w:val="00790701"/>
    <w:rsid w:val="00790712"/>
    <w:rsid w:val="00790715"/>
    <w:rsid w:val="00790716"/>
    <w:rsid w:val="00790794"/>
    <w:rsid w:val="0079080F"/>
    <w:rsid w:val="00790948"/>
    <w:rsid w:val="00790955"/>
    <w:rsid w:val="007909C5"/>
    <w:rsid w:val="00790A4C"/>
    <w:rsid w:val="00790AAD"/>
    <w:rsid w:val="00790B83"/>
    <w:rsid w:val="00790BC1"/>
    <w:rsid w:val="00790C3B"/>
    <w:rsid w:val="00790C4E"/>
    <w:rsid w:val="00790CC5"/>
    <w:rsid w:val="00790E09"/>
    <w:rsid w:val="00790E6F"/>
    <w:rsid w:val="00790F30"/>
    <w:rsid w:val="00791026"/>
    <w:rsid w:val="007910A5"/>
    <w:rsid w:val="007910C4"/>
    <w:rsid w:val="0079116F"/>
    <w:rsid w:val="0079127E"/>
    <w:rsid w:val="00791355"/>
    <w:rsid w:val="0079145E"/>
    <w:rsid w:val="00791469"/>
    <w:rsid w:val="00791542"/>
    <w:rsid w:val="007916DA"/>
    <w:rsid w:val="0079176F"/>
    <w:rsid w:val="00791865"/>
    <w:rsid w:val="007918BC"/>
    <w:rsid w:val="0079197B"/>
    <w:rsid w:val="00791A97"/>
    <w:rsid w:val="00791AC1"/>
    <w:rsid w:val="00791ACA"/>
    <w:rsid w:val="00791AE1"/>
    <w:rsid w:val="00791B50"/>
    <w:rsid w:val="00791BE9"/>
    <w:rsid w:val="00791CBF"/>
    <w:rsid w:val="00791CF4"/>
    <w:rsid w:val="00791D43"/>
    <w:rsid w:val="00791E10"/>
    <w:rsid w:val="00791F7D"/>
    <w:rsid w:val="00791F8D"/>
    <w:rsid w:val="0079207F"/>
    <w:rsid w:val="007920C9"/>
    <w:rsid w:val="007920D0"/>
    <w:rsid w:val="00792138"/>
    <w:rsid w:val="007921F9"/>
    <w:rsid w:val="0079238C"/>
    <w:rsid w:val="00792420"/>
    <w:rsid w:val="00792424"/>
    <w:rsid w:val="00792574"/>
    <w:rsid w:val="0079258E"/>
    <w:rsid w:val="007925BA"/>
    <w:rsid w:val="007926AE"/>
    <w:rsid w:val="00792841"/>
    <w:rsid w:val="00792883"/>
    <w:rsid w:val="0079295A"/>
    <w:rsid w:val="00792A0E"/>
    <w:rsid w:val="00792A74"/>
    <w:rsid w:val="00792B68"/>
    <w:rsid w:val="00792B9E"/>
    <w:rsid w:val="00792D18"/>
    <w:rsid w:val="00792D6D"/>
    <w:rsid w:val="00792DBB"/>
    <w:rsid w:val="00792E63"/>
    <w:rsid w:val="00792EAF"/>
    <w:rsid w:val="00792EC0"/>
    <w:rsid w:val="00792F7D"/>
    <w:rsid w:val="00792FEC"/>
    <w:rsid w:val="00792FF8"/>
    <w:rsid w:val="00792FFA"/>
    <w:rsid w:val="00793008"/>
    <w:rsid w:val="0079303C"/>
    <w:rsid w:val="0079305A"/>
    <w:rsid w:val="0079305D"/>
    <w:rsid w:val="0079307B"/>
    <w:rsid w:val="00793107"/>
    <w:rsid w:val="007931CC"/>
    <w:rsid w:val="00793221"/>
    <w:rsid w:val="007932F8"/>
    <w:rsid w:val="007933A5"/>
    <w:rsid w:val="0079346D"/>
    <w:rsid w:val="00793486"/>
    <w:rsid w:val="00793537"/>
    <w:rsid w:val="00793553"/>
    <w:rsid w:val="00793661"/>
    <w:rsid w:val="00793725"/>
    <w:rsid w:val="00793737"/>
    <w:rsid w:val="00793766"/>
    <w:rsid w:val="007937AC"/>
    <w:rsid w:val="007939D1"/>
    <w:rsid w:val="00793A6E"/>
    <w:rsid w:val="00793ABD"/>
    <w:rsid w:val="00793AC2"/>
    <w:rsid w:val="00793AEF"/>
    <w:rsid w:val="00793AF9"/>
    <w:rsid w:val="00793C3C"/>
    <w:rsid w:val="00793D0F"/>
    <w:rsid w:val="00793DC8"/>
    <w:rsid w:val="00793E5D"/>
    <w:rsid w:val="00793FC2"/>
    <w:rsid w:val="00793FF9"/>
    <w:rsid w:val="00794020"/>
    <w:rsid w:val="00794026"/>
    <w:rsid w:val="0079402B"/>
    <w:rsid w:val="0079404A"/>
    <w:rsid w:val="007940DD"/>
    <w:rsid w:val="00794164"/>
    <w:rsid w:val="00794297"/>
    <w:rsid w:val="007942B3"/>
    <w:rsid w:val="007942F6"/>
    <w:rsid w:val="0079451C"/>
    <w:rsid w:val="0079461A"/>
    <w:rsid w:val="007946E3"/>
    <w:rsid w:val="007946E7"/>
    <w:rsid w:val="007946FD"/>
    <w:rsid w:val="00794900"/>
    <w:rsid w:val="00794938"/>
    <w:rsid w:val="00794A49"/>
    <w:rsid w:val="00794B06"/>
    <w:rsid w:val="00794B73"/>
    <w:rsid w:val="00794BE2"/>
    <w:rsid w:val="00794BE9"/>
    <w:rsid w:val="00794C47"/>
    <w:rsid w:val="00794CBC"/>
    <w:rsid w:val="00794CC6"/>
    <w:rsid w:val="00794D29"/>
    <w:rsid w:val="00794E47"/>
    <w:rsid w:val="00794F5A"/>
    <w:rsid w:val="00794F7B"/>
    <w:rsid w:val="00794FDF"/>
    <w:rsid w:val="0079516C"/>
    <w:rsid w:val="007952AF"/>
    <w:rsid w:val="007953C4"/>
    <w:rsid w:val="007954C9"/>
    <w:rsid w:val="0079550A"/>
    <w:rsid w:val="0079557B"/>
    <w:rsid w:val="00795648"/>
    <w:rsid w:val="00795695"/>
    <w:rsid w:val="007957EF"/>
    <w:rsid w:val="00795953"/>
    <w:rsid w:val="007959B1"/>
    <w:rsid w:val="00795A4B"/>
    <w:rsid w:val="00795A8C"/>
    <w:rsid w:val="00795AC8"/>
    <w:rsid w:val="00795BAC"/>
    <w:rsid w:val="00795BAF"/>
    <w:rsid w:val="00795BE4"/>
    <w:rsid w:val="00795BF6"/>
    <w:rsid w:val="00795D2E"/>
    <w:rsid w:val="00795E0D"/>
    <w:rsid w:val="00795E49"/>
    <w:rsid w:val="00795EA9"/>
    <w:rsid w:val="00795FB3"/>
    <w:rsid w:val="00796049"/>
    <w:rsid w:val="00796082"/>
    <w:rsid w:val="0079609F"/>
    <w:rsid w:val="007960AF"/>
    <w:rsid w:val="007960C4"/>
    <w:rsid w:val="0079620A"/>
    <w:rsid w:val="0079622D"/>
    <w:rsid w:val="0079625F"/>
    <w:rsid w:val="007962F5"/>
    <w:rsid w:val="0079636A"/>
    <w:rsid w:val="007964AA"/>
    <w:rsid w:val="00796584"/>
    <w:rsid w:val="007966B9"/>
    <w:rsid w:val="007967A3"/>
    <w:rsid w:val="0079686F"/>
    <w:rsid w:val="007969E2"/>
    <w:rsid w:val="00796A4F"/>
    <w:rsid w:val="00796A5E"/>
    <w:rsid w:val="00796A89"/>
    <w:rsid w:val="00796AF3"/>
    <w:rsid w:val="00796BB2"/>
    <w:rsid w:val="00796BD1"/>
    <w:rsid w:val="00796BDE"/>
    <w:rsid w:val="00796E49"/>
    <w:rsid w:val="0079700B"/>
    <w:rsid w:val="007970AB"/>
    <w:rsid w:val="00797177"/>
    <w:rsid w:val="007971B6"/>
    <w:rsid w:val="007971E1"/>
    <w:rsid w:val="0079729B"/>
    <w:rsid w:val="007973C7"/>
    <w:rsid w:val="00797416"/>
    <w:rsid w:val="00797479"/>
    <w:rsid w:val="007974EB"/>
    <w:rsid w:val="0079755E"/>
    <w:rsid w:val="0079758D"/>
    <w:rsid w:val="007975A9"/>
    <w:rsid w:val="007975C5"/>
    <w:rsid w:val="0079772C"/>
    <w:rsid w:val="0079777D"/>
    <w:rsid w:val="0079779A"/>
    <w:rsid w:val="0079788D"/>
    <w:rsid w:val="007978A1"/>
    <w:rsid w:val="007979AF"/>
    <w:rsid w:val="00797B1F"/>
    <w:rsid w:val="00797B31"/>
    <w:rsid w:val="00797BE8"/>
    <w:rsid w:val="00797C3D"/>
    <w:rsid w:val="00797C90"/>
    <w:rsid w:val="00797C9D"/>
    <w:rsid w:val="00797D2A"/>
    <w:rsid w:val="00797D62"/>
    <w:rsid w:val="00797D82"/>
    <w:rsid w:val="00797E36"/>
    <w:rsid w:val="00797EA4"/>
    <w:rsid w:val="00797EE9"/>
    <w:rsid w:val="00797F2E"/>
    <w:rsid w:val="007A0105"/>
    <w:rsid w:val="007A010E"/>
    <w:rsid w:val="007A011F"/>
    <w:rsid w:val="007A015B"/>
    <w:rsid w:val="007A0267"/>
    <w:rsid w:val="007A02C1"/>
    <w:rsid w:val="007A0443"/>
    <w:rsid w:val="007A0498"/>
    <w:rsid w:val="007A04BC"/>
    <w:rsid w:val="007A04DA"/>
    <w:rsid w:val="007A055B"/>
    <w:rsid w:val="007A0584"/>
    <w:rsid w:val="007A0676"/>
    <w:rsid w:val="007A09FB"/>
    <w:rsid w:val="007A0C56"/>
    <w:rsid w:val="007A0CD4"/>
    <w:rsid w:val="007A0DED"/>
    <w:rsid w:val="007A0E54"/>
    <w:rsid w:val="007A0F0B"/>
    <w:rsid w:val="007A0F9A"/>
    <w:rsid w:val="007A102D"/>
    <w:rsid w:val="007A10A0"/>
    <w:rsid w:val="007A12A2"/>
    <w:rsid w:val="007A13CB"/>
    <w:rsid w:val="007A1421"/>
    <w:rsid w:val="007A1424"/>
    <w:rsid w:val="007A14D0"/>
    <w:rsid w:val="007A1585"/>
    <w:rsid w:val="007A15B4"/>
    <w:rsid w:val="007A16A9"/>
    <w:rsid w:val="007A177F"/>
    <w:rsid w:val="007A1A7D"/>
    <w:rsid w:val="007A1C57"/>
    <w:rsid w:val="007A1CE2"/>
    <w:rsid w:val="007A1D95"/>
    <w:rsid w:val="007A1DCF"/>
    <w:rsid w:val="007A1E24"/>
    <w:rsid w:val="007A1E8E"/>
    <w:rsid w:val="007A1F45"/>
    <w:rsid w:val="007A1F51"/>
    <w:rsid w:val="007A2073"/>
    <w:rsid w:val="007A2088"/>
    <w:rsid w:val="007A20CB"/>
    <w:rsid w:val="007A2174"/>
    <w:rsid w:val="007A21F9"/>
    <w:rsid w:val="007A2229"/>
    <w:rsid w:val="007A222B"/>
    <w:rsid w:val="007A226C"/>
    <w:rsid w:val="007A2392"/>
    <w:rsid w:val="007A291A"/>
    <w:rsid w:val="007A297B"/>
    <w:rsid w:val="007A2A02"/>
    <w:rsid w:val="007A2A6B"/>
    <w:rsid w:val="007A2AD1"/>
    <w:rsid w:val="007A2B39"/>
    <w:rsid w:val="007A2C04"/>
    <w:rsid w:val="007A2CD2"/>
    <w:rsid w:val="007A2E39"/>
    <w:rsid w:val="007A2EFC"/>
    <w:rsid w:val="007A2F25"/>
    <w:rsid w:val="007A2F50"/>
    <w:rsid w:val="007A3036"/>
    <w:rsid w:val="007A3041"/>
    <w:rsid w:val="007A3051"/>
    <w:rsid w:val="007A31DD"/>
    <w:rsid w:val="007A3233"/>
    <w:rsid w:val="007A32BD"/>
    <w:rsid w:val="007A3302"/>
    <w:rsid w:val="007A33BE"/>
    <w:rsid w:val="007A33C4"/>
    <w:rsid w:val="007A34FA"/>
    <w:rsid w:val="007A35A2"/>
    <w:rsid w:val="007A366A"/>
    <w:rsid w:val="007A37D6"/>
    <w:rsid w:val="007A3931"/>
    <w:rsid w:val="007A3962"/>
    <w:rsid w:val="007A3B4D"/>
    <w:rsid w:val="007A3BA7"/>
    <w:rsid w:val="007A3C67"/>
    <w:rsid w:val="007A3E07"/>
    <w:rsid w:val="007A3EFE"/>
    <w:rsid w:val="007A3F01"/>
    <w:rsid w:val="007A4115"/>
    <w:rsid w:val="007A412D"/>
    <w:rsid w:val="007A42A9"/>
    <w:rsid w:val="007A4316"/>
    <w:rsid w:val="007A437D"/>
    <w:rsid w:val="007A43C8"/>
    <w:rsid w:val="007A446C"/>
    <w:rsid w:val="007A45A9"/>
    <w:rsid w:val="007A467D"/>
    <w:rsid w:val="007A47C3"/>
    <w:rsid w:val="007A4867"/>
    <w:rsid w:val="007A48F5"/>
    <w:rsid w:val="007A49D9"/>
    <w:rsid w:val="007A4A3E"/>
    <w:rsid w:val="007A4B38"/>
    <w:rsid w:val="007A4B8F"/>
    <w:rsid w:val="007A4BAB"/>
    <w:rsid w:val="007A4BC4"/>
    <w:rsid w:val="007A4BE7"/>
    <w:rsid w:val="007A4C41"/>
    <w:rsid w:val="007A4D19"/>
    <w:rsid w:val="007A4D4D"/>
    <w:rsid w:val="007A4D63"/>
    <w:rsid w:val="007A4E51"/>
    <w:rsid w:val="007A505E"/>
    <w:rsid w:val="007A5216"/>
    <w:rsid w:val="007A5236"/>
    <w:rsid w:val="007A5264"/>
    <w:rsid w:val="007A5387"/>
    <w:rsid w:val="007A53EC"/>
    <w:rsid w:val="007A5469"/>
    <w:rsid w:val="007A5545"/>
    <w:rsid w:val="007A55E3"/>
    <w:rsid w:val="007A564B"/>
    <w:rsid w:val="007A56DE"/>
    <w:rsid w:val="007A5722"/>
    <w:rsid w:val="007A5905"/>
    <w:rsid w:val="007A5984"/>
    <w:rsid w:val="007A5A78"/>
    <w:rsid w:val="007A5AC5"/>
    <w:rsid w:val="007A5CB8"/>
    <w:rsid w:val="007A5D41"/>
    <w:rsid w:val="007A5D42"/>
    <w:rsid w:val="007A5D66"/>
    <w:rsid w:val="007A5E5C"/>
    <w:rsid w:val="007A5F47"/>
    <w:rsid w:val="007A6041"/>
    <w:rsid w:val="007A617C"/>
    <w:rsid w:val="007A61BB"/>
    <w:rsid w:val="007A61C1"/>
    <w:rsid w:val="007A61DC"/>
    <w:rsid w:val="007A6209"/>
    <w:rsid w:val="007A62E5"/>
    <w:rsid w:val="007A62FE"/>
    <w:rsid w:val="007A64CC"/>
    <w:rsid w:val="007A6671"/>
    <w:rsid w:val="007A66C4"/>
    <w:rsid w:val="007A66F6"/>
    <w:rsid w:val="007A6809"/>
    <w:rsid w:val="007A68F2"/>
    <w:rsid w:val="007A68F3"/>
    <w:rsid w:val="007A69D5"/>
    <w:rsid w:val="007A6AB3"/>
    <w:rsid w:val="007A6B47"/>
    <w:rsid w:val="007A6BB8"/>
    <w:rsid w:val="007A6BDE"/>
    <w:rsid w:val="007A6D7E"/>
    <w:rsid w:val="007A6DB5"/>
    <w:rsid w:val="007A6E4C"/>
    <w:rsid w:val="007A6E61"/>
    <w:rsid w:val="007A6E78"/>
    <w:rsid w:val="007A6F09"/>
    <w:rsid w:val="007A6F3D"/>
    <w:rsid w:val="007A6F9E"/>
    <w:rsid w:val="007A70B2"/>
    <w:rsid w:val="007A712F"/>
    <w:rsid w:val="007A719E"/>
    <w:rsid w:val="007A730E"/>
    <w:rsid w:val="007A7437"/>
    <w:rsid w:val="007A7455"/>
    <w:rsid w:val="007A7473"/>
    <w:rsid w:val="007A74CC"/>
    <w:rsid w:val="007A75B6"/>
    <w:rsid w:val="007A782D"/>
    <w:rsid w:val="007A78A6"/>
    <w:rsid w:val="007A7919"/>
    <w:rsid w:val="007A793B"/>
    <w:rsid w:val="007A7B65"/>
    <w:rsid w:val="007A7C94"/>
    <w:rsid w:val="007A7DC9"/>
    <w:rsid w:val="007A7E05"/>
    <w:rsid w:val="007A7FB0"/>
    <w:rsid w:val="007B012D"/>
    <w:rsid w:val="007B01D5"/>
    <w:rsid w:val="007B0247"/>
    <w:rsid w:val="007B02D0"/>
    <w:rsid w:val="007B0325"/>
    <w:rsid w:val="007B03B7"/>
    <w:rsid w:val="007B03DA"/>
    <w:rsid w:val="007B0472"/>
    <w:rsid w:val="007B05BB"/>
    <w:rsid w:val="007B05C1"/>
    <w:rsid w:val="007B0646"/>
    <w:rsid w:val="007B06CF"/>
    <w:rsid w:val="007B07BF"/>
    <w:rsid w:val="007B07F7"/>
    <w:rsid w:val="007B084C"/>
    <w:rsid w:val="007B099C"/>
    <w:rsid w:val="007B0A1B"/>
    <w:rsid w:val="007B0A85"/>
    <w:rsid w:val="007B0AF0"/>
    <w:rsid w:val="007B0B76"/>
    <w:rsid w:val="007B0B85"/>
    <w:rsid w:val="007B0C0B"/>
    <w:rsid w:val="007B0C7A"/>
    <w:rsid w:val="007B0C8D"/>
    <w:rsid w:val="007B0E10"/>
    <w:rsid w:val="007B0E1A"/>
    <w:rsid w:val="007B0E2B"/>
    <w:rsid w:val="007B0EF3"/>
    <w:rsid w:val="007B0FE9"/>
    <w:rsid w:val="007B10B2"/>
    <w:rsid w:val="007B1124"/>
    <w:rsid w:val="007B11CB"/>
    <w:rsid w:val="007B11E8"/>
    <w:rsid w:val="007B11EF"/>
    <w:rsid w:val="007B1265"/>
    <w:rsid w:val="007B12F6"/>
    <w:rsid w:val="007B13B7"/>
    <w:rsid w:val="007B13BA"/>
    <w:rsid w:val="007B13CF"/>
    <w:rsid w:val="007B1433"/>
    <w:rsid w:val="007B143A"/>
    <w:rsid w:val="007B1441"/>
    <w:rsid w:val="007B145A"/>
    <w:rsid w:val="007B1462"/>
    <w:rsid w:val="007B149D"/>
    <w:rsid w:val="007B1675"/>
    <w:rsid w:val="007B1714"/>
    <w:rsid w:val="007B1872"/>
    <w:rsid w:val="007B188B"/>
    <w:rsid w:val="007B18F4"/>
    <w:rsid w:val="007B19BB"/>
    <w:rsid w:val="007B1A21"/>
    <w:rsid w:val="007B1C41"/>
    <w:rsid w:val="007B1C9C"/>
    <w:rsid w:val="007B1E5C"/>
    <w:rsid w:val="007B1FA5"/>
    <w:rsid w:val="007B1FCB"/>
    <w:rsid w:val="007B2017"/>
    <w:rsid w:val="007B2033"/>
    <w:rsid w:val="007B2040"/>
    <w:rsid w:val="007B20C2"/>
    <w:rsid w:val="007B219A"/>
    <w:rsid w:val="007B21BF"/>
    <w:rsid w:val="007B21FE"/>
    <w:rsid w:val="007B22CD"/>
    <w:rsid w:val="007B22D1"/>
    <w:rsid w:val="007B230A"/>
    <w:rsid w:val="007B23A6"/>
    <w:rsid w:val="007B2480"/>
    <w:rsid w:val="007B2484"/>
    <w:rsid w:val="007B24D8"/>
    <w:rsid w:val="007B25B8"/>
    <w:rsid w:val="007B27C4"/>
    <w:rsid w:val="007B2800"/>
    <w:rsid w:val="007B28D2"/>
    <w:rsid w:val="007B28DD"/>
    <w:rsid w:val="007B2903"/>
    <w:rsid w:val="007B29C4"/>
    <w:rsid w:val="007B2ABA"/>
    <w:rsid w:val="007B2ADA"/>
    <w:rsid w:val="007B2BB4"/>
    <w:rsid w:val="007B2BD5"/>
    <w:rsid w:val="007B2CC1"/>
    <w:rsid w:val="007B2FB1"/>
    <w:rsid w:val="007B2FBE"/>
    <w:rsid w:val="007B311A"/>
    <w:rsid w:val="007B317C"/>
    <w:rsid w:val="007B31BA"/>
    <w:rsid w:val="007B338B"/>
    <w:rsid w:val="007B3413"/>
    <w:rsid w:val="007B343C"/>
    <w:rsid w:val="007B3457"/>
    <w:rsid w:val="007B348A"/>
    <w:rsid w:val="007B34BC"/>
    <w:rsid w:val="007B3569"/>
    <w:rsid w:val="007B358E"/>
    <w:rsid w:val="007B359E"/>
    <w:rsid w:val="007B35A8"/>
    <w:rsid w:val="007B35A9"/>
    <w:rsid w:val="007B35CA"/>
    <w:rsid w:val="007B36BD"/>
    <w:rsid w:val="007B3713"/>
    <w:rsid w:val="007B3746"/>
    <w:rsid w:val="007B394D"/>
    <w:rsid w:val="007B3965"/>
    <w:rsid w:val="007B3993"/>
    <w:rsid w:val="007B3A49"/>
    <w:rsid w:val="007B3A5A"/>
    <w:rsid w:val="007B3AFE"/>
    <w:rsid w:val="007B3B78"/>
    <w:rsid w:val="007B3B93"/>
    <w:rsid w:val="007B3CD8"/>
    <w:rsid w:val="007B3D2F"/>
    <w:rsid w:val="007B3E09"/>
    <w:rsid w:val="007B3E15"/>
    <w:rsid w:val="007B3E87"/>
    <w:rsid w:val="007B3F87"/>
    <w:rsid w:val="007B400A"/>
    <w:rsid w:val="007B404C"/>
    <w:rsid w:val="007B4091"/>
    <w:rsid w:val="007B40AD"/>
    <w:rsid w:val="007B4172"/>
    <w:rsid w:val="007B41A7"/>
    <w:rsid w:val="007B4261"/>
    <w:rsid w:val="007B42F9"/>
    <w:rsid w:val="007B4383"/>
    <w:rsid w:val="007B43E1"/>
    <w:rsid w:val="007B4453"/>
    <w:rsid w:val="007B452C"/>
    <w:rsid w:val="007B45D2"/>
    <w:rsid w:val="007B4699"/>
    <w:rsid w:val="007B46BA"/>
    <w:rsid w:val="007B4700"/>
    <w:rsid w:val="007B486D"/>
    <w:rsid w:val="007B4897"/>
    <w:rsid w:val="007B48E3"/>
    <w:rsid w:val="007B4916"/>
    <w:rsid w:val="007B4AB4"/>
    <w:rsid w:val="007B4AFE"/>
    <w:rsid w:val="007B4B02"/>
    <w:rsid w:val="007B4C20"/>
    <w:rsid w:val="007B4D42"/>
    <w:rsid w:val="007B4D64"/>
    <w:rsid w:val="007B4E81"/>
    <w:rsid w:val="007B4EFF"/>
    <w:rsid w:val="007B4F1B"/>
    <w:rsid w:val="007B5049"/>
    <w:rsid w:val="007B509F"/>
    <w:rsid w:val="007B511E"/>
    <w:rsid w:val="007B5126"/>
    <w:rsid w:val="007B524A"/>
    <w:rsid w:val="007B5312"/>
    <w:rsid w:val="007B54A8"/>
    <w:rsid w:val="007B54FF"/>
    <w:rsid w:val="007B5584"/>
    <w:rsid w:val="007B5759"/>
    <w:rsid w:val="007B57CA"/>
    <w:rsid w:val="007B581A"/>
    <w:rsid w:val="007B58AA"/>
    <w:rsid w:val="007B58C3"/>
    <w:rsid w:val="007B5916"/>
    <w:rsid w:val="007B5963"/>
    <w:rsid w:val="007B59AE"/>
    <w:rsid w:val="007B5A8F"/>
    <w:rsid w:val="007B5ACB"/>
    <w:rsid w:val="007B5B4B"/>
    <w:rsid w:val="007B5B69"/>
    <w:rsid w:val="007B5C07"/>
    <w:rsid w:val="007B5C95"/>
    <w:rsid w:val="007B5CB7"/>
    <w:rsid w:val="007B5D4E"/>
    <w:rsid w:val="007B5D84"/>
    <w:rsid w:val="007B5DD8"/>
    <w:rsid w:val="007B5EB0"/>
    <w:rsid w:val="007B6036"/>
    <w:rsid w:val="007B613D"/>
    <w:rsid w:val="007B6178"/>
    <w:rsid w:val="007B62A2"/>
    <w:rsid w:val="007B62A4"/>
    <w:rsid w:val="007B63C3"/>
    <w:rsid w:val="007B64CB"/>
    <w:rsid w:val="007B6572"/>
    <w:rsid w:val="007B65EB"/>
    <w:rsid w:val="007B660B"/>
    <w:rsid w:val="007B6687"/>
    <w:rsid w:val="007B6752"/>
    <w:rsid w:val="007B6793"/>
    <w:rsid w:val="007B6858"/>
    <w:rsid w:val="007B6860"/>
    <w:rsid w:val="007B68A9"/>
    <w:rsid w:val="007B68D5"/>
    <w:rsid w:val="007B698F"/>
    <w:rsid w:val="007B6999"/>
    <w:rsid w:val="007B69C7"/>
    <w:rsid w:val="007B6B1E"/>
    <w:rsid w:val="007B6B7F"/>
    <w:rsid w:val="007B6BA0"/>
    <w:rsid w:val="007B6D8A"/>
    <w:rsid w:val="007B6E37"/>
    <w:rsid w:val="007B6E3F"/>
    <w:rsid w:val="007B6E7F"/>
    <w:rsid w:val="007B6EA8"/>
    <w:rsid w:val="007B6EA9"/>
    <w:rsid w:val="007B6F39"/>
    <w:rsid w:val="007B6F57"/>
    <w:rsid w:val="007B6FA0"/>
    <w:rsid w:val="007B6FA1"/>
    <w:rsid w:val="007B701A"/>
    <w:rsid w:val="007B70F5"/>
    <w:rsid w:val="007B7235"/>
    <w:rsid w:val="007B72D7"/>
    <w:rsid w:val="007B7389"/>
    <w:rsid w:val="007B7409"/>
    <w:rsid w:val="007B740D"/>
    <w:rsid w:val="007B7432"/>
    <w:rsid w:val="007B7470"/>
    <w:rsid w:val="007B7528"/>
    <w:rsid w:val="007B757C"/>
    <w:rsid w:val="007B776D"/>
    <w:rsid w:val="007B777D"/>
    <w:rsid w:val="007B7796"/>
    <w:rsid w:val="007B780D"/>
    <w:rsid w:val="007B788F"/>
    <w:rsid w:val="007B7892"/>
    <w:rsid w:val="007B791F"/>
    <w:rsid w:val="007B7A1E"/>
    <w:rsid w:val="007B7AE8"/>
    <w:rsid w:val="007B7AEC"/>
    <w:rsid w:val="007B7B4B"/>
    <w:rsid w:val="007B7CC4"/>
    <w:rsid w:val="007B7D1A"/>
    <w:rsid w:val="007B7D66"/>
    <w:rsid w:val="007B7DD9"/>
    <w:rsid w:val="007B7EAB"/>
    <w:rsid w:val="007C008A"/>
    <w:rsid w:val="007C00A0"/>
    <w:rsid w:val="007C015B"/>
    <w:rsid w:val="007C01D4"/>
    <w:rsid w:val="007C021A"/>
    <w:rsid w:val="007C030B"/>
    <w:rsid w:val="007C0394"/>
    <w:rsid w:val="007C0459"/>
    <w:rsid w:val="007C059E"/>
    <w:rsid w:val="007C0675"/>
    <w:rsid w:val="007C0695"/>
    <w:rsid w:val="007C0727"/>
    <w:rsid w:val="007C076F"/>
    <w:rsid w:val="007C08EA"/>
    <w:rsid w:val="007C0910"/>
    <w:rsid w:val="007C0A2B"/>
    <w:rsid w:val="007C0A33"/>
    <w:rsid w:val="007C0B65"/>
    <w:rsid w:val="007C0B72"/>
    <w:rsid w:val="007C0C20"/>
    <w:rsid w:val="007C0D65"/>
    <w:rsid w:val="007C0DFE"/>
    <w:rsid w:val="007C0F73"/>
    <w:rsid w:val="007C10D9"/>
    <w:rsid w:val="007C1161"/>
    <w:rsid w:val="007C11F3"/>
    <w:rsid w:val="007C1201"/>
    <w:rsid w:val="007C1236"/>
    <w:rsid w:val="007C1251"/>
    <w:rsid w:val="007C1266"/>
    <w:rsid w:val="007C14E3"/>
    <w:rsid w:val="007C166F"/>
    <w:rsid w:val="007C1689"/>
    <w:rsid w:val="007C1760"/>
    <w:rsid w:val="007C17FA"/>
    <w:rsid w:val="007C18B4"/>
    <w:rsid w:val="007C1981"/>
    <w:rsid w:val="007C1AC0"/>
    <w:rsid w:val="007C1B50"/>
    <w:rsid w:val="007C1B85"/>
    <w:rsid w:val="007C1B86"/>
    <w:rsid w:val="007C1C44"/>
    <w:rsid w:val="007C1D8E"/>
    <w:rsid w:val="007C1DA5"/>
    <w:rsid w:val="007C1E10"/>
    <w:rsid w:val="007C1E47"/>
    <w:rsid w:val="007C1F3A"/>
    <w:rsid w:val="007C1FD8"/>
    <w:rsid w:val="007C2174"/>
    <w:rsid w:val="007C21D6"/>
    <w:rsid w:val="007C21EA"/>
    <w:rsid w:val="007C2218"/>
    <w:rsid w:val="007C22CB"/>
    <w:rsid w:val="007C22E0"/>
    <w:rsid w:val="007C2312"/>
    <w:rsid w:val="007C2345"/>
    <w:rsid w:val="007C2354"/>
    <w:rsid w:val="007C2538"/>
    <w:rsid w:val="007C2544"/>
    <w:rsid w:val="007C254D"/>
    <w:rsid w:val="007C25B7"/>
    <w:rsid w:val="007C25FA"/>
    <w:rsid w:val="007C2612"/>
    <w:rsid w:val="007C2752"/>
    <w:rsid w:val="007C27A2"/>
    <w:rsid w:val="007C28F2"/>
    <w:rsid w:val="007C2A70"/>
    <w:rsid w:val="007C2B43"/>
    <w:rsid w:val="007C2B5B"/>
    <w:rsid w:val="007C2BC5"/>
    <w:rsid w:val="007C2C05"/>
    <w:rsid w:val="007C2C75"/>
    <w:rsid w:val="007C2D91"/>
    <w:rsid w:val="007C2D98"/>
    <w:rsid w:val="007C2DD6"/>
    <w:rsid w:val="007C2E0C"/>
    <w:rsid w:val="007C2E34"/>
    <w:rsid w:val="007C2F7C"/>
    <w:rsid w:val="007C3020"/>
    <w:rsid w:val="007C3145"/>
    <w:rsid w:val="007C31AE"/>
    <w:rsid w:val="007C31DC"/>
    <w:rsid w:val="007C321B"/>
    <w:rsid w:val="007C3229"/>
    <w:rsid w:val="007C32F3"/>
    <w:rsid w:val="007C3396"/>
    <w:rsid w:val="007C345D"/>
    <w:rsid w:val="007C3481"/>
    <w:rsid w:val="007C3483"/>
    <w:rsid w:val="007C3518"/>
    <w:rsid w:val="007C36C9"/>
    <w:rsid w:val="007C36DD"/>
    <w:rsid w:val="007C36EC"/>
    <w:rsid w:val="007C36F9"/>
    <w:rsid w:val="007C3761"/>
    <w:rsid w:val="007C3794"/>
    <w:rsid w:val="007C380A"/>
    <w:rsid w:val="007C383A"/>
    <w:rsid w:val="007C384B"/>
    <w:rsid w:val="007C38E3"/>
    <w:rsid w:val="007C3931"/>
    <w:rsid w:val="007C3974"/>
    <w:rsid w:val="007C3A22"/>
    <w:rsid w:val="007C3B4C"/>
    <w:rsid w:val="007C3C0A"/>
    <w:rsid w:val="007C3C80"/>
    <w:rsid w:val="007C3CAE"/>
    <w:rsid w:val="007C3CE8"/>
    <w:rsid w:val="007C3EB8"/>
    <w:rsid w:val="007C3F04"/>
    <w:rsid w:val="007C403F"/>
    <w:rsid w:val="007C4074"/>
    <w:rsid w:val="007C4146"/>
    <w:rsid w:val="007C41D8"/>
    <w:rsid w:val="007C425E"/>
    <w:rsid w:val="007C4292"/>
    <w:rsid w:val="007C43A3"/>
    <w:rsid w:val="007C43E9"/>
    <w:rsid w:val="007C4449"/>
    <w:rsid w:val="007C4481"/>
    <w:rsid w:val="007C448D"/>
    <w:rsid w:val="007C449E"/>
    <w:rsid w:val="007C451B"/>
    <w:rsid w:val="007C4649"/>
    <w:rsid w:val="007C46B0"/>
    <w:rsid w:val="007C487C"/>
    <w:rsid w:val="007C4917"/>
    <w:rsid w:val="007C4951"/>
    <w:rsid w:val="007C4A07"/>
    <w:rsid w:val="007C4AE1"/>
    <w:rsid w:val="007C4C87"/>
    <w:rsid w:val="007C4DC2"/>
    <w:rsid w:val="007C4E16"/>
    <w:rsid w:val="007C4F35"/>
    <w:rsid w:val="007C4F40"/>
    <w:rsid w:val="007C5064"/>
    <w:rsid w:val="007C51AC"/>
    <w:rsid w:val="007C51EF"/>
    <w:rsid w:val="007C525F"/>
    <w:rsid w:val="007C544E"/>
    <w:rsid w:val="007C55D2"/>
    <w:rsid w:val="007C5682"/>
    <w:rsid w:val="007C5899"/>
    <w:rsid w:val="007C596D"/>
    <w:rsid w:val="007C5AC2"/>
    <w:rsid w:val="007C5B52"/>
    <w:rsid w:val="007C5B89"/>
    <w:rsid w:val="007C5BC7"/>
    <w:rsid w:val="007C5C58"/>
    <w:rsid w:val="007C5D27"/>
    <w:rsid w:val="007C5D4E"/>
    <w:rsid w:val="007C5D59"/>
    <w:rsid w:val="007C5F6D"/>
    <w:rsid w:val="007C60AD"/>
    <w:rsid w:val="007C61C8"/>
    <w:rsid w:val="007C61E9"/>
    <w:rsid w:val="007C621E"/>
    <w:rsid w:val="007C6361"/>
    <w:rsid w:val="007C638D"/>
    <w:rsid w:val="007C63E0"/>
    <w:rsid w:val="007C6461"/>
    <w:rsid w:val="007C6494"/>
    <w:rsid w:val="007C65B0"/>
    <w:rsid w:val="007C6665"/>
    <w:rsid w:val="007C66F8"/>
    <w:rsid w:val="007C6795"/>
    <w:rsid w:val="007C6865"/>
    <w:rsid w:val="007C68E3"/>
    <w:rsid w:val="007C6921"/>
    <w:rsid w:val="007C6922"/>
    <w:rsid w:val="007C6945"/>
    <w:rsid w:val="007C6B62"/>
    <w:rsid w:val="007C6B74"/>
    <w:rsid w:val="007C6BBB"/>
    <w:rsid w:val="007C6BDE"/>
    <w:rsid w:val="007C6C44"/>
    <w:rsid w:val="007C6C69"/>
    <w:rsid w:val="007C6C87"/>
    <w:rsid w:val="007C6C8F"/>
    <w:rsid w:val="007C6E5D"/>
    <w:rsid w:val="007C6EFA"/>
    <w:rsid w:val="007C6F06"/>
    <w:rsid w:val="007C6FCA"/>
    <w:rsid w:val="007C6FF5"/>
    <w:rsid w:val="007C7059"/>
    <w:rsid w:val="007C709A"/>
    <w:rsid w:val="007C70A7"/>
    <w:rsid w:val="007C7137"/>
    <w:rsid w:val="007C71C0"/>
    <w:rsid w:val="007C7237"/>
    <w:rsid w:val="007C72B7"/>
    <w:rsid w:val="007C75B6"/>
    <w:rsid w:val="007C760A"/>
    <w:rsid w:val="007C7613"/>
    <w:rsid w:val="007C761C"/>
    <w:rsid w:val="007C7739"/>
    <w:rsid w:val="007C78B4"/>
    <w:rsid w:val="007C7944"/>
    <w:rsid w:val="007C7985"/>
    <w:rsid w:val="007C7A40"/>
    <w:rsid w:val="007C7ABC"/>
    <w:rsid w:val="007C7C1A"/>
    <w:rsid w:val="007C7C55"/>
    <w:rsid w:val="007C7D3E"/>
    <w:rsid w:val="007C7E3D"/>
    <w:rsid w:val="007D0014"/>
    <w:rsid w:val="007D0040"/>
    <w:rsid w:val="007D010C"/>
    <w:rsid w:val="007D01BD"/>
    <w:rsid w:val="007D01CA"/>
    <w:rsid w:val="007D01E3"/>
    <w:rsid w:val="007D03DA"/>
    <w:rsid w:val="007D03F5"/>
    <w:rsid w:val="007D0494"/>
    <w:rsid w:val="007D04F7"/>
    <w:rsid w:val="007D060C"/>
    <w:rsid w:val="007D0759"/>
    <w:rsid w:val="007D07E0"/>
    <w:rsid w:val="007D0872"/>
    <w:rsid w:val="007D08D6"/>
    <w:rsid w:val="007D097B"/>
    <w:rsid w:val="007D097D"/>
    <w:rsid w:val="007D099F"/>
    <w:rsid w:val="007D09E1"/>
    <w:rsid w:val="007D0A42"/>
    <w:rsid w:val="007D0B88"/>
    <w:rsid w:val="007D0C5F"/>
    <w:rsid w:val="007D0D46"/>
    <w:rsid w:val="007D0DB0"/>
    <w:rsid w:val="007D0DBB"/>
    <w:rsid w:val="007D0E61"/>
    <w:rsid w:val="007D0F1C"/>
    <w:rsid w:val="007D0F6B"/>
    <w:rsid w:val="007D105E"/>
    <w:rsid w:val="007D10F4"/>
    <w:rsid w:val="007D1130"/>
    <w:rsid w:val="007D11B5"/>
    <w:rsid w:val="007D12C1"/>
    <w:rsid w:val="007D12CD"/>
    <w:rsid w:val="007D1448"/>
    <w:rsid w:val="007D14BE"/>
    <w:rsid w:val="007D1701"/>
    <w:rsid w:val="007D1738"/>
    <w:rsid w:val="007D17AC"/>
    <w:rsid w:val="007D17D4"/>
    <w:rsid w:val="007D17E2"/>
    <w:rsid w:val="007D17EB"/>
    <w:rsid w:val="007D1868"/>
    <w:rsid w:val="007D189F"/>
    <w:rsid w:val="007D18D5"/>
    <w:rsid w:val="007D18FF"/>
    <w:rsid w:val="007D1B05"/>
    <w:rsid w:val="007D1C1B"/>
    <w:rsid w:val="007D1C9A"/>
    <w:rsid w:val="007D1CF5"/>
    <w:rsid w:val="007D1D32"/>
    <w:rsid w:val="007D1D79"/>
    <w:rsid w:val="007D1DDD"/>
    <w:rsid w:val="007D1E29"/>
    <w:rsid w:val="007D1E94"/>
    <w:rsid w:val="007D1F1A"/>
    <w:rsid w:val="007D2035"/>
    <w:rsid w:val="007D203A"/>
    <w:rsid w:val="007D203F"/>
    <w:rsid w:val="007D20B7"/>
    <w:rsid w:val="007D20D2"/>
    <w:rsid w:val="007D2189"/>
    <w:rsid w:val="007D22BC"/>
    <w:rsid w:val="007D22F5"/>
    <w:rsid w:val="007D2307"/>
    <w:rsid w:val="007D2332"/>
    <w:rsid w:val="007D2372"/>
    <w:rsid w:val="007D2393"/>
    <w:rsid w:val="007D24A1"/>
    <w:rsid w:val="007D27C2"/>
    <w:rsid w:val="007D28DD"/>
    <w:rsid w:val="007D28FD"/>
    <w:rsid w:val="007D295B"/>
    <w:rsid w:val="007D29DE"/>
    <w:rsid w:val="007D2A76"/>
    <w:rsid w:val="007D2AAA"/>
    <w:rsid w:val="007D2AC9"/>
    <w:rsid w:val="007D2AE2"/>
    <w:rsid w:val="007D2BFC"/>
    <w:rsid w:val="007D2C87"/>
    <w:rsid w:val="007D2E08"/>
    <w:rsid w:val="007D2E6B"/>
    <w:rsid w:val="007D2E97"/>
    <w:rsid w:val="007D2E9B"/>
    <w:rsid w:val="007D2EBA"/>
    <w:rsid w:val="007D2F0A"/>
    <w:rsid w:val="007D2F35"/>
    <w:rsid w:val="007D2F59"/>
    <w:rsid w:val="007D2F99"/>
    <w:rsid w:val="007D3074"/>
    <w:rsid w:val="007D319A"/>
    <w:rsid w:val="007D31B2"/>
    <w:rsid w:val="007D331C"/>
    <w:rsid w:val="007D349C"/>
    <w:rsid w:val="007D3665"/>
    <w:rsid w:val="007D3718"/>
    <w:rsid w:val="007D377A"/>
    <w:rsid w:val="007D3885"/>
    <w:rsid w:val="007D38B5"/>
    <w:rsid w:val="007D3957"/>
    <w:rsid w:val="007D3966"/>
    <w:rsid w:val="007D39CA"/>
    <w:rsid w:val="007D39FC"/>
    <w:rsid w:val="007D3B3B"/>
    <w:rsid w:val="007D3B66"/>
    <w:rsid w:val="007D3CEB"/>
    <w:rsid w:val="007D3CFF"/>
    <w:rsid w:val="007D3D33"/>
    <w:rsid w:val="007D3D93"/>
    <w:rsid w:val="007D3DC2"/>
    <w:rsid w:val="007D3DE4"/>
    <w:rsid w:val="007D3DE8"/>
    <w:rsid w:val="007D3EF1"/>
    <w:rsid w:val="007D3F52"/>
    <w:rsid w:val="007D3F7D"/>
    <w:rsid w:val="007D40B1"/>
    <w:rsid w:val="007D410E"/>
    <w:rsid w:val="007D41CC"/>
    <w:rsid w:val="007D41EF"/>
    <w:rsid w:val="007D4235"/>
    <w:rsid w:val="007D4271"/>
    <w:rsid w:val="007D428C"/>
    <w:rsid w:val="007D42C0"/>
    <w:rsid w:val="007D4325"/>
    <w:rsid w:val="007D43B7"/>
    <w:rsid w:val="007D455A"/>
    <w:rsid w:val="007D456A"/>
    <w:rsid w:val="007D4688"/>
    <w:rsid w:val="007D4711"/>
    <w:rsid w:val="007D476B"/>
    <w:rsid w:val="007D477F"/>
    <w:rsid w:val="007D47C7"/>
    <w:rsid w:val="007D4855"/>
    <w:rsid w:val="007D485D"/>
    <w:rsid w:val="007D48BD"/>
    <w:rsid w:val="007D4A00"/>
    <w:rsid w:val="007D4A5D"/>
    <w:rsid w:val="007D4B1A"/>
    <w:rsid w:val="007D4BF3"/>
    <w:rsid w:val="007D4C0A"/>
    <w:rsid w:val="007D4CC9"/>
    <w:rsid w:val="007D4D9F"/>
    <w:rsid w:val="007D4E23"/>
    <w:rsid w:val="007D4E9E"/>
    <w:rsid w:val="007D503E"/>
    <w:rsid w:val="007D509B"/>
    <w:rsid w:val="007D50DE"/>
    <w:rsid w:val="007D521D"/>
    <w:rsid w:val="007D525F"/>
    <w:rsid w:val="007D527F"/>
    <w:rsid w:val="007D529A"/>
    <w:rsid w:val="007D52E0"/>
    <w:rsid w:val="007D530B"/>
    <w:rsid w:val="007D53E7"/>
    <w:rsid w:val="007D5454"/>
    <w:rsid w:val="007D54C7"/>
    <w:rsid w:val="007D55F9"/>
    <w:rsid w:val="007D56CD"/>
    <w:rsid w:val="007D56E0"/>
    <w:rsid w:val="007D570E"/>
    <w:rsid w:val="007D574F"/>
    <w:rsid w:val="007D5779"/>
    <w:rsid w:val="007D57A2"/>
    <w:rsid w:val="007D587F"/>
    <w:rsid w:val="007D5928"/>
    <w:rsid w:val="007D596B"/>
    <w:rsid w:val="007D5CBD"/>
    <w:rsid w:val="007D5E2F"/>
    <w:rsid w:val="007D5E5D"/>
    <w:rsid w:val="007D5E9F"/>
    <w:rsid w:val="007D5EEC"/>
    <w:rsid w:val="007D5FCD"/>
    <w:rsid w:val="007D6094"/>
    <w:rsid w:val="007D610B"/>
    <w:rsid w:val="007D61E4"/>
    <w:rsid w:val="007D61FF"/>
    <w:rsid w:val="007D6200"/>
    <w:rsid w:val="007D6222"/>
    <w:rsid w:val="007D625E"/>
    <w:rsid w:val="007D633E"/>
    <w:rsid w:val="007D636D"/>
    <w:rsid w:val="007D6431"/>
    <w:rsid w:val="007D6474"/>
    <w:rsid w:val="007D64A2"/>
    <w:rsid w:val="007D6791"/>
    <w:rsid w:val="007D6796"/>
    <w:rsid w:val="007D6828"/>
    <w:rsid w:val="007D6829"/>
    <w:rsid w:val="007D68C9"/>
    <w:rsid w:val="007D6997"/>
    <w:rsid w:val="007D69ED"/>
    <w:rsid w:val="007D6A1B"/>
    <w:rsid w:val="007D6B9A"/>
    <w:rsid w:val="007D6CB8"/>
    <w:rsid w:val="007D6D14"/>
    <w:rsid w:val="007D6D31"/>
    <w:rsid w:val="007D6DA3"/>
    <w:rsid w:val="007D6DCA"/>
    <w:rsid w:val="007D6E31"/>
    <w:rsid w:val="007D6EB9"/>
    <w:rsid w:val="007D70DF"/>
    <w:rsid w:val="007D7111"/>
    <w:rsid w:val="007D717A"/>
    <w:rsid w:val="007D717B"/>
    <w:rsid w:val="007D71BE"/>
    <w:rsid w:val="007D72CE"/>
    <w:rsid w:val="007D72D9"/>
    <w:rsid w:val="007D738B"/>
    <w:rsid w:val="007D73D3"/>
    <w:rsid w:val="007D73DD"/>
    <w:rsid w:val="007D7421"/>
    <w:rsid w:val="007D763B"/>
    <w:rsid w:val="007D773F"/>
    <w:rsid w:val="007D77A3"/>
    <w:rsid w:val="007D7945"/>
    <w:rsid w:val="007D7957"/>
    <w:rsid w:val="007D7C8A"/>
    <w:rsid w:val="007D7D77"/>
    <w:rsid w:val="007D7DEB"/>
    <w:rsid w:val="007D7E62"/>
    <w:rsid w:val="007D7E7F"/>
    <w:rsid w:val="007E01C0"/>
    <w:rsid w:val="007E01CB"/>
    <w:rsid w:val="007E0300"/>
    <w:rsid w:val="007E0341"/>
    <w:rsid w:val="007E03C0"/>
    <w:rsid w:val="007E0478"/>
    <w:rsid w:val="007E04F7"/>
    <w:rsid w:val="007E05ED"/>
    <w:rsid w:val="007E0791"/>
    <w:rsid w:val="007E0803"/>
    <w:rsid w:val="007E0833"/>
    <w:rsid w:val="007E0952"/>
    <w:rsid w:val="007E095F"/>
    <w:rsid w:val="007E0969"/>
    <w:rsid w:val="007E0A2F"/>
    <w:rsid w:val="007E0A9C"/>
    <w:rsid w:val="007E0B26"/>
    <w:rsid w:val="007E0B7C"/>
    <w:rsid w:val="007E0BCC"/>
    <w:rsid w:val="007E0C6F"/>
    <w:rsid w:val="007E0D77"/>
    <w:rsid w:val="007E0DDA"/>
    <w:rsid w:val="007E0E8B"/>
    <w:rsid w:val="007E0FC4"/>
    <w:rsid w:val="007E0FD1"/>
    <w:rsid w:val="007E110D"/>
    <w:rsid w:val="007E124F"/>
    <w:rsid w:val="007E12DE"/>
    <w:rsid w:val="007E1364"/>
    <w:rsid w:val="007E1398"/>
    <w:rsid w:val="007E159E"/>
    <w:rsid w:val="007E16C5"/>
    <w:rsid w:val="007E16E9"/>
    <w:rsid w:val="007E16F1"/>
    <w:rsid w:val="007E1760"/>
    <w:rsid w:val="007E1809"/>
    <w:rsid w:val="007E1855"/>
    <w:rsid w:val="007E1875"/>
    <w:rsid w:val="007E1876"/>
    <w:rsid w:val="007E1899"/>
    <w:rsid w:val="007E19AD"/>
    <w:rsid w:val="007E1A0C"/>
    <w:rsid w:val="007E1BA5"/>
    <w:rsid w:val="007E1C5D"/>
    <w:rsid w:val="007E1C75"/>
    <w:rsid w:val="007E1D0D"/>
    <w:rsid w:val="007E1E7A"/>
    <w:rsid w:val="007E1EB3"/>
    <w:rsid w:val="007E1F3F"/>
    <w:rsid w:val="007E2034"/>
    <w:rsid w:val="007E208C"/>
    <w:rsid w:val="007E21EE"/>
    <w:rsid w:val="007E2236"/>
    <w:rsid w:val="007E22AC"/>
    <w:rsid w:val="007E22FD"/>
    <w:rsid w:val="007E2518"/>
    <w:rsid w:val="007E255B"/>
    <w:rsid w:val="007E2733"/>
    <w:rsid w:val="007E2836"/>
    <w:rsid w:val="007E292F"/>
    <w:rsid w:val="007E29A3"/>
    <w:rsid w:val="007E2A29"/>
    <w:rsid w:val="007E2C67"/>
    <w:rsid w:val="007E2CD6"/>
    <w:rsid w:val="007E2D85"/>
    <w:rsid w:val="007E2DE7"/>
    <w:rsid w:val="007E2E2D"/>
    <w:rsid w:val="007E2E86"/>
    <w:rsid w:val="007E2E95"/>
    <w:rsid w:val="007E2EA9"/>
    <w:rsid w:val="007E2EAB"/>
    <w:rsid w:val="007E2EFC"/>
    <w:rsid w:val="007E2F45"/>
    <w:rsid w:val="007E3020"/>
    <w:rsid w:val="007E302E"/>
    <w:rsid w:val="007E32A6"/>
    <w:rsid w:val="007E33A1"/>
    <w:rsid w:val="007E3482"/>
    <w:rsid w:val="007E34D1"/>
    <w:rsid w:val="007E3597"/>
    <w:rsid w:val="007E35CD"/>
    <w:rsid w:val="007E38C7"/>
    <w:rsid w:val="007E3939"/>
    <w:rsid w:val="007E3A66"/>
    <w:rsid w:val="007E3B01"/>
    <w:rsid w:val="007E3BEF"/>
    <w:rsid w:val="007E3EA1"/>
    <w:rsid w:val="007E3FAE"/>
    <w:rsid w:val="007E4055"/>
    <w:rsid w:val="007E4086"/>
    <w:rsid w:val="007E4132"/>
    <w:rsid w:val="007E416A"/>
    <w:rsid w:val="007E41B9"/>
    <w:rsid w:val="007E4274"/>
    <w:rsid w:val="007E4280"/>
    <w:rsid w:val="007E4286"/>
    <w:rsid w:val="007E43B0"/>
    <w:rsid w:val="007E43EC"/>
    <w:rsid w:val="007E43FD"/>
    <w:rsid w:val="007E45AA"/>
    <w:rsid w:val="007E45C7"/>
    <w:rsid w:val="007E460D"/>
    <w:rsid w:val="007E474A"/>
    <w:rsid w:val="007E4957"/>
    <w:rsid w:val="007E4998"/>
    <w:rsid w:val="007E49A8"/>
    <w:rsid w:val="007E4A26"/>
    <w:rsid w:val="007E4A50"/>
    <w:rsid w:val="007E4B07"/>
    <w:rsid w:val="007E4B6A"/>
    <w:rsid w:val="007E4BB2"/>
    <w:rsid w:val="007E4C95"/>
    <w:rsid w:val="007E4CE6"/>
    <w:rsid w:val="007E4D1F"/>
    <w:rsid w:val="007E4E4E"/>
    <w:rsid w:val="007E509D"/>
    <w:rsid w:val="007E50EC"/>
    <w:rsid w:val="007E5165"/>
    <w:rsid w:val="007E519E"/>
    <w:rsid w:val="007E51CD"/>
    <w:rsid w:val="007E52AB"/>
    <w:rsid w:val="007E5335"/>
    <w:rsid w:val="007E54DC"/>
    <w:rsid w:val="007E54F4"/>
    <w:rsid w:val="007E552C"/>
    <w:rsid w:val="007E55AC"/>
    <w:rsid w:val="007E55E7"/>
    <w:rsid w:val="007E562B"/>
    <w:rsid w:val="007E5637"/>
    <w:rsid w:val="007E567F"/>
    <w:rsid w:val="007E5685"/>
    <w:rsid w:val="007E568A"/>
    <w:rsid w:val="007E56DA"/>
    <w:rsid w:val="007E56DB"/>
    <w:rsid w:val="007E5725"/>
    <w:rsid w:val="007E57A5"/>
    <w:rsid w:val="007E5978"/>
    <w:rsid w:val="007E5A32"/>
    <w:rsid w:val="007E5A40"/>
    <w:rsid w:val="007E5A90"/>
    <w:rsid w:val="007E5AB6"/>
    <w:rsid w:val="007E5B5D"/>
    <w:rsid w:val="007E5C47"/>
    <w:rsid w:val="007E5DA8"/>
    <w:rsid w:val="007E5F1F"/>
    <w:rsid w:val="007E5F21"/>
    <w:rsid w:val="007E5F41"/>
    <w:rsid w:val="007E5F6C"/>
    <w:rsid w:val="007E609A"/>
    <w:rsid w:val="007E60C9"/>
    <w:rsid w:val="007E6124"/>
    <w:rsid w:val="007E614D"/>
    <w:rsid w:val="007E615D"/>
    <w:rsid w:val="007E61EC"/>
    <w:rsid w:val="007E623C"/>
    <w:rsid w:val="007E6319"/>
    <w:rsid w:val="007E6374"/>
    <w:rsid w:val="007E637D"/>
    <w:rsid w:val="007E68AA"/>
    <w:rsid w:val="007E6926"/>
    <w:rsid w:val="007E698A"/>
    <w:rsid w:val="007E69FD"/>
    <w:rsid w:val="007E6A8A"/>
    <w:rsid w:val="007E6B7B"/>
    <w:rsid w:val="007E6BA0"/>
    <w:rsid w:val="007E6C81"/>
    <w:rsid w:val="007E6CB4"/>
    <w:rsid w:val="007E6CFD"/>
    <w:rsid w:val="007E6D12"/>
    <w:rsid w:val="007E6DAA"/>
    <w:rsid w:val="007E6ED9"/>
    <w:rsid w:val="007E6FF2"/>
    <w:rsid w:val="007E7093"/>
    <w:rsid w:val="007E709C"/>
    <w:rsid w:val="007E70B0"/>
    <w:rsid w:val="007E70B9"/>
    <w:rsid w:val="007E71F9"/>
    <w:rsid w:val="007E7243"/>
    <w:rsid w:val="007E72F7"/>
    <w:rsid w:val="007E73BF"/>
    <w:rsid w:val="007E73F5"/>
    <w:rsid w:val="007E7424"/>
    <w:rsid w:val="007E760E"/>
    <w:rsid w:val="007E7642"/>
    <w:rsid w:val="007E7742"/>
    <w:rsid w:val="007E7790"/>
    <w:rsid w:val="007E77A5"/>
    <w:rsid w:val="007E7910"/>
    <w:rsid w:val="007E79CA"/>
    <w:rsid w:val="007E79FA"/>
    <w:rsid w:val="007E7A4E"/>
    <w:rsid w:val="007E7B8B"/>
    <w:rsid w:val="007E7B9F"/>
    <w:rsid w:val="007E7C11"/>
    <w:rsid w:val="007E7CB0"/>
    <w:rsid w:val="007E7D5D"/>
    <w:rsid w:val="007E7D73"/>
    <w:rsid w:val="007E7D93"/>
    <w:rsid w:val="007E7EB6"/>
    <w:rsid w:val="007E7EF9"/>
    <w:rsid w:val="007E7F59"/>
    <w:rsid w:val="007E7FE2"/>
    <w:rsid w:val="007F000A"/>
    <w:rsid w:val="007F0077"/>
    <w:rsid w:val="007F01E0"/>
    <w:rsid w:val="007F02C4"/>
    <w:rsid w:val="007F02F1"/>
    <w:rsid w:val="007F03D3"/>
    <w:rsid w:val="007F041A"/>
    <w:rsid w:val="007F043F"/>
    <w:rsid w:val="007F04BA"/>
    <w:rsid w:val="007F04FB"/>
    <w:rsid w:val="007F07E1"/>
    <w:rsid w:val="007F0829"/>
    <w:rsid w:val="007F0831"/>
    <w:rsid w:val="007F08C5"/>
    <w:rsid w:val="007F0973"/>
    <w:rsid w:val="007F09B9"/>
    <w:rsid w:val="007F0A85"/>
    <w:rsid w:val="007F0A91"/>
    <w:rsid w:val="007F0B14"/>
    <w:rsid w:val="007F0B25"/>
    <w:rsid w:val="007F0C28"/>
    <w:rsid w:val="007F0C70"/>
    <w:rsid w:val="007F0D03"/>
    <w:rsid w:val="007F0D12"/>
    <w:rsid w:val="007F0D4B"/>
    <w:rsid w:val="007F0DDE"/>
    <w:rsid w:val="007F0EB2"/>
    <w:rsid w:val="007F0F33"/>
    <w:rsid w:val="007F0F4E"/>
    <w:rsid w:val="007F1111"/>
    <w:rsid w:val="007F1157"/>
    <w:rsid w:val="007F118A"/>
    <w:rsid w:val="007F11D2"/>
    <w:rsid w:val="007F120B"/>
    <w:rsid w:val="007F1285"/>
    <w:rsid w:val="007F1288"/>
    <w:rsid w:val="007F12C2"/>
    <w:rsid w:val="007F1311"/>
    <w:rsid w:val="007F132F"/>
    <w:rsid w:val="007F133F"/>
    <w:rsid w:val="007F13FA"/>
    <w:rsid w:val="007F13FC"/>
    <w:rsid w:val="007F13FD"/>
    <w:rsid w:val="007F1440"/>
    <w:rsid w:val="007F156C"/>
    <w:rsid w:val="007F163A"/>
    <w:rsid w:val="007F16EF"/>
    <w:rsid w:val="007F179A"/>
    <w:rsid w:val="007F17FD"/>
    <w:rsid w:val="007F186A"/>
    <w:rsid w:val="007F191F"/>
    <w:rsid w:val="007F1AD6"/>
    <w:rsid w:val="007F1AF5"/>
    <w:rsid w:val="007F1B71"/>
    <w:rsid w:val="007F1BA3"/>
    <w:rsid w:val="007F1C19"/>
    <w:rsid w:val="007F1C1B"/>
    <w:rsid w:val="007F1C42"/>
    <w:rsid w:val="007F1CCA"/>
    <w:rsid w:val="007F1CE8"/>
    <w:rsid w:val="007F1DF2"/>
    <w:rsid w:val="007F1E63"/>
    <w:rsid w:val="007F1EAC"/>
    <w:rsid w:val="007F1EF7"/>
    <w:rsid w:val="007F1F93"/>
    <w:rsid w:val="007F1FAB"/>
    <w:rsid w:val="007F204F"/>
    <w:rsid w:val="007F206D"/>
    <w:rsid w:val="007F2092"/>
    <w:rsid w:val="007F20D9"/>
    <w:rsid w:val="007F21FE"/>
    <w:rsid w:val="007F225D"/>
    <w:rsid w:val="007F22A2"/>
    <w:rsid w:val="007F2325"/>
    <w:rsid w:val="007F2353"/>
    <w:rsid w:val="007F245F"/>
    <w:rsid w:val="007F25C3"/>
    <w:rsid w:val="007F25CA"/>
    <w:rsid w:val="007F25F3"/>
    <w:rsid w:val="007F261A"/>
    <w:rsid w:val="007F2630"/>
    <w:rsid w:val="007F2691"/>
    <w:rsid w:val="007F276A"/>
    <w:rsid w:val="007F2783"/>
    <w:rsid w:val="007F287A"/>
    <w:rsid w:val="007F28EE"/>
    <w:rsid w:val="007F28F5"/>
    <w:rsid w:val="007F2960"/>
    <w:rsid w:val="007F29D5"/>
    <w:rsid w:val="007F2A6D"/>
    <w:rsid w:val="007F2AA3"/>
    <w:rsid w:val="007F2AE2"/>
    <w:rsid w:val="007F2CA8"/>
    <w:rsid w:val="007F2CDB"/>
    <w:rsid w:val="007F2CEC"/>
    <w:rsid w:val="007F2E3A"/>
    <w:rsid w:val="007F3051"/>
    <w:rsid w:val="007F3082"/>
    <w:rsid w:val="007F3266"/>
    <w:rsid w:val="007F32C9"/>
    <w:rsid w:val="007F330B"/>
    <w:rsid w:val="007F33EB"/>
    <w:rsid w:val="007F34C4"/>
    <w:rsid w:val="007F3538"/>
    <w:rsid w:val="007F356C"/>
    <w:rsid w:val="007F3571"/>
    <w:rsid w:val="007F357E"/>
    <w:rsid w:val="007F361F"/>
    <w:rsid w:val="007F36F6"/>
    <w:rsid w:val="007F3826"/>
    <w:rsid w:val="007F38B8"/>
    <w:rsid w:val="007F38FF"/>
    <w:rsid w:val="007F3932"/>
    <w:rsid w:val="007F3958"/>
    <w:rsid w:val="007F39EA"/>
    <w:rsid w:val="007F3A8E"/>
    <w:rsid w:val="007F3AB9"/>
    <w:rsid w:val="007F3B93"/>
    <w:rsid w:val="007F3C32"/>
    <w:rsid w:val="007F3D09"/>
    <w:rsid w:val="007F3D5E"/>
    <w:rsid w:val="007F3DE1"/>
    <w:rsid w:val="007F3E00"/>
    <w:rsid w:val="007F3E53"/>
    <w:rsid w:val="007F3E92"/>
    <w:rsid w:val="007F3E94"/>
    <w:rsid w:val="007F3F99"/>
    <w:rsid w:val="007F3FB4"/>
    <w:rsid w:val="007F3FD0"/>
    <w:rsid w:val="007F41DD"/>
    <w:rsid w:val="007F41FA"/>
    <w:rsid w:val="007F4477"/>
    <w:rsid w:val="007F44A3"/>
    <w:rsid w:val="007F4560"/>
    <w:rsid w:val="007F45D7"/>
    <w:rsid w:val="007F46D3"/>
    <w:rsid w:val="007F4768"/>
    <w:rsid w:val="007F477A"/>
    <w:rsid w:val="007F47B5"/>
    <w:rsid w:val="007F47E3"/>
    <w:rsid w:val="007F4828"/>
    <w:rsid w:val="007F486A"/>
    <w:rsid w:val="007F4968"/>
    <w:rsid w:val="007F498A"/>
    <w:rsid w:val="007F49FE"/>
    <w:rsid w:val="007F4A69"/>
    <w:rsid w:val="007F4AEE"/>
    <w:rsid w:val="007F4C23"/>
    <w:rsid w:val="007F4E94"/>
    <w:rsid w:val="007F4ECA"/>
    <w:rsid w:val="007F4ED7"/>
    <w:rsid w:val="007F4FE9"/>
    <w:rsid w:val="007F4FF0"/>
    <w:rsid w:val="007F5136"/>
    <w:rsid w:val="007F514F"/>
    <w:rsid w:val="007F51BD"/>
    <w:rsid w:val="007F5275"/>
    <w:rsid w:val="007F5451"/>
    <w:rsid w:val="007F5489"/>
    <w:rsid w:val="007F5625"/>
    <w:rsid w:val="007F564D"/>
    <w:rsid w:val="007F56F4"/>
    <w:rsid w:val="007F5741"/>
    <w:rsid w:val="007F57E1"/>
    <w:rsid w:val="007F57E8"/>
    <w:rsid w:val="007F582C"/>
    <w:rsid w:val="007F5870"/>
    <w:rsid w:val="007F5891"/>
    <w:rsid w:val="007F5967"/>
    <w:rsid w:val="007F5AFF"/>
    <w:rsid w:val="007F5B22"/>
    <w:rsid w:val="007F5C0C"/>
    <w:rsid w:val="007F5C14"/>
    <w:rsid w:val="007F5C2E"/>
    <w:rsid w:val="007F5C7D"/>
    <w:rsid w:val="007F5CD0"/>
    <w:rsid w:val="007F5D40"/>
    <w:rsid w:val="007F5ED0"/>
    <w:rsid w:val="007F5F35"/>
    <w:rsid w:val="007F5F43"/>
    <w:rsid w:val="007F6034"/>
    <w:rsid w:val="007F6097"/>
    <w:rsid w:val="007F60F1"/>
    <w:rsid w:val="007F612C"/>
    <w:rsid w:val="007F6237"/>
    <w:rsid w:val="007F623D"/>
    <w:rsid w:val="007F6280"/>
    <w:rsid w:val="007F62DB"/>
    <w:rsid w:val="007F6378"/>
    <w:rsid w:val="007F637C"/>
    <w:rsid w:val="007F642F"/>
    <w:rsid w:val="007F649A"/>
    <w:rsid w:val="007F64F1"/>
    <w:rsid w:val="007F6627"/>
    <w:rsid w:val="007F6770"/>
    <w:rsid w:val="007F67E8"/>
    <w:rsid w:val="007F6847"/>
    <w:rsid w:val="007F686F"/>
    <w:rsid w:val="007F6873"/>
    <w:rsid w:val="007F6886"/>
    <w:rsid w:val="007F6932"/>
    <w:rsid w:val="007F698D"/>
    <w:rsid w:val="007F6A4D"/>
    <w:rsid w:val="007F6BEC"/>
    <w:rsid w:val="007F6BF4"/>
    <w:rsid w:val="007F6C3C"/>
    <w:rsid w:val="007F6C66"/>
    <w:rsid w:val="007F6C7A"/>
    <w:rsid w:val="007F6C93"/>
    <w:rsid w:val="007F6CDC"/>
    <w:rsid w:val="007F6DAB"/>
    <w:rsid w:val="007F6E05"/>
    <w:rsid w:val="007F6E51"/>
    <w:rsid w:val="007F7029"/>
    <w:rsid w:val="007F7046"/>
    <w:rsid w:val="007F7138"/>
    <w:rsid w:val="007F722A"/>
    <w:rsid w:val="007F72C7"/>
    <w:rsid w:val="007F72ED"/>
    <w:rsid w:val="007F744B"/>
    <w:rsid w:val="007F744E"/>
    <w:rsid w:val="007F7469"/>
    <w:rsid w:val="007F746A"/>
    <w:rsid w:val="007F75BC"/>
    <w:rsid w:val="007F75E2"/>
    <w:rsid w:val="007F77EF"/>
    <w:rsid w:val="007F78A2"/>
    <w:rsid w:val="007F7943"/>
    <w:rsid w:val="007F7A7E"/>
    <w:rsid w:val="007F7A8C"/>
    <w:rsid w:val="007F7BC7"/>
    <w:rsid w:val="007F7C09"/>
    <w:rsid w:val="007F7D13"/>
    <w:rsid w:val="007F7EA7"/>
    <w:rsid w:val="007F7EBC"/>
    <w:rsid w:val="007F7EC4"/>
    <w:rsid w:val="007F7F9B"/>
    <w:rsid w:val="00800007"/>
    <w:rsid w:val="0080001F"/>
    <w:rsid w:val="00800092"/>
    <w:rsid w:val="0080017E"/>
    <w:rsid w:val="008001CB"/>
    <w:rsid w:val="008001E9"/>
    <w:rsid w:val="0080020E"/>
    <w:rsid w:val="00800220"/>
    <w:rsid w:val="00800258"/>
    <w:rsid w:val="0080036E"/>
    <w:rsid w:val="0080038A"/>
    <w:rsid w:val="00800393"/>
    <w:rsid w:val="008003B4"/>
    <w:rsid w:val="008003CA"/>
    <w:rsid w:val="0080046F"/>
    <w:rsid w:val="008004B8"/>
    <w:rsid w:val="008005C8"/>
    <w:rsid w:val="00800692"/>
    <w:rsid w:val="00800696"/>
    <w:rsid w:val="008006BE"/>
    <w:rsid w:val="008006CE"/>
    <w:rsid w:val="0080073D"/>
    <w:rsid w:val="0080077D"/>
    <w:rsid w:val="008007A9"/>
    <w:rsid w:val="00800891"/>
    <w:rsid w:val="008009B0"/>
    <w:rsid w:val="00800BCB"/>
    <w:rsid w:val="00800C52"/>
    <w:rsid w:val="00800CD9"/>
    <w:rsid w:val="00800CDA"/>
    <w:rsid w:val="00800D7F"/>
    <w:rsid w:val="00800DD8"/>
    <w:rsid w:val="00800E09"/>
    <w:rsid w:val="00800E16"/>
    <w:rsid w:val="00800E99"/>
    <w:rsid w:val="00800EF6"/>
    <w:rsid w:val="00801093"/>
    <w:rsid w:val="00801096"/>
    <w:rsid w:val="008010F8"/>
    <w:rsid w:val="008011AE"/>
    <w:rsid w:val="008011F4"/>
    <w:rsid w:val="008012C6"/>
    <w:rsid w:val="0080132F"/>
    <w:rsid w:val="00801332"/>
    <w:rsid w:val="00801366"/>
    <w:rsid w:val="00801385"/>
    <w:rsid w:val="00801445"/>
    <w:rsid w:val="008014B1"/>
    <w:rsid w:val="008014CF"/>
    <w:rsid w:val="0080152C"/>
    <w:rsid w:val="008016F6"/>
    <w:rsid w:val="00801739"/>
    <w:rsid w:val="0080189A"/>
    <w:rsid w:val="008019CB"/>
    <w:rsid w:val="00801AB9"/>
    <w:rsid w:val="00801B70"/>
    <w:rsid w:val="00801C2B"/>
    <w:rsid w:val="00801C32"/>
    <w:rsid w:val="00801E0B"/>
    <w:rsid w:val="00801EA6"/>
    <w:rsid w:val="00801F8A"/>
    <w:rsid w:val="00801FC6"/>
    <w:rsid w:val="00801FFE"/>
    <w:rsid w:val="0080213D"/>
    <w:rsid w:val="00802233"/>
    <w:rsid w:val="008022FD"/>
    <w:rsid w:val="00802381"/>
    <w:rsid w:val="00802389"/>
    <w:rsid w:val="008023D6"/>
    <w:rsid w:val="00802509"/>
    <w:rsid w:val="00802822"/>
    <w:rsid w:val="00802B7E"/>
    <w:rsid w:val="00802C23"/>
    <w:rsid w:val="00802C66"/>
    <w:rsid w:val="00802C99"/>
    <w:rsid w:val="00802D89"/>
    <w:rsid w:val="00802DB0"/>
    <w:rsid w:val="00802ED0"/>
    <w:rsid w:val="00803028"/>
    <w:rsid w:val="00803134"/>
    <w:rsid w:val="00803138"/>
    <w:rsid w:val="00803192"/>
    <w:rsid w:val="00803197"/>
    <w:rsid w:val="008031DB"/>
    <w:rsid w:val="00803273"/>
    <w:rsid w:val="0080353F"/>
    <w:rsid w:val="00803541"/>
    <w:rsid w:val="00803599"/>
    <w:rsid w:val="008035B6"/>
    <w:rsid w:val="00803683"/>
    <w:rsid w:val="008036CC"/>
    <w:rsid w:val="008036E9"/>
    <w:rsid w:val="00803706"/>
    <w:rsid w:val="00803742"/>
    <w:rsid w:val="00803764"/>
    <w:rsid w:val="0080376C"/>
    <w:rsid w:val="008037F3"/>
    <w:rsid w:val="0080385D"/>
    <w:rsid w:val="008038C4"/>
    <w:rsid w:val="0080397A"/>
    <w:rsid w:val="00803990"/>
    <w:rsid w:val="0080399D"/>
    <w:rsid w:val="00803A6E"/>
    <w:rsid w:val="00803B38"/>
    <w:rsid w:val="00803B41"/>
    <w:rsid w:val="00803C2B"/>
    <w:rsid w:val="00803CFE"/>
    <w:rsid w:val="00803D3E"/>
    <w:rsid w:val="00803D80"/>
    <w:rsid w:val="00803EA7"/>
    <w:rsid w:val="00803FB1"/>
    <w:rsid w:val="00804003"/>
    <w:rsid w:val="00804073"/>
    <w:rsid w:val="008040AC"/>
    <w:rsid w:val="008040BB"/>
    <w:rsid w:val="008040EE"/>
    <w:rsid w:val="008042D9"/>
    <w:rsid w:val="008042F2"/>
    <w:rsid w:val="0080439E"/>
    <w:rsid w:val="0080446E"/>
    <w:rsid w:val="00804552"/>
    <w:rsid w:val="00804567"/>
    <w:rsid w:val="00804569"/>
    <w:rsid w:val="00804594"/>
    <w:rsid w:val="0080459A"/>
    <w:rsid w:val="008045D2"/>
    <w:rsid w:val="00804630"/>
    <w:rsid w:val="008046F4"/>
    <w:rsid w:val="00804717"/>
    <w:rsid w:val="0080475F"/>
    <w:rsid w:val="0080478E"/>
    <w:rsid w:val="00804976"/>
    <w:rsid w:val="00804AA8"/>
    <w:rsid w:val="00804AE6"/>
    <w:rsid w:val="00804C71"/>
    <w:rsid w:val="00804CA2"/>
    <w:rsid w:val="00804E4F"/>
    <w:rsid w:val="00804F47"/>
    <w:rsid w:val="008050B3"/>
    <w:rsid w:val="008050D7"/>
    <w:rsid w:val="008052D2"/>
    <w:rsid w:val="00805355"/>
    <w:rsid w:val="00805360"/>
    <w:rsid w:val="0080537C"/>
    <w:rsid w:val="0080539F"/>
    <w:rsid w:val="00805471"/>
    <w:rsid w:val="0080559C"/>
    <w:rsid w:val="0080562E"/>
    <w:rsid w:val="0080566E"/>
    <w:rsid w:val="008056AF"/>
    <w:rsid w:val="008056E9"/>
    <w:rsid w:val="0080571D"/>
    <w:rsid w:val="0080585C"/>
    <w:rsid w:val="008058CB"/>
    <w:rsid w:val="008058F3"/>
    <w:rsid w:val="00805918"/>
    <w:rsid w:val="008059C5"/>
    <w:rsid w:val="00805AC4"/>
    <w:rsid w:val="00805AD9"/>
    <w:rsid w:val="00805B3A"/>
    <w:rsid w:val="00805B9E"/>
    <w:rsid w:val="00805C02"/>
    <w:rsid w:val="00805C0D"/>
    <w:rsid w:val="00805C3F"/>
    <w:rsid w:val="00805DAB"/>
    <w:rsid w:val="00805E2D"/>
    <w:rsid w:val="00805E9C"/>
    <w:rsid w:val="00805ECE"/>
    <w:rsid w:val="00805FF7"/>
    <w:rsid w:val="008060DB"/>
    <w:rsid w:val="0080613B"/>
    <w:rsid w:val="00806269"/>
    <w:rsid w:val="00806415"/>
    <w:rsid w:val="00806459"/>
    <w:rsid w:val="008064CE"/>
    <w:rsid w:val="008064D9"/>
    <w:rsid w:val="008065F3"/>
    <w:rsid w:val="008066BE"/>
    <w:rsid w:val="0080677C"/>
    <w:rsid w:val="0080679B"/>
    <w:rsid w:val="008067BC"/>
    <w:rsid w:val="00806811"/>
    <w:rsid w:val="0080684D"/>
    <w:rsid w:val="008068A3"/>
    <w:rsid w:val="00806A3B"/>
    <w:rsid w:val="00806BDE"/>
    <w:rsid w:val="00806CC4"/>
    <w:rsid w:val="00806D23"/>
    <w:rsid w:val="00806D97"/>
    <w:rsid w:val="00806DEC"/>
    <w:rsid w:val="00806F83"/>
    <w:rsid w:val="00807054"/>
    <w:rsid w:val="0080710D"/>
    <w:rsid w:val="00807221"/>
    <w:rsid w:val="00807277"/>
    <w:rsid w:val="0080728A"/>
    <w:rsid w:val="00807294"/>
    <w:rsid w:val="00807339"/>
    <w:rsid w:val="0080739F"/>
    <w:rsid w:val="008073F0"/>
    <w:rsid w:val="00807539"/>
    <w:rsid w:val="008075AB"/>
    <w:rsid w:val="00807615"/>
    <w:rsid w:val="00807732"/>
    <w:rsid w:val="0080779A"/>
    <w:rsid w:val="00807968"/>
    <w:rsid w:val="00807ABB"/>
    <w:rsid w:val="00807AE2"/>
    <w:rsid w:val="00807BA4"/>
    <w:rsid w:val="00807C9D"/>
    <w:rsid w:val="00807E3B"/>
    <w:rsid w:val="00807F0F"/>
    <w:rsid w:val="00807F1E"/>
    <w:rsid w:val="00810084"/>
    <w:rsid w:val="008100C3"/>
    <w:rsid w:val="008101D7"/>
    <w:rsid w:val="008101DD"/>
    <w:rsid w:val="0081021F"/>
    <w:rsid w:val="00810234"/>
    <w:rsid w:val="00810255"/>
    <w:rsid w:val="00810313"/>
    <w:rsid w:val="0081035B"/>
    <w:rsid w:val="008103DF"/>
    <w:rsid w:val="00810419"/>
    <w:rsid w:val="00810534"/>
    <w:rsid w:val="0081064A"/>
    <w:rsid w:val="008106AA"/>
    <w:rsid w:val="008106F1"/>
    <w:rsid w:val="008106FD"/>
    <w:rsid w:val="00810789"/>
    <w:rsid w:val="008107D1"/>
    <w:rsid w:val="00810950"/>
    <w:rsid w:val="0081096B"/>
    <w:rsid w:val="00810984"/>
    <w:rsid w:val="008109B6"/>
    <w:rsid w:val="008109C1"/>
    <w:rsid w:val="00810A4B"/>
    <w:rsid w:val="00810AAD"/>
    <w:rsid w:val="00810AC4"/>
    <w:rsid w:val="00810B03"/>
    <w:rsid w:val="00810B55"/>
    <w:rsid w:val="00810C4A"/>
    <w:rsid w:val="00810CD8"/>
    <w:rsid w:val="00810FBF"/>
    <w:rsid w:val="00810FD1"/>
    <w:rsid w:val="00810FE0"/>
    <w:rsid w:val="00811059"/>
    <w:rsid w:val="008110F8"/>
    <w:rsid w:val="008111D7"/>
    <w:rsid w:val="00811253"/>
    <w:rsid w:val="008113D3"/>
    <w:rsid w:val="00811499"/>
    <w:rsid w:val="008115C1"/>
    <w:rsid w:val="0081173C"/>
    <w:rsid w:val="0081185B"/>
    <w:rsid w:val="00811876"/>
    <w:rsid w:val="0081192F"/>
    <w:rsid w:val="00811987"/>
    <w:rsid w:val="00811B77"/>
    <w:rsid w:val="00811C25"/>
    <w:rsid w:val="00811C5D"/>
    <w:rsid w:val="00811CC0"/>
    <w:rsid w:val="00811CE2"/>
    <w:rsid w:val="00811D79"/>
    <w:rsid w:val="00811DE5"/>
    <w:rsid w:val="00811DFA"/>
    <w:rsid w:val="00811E60"/>
    <w:rsid w:val="00811EE2"/>
    <w:rsid w:val="00811FF8"/>
    <w:rsid w:val="0081200C"/>
    <w:rsid w:val="0081205A"/>
    <w:rsid w:val="008120AA"/>
    <w:rsid w:val="0081221B"/>
    <w:rsid w:val="008122CD"/>
    <w:rsid w:val="00812358"/>
    <w:rsid w:val="0081237D"/>
    <w:rsid w:val="0081251C"/>
    <w:rsid w:val="00812533"/>
    <w:rsid w:val="00812550"/>
    <w:rsid w:val="00812562"/>
    <w:rsid w:val="008125B4"/>
    <w:rsid w:val="0081268E"/>
    <w:rsid w:val="008126AE"/>
    <w:rsid w:val="0081272A"/>
    <w:rsid w:val="00812763"/>
    <w:rsid w:val="008127A2"/>
    <w:rsid w:val="0081283E"/>
    <w:rsid w:val="008128A3"/>
    <w:rsid w:val="008128CA"/>
    <w:rsid w:val="0081291C"/>
    <w:rsid w:val="00812954"/>
    <w:rsid w:val="0081296D"/>
    <w:rsid w:val="0081297A"/>
    <w:rsid w:val="008129E2"/>
    <w:rsid w:val="00812AB6"/>
    <w:rsid w:val="00812AC9"/>
    <w:rsid w:val="00812C7A"/>
    <w:rsid w:val="00812D5E"/>
    <w:rsid w:val="00812E03"/>
    <w:rsid w:val="00812EC2"/>
    <w:rsid w:val="008130AF"/>
    <w:rsid w:val="0081313B"/>
    <w:rsid w:val="008132A5"/>
    <w:rsid w:val="008132B8"/>
    <w:rsid w:val="0081345D"/>
    <w:rsid w:val="008134C0"/>
    <w:rsid w:val="0081376A"/>
    <w:rsid w:val="0081376B"/>
    <w:rsid w:val="0081378E"/>
    <w:rsid w:val="00813801"/>
    <w:rsid w:val="00813830"/>
    <w:rsid w:val="00813854"/>
    <w:rsid w:val="00813878"/>
    <w:rsid w:val="008138AA"/>
    <w:rsid w:val="00813935"/>
    <w:rsid w:val="008139BD"/>
    <w:rsid w:val="00813A25"/>
    <w:rsid w:val="00813A88"/>
    <w:rsid w:val="00813BC4"/>
    <w:rsid w:val="00813BEC"/>
    <w:rsid w:val="00813C13"/>
    <w:rsid w:val="00813CD5"/>
    <w:rsid w:val="00813CF7"/>
    <w:rsid w:val="00813D52"/>
    <w:rsid w:val="00813D64"/>
    <w:rsid w:val="00813DBC"/>
    <w:rsid w:val="00813DCA"/>
    <w:rsid w:val="00813E5A"/>
    <w:rsid w:val="00813F37"/>
    <w:rsid w:val="00813F7A"/>
    <w:rsid w:val="008141A4"/>
    <w:rsid w:val="00814215"/>
    <w:rsid w:val="008142A3"/>
    <w:rsid w:val="00814320"/>
    <w:rsid w:val="00814330"/>
    <w:rsid w:val="008144C5"/>
    <w:rsid w:val="008144D0"/>
    <w:rsid w:val="00814639"/>
    <w:rsid w:val="0081474A"/>
    <w:rsid w:val="0081475D"/>
    <w:rsid w:val="008147AF"/>
    <w:rsid w:val="008147B9"/>
    <w:rsid w:val="008147BE"/>
    <w:rsid w:val="00814870"/>
    <w:rsid w:val="00814880"/>
    <w:rsid w:val="00814928"/>
    <w:rsid w:val="0081494B"/>
    <w:rsid w:val="00814A06"/>
    <w:rsid w:val="00814A8B"/>
    <w:rsid w:val="00814B28"/>
    <w:rsid w:val="00814B3B"/>
    <w:rsid w:val="00814B51"/>
    <w:rsid w:val="00814B6D"/>
    <w:rsid w:val="00814B76"/>
    <w:rsid w:val="00814BA0"/>
    <w:rsid w:val="00814C08"/>
    <w:rsid w:val="00814C31"/>
    <w:rsid w:val="00814C48"/>
    <w:rsid w:val="00814CFA"/>
    <w:rsid w:val="00814E78"/>
    <w:rsid w:val="00814F0B"/>
    <w:rsid w:val="00814FD0"/>
    <w:rsid w:val="00815013"/>
    <w:rsid w:val="0081505B"/>
    <w:rsid w:val="0081506B"/>
    <w:rsid w:val="0081513B"/>
    <w:rsid w:val="00815246"/>
    <w:rsid w:val="0081533F"/>
    <w:rsid w:val="00815407"/>
    <w:rsid w:val="0081540E"/>
    <w:rsid w:val="0081544D"/>
    <w:rsid w:val="008154F5"/>
    <w:rsid w:val="0081551C"/>
    <w:rsid w:val="00815543"/>
    <w:rsid w:val="00815589"/>
    <w:rsid w:val="0081559C"/>
    <w:rsid w:val="00815812"/>
    <w:rsid w:val="00815826"/>
    <w:rsid w:val="00815890"/>
    <w:rsid w:val="008158E4"/>
    <w:rsid w:val="00815948"/>
    <w:rsid w:val="008159A3"/>
    <w:rsid w:val="008159D8"/>
    <w:rsid w:val="00815A95"/>
    <w:rsid w:val="00815B4F"/>
    <w:rsid w:val="00815C1C"/>
    <w:rsid w:val="00815C4F"/>
    <w:rsid w:val="00815C8E"/>
    <w:rsid w:val="00815CCC"/>
    <w:rsid w:val="00815CDC"/>
    <w:rsid w:val="00815D51"/>
    <w:rsid w:val="00815E5A"/>
    <w:rsid w:val="00815F02"/>
    <w:rsid w:val="00816029"/>
    <w:rsid w:val="00816138"/>
    <w:rsid w:val="008161F2"/>
    <w:rsid w:val="00816275"/>
    <w:rsid w:val="008162BC"/>
    <w:rsid w:val="008162F5"/>
    <w:rsid w:val="00816307"/>
    <w:rsid w:val="0081636D"/>
    <w:rsid w:val="008164FB"/>
    <w:rsid w:val="008166EF"/>
    <w:rsid w:val="008167DB"/>
    <w:rsid w:val="008167E8"/>
    <w:rsid w:val="0081682F"/>
    <w:rsid w:val="008168BB"/>
    <w:rsid w:val="008168E6"/>
    <w:rsid w:val="0081693F"/>
    <w:rsid w:val="0081697A"/>
    <w:rsid w:val="0081698F"/>
    <w:rsid w:val="00816A75"/>
    <w:rsid w:val="00816B09"/>
    <w:rsid w:val="00816B43"/>
    <w:rsid w:val="00816C9C"/>
    <w:rsid w:val="00816CAF"/>
    <w:rsid w:val="00816CED"/>
    <w:rsid w:val="00816D18"/>
    <w:rsid w:val="00816D97"/>
    <w:rsid w:val="00816E0D"/>
    <w:rsid w:val="00816E60"/>
    <w:rsid w:val="00816E6C"/>
    <w:rsid w:val="00816EDE"/>
    <w:rsid w:val="00817009"/>
    <w:rsid w:val="008170B0"/>
    <w:rsid w:val="0081716C"/>
    <w:rsid w:val="00817203"/>
    <w:rsid w:val="0081721C"/>
    <w:rsid w:val="00817242"/>
    <w:rsid w:val="0081724C"/>
    <w:rsid w:val="008172D5"/>
    <w:rsid w:val="00817321"/>
    <w:rsid w:val="008173DF"/>
    <w:rsid w:val="008174FA"/>
    <w:rsid w:val="008175E5"/>
    <w:rsid w:val="00817965"/>
    <w:rsid w:val="0081799C"/>
    <w:rsid w:val="00817A19"/>
    <w:rsid w:val="00817AD9"/>
    <w:rsid w:val="00817B0C"/>
    <w:rsid w:val="00817B88"/>
    <w:rsid w:val="00817B92"/>
    <w:rsid w:val="00817CDE"/>
    <w:rsid w:val="00817E93"/>
    <w:rsid w:val="00817F0D"/>
    <w:rsid w:val="00817F40"/>
    <w:rsid w:val="00817FEC"/>
    <w:rsid w:val="00820030"/>
    <w:rsid w:val="00820297"/>
    <w:rsid w:val="00820342"/>
    <w:rsid w:val="008203C6"/>
    <w:rsid w:val="008203FB"/>
    <w:rsid w:val="008204DB"/>
    <w:rsid w:val="008205F7"/>
    <w:rsid w:val="008207CB"/>
    <w:rsid w:val="00820821"/>
    <w:rsid w:val="00820852"/>
    <w:rsid w:val="008208A7"/>
    <w:rsid w:val="008208BD"/>
    <w:rsid w:val="008208C6"/>
    <w:rsid w:val="008208FB"/>
    <w:rsid w:val="00820A8A"/>
    <w:rsid w:val="00820B3A"/>
    <w:rsid w:val="00820B5F"/>
    <w:rsid w:val="00820C8E"/>
    <w:rsid w:val="00820D53"/>
    <w:rsid w:val="00820DB3"/>
    <w:rsid w:val="0082100F"/>
    <w:rsid w:val="008211D3"/>
    <w:rsid w:val="00821261"/>
    <w:rsid w:val="0082132B"/>
    <w:rsid w:val="00821352"/>
    <w:rsid w:val="008213FA"/>
    <w:rsid w:val="00821476"/>
    <w:rsid w:val="00821486"/>
    <w:rsid w:val="008214DF"/>
    <w:rsid w:val="00821538"/>
    <w:rsid w:val="00821796"/>
    <w:rsid w:val="008217F0"/>
    <w:rsid w:val="00821838"/>
    <w:rsid w:val="00821861"/>
    <w:rsid w:val="008218D7"/>
    <w:rsid w:val="00821919"/>
    <w:rsid w:val="0082196E"/>
    <w:rsid w:val="008219C0"/>
    <w:rsid w:val="008219E0"/>
    <w:rsid w:val="008219F2"/>
    <w:rsid w:val="00821A0E"/>
    <w:rsid w:val="00821AA5"/>
    <w:rsid w:val="00821B01"/>
    <w:rsid w:val="00821CD3"/>
    <w:rsid w:val="00821DE0"/>
    <w:rsid w:val="00821E19"/>
    <w:rsid w:val="00821E48"/>
    <w:rsid w:val="00821F18"/>
    <w:rsid w:val="00821FF7"/>
    <w:rsid w:val="0082220C"/>
    <w:rsid w:val="008222D6"/>
    <w:rsid w:val="008223F2"/>
    <w:rsid w:val="0082242A"/>
    <w:rsid w:val="0082248A"/>
    <w:rsid w:val="0082250E"/>
    <w:rsid w:val="00822517"/>
    <w:rsid w:val="008226E9"/>
    <w:rsid w:val="00822734"/>
    <w:rsid w:val="0082279B"/>
    <w:rsid w:val="008227CC"/>
    <w:rsid w:val="00822817"/>
    <w:rsid w:val="00822851"/>
    <w:rsid w:val="008228B4"/>
    <w:rsid w:val="00822972"/>
    <w:rsid w:val="00822995"/>
    <w:rsid w:val="00822C40"/>
    <w:rsid w:val="00822CD8"/>
    <w:rsid w:val="00822D18"/>
    <w:rsid w:val="00822DB9"/>
    <w:rsid w:val="00822DD5"/>
    <w:rsid w:val="00822E26"/>
    <w:rsid w:val="00822F14"/>
    <w:rsid w:val="00822FC7"/>
    <w:rsid w:val="0082308D"/>
    <w:rsid w:val="008230B1"/>
    <w:rsid w:val="008230E0"/>
    <w:rsid w:val="008230F1"/>
    <w:rsid w:val="008231BC"/>
    <w:rsid w:val="008231D3"/>
    <w:rsid w:val="008232CF"/>
    <w:rsid w:val="00823568"/>
    <w:rsid w:val="008235A6"/>
    <w:rsid w:val="008235E3"/>
    <w:rsid w:val="008236FD"/>
    <w:rsid w:val="0082372E"/>
    <w:rsid w:val="00823759"/>
    <w:rsid w:val="00823790"/>
    <w:rsid w:val="00823881"/>
    <w:rsid w:val="008238EF"/>
    <w:rsid w:val="00823909"/>
    <w:rsid w:val="008239BD"/>
    <w:rsid w:val="00823AF0"/>
    <w:rsid w:val="00823B71"/>
    <w:rsid w:val="00823B82"/>
    <w:rsid w:val="00823B9D"/>
    <w:rsid w:val="00823EEF"/>
    <w:rsid w:val="00823FF2"/>
    <w:rsid w:val="00824118"/>
    <w:rsid w:val="0082419C"/>
    <w:rsid w:val="00824365"/>
    <w:rsid w:val="00824573"/>
    <w:rsid w:val="008245B0"/>
    <w:rsid w:val="0082463B"/>
    <w:rsid w:val="008246A4"/>
    <w:rsid w:val="008246F9"/>
    <w:rsid w:val="00824719"/>
    <w:rsid w:val="008247E1"/>
    <w:rsid w:val="00824847"/>
    <w:rsid w:val="00824850"/>
    <w:rsid w:val="00824852"/>
    <w:rsid w:val="00824919"/>
    <w:rsid w:val="0082494F"/>
    <w:rsid w:val="0082498F"/>
    <w:rsid w:val="008249A4"/>
    <w:rsid w:val="00824A34"/>
    <w:rsid w:val="00824BB3"/>
    <w:rsid w:val="00824D70"/>
    <w:rsid w:val="00824DCC"/>
    <w:rsid w:val="00824EF5"/>
    <w:rsid w:val="00824F4E"/>
    <w:rsid w:val="00824FB3"/>
    <w:rsid w:val="00824FB8"/>
    <w:rsid w:val="0082508F"/>
    <w:rsid w:val="00825177"/>
    <w:rsid w:val="00825230"/>
    <w:rsid w:val="00825246"/>
    <w:rsid w:val="008252AF"/>
    <w:rsid w:val="008252E3"/>
    <w:rsid w:val="0082531C"/>
    <w:rsid w:val="0082535C"/>
    <w:rsid w:val="00825458"/>
    <w:rsid w:val="008254E9"/>
    <w:rsid w:val="008255E0"/>
    <w:rsid w:val="00825654"/>
    <w:rsid w:val="008256C2"/>
    <w:rsid w:val="008256D1"/>
    <w:rsid w:val="008257E8"/>
    <w:rsid w:val="008257FB"/>
    <w:rsid w:val="008258C7"/>
    <w:rsid w:val="0082592D"/>
    <w:rsid w:val="008259AB"/>
    <w:rsid w:val="008259DA"/>
    <w:rsid w:val="00825A2B"/>
    <w:rsid w:val="00825AB4"/>
    <w:rsid w:val="00825BBE"/>
    <w:rsid w:val="00825BF1"/>
    <w:rsid w:val="00825C32"/>
    <w:rsid w:val="00825CB7"/>
    <w:rsid w:val="00825D45"/>
    <w:rsid w:val="00825DFF"/>
    <w:rsid w:val="00825E40"/>
    <w:rsid w:val="00825E67"/>
    <w:rsid w:val="00825EF1"/>
    <w:rsid w:val="00825F2D"/>
    <w:rsid w:val="008262FD"/>
    <w:rsid w:val="00826313"/>
    <w:rsid w:val="00826343"/>
    <w:rsid w:val="008263B8"/>
    <w:rsid w:val="00826478"/>
    <w:rsid w:val="008264C9"/>
    <w:rsid w:val="00826569"/>
    <w:rsid w:val="008266B3"/>
    <w:rsid w:val="008266F5"/>
    <w:rsid w:val="00826828"/>
    <w:rsid w:val="00826936"/>
    <w:rsid w:val="0082698B"/>
    <w:rsid w:val="00826990"/>
    <w:rsid w:val="008269C4"/>
    <w:rsid w:val="00826A83"/>
    <w:rsid w:val="00826C21"/>
    <w:rsid w:val="00826D05"/>
    <w:rsid w:val="00826DD0"/>
    <w:rsid w:val="00826E33"/>
    <w:rsid w:val="00826E35"/>
    <w:rsid w:val="00826EA4"/>
    <w:rsid w:val="00826EA9"/>
    <w:rsid w:val="00826F07"/>
    <w:rsid w:val="00827005"/>
    <w:rsid w:val="0082714D"/>
    <w:rsid w:val="008272DB"/>
    <w:rsid w:val="00827301"/>
    <w:rsid w:val="00827358"/>
    <w:rsid w:val="008273AA"/>
    <w:rsid w:val="008275FA"/>
    <w:rsid w:val="00827675"/>
    <w:rsid w:val="00827767"/>
    <w:rsid w:val="0082776B"/>
    <w:rsid w:val="008277F4"/>
    <w:rsid w:val="008279C3"/>
    <w:rsid w:val="00827C01"/>
    <w:rsid w:val="00827CBC"/>
    <w:rsid w:val="00827CF6"/>
    <w:rsid w:val="00827DB1"/>
    <w:rsid w:val="00827F77"/>
    <w:rsid w:val="00830004"/>
    <w:rsid w:val="00830031"/>
    <w:rsid w:val="00830090"/>
    <w:rsid w:val="008302DE"/>
    <w:rsid w:val="00830377"/>
    <w:rsid w:val="008303F6"/>
    <w:rsid w:val="00830454"/>
    <w:rsid w:val="008304B8"/>
    <w:rsid w:val="00830537"/>
    <w:rsid w:val="0083057E"/>
    <w:rsid w:val="008305BA"/>
    <w:rsid w:val="0083075C"/>
    <w:rsid w:val="008307CB"/>
    <w:rsid w:val="00830846"/>
    <w:rsid w:val="008308EE"/>
    <w:rsid w:val="00830987"/>
    <w:rsid w:val="00830BB6"/>
    <w:rsid w:val="00830CFA"/>
    <w:rsid w:val="00830D29"/>
    <w:rsid w:val="00830D64"/>
    <w:rsid w:val="00830DD1"/>
    <w:rsid w:val="00830DDF"/>
    <w:rsid w:val="00830E3C"/>
    <w:rsid w:val="00830E99"/>
    <w:rsid w:val="00830EE5"/>
    <w:rsid w:val="00830F22"/>
    <w:rsid w:val="00830FEE"/>
    <w:rsid w:val="00831066"/>
    <w:rsid w:val="008310B8"/>
    <w:rsid w:val="008310F1"/>
    <w:rsid w:val="00831108"/>
    <w:rsid w:val="00831141"/>
    <w:rsid w:val="008311DB"/>
    <w:rsid w:val="008311FE"/>
    <w:rsid w:val="00831257"/>
    <w:rsid w:val="00831318"/>
    <w:rsid w:val="00831348"/>
    <w:rsid w:val="00831374"/>
    <w:rsid w:val="0083143C"/>
    <w:rsid w:val="00831657"/>
    <w:rsid w:val="00831724"/>
    <w:rsid w:val="00831790"/>
    <w:rsid w:val="00831791"/>
    <w:rsid w:val="008317BD"/>
    <w:rsid w:val="008317D1"/>
    <w:rsid w:val="008318A7"/>
    <w:rsid w:val="008318F8"/>
    <w:rsid w:val="00831979"/>
    <w:rsid w:val="00831A1B"/>
    <w:rsid w:val="00831A4B"/>
    <w:rsid w:val="00831A78"/>
    <w:rsid w:val="00831A8D"/>
    <w:rsid w:val="00831AB1"/>
    <w:rsid w:val="00831B30"/>
    <w:rsid w:val="00831B98"/>
    <w:rsid w:val="00831C1A"/>
    <w:rsid w:val="00831C48"/>
    <w:rsid w:val="00831C75"/>
    <w:rsid w:val="00831D61"/>
    <w:rsid w:val="00831D7D"/>
    <w:rsid w:val="00831D8E"/>
    <w:rsid w:val="00831E7F"/>
    <w:rsid w:val="00831E80"/>
    <w:rsid w:val="00831FDC"/>
    <w:rsid w:val="00832035"/>
    <w:rsid w:val="0083204B"/>
    <w:rsid w:val="00832127"/>
    <w:rsid w:val="0083215E"/>
    <w:rsid w:val="0083216B"/>
    <w:rsid w:val="008323FD"/>
    <w:rsid w:val="008325B6"/>
    <w:rsid w:val="008325FB"/>
    <w:rsid w:val="008326F3"/>
    <w:rsid w:val="00832717"/>
    <w:rsid w:val="0083274E"/>
    <w:rsid w:val="00832777"/>
    <w:rsid w:val="00832890"/>
    <w:rsid w:val="008328C1"/>
    <w:rsid w:val="00832920"/>
    <w:rsid w:val="00832A30"/>
    <w:rsid w:val="00832B15"/>
    <w:rsid w:val="00832B83"/>
    <w:rsid w:val="00832D7A"/>
    <w:rsid w:val="00832E65"/>
    <w:rsid w:val="00832E87"/>
    <w:rsid w:val="00832F27"/>
    <w:rsid w:val="00832FCE"/>
    <w:rsid w:val="0083308D"/>
    <w:rsid w:val="008330EB"/>
    <w:rsid w:val="00833179"/>
    <w:rsid w:val="008331B6"/>
    <w:rsid w:val="008331C5"/>
    <w:rsid w:val="008332FA"/>
    <w:rsid w:val="00833375"/>
    <w:rsid w:val="0083353C"/>
    <w:rsid w:val="008335E9"/>
    <w:rsid w:val="008335F5"/>
    <w:rsid w:val="008336AD"/>
    <w:rsid w:val="0083390B"/>
    <w:rsid w:val="00833AE2"/>
    <w:rsid w:val="00833B13"/>
    <w:rsid w:val="00833BEC"/>
    <w:rsid w:val="00833D32"/>
    <w:rsid w:val="00833F94"/>
    <w:rsid w:val="008340AA"/>
    <w:rsid w:val="00834212"/>
    <w:rsid w:val="0083439B"/>
    <w:rsid w:val="0083449C"/>
    <w:rsid w:val="008344BC"/>
    <w:rsid w:val="008345A6"/>
    <w:rsid w:val="008345BF"/>
    <w:rsid w:val="008345EF"/>
    <w:rsid w:val="00834697"/>
    <w:rsid w:val="008346DD"/>
    <w:rsid w:val="00834710"/>
    <w:rsid w:val="0083475C"/>
    <w:rsid w:val="0083483D"/>
    <w:rsid w:val="00834877"/>
    <w:rsid w:val="00834973"/>
    <w:rsid w:val="00834B2B"/>
    <w:rsid w:val="00834B6B"/>
    <w:rsid w:val="00834B85"/>
    <w:rsid w:val="00834D0C"/>
    <w:rsid w:val="00834DB6"/>
    <w:rsid w:val="00834E5C"/>
    <w:rsid w:val="00834F76"/>
    <w:rsid w:val="00834FA7"/>
    <w:rsid w:val="0083503A"/>
    <w:rsid w:val="008350AB"/>
    <w:rsid w:val="00835138"/>
    <w:rsid w:val="008351EA"/>
    <w:rsid w:val="008351F3"/>
    <w:rsid w:val="0083521C"/>
    <w:rsid w:val="008352AE"/>
    <w:rsid w:val="0083537E"/>
    <w:rsid w:val="00835406"/>
    <w:rsid w:val="00835459"/>
    <w:rsid w:val="00835482"/>
    <w:rsid w:val="008354C0"/>
    <w:rsid w:val="00835517"/>
    <w:rsid w:val="00835567"/>
    <w:rsid w:val="008355AA"/>
    <w:rsid w:val="00835710"/>
    <w:rsid w:val="00835734"/>
    <w:rsid w:val="00835885"/>
    <w:rsid w:val="008358D6"/>
    <w:rsid w:val="00835905"/>
    <w:rsid w:val="0083598F"/>
    <w:rsid w:val="00835A69"/>
    <w:rsid w:val="00835B1B"/>
    <w:rsid w:val="00835C47"/>
    <w:rsid w:val="00835CCC"/>
    <w:rsid w:val="00835CFD"/>
    <w:rsid w:val="00835D4A"/>
    <w:rsid w:val="00835DD4"/>
    <w:rsid w:val="00835DD9"/>
    <w:rsid w:val="00835E15"/>
    <w:rsid w:val="00835E45"/>
    <w:rsid w:val="00835F06"/>
    <w:rsid w:val="00835F12"/>
    <w:rsid w:val="00835F14"/>
    <w:rsid w:val="00835FC6"/>
    <w:rsid w:val="00836003"/>
    <w:rsid w:val="00836099"/>
    <w:rsid w:val="00836105"/>
    <w:rsid w:val="0083612B"/>
    <w:rsid w:val="00836151"/>
    <w:rsid w:val="00836172"/>
    <w:rsid w:val="0083622F"/>
    <w:rsid w:val="00836413"/>
    <w:rsid w:val="008364F8"/>
    <w:rsid w:val="0083656B"/>
    <w:rsid w:val="008365DB"/>
    <w:rsid w:val="008365FC"/>
    <w:rsid w:val="00836735"/>
    <w:rsid w:val="0083686A"/>
    <w:rsid w:val="008368BF"/>
    <w:rsid w:val="008369BE"/>
    <w:rsid w:val="00836A39"/>
    <w:rsid w:val="00836A95"/>
    <w:rsid w:val="00836AB5"/>
    <w:rsid w:val="00836AD9"/>
    <w:rsid w:val="00836B53"/>
    <w:rsid w:val="00836BC3"/>
    <w:rsid w:val="00836BE4"/>
    <w:rsid w:val="00836CA4"/>
    <w:rsid w:val="00836E39"/>
    <w:rsid w:val="00836F55"/>
    <w:rsid w:val="00836FA7"/>
    <w:rsid w:val="00837012"/>
    <w:rsid w:val="0083711A"/>
    <w:rsid w:val="008371E4"/>
    <w:rsid w:val="00837208"/>
    <w:rsid w:val="0083732E"/>
    <w:rsid w:val="008373AF"/>
    <w:rsid w:val="008374C7"/>
    <w:rsid w:val="0083754C"/>
    <w:rsid w:val="00837560"/>
    <w:rsid w:val="00837592"/>
    <w:rsid w:val="008375A1"/>
    <w:rsid w:val="008375A2"/>
    <w:rsid w:val="00837635"/>
    <w:rsid w:val="00837644"/>
    <w:rsid w:val="00837658"/>
    <w:rsid w:val="00837685"/>
    <w:rsid w:val="008376D1"/>
    <w:rsid w:val="008377C8"/>
    <w:rsid w:val="00837807"/>
    <w:rsid w:val="00837950"/>
    <w:rsid w:val="00837970"/>
    <w:rsid w:val="00837A96"/>
    <w:rsid w:val="00837BCA"/>
    <w:rsid w:val="00837BDB"/>
    <w:rsid w:val="00837D27"/>
    <w:rsid w:val="00837E36"/>
    <w:rsid w:val="00837F5E"/>
    <w:rsid w:val="00837FF4"/>
    <w:rsid w:val="008400BE"/>
    <w:rsid w:val="00840152"/>
    <w:rsid w:val="00840172"/>
    <w:rsid w:val="00840274"/>
    <w:rsid w:val="008402D5"/>
    <w:rsid w:val="00840353"/>
    <w:rsid w:val="00840390"/>
    <w:rsid w:val="0084042F"/>
    <w:rsid w:val="00840445"/>
    <w:rsid w:val="008404AE"/>
    <w:rsid w:val="0084054F"/>
    <w:rsid w:val="00840626"/>
    <w:rsid w:val="008406D9"/>
    <w:rsid w:val="00840739"/>
    <w:rsid w:val="00840796"/>
    <w:rsid w:val="0084080B"/>
    <w:rsid w:val="008409C6"/>
    <w:rsid w:val="00840A8A"/>
    <w:rsid w:val="00840B8D"/>
    <w:rsid w:val="00840B9D"/>
    <w:rsid w:val="00840BC4"/>
    <w:rsid w:val="00840D71"/>
    <w:rsid w:val="00840DCB"/>
    <w:rsid w:val="00840EB8"/>
    <w:rsid w:val="00840EFE"/>
    <w:rsid w:val="00840F91"/>
    <w:rsid w:val="00841001"/>
    <w:rsid w:val="0084110C"/>
    <w:rsid w:val="00841183"/>
    <w:rsid w:val="00841224"/>
    <w:rsid w:val="008412D8"/>
    <w:rsid w:val="0084135A"/>
    <w:rsid w:val="008413AB"/>
    <w:rsid w:val="00841417"/>
    <w:rsid w:val="00841474"/>
    <w:rsid w:val="008414F4"/>
    <w:rsid w:val="0084159E"/>
    <w:rsid w:val="008415FA"/>
    <w:rsid w:val="00841754"/>
    <w:rsid w:val="008417D1"/>
    <w:rsid w:val="00841B3B"/>
    <w:rsid w:val="00841BA3"/>
    <w:rsid w:val="00841BC7"/>
    <w:rsid w:val="00841BD4"/>
    <w:rsid w:val="00841D97"/>
    <w:rsid w:val="00841E55"/>
    <w:rsid w:val="00841E77"/>
    <w:rsid w:val="00841E9E"/>
    <w:rsid w:val="00841ECB"/>
    <w:rsid w:val="00841F25"/>
    <w:rsid w:val="00841FAD"/>
    <w:rsid w:val="00841FF3"/>
    <w:rsid w:val="008420AB"/>
    <w:rsid w:val="00842114"/>
    <w:rsid w:val="0084216A"/>
    <w:rsid w:val="008421B7"/>
    <w:rsid w:val="00842240"/>
    <w:rsid w:val="008422DA"/>
    <w:rsid w:val="008423AE"/>
    <w:rsid w:val="00842476"/>
    <w:rsid w:val="0084247B"/>
    <w:rsid w:val="00842551"/>
    <w:rsid w:val="00842687"/>
    <w:rsid w:val="008426D6"/>
    <w:rsid w:val="008427AF"/>
    <w:rsid w:val="00842887"/>
    <w:rsid w:val="008428C6"/>
    <w:rsid w:val="0084291C"/>
    <w:rsid w:val="00842935"/>
    <w:rsid w:val="00842A13"/>
    <w:rsid w:val="00842A94"/>
    <w:rsid w:val="00842AD8"/>
    <w:rsid w:val="00842AF4"/>
    <w:rsid w:val="00842B05"/>
    <w:rsid w:val="00842B33"/>
    <w:rsid w:val="00842BBB"/>
    <w:rsid w:val="00842C0E"/>
    <w:rsid w:val="00842D6D"/>
    <w:rsid w:val="00842D81"/>
    <w:rsid w:val="00842E45"/>
    <w:rsid w:val="00842FAF"/>
    <w:rsid w:val="00842FBE"/>
    <w:rsid w:val="0084301B"/>
    <w:rsid w:val="0084306A"/>
    <w:rsid w:val="0084307B"/>
    <w:rsid w:val="00843098"/>
    <w:rsid w:val="008430D3"/>
    <w:rsid w:val="008431E3"/>
    <w:rsid w:val="0084323E"/>
    <w:rsid w:val="0084329F"/>
    <w:rsid w:val="00843316"/>
    <w:rsid w:val="0084334B"/>
    <w:rsid w:val="008433D9"/>
    <w:rsid w:val="0084347C"/>
    <w:rsid w:val="0084360D"/>
    <w:rsid w:val="00843628"/>
    <w:rsid w:val="00843660"/>
    <w:rsid w:val="008436D9"/>
    <w:rsid w:val="00843782"/>
    <w:rsid w:val="0084389C"/>
    <w:rsid w:val="008438A3"/>
    <w:rsid w:val="008438FB"/>
    <w:rsid w:val="00843B55"/>
    <w:rsid w:val="00843B63"/>
    <w:rsid w:val="00843C45"/>
    <w:rsid w:val="00843C86"/>
    <w:rsid w:val="00843F15"/>
    <w:rsid w:val="00843F54"/>
    <w:rsid w:val="00843F93"/>
    <w:rsid w:val="00843FC1"/>
    <w:rsid w:val="008440D8"/>
    <w:rsid w:val="00844345"/>
    <w:rsid w:val="0084438C"/>
    <w:rsid w:val="008444EF"/>
    <w:rsid w:val="0084461D"/>
    <w:rsid w:val="0084488D"/>
    <w:rsid w:val="00844B07"/>
    <w:rsid w:val="00844C3C"/>
    <w:rsid w:val="00844D69"/>
    <w:rsid w:val="00844EC0"/>
    <w:rsid w:val="00844F3F"/>
    <w:rsid w:val="0084500A"/>
    <w:rsid w:val="0084505A"/>
    <w:rsid w:val="0084509C"/>
    <w:rsid w:val="008451A4"/>
    <w:rsid w:val="008451BC"/>
    <w:rsid w:val="0084525A"/>
    <w:rsid w:val="00845286"/>
    <w:rsid w:val="0084533D"/>
    <w:rsid w:val="008453A4"/>
    <w:rsid w:val="008454D2"/>
    <w:rsid w:val="0084553A"/>
    <w:rsid w:val="008458CB"/>
    <w:rsid w:val="0084590F"/>
    <w:rsid w:val="00845A39"/>
    <w:rsid w:val="00845A49"/>
    <w:rsid w:val="00845AF2"/>
    <w:rsid w:val="00845B3B"/>
    <w:rsid w:val="00845CC3"/>
    <w:rsid w:val="00845CDF"/>
    <w:rsid w:val="00845DEF"/>
    <w:rsid w:val="00845E39"/>
    <w:rsid w:val="00845ECF"/>
    <w:rsid w:val="0084603C"/>
    <w:rsid w:val="0084604C"/>
    <w:rsid w:val="00846050"/>
    <w:rsid w:val="008460D3"/>
    <w:rsid w:val="0084613D"/>
    <w:rsid w:val="0084622A"/>
    <w:rsid w:val="00846257"/>
    <w:rsid w:val="0084625F"/>
    <w:rsid w:val="00846265"/>
    <w:rsid w:val="00846433"/>
    <w:rsid w:val="008464C0"/>
    <w:rsid w:val="00846603"/>
    <w:rsid w:val="00846644"/>
    <w:rsid w:val="008466E9"/>
    <w:rsid w:val="008468B7"/>
    <w:rsid w:val="008468CD"/>
    <w:rsid w:val="008468E3"/>
    <w:rsid w:val="0084699A"/>
    <w:rsid w:val="008469AF"/>
    <w:rsid w:val="008469D1"/>
    <w:rsid w:val="00846A5E"/>
    <w:rsid w:val="00846CC2"/>
    <w:rsid w:val="00846DEC"/>
    <w:rsid w:val="00846EFE"/>
    <w:rsid w:val="00846F3D"/>
    <w:rsid w:val="0084714E"/>
    <w:rsid w:val="0084717B"/>
    <w:rsid w:val="00847271"/>
    <w:rsid w:val="00847282"/>
    <w:rsid w:val="008472DF"/>
    <w:rsid w:val="008473B2"/>
    <w:rsid w:val="0084741D"/>
    <w:rsid w:val="008475B7"/>
    <w:rsid w:val="0084766A"/>
    <w:rsid w:val="00847685"/>
    <w:rsid w:val="008476D6"/>
    <w:rsid w:val="00847742"/>
    <w:rsid w:val="0084774B"/>
    <w:rsid w:val="008477A6"/>
    <w:rsid w:val="008477BD"/>
    <w:rsid w:val="008478C2"/>
    <w:rsid w:val="008478C9"/>
    <w:rsid w:val="00847A48"/>
    <w:rsid w:val="00847A7D"/>
    <w:rsid w:val="00847B15"/>
    <w:rsid w:val="00847B4C"/>
    <w:rsid w:val="00847BFC"/>
    <w:rsid w:val="00847CE4"/>
    <w:rsid w:val="00847CFC"/>
    <w:rsid w:val="00847D19"/>
    <w:rsid w:val="00847E79"/>
    <w:rsid w:val="00847ECB"/>
    <w:rsid w:val="00847F26"/>
    <w:rsid w:val="0085005B"/>
    <w:rsid w:val="00850092"/>
    <w:rsid w:val="008500F3"/>
    <w:rsid w:val="00850153"/>
    <w:rsid w:val="008501A6"/>
    <w:rsid w:val="008501D7"/>
    <w:rsid w:val="00850292"/>
    <w:rsid w:val="008502A2"/>
    <w:rsid w:val="008502C7"/>
    <w:rsid w:val="008502D7"/>
    <w:rsid w:val="0085048B"/>
    <w:rsid w:val="008504F3"/>
    <w:rsid w:val="00850572"/>
    <w:rsid w:val="0085069D"/>
    <w:rsid w:val="0085076C"/>
    <w:rsid w:val="008508AF"/>
    <w:rsid w:val="00850C34"/>
    <w:rsid w:val="00850CAC"/>
    <w:rsid w:val="00850F3C"/>
    <w:rsid w:val="0085101C"/>
    <w:rsid w:val="008510C1"/>
    <w:rsid w:val="008511B2"/>
    <w:rsid w:val="0085135C"/>
    <w:rsid w:val="008513D9"/>
    <w:rsid w:val="00851623"/>
    <w:rsid w:val="00851642"/>
    <w:rsid w:val="00851727"/>
    <w:rsid w:val="008517EA"/>
    <w:rsid w:val="00851867"/>
    <w:rsid w:val="008518AF"/>
    <w:rsid w:val="0085195E"/>
    <w:rsid w:val="00851981"/>
    <w:rsid w:val="00851A5C"/>
    <w:rsid w:val="00851BAC"/>
    <w:rsid w:val="00851D51"/>
    <w:rsid w:val="00851D80"/>
    <w:rsid w:val="00851D84"/>
    <w:rsid w:val="00851DA1"/>
    <w:rsid w:val="00851DBB"/>
    <w:rsid w:val="00851E2D"/>
    <w:rsid w:val="0085204F"/>
    <w:rsid w:val="0085205E"/>
    <w:rsid w:val="00852068"/>
    <w:rsid w:val="00852070"/>
    <w:rsid w:val="008521DF"/>
    <w:rsid w:val="00852222"/>
    <w:rsid w:val="008522B4"/>
    <w:rsid w:val="00852529"/>
    <w:rsid w:val="00852594"/>
    <w:rsid w:val="008525E4"/>
    <w:rsid w:val="00852620"/>
    <w:rsid w:val="00852674"/>
    <w:rsid w:val="00852732"/>
    <w:rsid w:val="00852763"/>
    <w:rsid w:val="0085284D"/>
    <w:rsid w:val="00852873"/>
    <w:rsid w:val="00852931"/>
    <w:rsid w:val="0085299E"/>
    <w:rsid w:val="00852A95"/>
    <w:rsid w:val="00852BA0"/>
    <w:rsid w:val="00852D05"/>
    <w:rsid w:val="00852F01"/>
    <w:rsid w:val="00852FF5"/>
    <w:rsid w:val="00853138"/>
    <w:rsid w:val="0085315F"/>
    <w:rsid w:val="00853185"/>
    <w:rsid w:val="0085318D"/>
    <w:rsid w:val="008531E9"/>
    <w:rsid w:val="008532E9"/>
    <w:rsid w:val="008533C8"/>
    <w:rsid w:val="008533DD"/>
    <w:rsid w:val="00853403"/>
    <w:rsid w:val="0085343E"/>
    <w:rsid w:val="00853449"/>
    <w:rsid w:val="00853471"/>
    <w:rsid w:val="0085354A"/>
    <w:rsid w:val="00853577"/>
    <w:rsid w:val="00853664"/>
    <w:rsid w:val="008536CB"/>
    <w:rsid w:val="00853703"/>
    <w:rsid w:val="008538B1"/>
    <w:rsid w:val="008538B5"/>
    <w:rsid w:val="0085393C"/>
    <w:rsid w:val="0085397A"/>
    <w:rsid w:val="0085398C"/>
    <w:rsid w:val="00853AAD"/>
    <w:rsid w:val="00853AD4"/>
    <w:rsid w:val="00853AE8"/>
    <w:rsid w:val="00853C35"/>
    <w:rsid w:val="00853CBB"/>
    <w:rsid w:val="00853CCC"/>
    <w:rsid w:val="00853D8E"/>
    <w:rsid w:val="00853DDA"/>
    <w:rsid w:val="00853E3C"/>
    <w:rsid w:val="00853E51"/>
    <w:rsid w:val="00853E54"/>
    <w:rsid w:val="00853EC7"/>
    <w:rsid w:val="00853ED2"/>
    <w:rsid w:val="00853EE6"/>
    <w:rsid w:val="00853F70"/>
    <w:rsid w:val="00853F9B"/>
    <w:rsid w:val="00854035"/>
    <w:rsid w:val="00854061"/>
    <w:rsid w:val="00854088"/>
    <w:rsid w:val="0085414B"/>
    <w:rsid w:val="00854192"/>
    <w:rsid w:val="00854227"/>
    <w:rsid w:val="008542C2"/>
    <w:rsid w:val="00854338"/>
    <w:rsid w:val="0085449C"/>
    <w:rsid w:val="008544F7"/>
    <w:rsid w:val="00854540"/>
    <w:rsid w:val="00854676"/>
    <w:rsid w:val="008546CE"/>
    <w:rsid w:val="0085478E"/>
    <w:rsid w:val="008547CD"/>
    <w:rsid w:val="00854880"/>
    <w:rsid w:val="008549AB"/>
    <w:rsid w:val="00854B90"/>
    <w:rsid w:val="00854D09"/>
    <w:rsid w:val="00854D11"/>
    <w:rsid w:val="00854D57"/>
    <w:rsid w:val="00854DB5"/>
    <w:rsid w:val="00854DB8"/>
    <w:rsid w:val="00854E21"/>
    <w:rsid w:val="00854EF8"/>
    <w:rsid w:val="00854F3C"/>
    <w:rsid w:val="00854F4B"/>
    <w:rsid w:val="00854FEC"/>
    <w:rsid w:val="008550DE"/>
    <w:rsid w:val="008550EB"/>
    <w:rsid w:val="00855217"/>
    <w:rsid w:val="008552EC"/>
    <w:rsid w:val="00855328"/>
    <w:rsid w:val="00855371"/>
    <w:rsid w:val="0085539C"/>
    <w:rsid w:val="008553B8"/>
    <w:rsid w:val="00855437"/>
    <w:rsid w:val="008554AE"/>
    <w:rsid w:val="0085553E"/>
    <w:rsid w:val="00855652"/>
    <w:rsid w:val="00855900"/>
    <w:rsid w:val="0085595D"/>
    <w:rsid w:val="008559A2"/>
    <w:rsid w:val="00855A9A"/>
    <w:rsid w:val="00855ABB"/>
    <w:rsid w:val="00855B4D"/>
    <w:rsid w:val="00855DBF"/>
    <w:rsid w:val="00855EB0"/>
    <w:rsid w:val="00855EE6"/>
    <w:rsid w:val="00855F28"/>
    <w:rsid w:val="00856218"/>
    <w:rsid w:val="00856273"/>
    <w:rsid w:val="008562A1"/>
    <w:rsid w:val="008563AF"/>
    <w:rsid w:val="0085640B"/>
    <w:rsid w:val="00856481"/>
    <w:rsid w:val="008564B3"/>
    <w:rsid w:val="00856533"/>
    <w:rsid w:val="0085663C"/>
    <w:rsid w:val="00856806"/>
    <w:rsid w:val="00856827"/>
    <w:rsid w:val="00856856"/>
    <w:rsid w:val="0085686A"/>
    <w:rsid w:val="0085686B"/>
    <w:rsid w:val="00856870"/>
    <w:rsid w:val="00856A0E"/>
    <w:rsid w:val="00856BA7"/>
    <w:rsid w:val="00856C0E"/>
    <w:rsid w:val="00856C96"/>
    <w:rsid w:val="00856CCF"/>
    <w:rsid w:val="00856DB6"/>
    <w:rsid w:val="00856E79"/>
    <w:rsid w:val="0085703E"/>
    <w:rsid w:val="0085718A"/>
    <w:rsid w:val="008571BF"/>
    <w:rsid w:val="00857204"/>
    <w:rsid w:val="00857214"/>
    <w:rsid w:val="00857254"/>
    <w:rsid w:val="008572FC"/>
    <w:rsid w:val="00857321"/>
    <w:rsid w:val="008573F7"/>
    <w:rsid w:val="0085742C"/>
    <w:rsid w:val="0085747A"/>
    <w:rsid w:val="00857488"/>
    <w:rsid w:val="008575B2"/>
    <w:rsid w:val="008575D3"/>
    <w:rsid w:val="008576C8"/>
    <w:rsid w:val="008576F2"/>
    <w:rsid w:val="0085770B"/>
    <w:rsid w:val="0085770C"/>
    <w:rsid w:val="00857764"/>
    <w:rsid w:val="0085776D"/>
    <w:rsid w:val="008577DF"/>
    <w:rsid w:val="0085780E"/>
    <w:rsid w:val="008578D8"/>
    <w:rsid w:val="0085790E"/>
    <w:rsid w:val="00857A15"/>
    <w:rsid w:val="00857B64"/>
    <w:rsid w:val="00857B87"/>
    <w:rsid w:val="00857BE4"/>
    <w:rsid w:val="00857C53"/>
    <w:rsid w:val="00857D5D"/>
    <w:rsid w:val="00857DD5"/>
    <w:rsid w:val="00857E19"/>
    <w:rsid w:val="00857E8A"/>
    <w:rsid w:val="00857EB5"/>
    <w:rsid w:val="0086000E"/>
    <w:rsid w:val="008602D7"/>
    <w:rsid w:val="008603A8"/>
    <w:rsid w:val="008603BC"/>
    <w:rsid w:val="008604F7"/>
    <w:rsid w:val="00860592"/>
    <w:rsid w:val="008605B0"/>
    <w:rsid w:val="008607F2"/>
    <w:rsid w:val="00860862"/>
    <w:rsid w:val="00860878"/>
    <w:rsid w:val="0086091D"/>
    <w:rsid w:val="008609C2"/>
    <w:rsid w:val="008609C7"/>
    <w:rsid w:val="00860A3B"/>
    <w:rsid w:val="00860A93"/>
    <w:rsid w:val="00860AA2"/>
    <w:rsid w:val="00860AB2"/>
    <w:rsid w:val="00860B0E"/>
    <w:rsid w:val="00860B53"/>
    <w:rsid w:val="00860C75"/>
    <w:rsid w:val="00860CAA"/>
    <w:rsid w:val="00860CF4"/>
    <w:rsid w:val="00860D01"/>
    <w:rsid w:val="00860D9F"/>
    <w:rsid w:val="00860E48"/>
    <w:rsid w:val="00860EB0"/>
    <w:rsid w:val="00860FA6"/>
    <w:rsid w:val="00861123"/>
    <w:rsid w:val="00861242"/>
    <w:rsid w:val="00861291"/>
    <w:rsid w:val="008613BB"/>
    <w:rsid w:val="0086140C"/>
    <w:rsid w:val="008614CB"/>
    <w:rsid w:val="00861596"/>
    <w:rsid w:val="0086179A"/>
    <w:rsid w:val="0086179E"/>
    <w:rsid w:val="008617B0"/>
    <w:rsid w:val="00861886"/>
    <w:rsid w:val="00861A61"/>
    <w:rsid w:val="00861B0E"/>
    <w:rsid w:val="00861B70"/>
    <w:rsid w:val="00861C34"/>
    <w:rsid w:val="00861CB7"/>
    <w:rsid w:val="00861CDD"/>
    <w:rsid w:val="00861E48"/>
    <w:rsid w:val="00861E6E"/>
    <w:rsid w:val="00861E7F"/>
    <w:rsid w:val="00861E83"/>
    <w:rsid w:val="00861EC0"/>
    <w:rsid w:val="00861ED2"/>
    <w:rsid w:val="00861F51"/>
    <w:rsid w:val="0086206A"/>
    <w:rsid w:val="00862094"/>
    <w:rsid w:val="008620C0"/>
    <w:rsid w:val="00862110"/>
    <w:rsid w:val="008622E3"/>
    <w:rsid w:val="008624C2"/>
    <w:rsid w:val="008624E7"/>
    <w:rsid w:val="00862510"/>
    <w:rsid w:val="00862559"/>
    <w:rsid w:val="0086258F"/>
    <w:rsid w:val="00862592"/>
    <w:rsid w:val="00862618"/>
    <w:rsid w:val="008626D2"/>
    <w:rsid w:val="00862727"/>
    <w:rsid w:val="008627AD"/>
    <w:rsid w:val="008627F5"/>
    <w:rsid w:val="0086284D"/>
    <w:rsid w:val="008629DF"/>
    <w:rsid w:val="00862A06"/>
    <w:rsid w:val="00862A2C"/>
    <w:rsid w:val="00862A46"/>
    <w:rsid w:val="00862A82"/>
    <w:rsid w:val="00862A89"/>
    <w:rsid w:val="00862AA9"/>
    <w:rsid w:val="00862ACC"/>
    <w:rsid w:val="00862B24"/>
    <w:rsid w:val="00862B31"/>
    <w:rsid w:val="00862C62"/>
    <w:rsid w:val="00862C9A"/>
    <w:rsid w:val="00862DEB"/>
    <w:rsid w:val="00862F04"/>
    <w:rsid w:val="00862F48"/>
    <w:rsid w:val="00862F4E"/>
    <w:rsid w:val="00862F63"/>
    <w:rsid w:val="00862FAA"/>
    <w:rsid w:val="00862FB2"/>
    <w:rsid w:val="00863094"/>
    <w:rsid w:val="008630EE"/>
    <w:rsid w:val="0086317B"/>
    <w:rsid w:val="00863188"/>
    <w:rsid w:val="008631CE"/>
    <w:rsid w:val="0086322C"/>
    <w:rsid w:val="0086339D"/>
    <w:rsid w:val="008633CB"/>
    <w:rsid w:val="008634B6"/>
    <w:rsid w:val="0086350C"/>
    <w:rsid w:val="008635F1"/>
    <w:rsid w:val="0086382C"/>
    <w:rsid w:val="00863915"/>
    <w:rsid w:val="0086397A"/>
    <w:rsid w:val="0086397B"/>
    <w:rsid w:val="00863A42"/>
    <w:rsid w:val="00863ADB"/>
    <w:rsid w:val="00863BF3"/>
    <w:rsid w:val="00863C23"/>
    <w:rsid w:val="00863CD5"/>
    <w:rsid w:val="00863CED"/>
    <w:rsid w:val="00863D9B"/>
    <w:rsid w:val="00863DAB"/>
    <w:rsid w:val="00863DBC"/>
    <w:rsid w:val="00863DCA"/>
    <w:rsid w:val="00863EB5"/>
    <w:rsid w:val="0086403A"/>
    <w:rsid w:val="0086414F"/>
    <w:rsid w:val="008641B9"/>
    <w:rsid w:val="008641EE"/>
    <w:rsid w:val="00864204"/>
    <w:rsid w:val="0086425E"/>
    <w:rsid w:val="0086428D"/>
    <w:rsid w:val="008643A2"/>
    <w:rsid w:val="008643A5"/>
    <w:rsid w:val="0086443E"/>
    <w:rsid w:val="008644B6"/>
    <w:rsid w:val="00864584"/>
    <w:rsid w:val="0086465C"/>
    <w:rsid w:val="008646F9"/>
    <w:rsid w:val="0086474E"/>
    <w:rsid w:val="008647BA"/>
    <w:rsid w:val="008647C9"/>
    <w:rsid w:val="0086487E"/>
    <w:rsid w:val="00864A62"/>
    <w:rsid w:val="00864AD5"/>
    <w:rsid w:val="00864B0F"/>
    <w:rsid w:val="00864B8E"/>
    <w:rsid w:val="00864D2E"/>
    <w:rsid w:val="00864DE4"/>
    <w:rsid w:val="00864DF4"/>
    <w:rsid w:val="00864ED5"/>
    <w:rsid w:val="00864F63"/>
    <w:rsid w:val="00865004"/>
    <w:rsid w:val="00865035"/>
    <w:rsid w:val="008651BE"/>
    <w:rsid w:val="008651C3"/>
    <w:rsid w:val="008652D6"/>
    <w:rsid w:val="0086530B"/>
    <w:rsid w:val="0086548D"/>
    <w:rsid w:val="008654D2"/>
    <w:rsid w:val="00865531"/>
    <w:rsid w:val="008655AE"/>
    <w:rsid w:val="00865627"/>
    <w:rsid w:val="00865699"/>
    <w:rsid w:val="0086570D"/>
    <w:rsid w:val="00865868"/>
    <w:rsid w:val="008658AA"/>
    <w:rsid w:val="00865909"/>
    <w:rsid w:val="00865948"/>
    <w:rsid w:val="00865964"/>
    <w:rsid w:val="00865A7E"/>
    <w:rsid w:val="00865B36"/>
    <w:rsid w:val="00865BFA"/>
    <w:rsid w:val="00865EA5"/>
    <w:rsid w:val="00866049"/>
    <w:rsid w:val="00866168"/>
    <w:rsid w:val="008661BE"/>
    <w:rsid w:val="008661EC"/>
    <w:rsid w:val="00866323"/>
    <w:rsid w:val="0086642C"/>
    <w:rsid w:val="0086646C"/>
    <w:rsid w:val="008664E9"/>
    <w:rsid w:val="0086651E"/>
    <w:rsid w:val="008665B6"/>
    <w:rsid w:val="008665C0"/>
    <w:rsid w:val="008665EE"/>
    <w:rsid w:val="00866618"/>
    <w:rsid w:val="008666D9"/>
    <w:rsid w:val="0086673E"/>
    <w:rsid w:val="00866796"/>
    <w:rsid w:val="0086679C"/>
    <w:rsid w:val="008667E8"/>
    <w:rsid w:val="0086684A"/>
    <w:rsid w:val="00866854"/>
    <w:rsid w:val="0086686D"/>
    <w:rsid w:val="00866929"/>
    <w:rsid w:val="0086699B"/>
    <w:rsid w:val="00866A48"/>
    <w:rsid w:val="00866A8A"/>
    <w:rsid w:val="00866B04"/>
    <w:rsid w:val="00866BC6"/>
    <w:rsid w:val="00866C09"/>
    <w:rsid w:val="00866C23"/>
    <w:rsid w:val="00866FA7"/>
    <w:rsid w:val="00867092"/>
    <w:rsid w:val="008670D0"/>
    <w:rsid w:val="008671DE"/>
    <w:rsid w:val="008671EB"/>
    <w:rsid w:val="0086721B"/>
    <w:rsid w:val="0086723E"/>
    <w:rsid w:val="0086724F"/>
    <w:rsid w:val="008672B6"/>
    <w:rsid w:val="00867410"/>
    <w:rsid w:val="00867424"/>
    <w:rsid w:val="00867463"/>
    <w:rsid w:val="00867475"/>
    <w:rsid w:val="00867506"/>
    <w:rsid w:val="008676CB"/>
    <w:rsid w:val="00867780"/>
    <w:rsid w:val="0086785F"/>
    <w:rsid w:val="0086788B"/>
    <w:rsid w:val="008678F5"/>
    <w:rsid w:val="008679A4"/>
    <w:rsid w:val="00867B7A"/>
    <w:rsid w:val="00867C0A"/>
    <w:rsid w:val="00870064"/>
    <w:rsid w:val="008700C8"/>
    <w:rsid w:val="008701C3"/>
    <w:rsid w:val="0087030F"/>
    <w:rsid w:val="00870387"/>
    <w:rsid w:val="008703A7"/>
    <w:rsid w:val="008703D6"/>
    <w:rsid w:val="008703E3"/>
    <w:rsid w:val="008705B9"/>
    <w:rsid w:val="008707D5"/>
    <w:rsid w:val="00870900"/>
    <w:rsid w:val="0087091D"/>
    <w:rsid w:val="008709A8"/>
    <w:rsid w:val="008709D1"/>
    <w:rsid w:val="00870AF0"/>
    <w:rsid w:val="00870B10"/>
    <w:rsid w:val="00870B1B"/>
    <w:rsid w:val="00870B23"/>
    <w:rsid w:val="00870BE5"/>
    <w:rsid w:val="00870C96"/>
    <w:rsid w:val="00870DE3"/>
    <w:rsid w:val="00870E69"/>
    <w:rsid w:val="00870EBA"/>
    <w:rsid w:val="00870F3D"/>
    <w:rsid w:val="00870F8D"/>
    <w:rsid w:val="008710BA"/>
    <w:rsid w:val="008710EC"/>
    <w:rsid w:val="008712C5"/>
    <w:rsid w:val="008712D8"/>
    <w:rsid w:val="00871329"/>
    <w:rsid w:val="008713A4"/>
    <w:rsid w:val="00871526"/>
    <w:rsid w:val="008715E1"/>
    <w:rsid w:val="00871617"/>
    <w:rsid w:val="008716EF"/>
    <w:rsid w:val="0087174D"/>
    <w:rsid w:val="008717FB"/>
    <w:rsid w:val="0087181C"/>
    <w:rsid w:val="00871902"/>
    <w:rsid w:val="00871926"/>
    <w:rsid w:val="00871952"/>
    <w:rsid w:val="008719A2"/>
    <w:rsid w:val="00871B0F"/>
    <w:rsid w:val="00871B76"/>
    <w:rsid w:val="00871BF3"/>
    <w:rsid w:val="00871C0B"/>
    <w:rsid w:val="00871CBF"/>
    <w:rsid w:val="00871D1E"/>
    <w:rsid w:val="00871E6B"/>
    <w:rsid w:val="00871EF5"/>
    <w:rsid w:val="00871F0A"/>
    <w:rsid w:val="00871F46"/>
    <w:rsid w:val="00871FE5"/>
    <w:rsid w:val="0087208C"/>
    <w:rsid w:val="00872135"/>
    <w:rsid w:val="00872140"/>
    <w:rsid w:val="008721D3"/>
    <w:rsid w:val="00872201"/>
    <w:rsid w:val="0087226B"/>
    <w:rsid w:val="0087230D"/>
    <w:rsid w:val="0087236B"/>
    <w:rsid w:val="0087240B"/>
    <w:rsid w:val="00872443"/>
    <w:rsid w:val="00872491"/>
    <w:rsid w:val="00872579"/>
    <w:rsid w:val="008725D1"/>
    <w:rsid w:val="008725D4"/>
    <w:rsid w:val="00872709"/>
    <w:rsid w:val="00872904"/>
    <w:rsid w:val="0087294A"/>
    <w:rsid w:val="008729E4"/>
    <w:rsid w:val="00872B79"/>
    <w:rsid w:val="00872BB4"/>
    <w:rsid w:val="00872BBE"/>
    <w:rsid w:val="00872C45"/>
    <w:rsid w:val="00872C9D"/>
    <w:rsid w:val="00872CD5"/>
    <w:rsid w:val="00872D38"/>
    <w:rsid w:val="00872D98"/>
    <w:rsid w:val="00872EEB"/>
    <w:rsid w:val="00872F07"/>
    <w:rsid w:val="00872F09"/>
    <w:rsid w:val="00872F44"/>
    <w:rsid w:val="00872F90"/>
    <w:rsid w:val="00872FD2"/>
    <w:rsid w:val="00872FD3"/>
    <w:rsid w:val="00873022"/>
    <w:rsid w:val="008730F0"/>
    <w:rsid w:val="00873107"/>
    <w:rsid w:val="008731FF"/>
    <w:rsid w:val="00873284"/>
    <w:rsid w:val="008732CB"/>
    <w:rsid w:val="008732F5"/>
    <w:rsid w:val="0087331A"/>
    <w:rsid w:val="008733E7"/>
    <w:rsid w:val="008733E8"/>
    <w:rsid w:val="008734FD"/>
    <w:rsid w:val="00873504"/>
    <w:rsid w:val="0087351C"/>
    <w:rsid w:val="0087351F"/>
    <w:rsid w:val="008735C2"/>
    <w:rsid w:val="00873616"/>
    <w:rsid w:val="00873677"/>
    <w:rsid w:val="0087368B"/>
    <w:rsid w:val="00873766"/>
    <w:rsid w:val="0087378C"/>
    <w:rsid w:val="0087382B"/>
    <w:rsid w:val="00873835"/>
    <w:rsid w:val="00873AFD"/>
    <w:rsid w:val="00873B20"/>
    <w:rsid w:val="00873CC5"/>
    <w:rsid w:val="00873D35"/>
    <w:rsid w:val="00873DA2"/>
    <w:rsid w:val="00873E7D"/>
    <w:rsid w:val="00873EA5"/>
    <w:rsid w:val="00873ED1"/>
    <w:rsid w:val="00873EE2"/>
    <w:rsid w:val="00874036"/>
    <w:rsid w:val="008741CA"/>
    <w:rsid w:val="0087426B"/>
    <w:rsid w:val="00874330"/>
    <w:rsid w:val="008743CA"/>
    <w:rsid w:val="008743CE"/>
    <w:rsid w:val="00874419"/>
    <w:rsid w:val="00874459"/>
    <w:rsid w:val="0087445E"/>
    <w:rsid w:val="00874480"/>
    <w:rsid w:val="00874491"/>
    <w:rsid w:val="00874508"/>
    <w:rsid w:val="00874538"/>
    <w:rsid w:val="00874658"/>
    <w:rsid w:val="0087465D"/>
    <w:rsid w:val="00874664"/>
    <w:rsid w:val="008746FA"/>
    <w:rsid w:val="0087470C"/>
    <w:rsid w:val="0087498B"/>
    <w:rsid w:val="008749B2"/>
    <w:rsid w:val="00874B46"/>
    <w:rsid w:val="00874CF5"/>
    <w:rsid w:val="00874DDC"/>
    <w:rsid w:val="00874E16"/>
    <w:rsid w:val="00874E97"/>
    <w:rsid w:val="00874F00"/>
    <w:rsid w:val="00874F3A"/>
    <w:rsid w:val="00874FB6"/>
    <w:rsid w:val="00874FBD"/>
    <w:rsid w:val="008750CF"/>
    <w:rsid w:val="00875130"/>
    <w:rsid w:val="00875132"/>
    <w:rsid w:val="0087530B"/>
    <w:rsid w:val="008753D3"/>
    <w:rsid w:val="008753E7"/>
    <w:rsid w:val="008753EF"/>
    <w:rsid w:val="00875429"/>
    <w:rsid w:val="00875593"/>
    <w:rsid w:val="00875638"/>
    <w:rsid w:val="00875732"/>
    <w:rsid w:val="0087588B"/>
    <w:rsid w:val="008758EB"/>
    <w:rsid w:val="00875968"/>
    <w:rsid w:val="008759A9"/>
    <w:rsid w:val="008759AC"/>
    <w:rsid w:val="00875B44"/>
    <w:rsid w:val="00875CEE"/>
    <w:rsid w:val="00875D2F"/>
    <w:rsid w:val="00875D32"/>
    <w:rsid w:val="00875DA7"/>
    <w:rsid w:val="00875EBD"/>
    <w:rsid w:val="00875F00"/>
    <w:rsid w:val="008760B5"/>
    <w:rsid w:val="008760BE"/>
    <w:rsid w:val="008760EA"/>
    <w:rsid w:val="008760F5"/>
    <w:rsid w:val="00876204"/>
    <w:rsid w:val="00876272"/>
    <w:rsid w:val="00876341"/>
    <w:rsid w:val="00876348"/>
    <w:rsid w:val="00876389"/>
    <w:rsid w:val="00876413"/>
    <w:rsid w:val="0087642F"/>
    <w:rsid w:val="0087663D"/>
    <w:rsid w:val="00876834"/>
    <w:rsid w:val="00876869"/>
    <w:rsid w:val="008768DC"/>
    <w:rsid w:val="0087697B"/>
    <w:rsid w:val="008769B1"/>
    <w:rsid w:val="008769FC"/>
    <w:rsid w:val="00876ADD"/>
    <w:rsid w:val="00876BBC"/>
    <w:rsid w:val="00876C6F"/>
    <w:rsid w:val="00876C8A"/>
    <w:rsid w:val="00876CEF"/>
    <w:rsid w:val="00876E3B"/>
    <w:rsid w:val="00876E9F"/>
    <w:rsid w:val="00876F31"/>
    <w:rsid w:val="00876FCA"/>
    <w:rsid w:val="00876FCE"/>
    <w:rsid w:val="00876FD8"/>
    <w:rsid w:val="0087724B"/>
    <w:rsid w:val="00877312"/>
    <w:rsid w:val="00877394"/>
    <w:rsid w:val="00877431"/>
    <w:rsid w:val="00877521"/>
    <w:rsid w:val="008775BD"/>
    <w:rsid w:val="00877696"/>
    <w:rsid w:val="008777FB"/>
    <w:rsid w:val="0087781D"/>
    <w:rsid w:val="00877844"/>
    <w:rsid w:val="0087788B"/>
    <w:rsid w:val="0087789A"/>
    <w:rsid w:val="008778E3"/>
    <w:rsid w:val="0087793E"/>
    <w:rsid w:val="0087793F"/>
    <w:rsid w:val="008779AE"/>
    <w:rsid w:val="00877A6A"/>
    <w:rsid w:val="00877C13"/>
    <w:rsid w:val="00877C26"/>
    <w:rsid w:val="00877C9B"/>
    <w:rsid w:val="00877CF9"/>
    <w:rsid w:val="00877E58"/>
    <w:rsid w:val="00877E70"/>
    <w:rsid w:val="00877ED1"/>
    <w:rsid w:val="00877EF5"/>
    <w:rsid w:val="008800FE"/>
    <w:rsid w:val="0088012B"/>
    <w:rsid w:val="008803B6"/>
    <w:rsid w:val="0088044D"/>
    <w:rsid w:val="0088052C"/>
    <w:rsid w:val="0088058C"/>
    <w:rsid w:val="0088058E"/>
    <w:rsid w:val="00880608"/>
    <w:rsid w:val="008806E8"/>
    <w:rsid w:val="0088073B"/>
    <w:rsid w:val="008808CF"/>
    <w:rsid w:val="00880983"/>
    <w:rsid w:val="00880A27"/>
    <w:rsid w:val="00880A4D"/>
    <w:rsid w:val="00880C3A"/>
    <w:rsid w:val="00880C62"/>
    <w:rsid w:val="00880D45"/>
    <w:rsid w:val="00880E6C"/>
    <w:rsid w:val="00880EB4"/>
    <w:rsid w:val="00880F72"/>
    <w:rsid w:val="00880F74"/>
    <w:rsid w:val="00881044"/>
    <w:rsid w:val="008810B7"/>
    <w:rsid w:val="0088121C"/>
    <w:rsid w:val="00881577"/>
    <w:rsid w:val="00881641"/>
    <w:rsid w:val="00881653"/>
    <w:rsid w:val="008816C5"/>
    <w:rsid w:val="00881818"/>
    <w:rsid w:val="00881852"/>
    <w:rsid w:val="008819F7"/>
    <w:rsid w:val="00881A28"/>
    <w:rsid w:val="00881A35"/>
    <w:rsid w:val="00881CA3"/>
    <w:rsid w:val="00881CEE"/>
    <w:rsid w:val="00881DD6"/>
    <w:rsid w:val="00881E76"/>
    <w:rsid w:val="00881F4F"/>
    <w:rsid w:val="00881F68"/>
    <w:rsid w:val="00881F79"/>
    <w:rsid w:val="00881FE5"/>
    <w:rsid w:val="008820EB"/>
    <w:rsid w:val="008821D0"/>
    <w:rsid w:val="008821E0"/>
    <w:rsid w:val="00882229"/>
    <w:rsid w:val="00882249"/>
    <w:rsid w:val="0088235E"/>
    <w:rsid w:val="008823A2"/>
    <w:rsid w:val="0088254B"/>
    <w:rsid w:val="008825A5"/>
    <w:rsid w:val="00882600"/>
    <w:rsid w:val="0088274F"/>
    <w:rsid w:val="008827CB"/>
    <w:rsid w:val="00882846"/>
    <w:rsid w:val="00882A0C"/>
    <w:rsid w:val="00882ABC"/>
    <w:rsid w:val="00882C22"/>
    <w:rsid w:val="00882C7A"/>
    <w:rsid w:val="00882D20"/>
    <w:rsid w:val="00882D51"/>
    <w:rsid w:val="00882DCF"/>
    <w:rsid w:val="00882DE9"/>
    <w:rsid w:val="00882FA3"/>
    <w:rsid w:val="008830B2"/>
    <w:rsid w:val="0088314E"/>
    <w:rsid w:val="00883248"/>
    <w:rsid w:val="0088324F"/>
    <w:rsid w:val="0088329B"/>
    <w:rsid w:val="00883420"/>
    <w:rsid w:val="00883482"/>
    <w:rsid w:val="00883515"/>
    <w:rsid w:val="008835D2"/>
    <w:rsid w:val="00883734"/>
    <w:rsid w:val="00883748"/>
    <w:rsid w:val="00883777"/>
    <w:rsid w:val="008837E9"/>
    <w:rsid w:val="008837ED"/>
    <w:rsid w:val="00883819"/>
    <w:rsid w:val="00883873"/>
    <w:rsid w:val="008838F7"/>
    <w:rsid w:val="00883949"/>
    <w:rsid w:val="0088398B"/>
    <w:rsid w:val="00883AD8"/>
    <w:rsid w:val="00883CA5"/>
    <w:rsid w:val="00883DE1"/>
    <w:rsid w:val="00883E60"/>
    <w:rsid w:val="00883E6F"/>
    <w:rsid w:val="00883E7F"/>
    <w:rsid w:val="00883EDD"/>
    <w:rsid w:val="0088414B"/>
    <w:rsid w:val="00884216"/>
    <w:rsid w:val="00884239"/>
    <w:rsid w:val="008842B3"/>
    <w:rsid w:val="008842EB"/>
    <w:rsid w:val="0088449F"/>
    <w:rsid w:val="0088450B"/>
    <w:rsid w:val="0088453B"/>
    <w:rsid w:val="008845C7"/>
    <w:rsid w:val="008845D0"/>
    <w:rsid w:val="008845E6"/>
    <w:rsid w:val="00884632"/>
    <w:rsid w:val="0088463D"/>
    <w:rsid w:val="008846E8"/>
    <w:rsid w:val="008846EF"/>
    <w:rsid w:val="00884741"/>
    <w:rsid w:val="00884758"/>
    <w:rsid w:val="008847F2"/>
    <w:rsid w:val="0088499C"/>
    <w:rsid w:val="00884A1A"/>
    <w:rsid w:val="00884A7C"/>
    <w:rsid w:val="00884B01"/>
    <w:rsid w:val="00884B5D"/>
    <w:rsid w:val="00884B66"/>
    <w:rsid w:val="00884BB3"/>
    <w:rsid w:val="00884BDD"/>
    <w:rsid w:val="00884C2B"/>
    <w:rsid w:val="00884D23"/>
    <w:rsid w:val="00884D72"/>
    <w:rsid w:val="00884DBC"/>
    <w:rsid w:val="00885019"/>
    <w:rsid w:val="00885214"/>
    <w:rsid w:val="0088535E"/>
    <w:rsid w:val="0088542D"/>
    <w:rsid w:val="00885451"/>
    <w:rsid w:val="0088565B"/>
    <w:rsid w:val="008857EA"/>
    <w:rsid w:val="00885875"/>
    <w:rsid w:val="00885A52"/>
    <w:rsid w:val="00885AA1"/>
    <w:rsid w:val="00885BAC"/>
    <w:rsid w:val="00885D6F"/>
    <w:rsid w:val="00885D74"/>
    <w:rsid w:val="00885DF1"/>
    <w:rsid w:val="00885E5E"/>
    <w:rsid w:val="00885F0C"/>
    <w:rsid w:val="00885F43"/>
    <w:rsid w:val="0088600B"/>
    <w:rsid w:val="0088601B"/>
    <w:rsid w:val="00886027"/>
    <w:rsid w:val="00886034"/>
    <w:rsid w:val="00886080"/>
    <w:rsid w:val="008860D5"/>
    <w:rsid w:val="008860FD"/>
    <w:rsid w:val="00886107"/>
    <w:rsid w:val="008861DC"/>
    <w:rsid w:val="008862B5"/>
    <w:rsid w:val="008862D6"/>
    <w:rsid w:val="00886421"/>
    <w:rsid w:val="008864BB"/>
    <w:rsid w:val="0088650D"/>
    <w:rsid w:val="00886590"/>
    <w:rsid w:val="00886685"/>
    <w:rsid w:val="00886735"/>
    <w:rsid w:val="008867B4"/>
    <w:rsid w:val="008867DE"/>
    <w:rsid w:val="008868EE"/>
    <w:rsid w:val="00886932"/>
    <w:rsid w:val="0088695B"/>
    <w:rsid w:val="00886A09"/>
    <w:rsid w:val="00886A12"/>
    <w:rsid w:val="00886A20"/>
    <w:rsid w:val="00886A43"/>
    <w:rsid w:val="00886A7A"/>
    <w:rsid w:val="00886C6C"/>
    <w:rsid w:val="00886C77"/>
    <w:rsid w:val="00886C98"/>
    <w:rsid w:val="00886C9F"/>
    <w:rsid w:val="00886E22"/>
    <w:rsid w:val="00886F5B"/>
    <w:rsid w:val="00886FEC"/>
    <w:rsid w:val="0088707A"/>
    <w:rsid w:val="00887180"/>
    <w:rsid w:val="008871FA"/>
    <w:rsid w:val="00887200"/>
    <w:rsid w:val="0088733C"/>
    <w:rsid w:val="00887418"/>
    <w:rsid w:val="00887432"/>
    <w:rsid w:val="0088745E"/>
    <w:rsid w:val="00887513"/>
    <w:rsid w:val="00887528"/>
    <w:rsid w:val="0088756B"/>
    <w:rsid w:val="008877E1"/>
    <w:rsid w:val="00887919"/>
    <w:rsid w:val="00887939"/>
    <w:rsid w:val="00887A12"/>
    <w:rsid w:val="00887AAE"/>
    <w:rsid w:val="00887AD7"/>
    <w:rsid w:val="00887AE4"/>
    <w:rsid w:val="00887BC6"/>
    <w:rsid w:val="00887BFA"/>
    <w:rsid w:val="00887BFE"/>
    <w:rsid w:val="00887C4E"/>
    <w:rsid w:val="00887D33"/>
    <w:rsid w:val="00887D59"/>
    <w:rsid w:val="00887D5C"/>
    <w:rsid w:val="00887DC9"/>
    <w:rsid w:val="00887E1F"/>
    <w:rsid w:val="00887E7E"/>
    <w:rsid w:val="00887F4C"/>
    <w:rsid w:val="00887F6E"/>
    <w:rsid w:val="00890103"/>
    <w:rsid w:val="008901DC"/>
    <w:rsid w:val="008902B8"/>
    <w:rsid w:val="008903F7"/>
    <w:rsid w:val="008904F3"/>
    <w:rsid w:val="00890538"/>
    <w:rsid w:val="008905FC"/>
    <w:rsid w:val="008908B2"/>
    <w:rsid w:val="00890913"/>
    <w:rsid w:val="00890934"/>
    <w:rsid w:val="008909B6"/>
    <w:rsid w:val="00890A04"/>
    <w:rsid w:val="00890AF8"/>
    <w:rsid w:val="00890B55"/>
    <w:rsid w:val="00890B69"/>
    <w:rsid w:val="00890B70"/>
    <w:rsid w:val="00890C5E"/>
    <w:rsid w:val="00890C8A"/>
    <w:rsid w:val="00890D66"/>
    <w:rsid w:val="00890E9D"/>
    <w:rsid w:val="00890EA7"/>
    <w:rsid w:val="00890F23"/>
    <w:rsid w:val="00890F78"/>
    <w:rsid w:val="00890FA4"/>
    <w:rsid w:val="00890FC1"/>
    <w:rsid w:val="00891019"/>
    <w:rsid w:val="00891051"/>
    <w:rsid w:val="008910D5"/>
    <w:rsid w:val="00891130"/>
    <w:rsid w:val="008911D1"/>
    <w:rsid w:val="008912F5"/>
    <w:rsid w:val="00891381"/>
    <w:rsid w:val="008913E8"/>
    <w:rsid w:val="00891575"/>
    <w:rsid w:val="008915DA"/>
    <w:rsid w:val="0089172D"/>
    <w:rsid w:val="00891790"/>
    <w:rsid w:val="008917E3"/>
    <w:rsid w:val="008918DF"/>
    <w:rsid w:val="0089191C"/>
    <w:rsid w:val="00891989"/>
    <w:rsid w:val="00891C4F"/>
    <w:rsid w:val="00891CA6"/>
    <w:rsid w:val="00891E31"/>
    <w:rsid w:val="00891E6B"/>
    <w:rsid w:val="008921C7"/>
    <w:rsid w:val="008921DA"/>
    <w:rsid w:val="00892220"/>
    <w:rsid w:val="00892250"/>
    <w:rsid w:val="00892263"/>
    <w:rsid w:val="0089242F"/>
    <w:rsid w:val="008926DE"/>
    <w:rsid w:val="008926EA"/>
    <w:rsid w:val="008927E8"/>
    <w:rsid w:val="0089288D"/>
    <w:rsid w:val="00892909"/>
    <w:rsid w:val="00892959"/>
    <w:rsid w:val="00892A7C"/>
    <w:rsid w:val="00892B27"/>
    <w:rsid w:val="00892BBF"/>
    <w:rsid w:val="00892CD5"/>
    <w:rsid w:val="00892D29"/>
    <w:rsid w:val="00892DBD"/>
    <w:rsid w:val="00892DCD"/>
    <w:rsid w:val="00892E5C"/>
    <w:rsid w:val="00892E65"/>
    <w:rsid w:val="00892EB4"/>
    <w:rsid w:val="0089307F"/>
    <w:rsid w:val="00893134"/>
    <w:rsid w:val="008931EC"/>
    <w:rsid w:val="00893279"/>
    <w:rsid w:val="008933DA"/>
    <w:rsid w:val="0089347D"/>
    <w:rsid w:val="00893560"/>
    <w:rsid w:val="00893570"/>
    <w:rsid w:val="00893689"/>
    <w:rsid w:val="008937F9"/>
    <w:rsid w:val="00893814"/>
    <w:rsid w:val="0089382B"/>
    <w:rsid w:val="008939E7"/>
    <w:rsid w:val="00893A14"/>
    <w:rsid w:val="00893A4F"/>
    <w:rsid w:val="00893A65"/>
    <w:rsid w:val="00893B2A"/>
    <w:rsid w:val="00893B60"/>
    <w:rsid w:val="00893B99"/>
    <w:rsid w:val="00893BCC"/>
    <w:rsid w:val="00893CB6"/>
    <w:rsid w:val="00893D63"/>
    <w:rsid w:val="00893EB3"/>
    <w:rsid w:val="00893F3A"/>
    <w:rsid w:val="0089415E"/>
    <w:rsid w:val="00894240"/>
    <w:rsid w:val="00894260"/>
    <w:rsid w:val="008944D2"/>
    <w:rsid w:val="008944EA"/>
    <w:rsid w:val="00894565"/>
    <w:rsid w:val="0089456D"/>
    <w:rsid w:val="00894726"/>
    <w:rsid w:val="00894806"/>
    <w:rsid w:val="00894864"/>
    <w:rsid w:val="00894A44"/>
    <w:rsid w:val="00894BB1"/>
    <w:rsid w:val="00894BF3"/>
    <w:rsid w:val="00894F9A"/>
    <w:rsid w:val="008950E6"/>
    <w:rsid w:val="00895107"/>
    <w:rsid w:val="0089526A"/>
    <w:rsid w:val="0089527F"/>
    <w:rsid w:val="00895370"/>
    <w:rsid w:val="008954BC"/>
    <w:rsid w:val="00895574"/>
    <w:rsid w:val="008955BF"/>
    <w:rsid w:val="00895624"/>
    <w:rsid w:val="008956AB"/>
    <w:rsid w:val="0089572E"/>
    <w:rsid w:val="008957EB"/>
    <w:rsid w:val="00895839"/>
    <w:rsid w:val="008958DE"/>
    <w:rsid w:val="008958F3"/>
    <w:rsid w:val="00895962"/>
    <w:rsid w:val="00895994"/>
    <w:rsid w:val="00895A68"/>
    <w:rsid w:val="00895B6E"/>
    <w:rsid w:val="00895EA3"/>
    <w:rsid w:val="00895F0E"/>
    <w:rsid w:val="00895F67"/>
    <w:rsid w:val="00895FD0"/>
    <w:rsid w:val="0089608A"/>
    <w:rsid w:val="008961EA"/>
    <w:rsid w:val="008961F2"/>
    <w:rsid w:val="0089629D"/>
    <w:rsid w:val="008962EB"/>
    <w:rsid w:val="0089655D"/>
    <w:rsid w:val="008965EE"/>
    <w:rsid w:val="008966B9"/>
    <w:rsid w:val="008968A5"/>
    <w:rsid w:val="00896998"/>
    <w:rsid w:val="00896A2F"/>
    <w:rsid w:val="00896AE0"/>
    <w:rsid w:val="00896B54"/>
    <w:rsid w:val="00896B60"/>
    <w:rsid w:val="00896BD0"/>
    <w:rsid w:val="00896C5B"/>
    <w:rsid w:val="00896C84"/>
    <w:rsid w:val="00896D99"/>
    <w:rsid w:val="00896F03"/>
    <w:rsid w:val="00896F7E"/>
    <w:rsid w:val="00896F86"/>
    <w:rsid w:val="0089705A"/>
    <w:rsid w:val="00897110"/>
    <w:rsid w:val="0089717F"/>
    <w:rsid w:val="008971B6"/>
    <w:rsid w:val="00897241"/>
    <w:rsid w:val="00897294"/>
    <w:rsid w:val="008972A7"/>
    <w:rsid w:val="00897338"/>
    <w:rsid w:val="0089737D"/>
    <w:rsid w:val="0089745D"/>
    <w:rsid w:val="008974AE"/>
    <w:rsid w:val="00897543"/>
    <w:rsid w:val="0089758E"/>
    <w:rsid w:val="00897606"/>
    <w:rsid w:val="00897728"/>
    <w:rsid w:val="008977DD"/>
    <w:rsid w:val="008977EB"/>
    <w:rsid w:val="00897816"/>
    <w:rsid w:val="0089790A"/>
    <w:rsid w:val="00897A09"/>
    <w:rsid w:val="00897A34"/>
    <w:rsid w:val="00897AA0"/>
    <w:rsid w:val="00897B7E"/>
    <w:rsid w:val="00897BBB"/>
    <w:rsid w:val="00897C10"/>
    <w:rsid w:val="00897C20"/>
    <w:rsid w:val="00897C40"/>
    <w:rsid w:val="00897CD0"/>
    <w:rsid w:val="00897CE1"/>
    <w:rsid w:val="00897F92"/>
    <w:rsid w:val="008A002A"/>
    <w:rsid w:val="008A00DD"/>
    <w:rsid w:val="008A0255"/>
    <w:rsid w:val="008A0266"/>
    <w:rsid w:val="008A02A1"/>
    <w:rsid w:val="008A02A7"/>
    <w:rsid w:val="008A0437"/>
    <w:rsid w:val="008A04BB"/>
    <w:rsid w:val="008A05DD"/>
    <w:rsid w:val="008A0635"/>
    <w:rsid w:val="008A06BC"/>
    <w:rsid w:val="008A06BE"/>
    <w:rsid w:val="008A06C8"/>
    <w:rsid w:val="008A092A"/>
    <w:rsid w:val="008A096A"/>
    <w:rsid w:val="008A09C7"/>
    <w:rsid w:val="008A0B2B"/>
    <w:rsid w:val="008A0B56"/>
    <w:rsid w:val="008A0B86"/>
    <w:rsid w:val="008A0BDE"/>
    <w:rsid w:val="008A0CE0"/>
    <w:rsid w:val="008A0D13"/>
    <w:rsid w:val="008A0E1F"/>
    <w:rsid w:val="008A0EE2"/>
    <w:rsid w:val="008A0EE3"/>
    <w:rsid w:val="008A11E7"/>
    <w:rsid w:val="008A12C8"/>
    <w:rsid w:val="008A12F4"/>
    <w:rsid w:val="008A1356"/>
    <w:rsid w:val="008A1406"/>
    <w:rsid w:val="008A1471"/>
    <w:rsid w:val="008A158E"/>
    <w:rsid w:val="008A1647"/>
    <w:rsid w:val="008A16B7"/>
    <w:rsid w:val="008A17CA"/>
    <w:rsid w:val="008A18A9"/>
    <w:rsid w:val="008A196B"/>
    <w:rsid w:val="008A199E"/>
    <w:rsid w:val="008A1AE6"/>
    <w:rsid w:val="008A1C1E"/>
    <w:rsid w:val="008A1C61"/>
    <w:rsid w:val="008A1C6A"/>
    <w:rsid w:val="008A1C70"/>
    <w:rsid w:val="008A1C75"/>
    <w:rsid w:val="008A1C7A"/>
    <w:rsid w:val="008A1CD0"/>
    <w:rsid w:val="008A1CE4"/>
    <w:rsid w:val="008A1D6E"/>
    <w:rsid w:val="008A1E27"/>
    <w:rsid w:val="008A1ED5"/>
    <w:rsid w:val="008A1EE6"/>
    <w:rsid w:val="008A1FA7"/>
    <w:rsid w:val="008A1FE3"/>
    <w:rsid w:val="008A202E"/>
    <w:rsid w:val="008A209E"/>
    <w:rsid w:val="008A2212"/>
    <w:rsid w:val="008A232D"/>
    <w:rsid w:val="008A234B"/>
    <w:rsid w:val="008A23A3"/>
    <w:rsid w:val="008A242F"/>
    <w:rsid w:val="008A246A"/>
    <w:rsid w:val="008A2583"/>
    <w:rsid w:val="008A274A"/>
    <w:rsid w:val="008A2784"/>
    <w:rsid w:val="008A2823"/>
    <w:rsid w:val="008A2A16"/>
    <w:rsid w:val="008A2AD8"/>
    <w:rsid w:val="008A2C1E"/>
    <w:rsid w:val="008A2DA6"/>
    <w:rsid w:val="008A2DB3"/>
    <w:rsid w:val="008A2DC3"/>
    <w:rsid w:val="008A2E90"/>
    <w:rsid w:val="008A30F9"/>
    <w:rsid w:val="008A31EB"/>
    <w:rsid w:val="008A3208"/>
    <w:rsid w:val="008A320A"/>
    <w:rsid w:val="008A32B3"/>
    <w:rsid w:val="008A33AD"/>
    <w:rsid w:val="008A33DF"/>
    <w:rsid w:val="008A34FA"/>
    <w:rsid w:val="008A354D"/>
    <w:rsid w:val="008A355A"/>
    <w:rsid w:val="008A3617"/>
    <w:rsid w:val="008A3672"/>
    <w:rsid w:val="008A367C"/>
    <w:rsid w:val="008A37E3"/>
    <w:rsid w:val="008A3811"/>
    <w:rsid w:val="008A3948"/>
    <w:rsid w:val="008A3AC3"/>
    <w:rsid w:val="008A3AE7"/>
    <w:rsid w:val="008A3B06"/>
    <w:rsid w:val="008A3BF0"/>
    <w:rsid w:val="008A3C71"/>
    <w:rsid w:val="008A3CDE"/>
    <w:rsid w:val="008A3CE6"/>
    <w:rsid w:val="008A3D3C"/>
    <w:rsid w:val="008A3D74"/>
    <w:rsid w:val="008A3E1F"/>
    <w:rsid w:val="008A3FAC"/>
    <w:rsid w:val="008A3FFB"/>
    <w:rsid w:val="008A400A"/>
    <w:rsid w:val="008A4369"/>
    <w:rsid w:val="008A43F8"/>
    <w:rsid w:val="008A4442"/>
    <w:rsid w:val="008A444B"/>
    <w:rsid w:val="008A4459"/>
    <w:rsid w:val="008A44F1"/>
    <w:rsid w:val="008A4554"/>
    <w:rsid w:val="008A4685"/>
    <w:rsid w:val="008A4774"/>
    <w:rsid w:val="008A486D"/>
    <w:rsid w:val="008A4A5C"/>
    <w:rsid w:val="008A4B68"/>
    <w:rsid w:val="008A4BF8"/>
    <w:rsid w:val="008A4C00"/>
    <w:rsid w:val="008A4D71"/>
    <w:rsid w:val="008A4D74"/>
    <w:rsid w:val="008A4E26"/>
    <w:rsid w:val="008A4E56"/>
    <w:rsid w:val="008A4EA4"/>
    <w:rsid w:val="008A4F44"/>
    <w:rsid w:val="008A5078"/>
    <w:rsid w:val="008A5156"/>
    <w:rsid w:val="008A51B4"/>
    <w:rsid w:val="008A51C2"/>
    <w:rsid w:val="008A5226"/>
    <w:rsid w:val="008A535A"/>
    <w:rsid w:val="008A5376"/>
    <w:rsid w:val="008A544E"/>
    <w:rsid w:val="008A55C0"/>
    <w:rsid w:val="008A55EC"/>
    <w:rsid w:val="008A5617"/>
    <w:rsid w:val="008A576B"/>
    <w:rsid w:val="008A5797"/>
    <w:rsid w:val="008A579E"/>
    <w:rsid w:val="008A57BB"/>
    <w:rsid w:val="008A58B1"/>
    <w:rsid w:val="008A5989"/>
    <w:rsid w:val="008A59AF"/>
    <w:rsid w:val="008A5AC8"/>
    <w:rsid w:val="008A5BE2"/>
    <w:rsid w:val="008A5C7E"/>
    <w:rsid w:val="008A5C92"/>
    <w:rsid w:val="008A5CA8"/>
    <w:rsid w:val="008A5CE8"/>
    <w:rsid w:val="008A5CEF"/>
    <w:rsid w:val="008A5E81"/>
    <w:rsid w:val="008A5F46"/>
    <w:rsid w:val="008A6015"/>
    <w:rsid w:val="008A6027"/>
    <w:rsid w:val="008A60BA"/>
    <w:rsid w:val="008A6135"/>
    <w:rsid w:val="008A6157"/>
    <w:rsid w:val="008A63A1"/>
    <w:rsid w:val="008A63C5"/>
    <w:rsid w:val="008A648A"/>
    <w:rsid w:val="008A64A7"/>
    <w:rsid w:val="008A64BD"/>
    <w:rsid w:val="008A65A2"/>
    <w:rsid w:val="008A65B6"/>
    <w:rsid w:val="008A660B"/>
    <w:rsid w:val="008A66AF"/>
    <w:rsid w:val="008A66F8"/>
    <w:rsid w:val="008A6820"/>
    <w:rsid w:val="008A6B7B"/>
    <w:rsid w:val="008A6BDA"/>
    <w:rsid w:val="008A6BE5"/>
    <w:rsid w:val="008A6D4E"/>
    <w:rsid w:val="008A6D51"/>
    <w:rsid w:val="008A6E1E"/>
    <w:rsid w:val="008A6EF8"/>
    <w:rsid w:val="008A6FF6"/>
    <w:rsid w:val="008A7120"/>
    <w:rsid w:val="008A719A"/>
    <w:rsid w:val="008A733C"/>
    <w:rsid w:val="008A7388"/>
    <w:rsid w:val="008A73AD"/>
    <w:rsid w:val="008A741F"/>
    <w:rsid w:val="008A7533"/>
    <w:rsid w:val="008A75F3"/>
    <w:rsid w:val="008A763A"/>
    <w:rsid w:val="008A76F3"/>
    <w:rsid w:val="008A785D"/>
    <w:rsid w:val="008A78A2"/>
    <w:rsid w:val="008A7998"/>
    <w:rsid w:val="008A7A0D"/>
    <w:rsid w:val="008A7A26"/>
    <w:rsid w:val="008A7A65"/>
    <w:rsid w:val="008A7B51"/>
    <w:rsid w:val="008A7C13"/>
    <w:rsid w:val="008A7C7D"/>
    <w:rsid w:val="008A7D11"/>
    <w:rsid w:val="008A7D3E"/>
    <w:rsid w:val="008A7D4E"/>
    <w:rsid w:val="008A7F09"/>
    <w:rsid w:val="008A7FD8"/>
    <w:rsid w:val="008B0037"/>
    <w:rsid w:val="008B009F"/>
    <w:rsid w:val="008B0137"/>
    <w:rsid w:val="008B0168"/>
    <w:rsid w:val="008B01EC"/>
    <w:rsid w:val="008B023A"/>
    <w:rsid w:val="008B02C2"/>
    <w:rsid w:val="008B03DB"/>
    <w:rsid w:val="008B03F3"/>
    <w:rsid w:val="008B0644"/>
    <w:rsid w:val="008B067B"/>
    <w:rsid w:val="008B07A5"/>
    <w:rsid w:val="008B07F4"/>
    <w:rsid w:val="008B083A"/>
    <w:rsid w:val="008B08DD"/>
    <w:rsid w:val="008B09F7"/>
    <w:rsid w:val="008B0AE7"/>
    <w:rsid w:val="008B0AF8"/>
    <w:rsid w:val="008B0B21"/>
    <w:rsid w:val="008B0B4F"/>
    <w:rsid w:val="008B0CA0"/>
    <w:rsid w:val="008B0D24"/>
    <w:rsid w:val="008B0F2A"/>
    <w:rsid w:val="008B1083"/>
    <w:rsid w:val="008B10A5"/>
    <w:rsid w:val="008B12B2"/>
    <w:rsid w:val="008B1398"/>
    <w:rsid w:val="008B1439"/>
    <w:rsid w:val="008B1549"/>
    <w:rsid w:val="008B15C2"/>
    <w:rsid w:val="008B15E1"/>
    <w:rsid w:val="008B16AE"/>
    <w:rsid w:val="008B1741"/>
    <w:rsid w:val="008B1773"/>
    <w:rsid w:val="008B1791"/>
    <w:rsid w:val="008B17E0"/>
    <w:rsid w:val="008B1927"/>
    <w:rsid w:val="008B19EF"/>
    <w:rsid w:val="008B1A47"/>
    <w:rsid w:val="008B1A9C"/>
    <w:rsid w:val="008B1AF2"/>
    <w:rsid w:val="008B1AF7"/>
    <w:rsid w:val="008B1B70"/>
    <w:rsid w:val="008B1BF9"/>
    <w:rsid w:val="008B1CB3"/>
    <w:rsid w:val="008B1DC4"/>
    <w:rsid w:val="008B1E56"/>
    <w:rsid w:val="008B1EF8"/>
    <w:rsid w:val="008B2021"/>
    <w:rsid w:val="008B205D"/>
    <w:rsid w:val="008B2070"/>
    <w:rsid w:val="008B20DA"/>
    <w:rsid w:val="008B20E2"/>
    <w:rsid w:val="008B20E8"/>
    <w:rsid w:val="008B20EA"/>
    <w:rsid w:val="008B20F4"/>
    <w:rsid w:val="008B2163"/>
    <w:rsid w:val="008B2179"/>
    <w:rsid w:val="008B22CD"/>
    <w:rsid w:val="008B2320"/>
    <w:rsid w:val="008B233B"/>
    <w:rsid w:val="008B233D"/>
    <w:rsid w:val="008B2480"/>
    <w:rsid w:val="008B2504"/>
    <w:rsid w:val="008B2523"/>
    <w:rsid w:val="008B2536"/>
    <w:rsid w:val="008B25A7"/>
    <w:rsid w:val="008B25DF"/>
    <w:rsid w:val="008B26F8"/>
    <w:rsid w:val="008B26FD"/>
    <w:rsid w:val="008B2842"/>
    <w:rsid w:val="008B28BD"/>
    <w:rsid w:val="008B2A43"/>
    <w:rsid w:val="008B2AC5"/>
    <w:rsid w:val="008B2BEF"/>
    <w:rsid w:val="008B2D82"/>
    <w:rsid w:val="008B2DDB"/>
    <w:rsid w:val="008B2E02"/>
    <w:rsid w:val="008B2E86"/>
    <w:rsid w:val="008B2EB1"/>
    <w:rsid w:val="008B2F5C"/>
    <w:rsid w:val="008B2F6E"/>
    <w:rsid w:val="008B2FF6"/>
    <w:rsid w:val="008B3028"/>
    <w:rsid w:val="008B303C"/>
    <w:rsid w:val="008B3164"/>
    <w:rsid w:val="008B3172"/>
    <w:rsid w:val="008B339F"/>
    <w:rsid w:val="008B33AF"/>
    <w:rsid w:val="008B3520"/>
    <w:rsid w:val="008B3722"/>
    <w:rsid w:val="008B3788"/>
    <w:rsid w:val="008B37CF"/>
    <w:rsid w:val="008B3823"/>
    <w:rsid w:val="008B3826"/>
    <w:rsid w:val="008B3941"/>
    <w:rsid w:val="008B3B4A"/>
    <w:rsid w:val="008B3BBB"/>
    <w:rsid w:val="008B3CC5"/>
    <w:rsid w:val="008B3DEE"/>
    <w:rsid w:val="008B3E1E"/>
    <w:rsid w:val="008B3F00"/>
    <w:rsid w:val="008B4077"/>
    <w:rsid w:val="008B407C"/>
    <w:rsid w:val="008B40D6"/>
    <w:rsid w:val="008B4171"/>
    <w:rsid w:val="008B4186"/>
    <w:rsid w:val="008B41A3"/>
    <w:rsid w:val="008B420A"/>
    <w:rsid w:val="008B42AF"/>
    <w:rsid w:val="008B43D3"/>
    <w:rsid w:val="008B4530"/>
    <w:rsid w:val="008B4537"/>
    <w:rsid w:val="008B453E"/>
    <w:rsid w:val="008B455E"/>
    <w:rsid w:val="008B45A6"/>
    <w:rsid w:val="008B47A5"/>
    <w:rsid w:val="008B480A"/>
    <w:rsid w:val="008B48A5"/>
    <w:rsid w:val="008B48CF"/>
    <w:rsid w:val="008B4940"/>
    <w:rsid w:val="008B496C"/>
    <w:rsid w:val="008B49DB"/>
    <w:rsid w:val="008B4B2A"/>
    <w:rsid w:val="008B4C9D"/>
    <w:rsid w:val="008B4CD8"/>
    <w:rsid w:val="008B4E72"/>
    <w:rsid w:val="008B4EC1"/>
    <w:rsid w:val="008B4EE4"/>
    <w:rsid w:val="008B4FCD"/>
    <w:rsid w:val="008B4FFD"/>
    <w:rsid w:val="008B500E"/>
    <w:rsid w:val="008B50A2"/>
    <w:rsid w:val="008B50BB"/>
    <w:rsid w:val="008B50CA"/>
    <w:rsid w:val="008B51A4"/>
    <w:rsid w:val="008B51CE"/>
    <w:rsid w:val="008B5230"/>
    <w:rsid w:val="008B5397"/>
    <w:rsid w:val="008B53E6"/>
    <w:rsid w:val="008B561F"/>
    <w:rsid w:val="008B56A6"/>
    <w:rsid w:val="008B571F"/>
    <w:rsid w:val="008B57BE"/>
    <w:rsid w:val="008B593B"/>
    <w:rsid w:val="008B5A7E"/>
    <w:rsid w:val="008B5AC5"/>
    <w:rsid w:val="008B5AC8"/>
    <w:rsid w:val="008B5AEC"/>
    <w:rsid w:val="008B5B28"/>
    <w:rsid w:val="008B5B90"/>
    <w:rsid w:val="008B5CE3"/>
    <w:rsid w:val="008B5EE6"/>
    <w:rsid w:val="008B5F9F"/>
    <w:rsid w:val="008B5FB2"/>
    <w:rsid w:val="008B60C8"/>
    <w:rsid w:val="008B6120"/>
    <w:rsid w:val="008B624A"/>
    <w:rsid w:val="008B62AE"/>
    <w:rsid w:val="008B6310"/>
    <w:rsid w:val="008B6313"/>
    <w:rsid w:val="008B631F"/>
    <w:rsid w:val="008B63C2"/>
    <w:rsid w:val="008B63F2"/>
    <w:rsid w:val="008B64A4"/>
    <w:rsid w:val="008B6521"/>
    <w:rsid w:val="008B6710"/>
    <w:rsid w:val="008B6748"/>
    <w:rsid w:val="008B6753"/>
    <w:rsid w:val="008B6872"/>
    <w:rsid w:val="008B6AC2"/>
    <w:rsid w:val="008B6BD6"/>
    <w:rsid w:val="008B6E37"/>
    <w:rsid w:val="008B6EAD"/>
    <w:rsid w:val="008B6F09"/>
    <w:rsid w:val="008B6FA7"/>
    <w:rsid w:val="008B7046"/>
    <w:rsid w:val="008B7074"/>
    <w:rsid w:val="008B727C"/>
    <w:rsid w:val="008B730F"/>
    <w:rsid w:val="008B737A"/>
    <w:rsid w:val="008B73E8"/>
    <w:rsid w:val="008B744B"/>
    <w:rsid w:val="008B7459"/>
    <w:rsid w:val="008B74E6"/>
    <w:rsid w:val="008B776A"/>
    <w:rsid w:val="008B77E8"/>
    <w:rsid w:val="008B77F0"/>
    <w:rsid w:val="008B78CB"/>
    <w:rsid w:val="008B79C3"/>
    <w:rsid w:val="008B7A59"/>
    <w:rsid w:val="008B7A79"/>
    <w:rsid w:val="008B7B41"/>
    <w:rsid w:val="008B7C2A"/>
    <w:rsid w:val="008B7CD8"/>
    <w:rsid w:val="008B7D49"/>
    <w:rsid w:val="008B7D98"/>
    <w:rsid w:val="008B7FA9"/>
    <w:rsid w:val="008C0096"/>
    <w:rsid w:val="008C034C"/>
    <w:rsid w:val="008C03AD"/>
    <w:rsid w:val="008C04DC"/>
    <w:rsid w:val="008C0519"/>
    <w:rsid w:val="008C0578"/>
    <w:rsid w:val="008C05EE"/>
    <w:rsid w:val="008C06F6"/>
    <w:rsid w:val="008C075B"/>
    <w:rsid w:val="008C0793"/>
    <w:rsid w:val="008C07C7"/>
    <w:rsid w:val="008C07E8"/>
    <w:rsid w:val="008C084E"/>
    <w:rsid w:val="008C088F"/>
    <w:rsid w:val="008C08CF"/>
    <w:rsid w:val="008C08F4"/>
    <w:rsid w:val="008C0A00"/>
    <w:rsid w:val="008C0A5F"/>
    <w:rsid w:val="008C0AEE"/>
    <w:rsid w:val="008C0B6C"/>
    <w:rsid w:val="008C0BC7"/>
    <w:rsid w:val="008C0C8E"/>
    <w:rsid w:val="008C0D14"/>
    <w:rsid w:val="008C0D1A"/>
    <w:rsid w:val="008C0D6B"/>
    <w:rsid w:val="008C0D89"/>
    <w:rsid w:val="008C0EAA"/>
    <w:rsid w:val="008C0F05"/>
    <w:rsid w:val="008C0F0E"/>
    <w:rsid w:val="008C1110"/>
    <w:rsid w:val="008C112A"/>
    <w:rsid w:val="008C117D"/>
    <w:rsid w:val="008C1260"/>
    <w:rsid w:val="008C12DB"/>
    <w:rsid w:val="008C12DD"/>
    <w:rsid w:val="008C1318"/>
    <w:rsid w:val="008C133B"/>
    <w:rsid w:val="008C1449"/>
    <w:rsid w:val="008C153E"/>
    <w:rsid w:val="008C1557"/>
    <w:rsid w:val="008C15AA"/>
    <w:rsid w:val="008C15B3"/>
    <w:rsid w:val="008C169E"/>
    <w:rsid w:val="008C16A0"/>
    <w:rsid w:val="008C16B3"/>
    <w:rsid w:val="008C16C9"/>
    <w:rsid w:val="008C16DC"/>
    <w:rsid w:val="008C1723"/>
    <w:rsid w:val="008C174C"/>
    <w:rsid w:val="008C17B1"/>
    <w:rsid w:val="008C17D8"/>
    <w:rsid w:val="008C17DC"/>
    <w:rsid w:val="008C188D"/>
    <w:rsid w:val="008C1899"/>
    <w:rsid w:val="008C1931"/>
    <w:rsid w:val="008C1B0E"/>
    <w:rsid w:val="008C1C1B"/>
    <w:rsid w:val="008C1C93"/>
    <w:rsid w:val="008C1D31"/>
    <w:rsid w:val="008C1DFE"/>
    <w:rsid w:val="008C1E05"/>
    <w:rsid w:val="008C1E08"/>
    <w:rsid w:val="008C1E63"/>
    <w:rsid w:val="008C1E86"/>
    <w:rsid w:val="008C1E8C"/>
    <w:rsid w:val="008C1EDC"/>
    <w:rsid w:val="008C1F1A"/>
    <w:rsid w:val="008C1F97"/>
    <w:rsid w:val="008C20D1"/>
    <w:rsid w:val="008C2141"/>
    <w:rsid w:val="008C2182"/>
    <w:rsid w:val="008C21F4"/>
    <w:rsid w:val="008C2209"/>
    <w:rsid w:val="008C224E"/>
    <w:rsid w:val="008C2252"/>
    <w:rsid w:val="008C22CF"/>
    <w:rsid w:val="008C22F3"/>
    <w:rsid w:val="008C23F9"/>
    <w:rsid w:val="008C243A"/>
    <w:rsid w:val="008C258D"/>
    <w:rsid w:val="008C25FF"/>
    <w:rsid w:val="008C2624"/>
    <w:rsid w:val="008C2756"/>
    <w:rsid w:val="008C27C6"/>
    <w:rsid w:val="008C28B9"/>
    <w:rsid w:val="008C29A0"/>
    <w:rsid w:val="008C2A7B"/>
    <w:rsid w:val="008C2AAA"/>
    <w:rsid w:val="008C2AFE"/>
    <w:rsid w:val="008C2E87"/>
    <w:rsid w:val="008C2F3C"/>
    <w:rsid w:val="008C2F96"/>
    <w:rsid w:val="008C3079"/>
    <w:rsid w:val="008C308D"/>
    <w:rsid w:val="008C319B"/>
    <w:rsid w:val="008C324E"/>
    <w:rsid w:val="008C3255"/>
    <w:rsid w:val="008C3283"/>
    <w:rsid w:val="008C332E"/>
    <w:rsid w:val="008C33D7"/>
    <w:rsid w:val="008C35FA"/>
    <w:rsid w:val="008C36C4"/>
    <w:rsid w:val="008C3801"/>
    <w:rsid w:val="008C3810"/>
    <w:rsid w:val="008C3884"/>
    <w:rsid w:val="008C3972"/>
    <w:rsid w:val="008C3A16"/>
    <w:rsid w:val="008C3A2B"/>
    <w:rsid w:val="008C3B52"/>
    <w:rsid w:val="008C3BBC"/>
    <w:rsid w:val="008C3C4D"/>
    <w:rsid w:val="008C3C73"/>
    <w:rsid w:val="008C3CF3"/>
    <w:rsid w:val="008C3D0D"/>
    <w:rsid w:val="008C3D92"/>
    <w:rsid w:val="008C3DDD"/>
    <w:rsid w:val="008C3EBD"/>
    <w:rsid w:val="008C3FA9"/>
    <w:rsid w:val="008C401F"/>
    <w:rsid w:val="008C4094"/>
    <w:rsid w:val="008C4273"/>
    <w:rsid w:val="008C42D1"/>
    <w:rsid w:val="008C432C"/>
    <w:rsid w:val="008C434F"/>
    <w:rsid w:val="008C4408"/>
    <w:rsid w:val="008C4444"/>
    <w:rsid w:val="008C44E9"/>
    <w:rsid w:val="008C450E"/>
    <w:rsid w:val="008C4543"/>
    <w:rsid w:val="008C45B3"/>
    <w:rsid w:val="008C45ED"/>
    <w:rsid w:val="008C466D"/>
    <w:rsid w:val="008C4766"/>
    <w:rsid w:val="008C4819"/>
    <w:rsid w:val="008C4822"/>
    <w:rsid w:val="008C4A4B"/>
    <w:rsid w:val="008C4C8C"/>
    <w:rsid w:val="008C4CC0"/>
    <w:rsid w:val="008C4E5B"/>
    <w:rsid w:val="008C4E64"/>
    <w:rsid w:val="008C4F11"/>
    <w:rsid w:val="008C4F7D"/>
    <w:rsid w:val="008C50FF"/>
    <w:rsid w:val="008C511F"/>
    <w:rsid w:val="008C5164"/>
    <w:rsid w:val="008C52FB"/>
    <w:rsid w:val="008C53A0"/>
    <w:rsid w:val="008C555C"/>
    <w:rsid w:val="008C5724"/>
    <w:rsid w:val="008C5796"/>
    <w:rsid w:val="008C5820"/>
    <w:rsid w:val="008C5912"/>
    <w:rsid w:val="008C5976"/>
    <w:rsid w:val="008C59B3"/>
    <w:rsid w:val="008C59D6"/>
    <w:rsid w:val="008C5A91"/>
    <w:rsid w:val="008C5C22"/>
    <w:rsid w:val="008C5E9C"/>
    <w:rsid w:val="008C5EFC"/>
    <w:rsid w:val="008C5F43"/>
    <w:rsid w:val="008C6011"/>
    <w:rsid w:val="008C6132"/>
    <w:rsid w:val="008C6149"/>
    <w:rsid w:val="008C6180"/>
    <w:rsid w:val="008C61D4"/>
    <w:rsid w:val="008C6266"/>
    <w:rsid w:val="008C62DF"/>
    <w:rsid w:val="008C62FD"/>
    <w:rsid w:val="008C6393"/>
    <w:rsid w:val="008C6459"/>
    <w:rsid w:val="008C645E"/>
    <w:rsid w:val="008C6522"/>
    <w:rsid w:val="008C655A"/>
    <w:rsid w:val="008C65A5"/>
    <w:rsid w:val="008C65C4"/>
    <w:rsid w:val="008C65CF"/>
    <w:rsid w:val="008C671F"/>
    <w:rsid w:val="008C67D8"/>
    <w:rsid w:val="008C67F3"/>
    <w:rsid w:val="008C6815"/>
    <w:rsid w:val="008C6880"/>
    <w:rsid w:val="008C6A65"/>
    <w:rsid w:val="008C6A93"/>
    <w:rsid w:val="008C6B0A"/>
    <w:rsid w:val="008C6CD0"/>
    <w:rsid w:val="008C6D0A"/>
    <w:rsid w:val="008C6D13"/>
    <w:rsid w:val="008C6ED2"/>
    <w:rsid w:val="008C6F56"/>
    <w:rsid w:val="008C6F72"/>
    <w:rsid w:val="008C6FFA"/>
    <w:rsid w:val="008C7046"/>
    <w:rsid w:val="008C704B"/>
    <w:rsid w:val="008C708E"/>
    <w:rsid w:val="008C7124"/>
    <w:rsid w:val="008C71E6"/>
    <w:rsid w:val="008C721D"/>
    <w:rsid w:val="008C722A"/>
    <w:rsid w:val="008C734C"/>
    <w:rsid w:val="008C7376"/>
    <w:rsid w:val="008C737C"/>
    <w:rsid w:val="008C74C2"/>
    <w:rsid w:val="008C752E"/>
    <w:rsid w:val="008C7604"/>
    <w:rsid w:val="008C7750"/>
    <w:rsid w:val="008C789A"/>
    <w:rsid w:val="008C7949"/>
    <w:rsid w:val="008C79EE"/>
    <w:rsid w:val="008C7A09"/>
    <w:rsid w:val="008C7A3A"/>
    <w:rsid w:val="008C7B72"/>
    <w:rsid w:val="008C7B9A"/>
    <w:rsid w:val="008C7C26"/>
    <w:rsid w:val="008C7D6D"/>
    <w:rsid w:val="008D00B7"/>
    <w:rsid w:val="008D0144"/>
    <w:rsid w:val="008D0152"/>
    <w:rsid w:val="008D0267"/>
    <w:rsid w:val="008D02E3"/>
    <w:rsid w:val="008D02E4"/>
    <w:rsid w:val="008D03B3"/>
    <w:rsid w:val="008D041B"/>
    <w:rsid w:val="008D0522"/>
    <w:rsid w:val="008D0534"/>
    <w:rsid w:val="008D05AB"/>
    <w:rsid w:val="008D0625"/>
    <w:rsid w:val="008D07A8"/>
    <w:rsid w:val="008D0822"/>
    <w:rsid w:val="008D0832"/>
    <w:rsid w:val="008D08DF"/>
    <w:rsid w:val="008D0939"/>
    <w:rsid w:val="008D0A53"/>
    <w:rsid w:val="008D0B23"/>
    <w:rsid w:val="008D0B5A"/>
    <w:rsid w:val="008D0B80"/>
    <w:rsid w:val="008D0BB9"/>
    <w:rsid w:val="008D0BF2"/>
    <w:rsid w:val="008D0C12"/>
    <w:rsid w:val="008D0C33"/>
    <w:rsid w:val="008D0DEB"/>
    <w:rsid w:val="008D0F8A"/>
    <w:rsid w:val="008D12A9"/>
    <w:rsid w:val="008D13A2"/>
    <w:rsid w:val="008D13A7"/>
    <w:rsid w:val="008D13A9"/>
    <w:rsid w:val="008D13F7"/>
    <w:rsid w:val="008D140F"/>
    <w:rsid w:val="008D148B"/>
    <w:rsid w:val="008D14C1"/>
    <w:rsid w:val="008D14CB"/>
    <w:rsid w:val="008D15FC"/>
    <w:rsid w:val="008D1663"/>
    <w:rsid w:val="008D1721"/>
    <w:rsid w:val="008D181A"/>
    <w:rsid w:val="008D184F"/>
    <w:rsid w:val="008D18A2"/>
    <w:rsid w:val="008D1B49"/>
    <w:rsid w:val="008D1B90"/>
    <w:rsid w:val="008D1C73"/>
    <w:rsid w:val="008D1C9F"/>
    <w:rsid w:val="008D1D43"/>
    <w:rsid w:val="008D1DE4"/>
    <w:rsid w:val="008D204F"/>
    <w:rsid w:val="008D22DC"/>
    <w:rsid w:val="008D230A"/>
    <w:rsid w:val="008D24A7"/>
    <w:rsid w:val="008D24BD"/>
    <w:rsid w:val="008D2512"/>
    <w:rsid w:val="008D2650"/>
    <w:rsid w:val="008D266B"/>
    <w:rsid w:val="008D275F"/>
    <w:rsid w:val="008D276B"/>
    <w:rsid w:val="008D2848"/>
    <w:rsid w:val="008D28B9"/>
    <w:rsid w:val="008D29ED"/>
    <w:rsid w:val="008D2A4C"/>
    <w:rsid w:val="008D2ABE"/>
    <w:rsid w:val="008D2B7D"/>
    <w:rsid w:val="008D2BA1"/>
    <w:rsid w:val="008D2C1A"/>
    <w:rsid w:val="008D2E61"/>
    <w:rsid w:val="008D2E9B"/>
    <w:rsid w:val="008D2EC2"/>
    <w:rsid w:val="008D2FDB"/>
    <w:rsid w:val="008D308D"/>
    <w:rsid w:val="008D319E"/>
    <w:rsid w:val="008D31FC"/>
    <w:rsid w:val="008D3224"/>
    <w:rsid w:val="008D32AA"/>
    <w:rsid w:val="008D32C7"/>
    <w:rsid w:val="008D33AE"/>
    <w:rsid w:val="008D33F6"/>
    <w:rsid w:val="008D3445"/>
    <w:rsid w:val="008D3489"/>
    <w:rsid w:val="008D3518"/>
    <w:rsid w:val="008D363F"/>
    <w:rsid w:val="008D36D0"/>
    <w:rsid w:val="008D3907"/>
    <w:rsid w:val="008D3976"/>
    <w:rsid w:val="008D3A92"/>
    <w:rsid w:val="008D3B37"/>
    <w:rsid w:val="008D3BCB"/>
    <w:rsid w:val="008D3BD2"/>
    <w:rsid w:val="008D3C52"/>
    <w:rsid w:val="008D3CB4"/>
    <w:rsid w:val="008D3CE9"/>
    <w:rsid w:val="008D3E52"/>
    <w:rsid w:val="008D3F2A"/>
    <w:rsid w:val="008D3F60"/>
    <w:rsid w:val="008D3FB3"/>
    <w:rsid w:val="008D3FC0"/>
    <w:rsid w:val="008D4050"/>
    <w:rsid w:val="008D420A"/>
    <w:rsid w:val="008D445F"/>
    <w:rsid w:val="008D449D"/>
    <w:rsid w:val="008D44B3"/>
    <w:rsid w:val="008D4582"/>
    <w:rsid w:val="008D45C2"/>
    <w:rsid w:val="008D465C"/>
    <w:rsid w:val="008D478E"/>
    <w:rsid w:val="008D47AB"/>
    <w:rsid w:val="008D47C2"/>
    <w:rsid w:val="008D4917"/>
    <w:rsid w:val="008D49CD"/>
    <w:rsid w:val="008D4A90"/>
    <w:rsid w:val="008D4A9C"/>
    <w:rsid w:val="008D4B11"/>
    <w:rsid w:val="008D4C29"/>
    <w:rsid w:val="008D4C76"/>
    <w:rsid w:val="008D4C90"/>
    <w:rsid w:val="008D4D76"/>
    <w:rsid w:val="008D4DE2"/>
    <w:rsid w:val="008D4E4B"/>
    <w:rsid w:val="008D4E72"/>
    <w:rsid w:val="008D4FA7"/>
    <w:rsid w:val="008D509F"/>
    <w:rsid w:val="008D50E5"/>
    <w:rsid w:val="008D50FA"/>
    <w:rsid w:val="008D512B"/>
    <w:rsid w:val="008D5216"/>
    <w:rsid w:val="008D521B"/>
    <w:rsid w:val="008D5295"/>
    <w:rsid w:val="008D5365"/>
    <w:rsid w:val="008D5470"/>
    <w:rsid w:val="008D5487"/>
    <w:rsid w:val="008D5539"/>
    <w:rsid w:val="008D55B9"/>
    <w:rsid w:val="008D56B8"/>
    <w:rsid w:val="008D571F"/>
    <w:rsid w:val="008D5862"/>
    <w:rsid w:val="008D592C"/>
    <w:rsid w:val="008D5948"/>
    <w:rsid w:val="008D597F"/>
    <w:rsid w:val="008D598C"/>
    <w:rsid w:val="008D5995"/>
    <w:rsid w:val="008D59D3"/>
    <w:rsid w:val="008D59E3"/>
    <w:rsid w:val="008D59E5"/>
    <w:rsid w:val="008D5A78"/>
    <w:rsid w:val="008D5ACE"/>
    <w:rsid w:val="008D5B2B"/>
    <w:rsid w:val="008D5BF2"/>
    <w:rsid w:val="008D5C4D"/>
    <w:rsid w:val="008D5D04"/>
    <w:rsid w:val="008D5D98"/>
    <w:rsid w:val="008D5EAA"/>
    <w:rsid w:val="008D5EFB"/>
    <w:rsid w:val="008D5F24"/>
    <w:rsid w:val="008D5F45"/>
    <w:rsid w:val="008D5F99"/>
    <w:rsid w:val="008D6110"/>
    <w:rsid w:val="008D6146"/>
    <w:rsid w:val="008D63CA"/>
    <w:rsid w:val="008D64C1"/>
    <w:rsid w:val="008D6540"/>
    <w:rsid w:val="008D6554"/>
    <w:rsid w:val="008D6604"/>
    <w:rsid w:val="008D66AD"/>
    <w:rsid w:val="008D66B7"/>
    <w:rsid w:val="008D66C6"/>
    <w:rsid w:val="008D670E"/>
    <w:rsid w:val="008D67A0"/>
    <w:rsid w:val="008D68D4"/>
    <w:rsid w:val="008D68E5"/>
    <w:rsid w:val="008D6A7D"/>
    <w:rsid w:val="008D6CA1"/>
    <w:rsid w:val="008D6CF8"/>
    <w:rsid w:val="008D6D18"/>
    <w:rsid w:val="008D6DF8"/>
    <w:rsid w:val="008D6E58"/>
    <w:rsid w:val="008D6EF5"/>
    <w:rsid w:val="008D6F16"/>
    <w:rsid w:val="008D6F1E"/>
    <w:rsid w:val="008D6F64"/>
    <w:rsid w:val="008D6F9B"/>
    <w:rsid w:val="008D7004"/>
    <w:rsid w:val="008D7202"/>
    <w:rsid w:val="008D723F"/>
    <w:rsid w:val="008D7354"/>
    <w:rsid w:val="008D73A9"/>
    <w:rsid w:val="008D7486"/>
    <w:rsid w:val="008D748E"/>
    <w:rsid w:val="008D7624"/>
    <w:rsid w:val="008D7627"/>
    <w:rsid w:val="008D768E"/>
    <w:rsid w:val="008D7721"/>
    <w:rsid w:val="008D772F"/>
    <w:rsid w:val="008D77FA"/>
    <w:rsid w:val="008D782D"/>
    <w:rsid w:val="008D7854"/>
    <w:rsid w:val="008D7861"/>
    <w:rsid w:val="008D78F2"/>
    <w:rsid w:val="008D790B"/>
    <w:rsid w:val="008D7924"/>
    <w:rsid w:val="008D7AFA"/>
    <w:rsid w:val="008D7BA2"/>
    <w:rsid w:val="008D7BDA"/>
    <w:rsid w:val="008D7BED"/>
    <w:rsid w:val="008D7C5E"/>
    <w:rsid w:val="008D7DC7"/>
    <w:rsid w:val="008D7E6D"/>
    <w:rsid w:val="008D7E74"/>
    <w:rsid w:val="008D7F7A"/>
    <w:rsid w:val="008D7F96"/>
    <w:rsid w:val="008E0033"/>
    <w:rsid w:val="008E0163"/>
    <w:rsid w:val="008E0171"/>
    <w:rsid w:val="008E024B"/>
    <w:rsid w:val="008E0314"/>
    <w:rsid w:val="008E04A2"/>
    <w:rsid w:val="008E04DF"/>
    <w:rsid w:val="008E04E3"/>
    <w:rsid w:val="008E08C5"/>
    <w:rsid w:val="008E08D5"/>
    <w:rsid w:val="008E090C"/>
    <w:rsid w:val="008E093E"/>
    <w:rsid w:val="008E0989"/>
    <w:rsid w:val="008E0999"/>
    <w:rsid w:val="008E0A27"/>
    <w:rsid w:val="008E0B6A"/>
    <w:rsid w:val="008E0CC8"/>
    <w:rsid w:val="008E0D57"/>
    <w:rsid w:val="008E0DD6"/>
    <w:rsid w:val="008E1013"/>
    <w:rsid w:val="008E1161"/>
    <w:rsid w:val="008E11B1"/>
    <w:rsid w:val="008E11CC"/>
    <w:rsid w:val="008E11E7"/>
    <w:rsid w:val="008E122F"/>
    <w:rsid w:val="008E124F"/>
    <w:rsid w:val="008E127B"/>
    <w:rsid w:val="008E14DF"/>
    <w:rsid w:val="008E14E0"/>
    <w:rsid w:val="008E1637"/>
    <w:rsid w:val="008E1769"/>
    <w:rsid w:val="008E1779"/>
    <w:rsid w:val="008E1838"/>
    <w:rsid w:val="008E1889"/>
    <w:rsid w:val="008E1B2E"/>
    <w:rsid w:val="008E1B69"/>
    <w:rsid w:val="008E1B74"/>
    <w:rsid w:val="008E1C6C"/>
    <w:rsid w:val="008E1D50"/>
    <w:rsid w:val="008E1DB7"/>
    <w:rsid w:val="008E1F47"/>
    <w:rsid w:val="008E1F60"/>
    <w:rsid w:val="008E1FDD"/>
    <w:rsid w:val="008E2056"/>
    <w:rsid w:val="008E211B"/>
    <w:rsid w:val="008E212D"/>
    <w:rsid w:val="008E218E"/>
    <w:rsid w:val="008E21E8"/>
    <w:rsid w:val="008E21F3"/>
    <w:rsid w:val="008E23E3"/>
    <w:rsid w:val="008E24AF"/>
    <w:rsid w:val="008E24BE"/>
    <w:rsid w:val="008E2584"/>
    <w:rsid w:val="008E258A"/>
    <w:rsid w:val="008E258C"/>
    <w:rsid w:val="008E261F"/>
    <w:rsid w:val="008E26A1"/>
    <w:rsid w:val="008E2768"/>
    <w:rsid w:val="008E2771"/>
    <w:rsid w:val="008E27B1"/>
    <w:rsid w:val="008E2810"/>
    <w:rsid w:val="008E282D"/>
    <w:rsid w:val="008E2832"/>
    <w:rsid w:val="008E289E"/>
    <w:rsid w:val="008E28C3"/>
    <w:rsid w:val="008E28ED"/>
    <w:rsid w:val="008E2935"/>
    <w:rsid w:val="008E29EF"/>
    <w:rsid w:val="008E2A61"/>
    <w:rsid w:val="008E2A9E"/>
    <w:rsid w:val="008E2B2E"/>
    <w:rsid w:val="008E2C7F"/>
    <w:rsid w:val="008E2E2E"/>
    <w:rsid w:val="008E2F44"/>
    <w:rsid w:val="008E2FA2"/>
    <w:rsid w:val="008E328A"/>
    <w:rsid w:val="008E32BB"/>
    <w:rsid w:val="008E3443"/>
    <w:rsid w:val="008E34D5"/>
    <w:rsid w:val="008E35D0"/>
    <w:rsid w:val="008E3644"/>
    <w:rsid w:val="008E3666"/>
    <w:rsid w:val="008E3679"/>
    <w:rsid w:val="008E3727"/>
    <w:rsid w:val="008E37B7"/>
    <w:rsid w:val="008E3859"/>
    <w:rsid w:val="008E3979"/>
    <w:rsid w:val="008E39C6"/>
    <w:rsid w:val="008E3CBE"/>
    <w:rsid w:val="008E3CFC"/>
    <w:rsid w:val="008E3D4B"/>
    <w:rsid w:val="008E3D89"/>
    <w:rsid w:val="008E3FB8"/>
    <w:rsid w:val="008E3FC4"/>
    <w:rsid w:val="008E3FF8"/>
    <w:rsid w:val="008E40DD"/>
    <w:rsid w:val="008E415E"/>
    <w:rsid w:val="008E4198"/>
    <w:rsid w:val="008E41CA"/>
    <w:rsid w:val="008E43D8"/>
    <w:rsid w:val="008E441D"/>
    <w:rsid w:val="008E44A2"/>
    <w:rsid w:val="008E4597"/>
    <w:rsid w:val="008E45A2"/>
    <w:rsid w:val="008E46DE"/>
    <w:rsid w:val="008E476E"/>
    <w:rsid w:val="008E4780"/>
    <w:rsid w:val="008E4809"/>
    <w:rsid w:val="008E4847"/>
    <w:rsid w:val="008E494F"/>
    <w:rsid w:val="008E4A21"/>
    <w:rsid w:val="008E4A2D"/>
    <w:rsid w:val="008E4B12"/>
    <w:rsid w:val="008E4B86"/>
    <w:rsid w:val="008E4BB3"/>
    <w:rsid w:val="008E4D40"/>
    <w:rsid w:val="008E4DF8"/>
    <w:rsid w:val="008E4EA2"/>
    <w:rsid w:val="008E4F0A"/>
    <w:rsid w:val="008E4F0D"/>
    <w:rsid w:val="008E4FE2"/>
    <w:rsid w:val="008E4FE9"/>
    <w:rsid w:val="008E518D"/>
    <w:rsid w:val="008E518E"/>
    <w:rsid w:val="008E51B7"/>
    <w:rsid w:val="008E5301"/>
    <w:rsid w:val="008E5377"/>
    <w:rsid w:val="008E5385"/>
    <w:rsid w:val="008E5573"/>
    <w:rsid w:val="008E558C"/>
    <w:rsid w:val="008E579C"/>
    <w:rsid w:val="008E5837"/>
    <w:rsid w:val="008E587B"/>
    <w:rsid w:val="008E5969"/>
    <w:rsid w:val="008E5A12"/>
    <w:rsid w:val="008E5AC1"/>
    <w:rsid w:val="008E5B4D"/>
    <w:rsid w:val="008E5CB0"/>
    <w:rsid w:val="008E5E7D"/>
    <w:rsid w:val="008E5FEC"/>
    <w:rsid w:val="008E6005"/>
    <w:rsid w:val="008E606D"/>
    <w:rsid w:val="008E617C"/>
    <w:rsid w:val="008E61D4"/>
    <w:rsid w:val="008E61F9"/>
    <w:rsid w:val="008E6348"/>
    <w:rsid w:val="008E63DE"/>
    <w:rsid w:val="008E648B"/>
    <w:rsid w:val="008E649A"/>
    <w:rsid w:val="008E64A4"/>
    <w:rsid w:val="008E64C2"/>
    <w:rsid w:val="008E651B"/>
    <w:rsid w:val="008E6627"/>
    <w:rsid w:val="008E6679"/>
    <w:rsid w:val="008E6742"/>
    <w:rsid w:val="008E681E"/>
    <w:rsid w:val="008E6905"/>
    <w:rsid w:val="008E699D"/>
    <w:rsid w:val="008E69F0"/>
    <w:rsid w:val="008E6A2F"/>
    <w:rsid w:val="008E6A43"/>
    <w:rsid w:val="008E6B1D"/>
    <w:rsid w:val="008E6B67"/>
    <w:rsid w:val="008E6C30"/>
    <w:rsid w:val="008E6C39"/>
    <w:rsid w:val="008E6E03"/>
    <w:rsid w:val="008E6E12"/>
    <w:rsid w:val="008E6ECD"/>
    <w:rsid w:val="008E7185"/>
    <w:rsid w:val="008E71A4"/>
    <w:rsid w:val="008E7278"/>
    <w:rsid w:val="008E731E"/>
    <w:rsid w:val="008E734B"/>
    <w:rsid w:val="008E7531"/>
    <w:rsid w:val="008E754C"/>
    <w:rsid w:val="008E7582"/>
    <w:rsid w:val="008E75B7"/>
    <w:rsid w:val="008E771F"/>
    <w:rsid w:val="008E7731"/>
    <w:rsid w:val="008E77A3"/>
    <w:rsid w:val="008E784F"/>
    <w:rsid w:val="008E78C7"/>
    <w:rsid w:val="008E7943"/>
    <w:rsid w:val="008E79DE"/>
    <w:rsid w:val="008E7A05"/>
    <w:rsid w:val="008E7A0F"/>
    <w:rsid w:val="008E7A47"/>
    <w:rsid w:val="008E7B8E"/>
    <w:rsid w:val="008E7B93"/>
    <w:rsid w:val="008E7C2F"/>
    <w:rsid w:val="008E7C58"/>
    <w:rsid w:val="008E7C71"/>
    <w:rsid w:val="008E7DEE"/>
    <w:rsid w:val="008E7ED3"/>
    <w:rsid w:val="008E7F0F"/>
    <w:rsid w:val="008F00D5"/>
    <w:rsid w:val="008F026A"/>
    <w:rsid w:val="008F02F3"/>
    <w:rsid w:val="008F03A9"/>
    <w:rsid w:val="008F04DB"/>
    <w:rsid w:val="008F0596"/>
    <w:rsid w:val="008F0672"/>
    <w:rsid w:val="008F06C5"/>
    <w:rsid w:val="008F0752"/>
    <w:rsid w:val="008F080A"/>
    <w:rsid w:val="008F090B"/>
    <w:rsid w:val="008F092B"/>
    <w:rsid w:val="008F0A2F"/>
    <w:rsid w:val="008F0BCF"/>
    <w:rsid w:val="008F0CC1"/>
    <w:rsid w:val="008F0CE9"/>
    <w:rsid w:val="008F0D57"/>
    <w:rsid w:val="008F104C"/>
    <w:rsid w:val="008F10DF"/>
    <w:rsid w:val="008F1123"/>
    <w:rsid w:val="008F1145"/>
    <w:rsid w:val="008F11D1"/>
    <w:rsid w:val="008F11F1"/>
    <w:rsid w:val="008F1281"/>
    <w:rsid w:val="008F13BC"/>
    <w:rsid w:val="008F1495"/>
    <w:rsid w:val="008F14CC"/>
    <w:rsid w:val="008F159D"/>
    <w:rsid w:val="008F17B3"/>
    <w:rsid w:val="008F1852"/>
    <w:rsid w:val="008F1872"/>
    <w:rsid w:val="008F1A1B"/>
    <w:rsid w:val="008F1A20"/>
    <w:rsid w:val="008F1ACF"/>
    <w:rsid w:val="008F1D89"/>
    <w:rsid w:val="008F1D90"/>
    <w:rsid w:val="008F1DAC"/>
    <w:rsid w:val="008F1E9E"/>
    <w:rsid w:val="008F1EA3"/>
    <w:rsid w:val="008F1EC9"/>
    <w:rsid w:val="008F1EFF"/>
    <w:rsid w:val="008F1F0E"/>
    <w:rsid w:val="008F206F"/>
    <w:rsid w:val="008F207B"/>
    <w:rsid w:val="008F20B5"/>
    <w:rsid w:val="008F21DB"/>
    <w:rsid w:val="008F2211"/>
    <w:rsid w:val="008F222B"/>
    <w:rsid w:val="008F2254"/>
    <w:rsid w:val="008F2258"/>
    <w:rsid w:val="008F22AA"/>
    <w:rsid w:val="008F233C"/>
    <w:rsid w:val="008F2441"/>
    <w:rsid w:val="008F24D6"/>
    <w:rsid w:val="008F24E2"/>
    <w:rsid w:val="008F2636"/>
    <w:rsid w:val="008F2794"/>
    <w:rsid w:val="008F281B"/>
    <w:rsid w:val="008F2829"/>
    <w:rsid w:val="008F287B"/>
    <w:rsid w:val="008F28B4"/>
    <w:rsid w:val="008F296C"/>
    <w:rsid w:val="008F2C6C"/>
    <w:rsid w:val="008F2D35"/>
    <w:rsid w:val="008F2E18"/>
    <w:rsid w:val="008F2E91"/>
    <w:rsid w:val="008F2F05"/>
    <w:rsid w:val="008F3170"/>
    <w:rsid w:val="008F31AC"/>
    <w:rsid w:val="008F31BA"/>
    <w:rsid w:val="008F31C7"/>
    <w:rsid w:val="008F31D4"/>
    <w:rsid w:val="008F32BB"/>
    <w:rsid w:val="008F3307"/>
    <w:rsid w:val="008F33BE"/>
    <w:rsid w:val="008F3416"/>
    <w:rsid w:val="008F3484"/>
    <w:rsid w:val="008F34A2"/>
    <w:rsid w:val="008F35F2"/>
    <w:rsid w:val="008F3629"/>
    <w:rsid w:val="008F3666"/>
    <w:rsid w:val="008F37AF"/>
    <w:rsid w:val="008F383F"/>
    <w:rsid w:val="008F38D4"/>
    <w:rsid w:val="008F3911"/>
    <w:rsid w:val="008F39A5"/>
    <w:rsid w:val="008F39C0"/>
    <w:rsid w:val="008F3A34"/>
    <w:rsid w:val="008F3A3D"/>
    <w:rsid w:val="008F3B56"/>
    <w:rsid w:val="008F3BD5"/>
    <w:rsid w:val="008F3CCA"/>
    <w:rsid w:val="008F3DCC"/>
    <w:rsid w:val="008F3E5B"/>
    <w:rsid w:val="008F3FFF"/>
    <w:rsid w:val="008F40CD"/>
    <w:rsid w:val="008F4130"/>
    <w:rsid w:val="008F425A"/>
    <w:rsid w:val="008F4301"/>
    <w:rsid w:val="008F4350"/>
    <w:rsid w:val="008F439C"/>
    <w:rsid w:val="008F44C0"/>
    <w:rsid w:val="008F4527"/>
    <w:rsid w:val="008F45B9"/>
    <w:rsid w:val="008F4762"/>
    <w:rsid w:val="008F48C2"/>
    <w:rsid w:val="008F48D8"/>
    <w:rsid w:val="008F48EB"/>
    <w:rsid w:val="008F491A"/>
    <w:rsid w:val="008F4B1F"/>
    <w:rsid w:val="008F4B75"/>
    <w:rsid w:val="008F4C39"/>
    <w:rsid w:val="008F4CD0"/>
    <w:rsid w:val="008F4D9E"/>
    <w:rsid w:val="008F4DBE"/>
    <w:rsid w:val="008F4EC0"/>
    <w:rsid w:val="008F4EE6"/>
    <w:rsid w:val="008F5072"/>
    <w:rsid w:val="008F5258"/>
    <w:rsid w:val="008F5360"/>
    <w:rsid w:val="008F5423"/>
    <w:rsid w:val="008F5427"/>
    <w:rsid w:val="008F5472"/>
    <w:rsid w:val="008F54C9"/>
    <w:rsid w:val="008F5772"/>
    <w:rsid w:val="008F57F2"/>
    <w:rsid w:val="008F588B"/>
    <w:rsid w:val="008F5898"/>
    <w:rsid w:val="008F592F"/>
    <w:rsid w:val="008F5989"/>
    <w:rsid w:val="008F599B"/>
    <w:rsid w:val="008F5AA1"/>
    <w:rsid w:val="008F5B6E"/>
    <w:rsid w:val="008F5B9D"/>
    <w:rsid w:val="008F5C2D"/>
    <w:rsid w:val="008F5C92"/>
    <w:rsid w:val="008F5CDF"/>
    <w:rsid w:val="008F5CEF"/>
    <w:rsid w:val="008F5E73"/>
    <w:rsid w:val="008F5E82"/>
    <w:rsid w:val="008F5EEF"/>
    <w:rsid w:val="008F5F2C"/>
    <w:rsid w:val="008F602A"/>
    <w:rsid w:val="008F60B1"/>
    <w:rsid w:val="008F614E"/>
    <w:rsid w:val="008F61CF"/>
    <w:rsid w:val="008F621E"/>
    <w:rsid w:val="008F62FA"/>
    <w:rsid w:val="008F63C4"/>
    <w:rsid w:val="008F63CA"/>
    <w:rsid w:val="008F6409"/>
    <w:rsid w:val="008F6471"/>
    <w:rsid w:val="008F64DF"/>
    <w:rsid w:val="008F65DE"/>
    <w:rsid w:val="008F6615"/>
    <w:rsid w:val="008F672A"/>
    <w:rsid w:val="008F67D1"/>
    <w:rsid w:val="008F67EF"/>
    <w:rsid w:val="008F6869"/>
    <w:rsid w:val="008F6918"/>
    <w:rsid w:val="008F6939"/>
    <w:rsid w:val="008F698B"/>
    <w:rsid w:val="008F69DD"/>
    <w:rsid w:val="008F69F2"/>
    <w:rsid w:val="008F6A2D"/>
    <w:rsid w:val="008F6B3B"/>
    <w:rsid w:val="008F6CCE"/>
    <w:rsid w:val="008F6D1C"/>
    <w:rsid w:val="008F6E1C"/>
    <w:rsid w:val="008F6E30"/>
    <w:rsid w:val="008F7142"/>
    <w:rsid w:val="008F7203"/>
    <w:rsid w:val="008F7409"/>
    <w:rsid w:val="008F759A"/>
    <w:rsid w:val="008F766C"/>
    <w:rsid w:val="008F7847"/>
    <w:rsid w:val="008F786B"/>
    <w:rsid w:val="008F78F5"/>
    <w:rsid w:val="008F7973"/>
    <w:rsid w:val="008F79F1"/>
    <w:rsid w:val="008F7C26"/>
    <w:rsid w:val="008F7C72"/>
    <w:rsid w:val="008F7D29"/>
    <w:rsid w:val="008F7E9A"/>
    <w:rsid w:val="008F7ED2"/>
    <w:rsid w:val="008F7FAA"/>
    <w:rsid w:val="008F7FB1"/>
    <w:rsid w:val="009001B8"/>
    <w:rsid w:val="0090037A"/>
    <w:rsid w:val="0090040F"/>
    <w:rsid w:val="0090043F"/>
    <w:rsid w:val="0090056E"/>
    <w:rsid w:val="009008AF"/>
    <w:rsid w:val="009008B7"/>
    <w:rsid w:val="00900959"/>
    <w:rsid w:val="00900960"/>
    <w:rsid w:val="009009A5"/>
    <w:rsid w:val="009009D6"/>
    <w:rsid w:val="00900A37"/>
    <w:rsid w:val="00900CBD"/>
    <w:rsid w:val="00900CD7"/>
    <w:rsid w:val="00900CF9"/>
    <w:rsid w:val="00900D58"/>
    <w:rsid w:val="00900D84"/>
    <w:rsid w:val="00900DF8"/>
    <w:rsid w:val="00901179"/>
    <w:rsid w:val="00901184"/>
    <w:rsid w:val="009012B8"/>
    <w:rsid w:val="009012E5"/>
    <w:rsid w:val="009012E9"/>
    <w:rsid w:val="009012EE"/>
    <w:rsid w:val="009013B1"/>
    <w:rsid w:val="009013BB"/>
    <w:rsid w:val="009013FD"/>
    <w:rsid w:val="009014D5"/>
    <w:rsid w:val="009016E1"/>
    <w:rsid w:val="00901704"/>
    <w:rsid w:val="0090170B"/>
    <w:rsid w:val="00901769"/>
    <w:rsid w:val="009017EF"/>
    <w:rsid w:val="00901830"/>
    <w:rsid w:val="00901924"/>
    <w:rsid w:val="00901931"/>
    <w:rsid w:val="00901C4F"/>
    <w:rsid w:val="00901C59"/>
    <w:rsid w:val="00901DD7"/>
    <w:rsid w:val="00901F86"/>
    <w:rsid w:val="0090208E"/>
    <w:rsid w:val="009020F3"/>
    <w:rsid w:val="0090229A"/>
    <w:rsid w:val="0090229C"/>
    <w:rsid w:val="00902447"/>
    <w:rsid w:val="0090245B"/>
    <w:rsid w:val="009026A2"/>
    <w:rsid w:val="009026C4"/>
    <w:rsid w:val="00902702"/>
    <w:rsid w:val="0090270D"/>
    <w:rsid w:val="0090281C"/>
    <w:rsid w:val="0090299A"/>
    <w:rsid w:val="009029DC"/>
    <w:rsid w:val="00902A24"/>
    <w:rsid w:val="00902A94"/>
    <w:rsid w:val="00902A9E"/>
    <w:rsid w:val="00902BBA"/>
    <w:rsid w:val="00902C9B"/>
    <w:rsid w:val="00902D6D"/>
    <w:rsid w:val="00902DDD"/>
    <w:rsid w:val="00902F1D"/>
    <w:rsid w:val="00902FB6"/>
    <w:rsid w:val="0090302D"/>
    <w:rsid w:val="00903082"/>
    <w:rsid w:val="00903090"/>
    <w:rsid w:val="009030B0"/>
    <w:rsid w:val="009030F2"/>
    <w:rsid w:val="009031ED"/>
    <w:rsid w:val="0090323F"/>
    <w:rsid w:val="00903284"/>
    <w:rsid w:val="00903310"/>
    <w:rsid w:val="00903333"/>
    <w:rsid w:val="00903350"/>
    <w:rsid w:val="0090340A"/>
    <w:rsid w:val="00903448"/>
    <w:rsid w:val="009034BC"/>
    <w:rsid w:val="0090354F"/>
    <w:rsid w:val="00903634"/>
    <w:rsid w:val="00903636"/>
    <w:rsid w:val="0090380C"/>
    <w:rsid w:val="00903833"/>
    <w:rsid w:val="00903893"/>
    <w:rsid w:val="00903A68"/>
    <w:rsid w:val="00903B5E"/>
    <w:rsid w:val="00903B9E"/>
    <w:rsid w:val="00903BCC"/>
    <w:rsid w:val="00903C3D"/>
    <w:rsid w:val="00903CDB"/>
    <w:rsid w:val="00903CE8"/>
    <w:rsid w:val="00903D02"/>
    <w:rsid w:val="00903E2F"/>
    <w:rsid w:val="00903EAA"/>
    <w:rsid w:val="00903FB6"/>
    <w:rsid w:val="00903FC3"/>
    <w:rsid w:val="00904097"/>
    <w:rsid w:val="0090419C"/>
    <w:rsid w:val="0090424D"/>
    <w:rsid w:val="009042E7"/>
    <w:rsid w:val="009043AA"/>
    <w:rsid w:val="009043EE"/>
    <w:rsid w:val="009044B9"/>
    <w:rsid w:val="0090454E"/>
    <w:rsid w:val="009045AE"/>
    <w:rsid w:val="0090461F"/>
    <w:rsid w:val="00904662"/>
    <w:rsid w:val="00904698"/>
    <w:rsid w:val="00904943"/>
    <w:rsid w:val="0090496F"/>
    <w:rsid w:val="00904A95"/>
    <w:rsid w:val="00904C12"/>
    <w:rsid w:val="00904C6D"/>
    <w:rsid w:val="00904D17"/>
    <w:rsid w:val="00904E4A"/>
    <w:rsid w:val="00904E79"/>
    <w:rsid w:val="00904F1A"/>
    <w:rsid w:val="00904F96"/>
    <w:rsid w:val="00905063"/>
    <w:rsid w:val="009050A4"/>
    <w:rsid w:val="009051E1"/>
    <w:rsid w:val="00905268"/>
    <w:rsid w:val="00905320"/>
    <w:rsid w:val="009053F7"/>
    <w:rsid w:val="0090540D"/>
    <w:rsid w:val="00905422"/>
    <w:rsid w:val="0090544F"/>
    <w:rsid w:val="009054BC"/>
    <w:rsid w:val="0090565E"/>
    <w:rsid w:val="0090567D"/>
    <w:rsid w:val="00905686"/>
    <w:rsid w:val="00905756"/>
    <w:rsid w:val="00905932"/>
    <w:rsid w:val="00905A1A"/>
    <w:rsid w:val="00905A47"/>
    <w:rsid w:val="00905A84"/>
    <w:rsid w:val="00905B42"/>
    <w:rsid w:val="00905BD9"/>
    <w:rsid w:val="00905C79"/>
    <w:rsid w:val="00905D29"/>
    <w:rsid w:val="00905D68"/>
    <w:rsid w:val="00905DC9"/>
    <w:rsid w:val="00905E80"/>
    <w:rsid w:val="009060AF"/>
    <w:rsid w:val="009060EA"/>
    <w:rsid w:val="0090619A"/>
    <w:rsid w:val="009061C4"/>
    <w:rsid w:val="009062D7"/>
    <w:rsid w:val="00906331"/>
    <w:rsid w:val="00906347"/>
    <w:rsid w:val="00906393"/>
    <w:rsid w:val="0090639E"/>
    <w:rsid w:val="00906417"/>
    <w:rsid w:val="009064AC"/>
    <w:rsid w:val="0090664F"/>
    <w:rsid w:val="00906695"/>
    <w:rsid w:val="00906794"/>
    <w:rsid w:val="0090679F"/>
    <w:rsid w:val="00906877"/>
    <w:rsid w:val="009068B3"/>
    <w:rsid w:val="009068EC"/>
    <w:rsid w:val="00906995"/>
    <w:rsid w:val="00906A53"/>
    <w:rsid w:val="00906AF7"/>
    <w:rsid w:val="00906BA5"/>
    <w:rsid w:val="00906DF7"/>
    <w:rsid w:val="00906E0D"/>
    <w:rsid w:val="00906ECC"/>
    <w:rsid w:val="0090702D"/>
    <w:rsid w:val="0090722E"/>
    <w:rsid w:val="0090724A"/>
    <w:rsid w:val="0090729C"/>
    <w:rsid w:val="00907316"/>
    <w:rsid w:val="00907373"/>
    <w:rsid w:val="00907379"/>
    <w:rsid w:val="00907417"/>
    <w:rsid w:val="00907435"/>
    <w:rsid w:val="009075F3"/>
    <w:rsid w:val="00907629"/>
    <w:rsid w:val="00907690"/>
    <w:rsid w:val="00907737"/>
    <w:rsid w:val="00907779"/>
    <w:rsid w:val="0090792E"/>
    <w:rsid w:val="009079C7"/>
    <w:rsid w:val="009079E4"/>
    <w:rsid w:val="00907A5D"/>
    <w:rsid w:val="00907B16"/>
    <w:rsid w:val="00907B68"/>
    <w:rsid w:val="00907B74"/>
    <w:rsid w:val="00907C04"/>
    <w:rsid w:val="00907D27"/>
    <w:rsid w:val="00907DEB"/>
    <w:rsid w:val="00907F6B"/>
    <w:rsid w:val="0091000C"/>
    <w:rsid w:val="00910160"/>
    <w:rsid w:val="00910168"/>
    <w:rsid w:val="009102C9"/>
    <w:rsid w:val="0091042D"/>
    <w:rsid w:val="00910539"/>
    <w:rsid w:val="00910561"/>
    <w:rsid w:val="009106A7"/>
    <w:rsid w:val="0091079D"/>
    <w:rsid w:val="0091090A"/>
    <w:rsid w:val="00910997"/>
    <w:rsid w:val="009109A9"/>
    <w:rsid w:val="00910A3E"/>
    <w:rsid w:val="00910A48"/>
    <w:rsid w:val="00910AE7"/>
    <w:rsid w:val="00910BA3"/>
    <w:rsid w:val="00910D33"/>
    <w:rsid w:val="00910EE3"/>
    <w:rsid w:val="00910F91"/>
    <w:rsid w:val="00910FA8"/>
    <w:rsid w:val="00911090"/>
    <w:rsid w:val="009110B0"/>
    <w:rsid w:val="00911147"/>
    <w:rsid w:val="0091114C"/>
    <w:rsid w:val="0091116E"/>
    <w:rsid w:val="0091119F"/>
    <w:rsid w:val="009112E8"/>
    <w:rsid w:val="00911369"/>
    <w:rsid w:val="009114C1"/>
    <w:rsid w:val="009114DC"/>
    <w:rsid w:val="009114EB"/>
    <w:rsid w:val="00911548"/>
    <w:rsid w:val="0091158C"/>
    <w:rsid w:val="009115A6"/>
    <w:rsid w:val="0091162A"/>
    <w:rsid w:val="00911639"/>
    <w:rsid w:val="009116C9"/>
    <w:rsid w:val="009116CE"/>
    <w:rsid w:val="009116E4"/>
    <w:rsid w:val="009118F4"/>
    <w:rsid w:val="009119E9"/>
    <w:rsid w:val="00911A0C"/>
    <w:rsid w:val="00911AFB"/>
    <w:rsid w:val="00911B4D"/>
    <w:rsid w:val="00911B5E"/>
    <w:rsid w:val="00911CBD"/>
    <w:rsid w:val="00911D32"/>
    <w:rsid w:val="00911E14"/>
    <w:rsid w:val="00911EE8"/>
    <w:rsid w:val="00911F75"/>
    <w:rsid w:val="00911F86"/>
    <w:rsid w:val="00911FE8"/>
    <w:rsid w:val="00912088"/>
    <w:rsid w:val="009121F0"/>
    <w:rsid w:val="0091220A"/>
    <w:rsid w:val="009122AB"/>
    <w:rsid w:val="0091232A"/>
    <w:rsid w:val="00912346"/>
    <w:rsid w:val="00912380"/>
    <w:rsid w:val="00912499"/>
    <w:rsid w:val="0091269D"/>
    <w:rsid w:val="009126A8"/>
    <w:rsid w:val="009126CC"/>
    <w:rsid w:val="009128FA"/>
    <w:rsid w:val="00912904"/>
    <w:rsid w:val="00912968"/>
    <w:rsid w:val="009129D3"/>
    <w:rsid w:val="009129F5"/>
    <w:rsid w:val="00912A9F"/>
    <w:rsid w:val="00912AB3"/>
    <w:rsid w:val="00912B5B"/>
    <w:rsid w:val="00912B77"/>
    <w:rsid w:val="00912B86"/>
    <w:rsid w:val="00912CF7"/>
    <w:rsid w:val="00912D3C"/>
    <w:rsid w:val="00912D68"/>
    <w:rsid w:val="00912D71"/>
    <w:rsid w:val="00912D83"/>
    <w:rsid w:val="00912D8A"/>
    <w:rsid w:val="00912E14"/>
    <w:rsid w:val="00912EB1"/>
    <w:rsid w:val="00912EE7"/>
    <w:rsid w:val="00912F16"/>
    <w:rsid w:val="00913125"/>
    <w:rsid w:val="009131D8"/>
    <w:rsid w:val="00913244"/>
    <w:rsid w:val="009133C4"/>
    <w:rsid w:val="00913496"/>
    <w:rsid w:val="009136CE"/>
    <w:rsid w:val="009136E2"/>
    <w:rsid w:val="009138CF"/>
    <w:rsid w:val="0091390E"/>
    <w:rsid w:val="009139DF"/>
    <w:rsid w:val="00913A28"/>
    <w:rsid w:val="00913A74"/>
    <w:rsid w:val="00913AFE"/>
    <w:rsid w:val="00913B8C"/>
    <w:rsid w:val="00913BEA"/>
    <w:rsid w:val="00913C77"/>
    <w:rsid w:val="00913DD7"/>
    <w:rsid w:val="00913F25"/>
    <w:rsid w:val="00914010"/>
    <w:rsid w:val="00914076"/>
    <w:rsid w:val="009140A3"/>
    <w:rsid w:val="00914113"/>
    <w:rsid w:val="00914127"/>
    <w:rsid w:val="00914133"/>
    <w:rsid w:val="009141B0"/>
    <w:rsid w:val="009141EC"/>
    <w:rsid w:val="009142D9"/>
    <w:rsid w:val="009142FD"/>
    <w:rsid w:val="0091430A"/>
    <w:rsid w:val="00914447"/>
    <w:rsid w:val="0091445C"/>
    <w:rsid w:val="009144B9"/>
    <w:rsid w:val="009144FE"/>
    <w:rsid w:val="0091453E"/>
    <w:rsid w:val="0091461C"/>
    <w:rsid w:val="0091476E"/>
    <w:rsid w:val="009147E1"/>
    <w:rsid w:val="0091483C"/>
    <w:rsid w:val="00914867"/>
    <w:rsid w:val="009148CC"/>
    <w:rsid w:val="009148E6"/>
    <w:rsid w:val="00914A2E"/>
    <w:rsid w:val="00914B51"/>
    <w:rsid w:val="00914B79"/>
    <w:rsid w:val="00914BD4"/>
    <w:rsid w:val="00914CFA"/>
    <w:rsid w:val="00914DCD"/>
    <w:rsid w:val="00914EBA"/>
    <w:rsid w:val="00914F30"/>
    <w:rsid w:val="00914FA8"/>
    <w:rsid w:val="00914FEC"/>
    <w:rsid w:val="0091507C"/>
    <w:rsid w:val="0091508B"/>
    <w:rsid w:val="0091511D"/>
    <w:rsid w:val="00915177"/>
    <w:rsid w:val="00915301"/>
    <w:rsid w:val="0091535B"/>
    <w:rsid w:val="0091570F"/>
    <w:rsid w:val="00915759"/>
    <w:rsid w:val="009157C1"/>
    <w:rsid w:val="009158C2"/>
    <w:rsid w:val="00915927"/>
    <w:rsid w:val="00915959"/>
    <w:rsid w:val="00915ABD"/>
    <w:rsid w:val="00915B83"/>
    <w:rsid w:val="00915BD0"/>
    <w:rsid w:val="00915C51"/>
    <w:rsid w:val="00915C97"/>
    <w:rsid w:val="00915CB9"/>
    <w:rsid w:val="00915CC6"/>
    <w:rsid w:val="00915CCA"/>
    <w:rsid w:val="00915CFF"/>
    <w:rsid w:val="00915E6A"/>
    <w:rsid w:val="00915EB5"/>
    <w:rsid w:val="00915EC7"/>
    <w:rsid w:val="00915FAD"/>
    <w:rsid w:val="0091601A"/>
    <w:rsid w:val="0091627B"/>
    <w:rsid w:val="00916364"/>
    <w:rsid w:val="009163F1"/>
    <w:rsid w:val="00916419"/>
    <w:rsid w:val="0091641F"/>
    <w:rsid w:val="00916527"/>
    <w:rsid w:val="0091655D"/>
    <w:rsid w:val="0091657B"/>
    <w:rsid w:val="00916589"/>
    <w:rsid w:val="009165C2"/>
    <w:rsid w:val="00916621"/>
    <w:rsid w:val="00916665"/>
    <w:rsid w:val="00916727"/>
    <w:rsid w:val="00916784"/>
    <w:rsid w:val="00916861"/>
    <w:rsid w:val="009168AD"/>
    <w:rsid w:val="00916AD2"/>
    <w:rsid w:val="00916B12"/>
    <w:rsid w:val="00916C29"/>
    <w:rsid w:val="00916C7A"/>
    <w:rsid w:val="00916E4F"/>
    <w:rsid w:val="00916F17"/>
    <w:rsid w:val="00916F34"/>
    <w:rsid w:val="00916F51"/>
    <w:rsid w:val="00917029"/>
    <w:rsid w:val="00917043"/>
    <w:rsid w:val="00917085"/>
    <w:rsid w:val="009171D6"/>
    <w:rsid w:val="00917241"/>
    <w:rsid w:val="009172EF"/>
    <w:rsid w:val="0091737F"/>
    <w:rsid w:val="009173C0"/>
    <w:rsid w:val="009173CF"/>
    <w:rsid w:val="00917433"/>
    <w:rsid w:val="009174CD"/>
    <w:rsid w:val="0091754A"/>
    <w:rsid w:val="00917677"/>
    <w:rsid w:val="009176B9"/>
    <w:rsid w:val="009177E2"/>
    <w:rsid w:val="00917835"/>
    <w:rsid w:val="0091783D"/>
    <w:rsid w:val="0091796D"/>
    <w:rsid w:val="00917971"/>
    <w:rsid w:val="00917A67"/>
    <w:rsid w:val="00917D3E"/>
    <w:rsid w:val="00917E2F"/>
    <w:rsid w:val="00917E40"/>
    <w:rsid w:val="00917E92"/>
    <w:rsid w:val="00917ED9"/>
    <w:rsid w:val="00920017"/>
    <w:rsid w:val="009200B0"/>
    <w:rsid w:val="009200E0"/>
    <w:rsid w:val="009201DC"/>
    <w:rsid w:val="009201F3"/>
    <w:rsid w:val="009203C4"/>
    <w:rsid w:val="00920418"/>
    <w:rsid w:val="0092050C"/>
    <w:rsid w:val="00920533"/>
    <w:rsid w:val="009205C3"/>
    <w:rsid w:val="009206A8"/>
    <w:rsid w:val="00920755"/>
    <w:rsid w:val="0092075F"/>
    <w:rsid w:val="009207C6"/>
    <w:rsid w:val="009207F3"/>
    <w:rsid w:val="00920839"/>
    <w:rsid w:val="009208AD"/>
    <w:rsid w:val="009209D0"/>
    <w:rsid w:val="00920A5B"/>
    <w:rsid w:val="00920B20"/>
    <w:rsid w:val="00920C7A"/>
    <w:rsid w:val="00920C86"/>
    <w:rsid w:val="00920E0B"/>
    <w:rsid w:val="00920E1E"/>
    <w:rsid w:val="00920EE7"/>
    <w:rsid w:val="00920FB4"/>
    <w:rsid w:val="00920FEB"/>
    <w:rsid w:val="00921021"/>
    <w:rsid w:val="00921109"/>
    <w:rsid w:val="00921128"/>
    <w:rsid w:val="00921129"/>
    <w:rsid w:val="00921334"/>
    <w:rsid w:val="009213F2"/>
    <w:rsid w:val="0092144B"/>
    <w:rsid w:val="00921481"/>
    <w:rsid w:val="00921537"/>
    <w:rsid w:val="009216DF"/>
    <w:rsid w:val="0092174F"/>
    <w:rsid w:val="00921752"/>
    <w:rsid w:val="0092178B"/>
    <w:rsid w:val="009218FA"/>
    <w:rsid w:val="00921BCD"/>
    <w:rsid w:val="00921C47"/>
    <w:rsid w:val="00921E00"/>
    <w:rsid w:val="00921E1F"/>
    <w:rsid w:val="00921EBC"/>
    <w:rsid w:val="00921EE9"/>
    <w:rsid w:val="00921F11"/>
    <w:rsid w:val="00922014"/>
    <w:rsid w:val="00922055"/>
    <w:rsid w:val="00922278"/>
    <w:rsid w:val="009222E9"/>
    <w:rsid w:val="009222F7"/>
    <w:rsid w:val="0092236C"/>
    <w:rsid w:val="0092241C"/>
    <w:rsid w:val="0092246A"/>
    <w:rsid w:val="009224AB"/>
    <w:rsid w:val="00922585"/>
    <w:rsid w:val="009225F0"/>
    <w:rsid w:val="00922611"/>
    <w:rsid w:val="00922644"/>
    <w:rsid w:val="009227AB"/>
    <w:rsid w:val="009227D4"/>
    <w:rsid w:val="009228D8"/>
    <w:rsid w:val="00922912"/>
    <w:rsid w:val="00922960"/>
    <w:rsid w:val="00922A2A"/>
    <w:rsid w:val="00922A48"/>
    <w:rsid w:val="00922A5E"/>
    <w:rsid w:val="00922A97"/>
    <w:rsid w:val="00922AB1"/>
    <w:rsid w:val="00922B00"/>
    <w:rsid w:val="00922BBF"/>
    <w:rsid w:val="00922D06"/>
    <w:rsid w:val="00922E00"/>
    <w:rsid w:val="00922F39"/>
    <w:rsid w:val="00922FFB"/>
    <w:rsid w:val="00923036"/>
    <w:rsid w:val="00923074"/>
    <w:rsid w:val="009230EF"/>
    <w:rsid w:val="00923167"/>
    <w:rsid w:val="0092323B"/>
    <w:rsid w:val="009232B1"/>
    <w:rsid w:val="009232DC"/>
    <w:rsid w:val="00923329"/>
    <w:rsid w:val="0092356B"/>
    <w:rsid w:val="0092356D"/>
    <w:rsid w:val="009236AF"/>
    <w:rsid w:val="009236DE"/>
    <w:rsid w:val="009236ED"/>
    <w:rsid w:val="00923751"/>
    <w:rsid w:val="009237B1"/>
    <w:rsid w:val="009237CE"/>
    <w:rsid w:val="00923871"/>
    <w:rsid w:val="00923911"/>
    <w:rsid w:val="00923978"/>
    <w:rsid w:val="00923981"/>
    <w:rsid w:val="009239F7"/>
    <w:rsid w:val="00923A96"/>
    <w:rsid w:val="00923AD6"/>
    <w:rsid w:val="00923AF5"/>
    <w:rsid w:val="00923B0F"/>
    <w:rsid w:val="00923B60"/>
    <w:rsid w:val="00923C7C"/>
    <w:rsid w:val="00923DE3"/>
    <w:rsid w:val="00923ED6"/>
    <w:rsid w:val="00923FDA"/>
    <w:rsid w:val="00924083"/>
    <w:rsid w:val="00924106"/>
    <w:rsid w:val="00924179"/>
    <w:rsid w:val="00924242"/>
    <w:rsid w:val="0092424F"/>
    <w:rsid w:val="009242BD"/>
    <w:rsid w:val="009242C6"/>
    <w:rsid w:val="00924426"/>
    <w:rsid w:val="009244C6"/>
    <w:rsid w:val="00924579"/>
    <w:rsid w:val="00924655"/>
    <w:rsid w:val="00924755"/>
    <w:rsid w:val="009247E3"/>
    <w:rsid w:val="0092488A"/>
    <w:rsid w:val="00924A89"/>
    <w:rsid w:val="00924AD8"/>
    <w:rsid w:val="00924B12"/>
    <w:rsid w:val="00924B2F"/>
    <w:rsid w:val="00924C2E"/>
    <w:rsid w:val="00924C89"/>
    <w:rsid w:val="00924D28"/>
    <w:rsid w:val="00924D35"/>
    <w:rsid w:val="00924D54"/>
    <w:rsid w:val="00924E38"/>
    <w:rsid w:val="00924E46"/>
    <w:rsid w:val="00924EDA"/>
    <w:rsid w:val="00925025"/>
    <w:rsid w:val="00925090"/>
    <w:rsid w:val="00925111"/>
    <w:rsid w:val="00925154"/>
    <w:rsid w:val="00925203"/>
    <w:rsid w:val="00925283"/>
    <w:rsid w:val="009252BC"/>
    <w:rsid w:val="009252E4"/>
    <w:rsid w:val="00925369"/>
    <w:rsid w:val="009253CF"/>
    <w:rsid w:val="009253F8"/>
    <w:rsid w:val="00925518"/>
    <w:rsid w:val="00925561"/>
    <w:rsid w:val="00925719"/>
    <w:rsid w:val="009257EF"/>
    <w:rsid w:val="00925869"/>
    <w:rsid w:val="009259A4"/>
    <w:rsid w:val="00925A2A"/>
    <w:rsid w:val="00925A54"/>
    <w:rsid w:val="00925A6A"/>
    <w:rsid w:val="00925B37"/>
    <w:rsid w:val="00925BE4"/>
    <w:rsid w:val="00925BF7"/>
    <w:rsid w:val="00925D1E"/>
    <w:rsid w:val="00925E13"/>
    <w:rsid w:val="00925E54"/>
    <w:rsid w:val="00926054"/>
    <w:rsid w:val="00926125"/>
    <w:rsid w:val="0092619B"/>
    <w:rsid w:val="009261D6"/>
    <w:rsid w:val="009262AE"/>
    <w:rsid w:val="00926399"/>
    <w:rsid w:val="00926412"/>
    <w:rsid w:val="00926432"/>
    <w:rsid w:val="009264E9"/>
    <w:rsid w:val="009265D8"/>
    <w:rsid w:val="009267E2"/>
    <w:rsid w:val="00926801"/>
    <w:rsid w:val="0092688C"/>
    <w:rsid w:val="009268C0"/>
    <w:rsid w:val="00926936"/>
    <w:rsid w:val="00926A15"/>
    <w:rsid w:val="00926B2C"/>
    <w:rsid w:val="00926BE6"/>
    <w:rsid w:val="00926C06"/>
    <w:rsid w:val="00926D6F"/>
    <w:rsid w:val="00926E70"/>
    <w:rsid w:val="00926EA1"/>
    <w:rsid w:val="00926EB6"/>
    <w:rsid w:val="00926F02"/>
    <w:rsid w:val="00926F7C"/>
    <w:rsid w:val="009270B5"/>
    <w:rsid w:val="009270C5"/>
    <w:rsid w:val="0092726B"/>
    <w:rsid w:val="00927291"/>
    <w:rsid w:val="009272CF"/>
    <w:rsid w:val="0092732E"/>
    <w:rsid w:val="009273C8"/>
    <w:rsid w:val="00927525"/>
    <w:rsid w:val="0092768A"/>
    <w:rsid w:val="00927696"/>
    <w:rsid w:val="00927779"/>
    <w:rsid w:val="00927934"/>
    <w:rsid w:val="00927ADC"/>
    <w:rsid w:val="00927ADD"/>
    <w:rsid w:val="00927B46"/>
    <w:rsid w:val="00927C48"/>
    <w:rsid w:val="00927C5E"/>
    <w:rsid w:val="00927CA7"/>
    <w:rsid w:val="00927DB4"/>
    <w:rsid w:val="00927DB7"/>
    <w:rsid w:val="00927E14"/>
    <w:rsid w:val="00927F6A"/>
    <w:rsid w:val="009300F3"/>
    <w:rsid w:val="00930258"/>
    <w:rsid w:val="00930264"/>
    <w:rsid w:val="00930306"/>
    <w:rsid w:val="00930346"/>
    <w:rsid w:val="00930371"/>
    <w:rsid w:val="00930381"/>
    <w:rsid w:val="0093046E"/>
    <w:rsid w:val="00930502"/>
    <w:rsid w:val="00930570"/>
    <w:rsid w:val="0093058E"/>
    <w:rsid w:val="009305A6"/>
    <w:rsid w:val="00930641"/>
    <w:rsid w:val="00930772"/>
    <w:rsid w:val="009307E0"/>
    <w:rsid w:val="00930806"/>
    <w:rsid w:val="00930841"/>
    <w:rsid w:val="00930863"/>
    <w:rsid w:val="00930872"/>
    <w:rsid w:val="009309D8"/>
    <w:rsid w:val="00930A33"/>
    <w:rsid w:val="00930A39"/>
    <w:rsid w:val="00930A71"/>
    <w:rsid w:val="00930B38"/>
    <w:rsid w:val="00930B3C"/>
    <w:rsid w:val="00930C59"/>
    <w:rsid w:val="00930CDA"/>
    <w:rsid w:val="00930D3C"/>
    <w:rsid w:val="00930DAD"/>
    <w:rsid w:val="00930DC3"/>
    <w:rsid w:val="00930E90"/>
    <w:rsid w:val="00930F25"/>
    <w:rsid w:val="00930F3A"/>
    <w:rsid w:val="009310A5"/>
    <w:rsid w:val="00931257"/>
    <w:rsid w:val="00931279"/>
    <w:rsid w:val="00931387"/>
    <w:rsid w:val="009313BC"/>
    <w:rsid w:val="00931455"/>
    <w:rsid w:val="009314E8"/>
    <w:rsid w:val="00931503"/>
    <w:rsid w:val="0093158B"/>
    <w:rsid w:val="009315D4"/>
    <w:rsid w:val="009315DC"/>
    <w:rsid w:val="00931687"/>
    <w:rsid w:val="009316C6"/>
    <w:rsid w:val="009316E9"/>
    <w:rsid w:val="009317B7"/>
    <w:rsid w:val="009317FD"/>
    <w:rsid w:val="0093187C"/>
    <w:rsid w:val="009318D2"/>
    <w:rsid w:val="00931966"/>
    <w:rsid w:val="009319B0"/>
    <w:rsid w:val="009319B6"/>
    <w:rsid w:val="009319C3"/>
    <w:rsid w:val="00931A45"/>
    <w:rsid w:val="00931C1A"/>
    <w:rsid w:val="00931C87"/>
    <w:rsid w:val="00931C9A"/>
    <w:rsid w:val="00931CA3"/>
    <w:rsid w:val="00931CFC"/>
    <w:rsid w:val="00931DF2"/>
    <w:rsid w:val="00931E8B"/>
    <w:rsid w:val="00931FB1"/>
    <w:rsid w:val="009320BA"/>
    <w:rsid w:val="009321C5"/>
    <w:rsid w:val="009321E8"/>
    <w:rsid w:val="0093227C"/>
    <w:rsid w:val="009322E2"/>
    <w:rsid w:val="00932365"/>
    <w:rsid w:val="0093236B"/>
    <w:rsid w:val="00932413"/>
    <w:rsid w:val="00932425"/>
    <w:rsid w:val="0093242E"/>
    <w:rsid w:val="00932499"/>
    <w:rsid w:val="0093249B"/>
    <w:rsid w:val="009324CA"/>
    <w:rsid w:val="00932506"/>
    <w:rsid w:val="0093250A"/>
    <w:rsid w:val="0093254E"/>
    <w:rsid w:val="0093260A"/>
    <w:rsid w:val="00932729"/>
    <w:rsid w:val="00932840"/>
    <w:rsid w:val="00932881"/>
    <w:rsid w:val="00932895"/>
    <w:rsid w:val="009328CD"/>
    <w:rsid w:val="0093290D"/>
    <w:rsid w:val="00932AF1"/>
    <w:rsid w:val="00932B63"/>
    <w:rsid w:val="00932B9F"/>
    <w:rsid w:val="00932BB2"/>
    <w:rsid w:val="00932C5F"/>
    <w:rsid w:val="00932C65"/>
    <w:rsid w:val="00932C6C"/>
    <w:rsid w:val="00932C77"/>
    <w:rsid w:val="00932D2E"/>
    <w:rsid w:val="00932D9C"/>
    <w:rsid w:val="00932DC7"/>
    <w:rsid w:val="00932E3A"/>
    <w:rsid w:val="00932E6C"/>
    <w:rsid w:val="00932E75"/>
    <w:rsid w:val="00932F1D"/>
    <w:rsid w:val="00932F5A"/>
    <w:rsid w:val="00932F70"/>
    <w:rsid w:val="00932F79"/>
    <w:rsid w:val="0093305E"/>
    <w:rsid w:val="009330EF"/>
    <w:rsid w:val="00933172"/>
    <w:rsid w:val="00933256"/>
    <w:rsid w:val="009332DC"/>
    <w:rsid w:val="00933368"/>
    <w:rsid w:val="00933431"/>
    <w:rsid w:val="0093345A"/>
    <w:rsid w:val="009334D3"/>
    <w:rsid w:val="009335AA"/>
    <w:rsid w:val="00933608"/>
    <w:rsid w:val="009336BC"/>
    <w:rsid w:val="00933732"/>
    <w:rsid w:val="00933798"/>
    <w:rsid w:val="009337B6"/>
    <w:rsid w:val="009337E0"/>
    <w:rsid w:val="00933917"/>
    <w:rsid w:val="00933A93"/>
    <w:rsid w:val="00933AF0"/>
    <w:rsid w:val="00933D67"/>
    <w:rsid w:val="00933DE2"/>
    <w:rsid w:val="00933EE2"/>
    <w:rsid w:val="00933EE9"/>
    <w:rsid w:val="00934106"/>
    <w:rsid w:val="00934131"/>
    <w:rsid w:val="00934148"/>
    <w:rsid w:val="009341C0"/>
    <w:rsid w:val="009341DD"/>
    <w:rsid w:val="00934238"/>
    <w:rsid w:val="009342C9"/>
    <w:rsid w:val="00934307"/>
    <w:rsid w:val="00934318"/>
    <w:rsid w:val="0093439B"/>
    <w:rsid w:val="0093442A"/>
    <w:rsid w:val="00934475"/>
    <w:rsid w:val="0093455E"/>
    <w:rsid w:val="00934722"/>
    <w:rsid w:val="00934898"/>
    <w:rsid w:val="00934900"/>
    <w:rsid w:val="00934901"/>
    <w:rsid w:val="00934917"/>
    <w:rsid w:val="009349A9"/>
    <w:rsid w:val="00934A40"/>
    <w:rsid w:val="00934B36"/>
    <w:rsid w:val="00934B60"/>
    <w:rsid w:val="00934B9C"/>
    <w:rsid w:val="00934C65"/>
    <w:rsid w:val="00934C8B"/>
    <w:rsid w:val="00934D33"/>
    <w:rsid w:val="00934E11"/>
    <w:rsid w:val="00934EB1"/>
    <w:rsid w:val="00934FDC"/>
    <w:rsid w:val="00935035"/>
    <w:rsid w:val="00935042"/>
    <w:rsid w:val="0093507F"/>
    <w:rsid w:val="00935097"/>
    <w:rsid w:val="009350F0"/>
    <w:rsid w:val="009351A3"/>
    <w:rsid w:val="0093521A"/>
    <w:rsid w:val="00935246"/>
    <w:rsid w:val="00935488"/>
    <w:rsid w:val="00935706"/>
    <w:rsid w:val="0093577A"/>
    <w:rsid w:val="00935853"/>
    <w:rsid w:val="00935975"/>
    <w:rsid w:val="009359A4"/>
    <w:rsid w:val="009359E6"/>
    <w:rsid w:val="00935B6D"/>
    <w:rsid w:val="00935BB6"/>
    <w:rsid w:val="00935C45"/>
    <w:rsid w:val="00935C5C"/>
    <w:rsid w:val="00935D38"/>
    <w:rsid w:val="00935E24"/>
    <w:rsid w:val="00935E79"/>
    <w:rsid w:val="00935E80"/>
    <w:rsid w:val="00935EC8"/>
    <w:rsid w:val="00935F2D"/>
    <w:rsid w:val="00935F7D"/>
    <w:rsid w:val="00935FD9"/>
    <w:rsid w:val="0093618F"/>
    <w:rsid w:val="00936255"/>
    <w:rsid w:val="009362C6"/>
    <w:rsid w:val="009363CE"/>
    <w:rsid w:val="00936426"/>
    <w:rsid w:val="00936430"/>
    <w:rsid w:val="00936440"/>
    <w:rsid w:val="00936457"/>
    <w:rsid w:val="00936559"/>
    <w:rsid w:val="00936592"/>
    <w:rsid w:val="0093664D"/>
    <w:rsid w:val="009367A3"/>
    <w:rsid w:val="00936889"/>
    <w:rsid w:val="009368AD"/>
    <w:rsid w:val="0093692D"/>
    <w:rsid w:val="00936A4F"/>
    <w:rsid w:val="00936AAF"/>
    <w:rsid w:val="00936AD3"/>
    <w:rsid w:val="00936B5C"/>
    <w:rsid w:val="00936B86"/>
    <w:rsid w:val="00936C4B"/>
    <w:rsid w:val="00936C89"/>
    <w:rsid w:val="00936CA9"/>
    <w:rsid w:val="00936DFC"/>
    <w:rsid w:val="00936E51"/>
    <w:rsid w:val="00936EE4"/>
    <w:rsid w:val="00936F72"/>
    <w:rsid w:val="00936FBE"/>
    <w:rsid w:val="009370EE"/>
    <w:rsid w:val="00937123"/>
    <w:rsid w:val="00937272"/>
    <w:rsid w:val="009373A6"/>
    <w:rsid w:val="009373FD"/>
    <w:rsid w:val="00937401"/>
    <w:rsid w:val="009376D9"/>
    <w:rsid w:val="00937731"/>
    <w:rsid w:val="00937783"/>
    <w:rsid w:val="009377C9"/>
    <w:rsid w:val="009377D0"/>
    <w:rsid w:val="00937808"/>
    <w:rsid w:val="00937B22"/>
    <w:rsid w:val="00937B3B"/>
    <w:rsid w:val="00937C24"/>
    <w:rsid w:val="00937C45"/>
    <w:rsid w:val="00937C9A"/>
    <w:rsid w:val="00937D66"/>
    <w:rsid w:val="00937D96"/>
    <w:rsid w:val="00937E15"/>
    <w:rsid w:val="00937E1A"/>
    <w:rsid w:val="00937F3B"/>
    <w:rsid w:val="00937FC8"/>
    <w:rsid w:val="00940020"/>
    <w:rsid w:val="0094008F"/>
    <w:rsid w:val="009400D4"/>
    <w:rsid w:val="009403CC"/>
    <w:rsid w:val="009403E9"/>
    <w:rsid w:val="00940425"/>
    <w:rsid w:val="009404C9"/>
    <w:rsid w:val="0094067A"/>
    <w:rsid w:val="0094074D"/>
    <w:rsid w:val="0094097C"/>
    <w:rsid w:val="00940989"/>
    <w:rsid w:val="00940A0A"/>
    <w:rsid w:val="00940C03"/>
    <w:rsid w:val="00940CAE"/>
    <w:rsid w:val="00940CE6"/>
    <w:rsid w:val="00940D1B"/>
    <w:rsid w:val="00940D3B"/>
    <w:rsid w:val="00940F81"/>
    <w:rsid w:val="00941098"/>
    <w:rsid w:val="009410DA"/>
    <w:rsid w:val="009411AA"/>
    <w:rsid w:val="00941254"/>
    <w:rsid w:val="00941513"/>
    <w:rsid w:val="00941760"/>
    <w:rsid w:val="0094178A"/>
    <w:rsid w:val="009417B4"/>
    <w:rsid w:val="009418C7"/>
    <w:rsid w:val="009418EE"/>
    <w:rsid w:val="009418F1"/>
    <w:rsid w:val="0094190D"/>
    <w:rsid w:val="00941919"/>
    <w:rsid w:val="0094192B"/>
    <w:rsid w:val="00941986"/>
    <w:rsid w:val="009419A4"/>
    <w:rsid w:val="00941B44"/>
    <w:rsid w:val="00941BCD"/>
    <w:rsid w:val="00941C82"/>
    <w:rsid w:val="00941CF3"/>
    <w:rsid w:val="00941D5F"/>
    <w:rsid w:val="00941DB4"/>
    <w:rsid w:val="00941DCF"/>
    <w:rsid w:val="00941FB5"/>
    <w:rsid w:val="009420F4"/>
    <w:rsid w:val="009420FE"/>
    <w:rsid w:val="0094212A"/>
    <w:rsid w:val="00942176"/>
    <w:rsid w:val="009421D1"/>
    <w:rsid w:val="009421E9"/>
    <w:rsid w:val="0094222F"/>
    <w:rsid w:val="009422D3"/>
    <w:rsid w:val="00942300"/>
    <w:rsid w:val="009423CC"/>
    <w:rsid w:val="009424C4"/>
    <w:rsid w:val="009424E5"/>
    <w:rsid w:val="0094269E"/>
    <w:rsid w:val="00942752"/>
    <w:rsid w:val="009427A6"/>
    <w:rsid w:val="009427E5"/>
    <w:rsid w:val="00942886"/>
    <w:rsid w:val="00942945"/>
    <w:rsid w:val="00942975"/>
    <w:rsid w:val="00942A31"/>
    <w:rsid w:val="00942BA7"/>
    <w:rsid w:val="00942D44"/>
    <w:rsid w:val="00942D49"/>
    <w:rsid w:val="00942D5F"/>
    <w:rsid w:val="00942D7D"/>
    <w:rsid w:val="00942E1F"/>
    <w:rsid w:val="00942E2F"/>
    <w:rsid w:val="00942E3D"/>
    <w:rsid w:val="00942EC3"/>
    <w:rsid w:val="00942F1C"/>
    <w:rsid w:val="00942FA3"/>
    <w:rsid w:val="0094300F"/>
    <w:rsid w:val="0094316A"/>
    <w:rsid w:val="00943204"/>
    <w:rsid w:val="009432C0"/>
    <w:rsid w:val="009432E3"/>
    <w:rsid w:val="0094332D"/>
    <w:rsid w:val="0094336A"/>
    <w:rsid w:val="009433A6"/>
    <w:rsid w:val="0094342D"/>
    <w:rsid w:val="00943492"/>
    <w:rsid w:val="0094350E"/>
    <w:rsid w:val="00943529"/>
    <w:rsid w:val="009435AC"/>
    <w:rsid w:val="009435C6"/>
    <w:rsid w:val="00943636"/>
    <w:rsid w:val="009436A7"/>
    <w:rsid w:val="009436F4"/>
    <w:rsid w:val="009436FE"/>
    <w:rsid w:val="00943740"/>
    <w:rsid w:val="009437E3"/>
    <w:rsid w:val="00943800"/>
    <w:rsid w:val="009438BB"/>
    <w:rsid w:val="009438F2"/>
    <w:rsid w:val="009438FA"/>
    <w:rsid w:val="00943918"/>
    <w:rsid w:val="0094399F"/>
    <w:rsid w:val="00943A62"/>
    <w:rsid w:val="00943C53"/>
    <w:rsid w:val="00943D3A"/>
    <w:rsid w:val="00943D58"/>
    <w:rsid w:val="00943D5E"/>
    <w:rsid w:val="00943DD5"/>
    <w:rsid w:val="00943EB2"/>
    <w:rsid w:val="009441AC"/>
    <w:rsid w:val="00944219"/>
    <w:rsid w:val="00944220"/>
    <w:rsid w:val="0094422C"/>
    <w:rsid w:val="0094427E"/>
    <w:rsid w:val="009442BD"/>
    <w:rsid w:val="00944436"/>
    <w:rsid w:val="009444FC"/>
    <w:rsid w:val="00944535"/>
    <w:rsid w:val="009445FA"/>
    <w:rsid w:val="00944673"/>
    <w:rsid w:val="00944675"/>
    <w:rsid w:val="0094469E"/>
    <w:rsid w:val="00944726"/>
    <w:rsid w:val="00944AD6"/>
    <w:rsid w:val="00944BC8"/>
    <w:rsid w:val="00944C5E"/>
    <w:rsid w:val="00944CCF"/>
    <w:rsid w:val="00944CD6"/>
    <w:rsid w:val="00944CDD"/>
    <w:rsid w:val="00944D34"/>
    <w:rsid w:val="00944DBB"/>
    <w:rsid w:val="00944E0E"/>
    <w:rsid w:val="00944F28"/>
    <w:rsid w:val="00945128"/>
    <w:rsid w:val="00945237"/>
    <w:rsid w:val="009453AB"/>
    <w:rsid w:val="00945425"/>
    <w:rsid w:val="009455BC"/>
    <w:rsid w:val="009455D8"/>
    <w:rsid w:val="00945601"/>
    <w:rsid w:val="009456FC"/>
    <w:rsid w:val="00945734"/>
    <w:rsid w:val="00945746"/>
    <w:rsid w:val="0094575C"/>
    <w:rsid w:val="00945796"/>
    <w:rsid w:val="0094579A"/>
    <w:rsid w:val="009457BC"/>
    <w:rsid w:val="00945804"/>
    <w:rsid w:val="0094584D"/>
    <w:rsid w:val="00945868"/>
    <w:rsid w:val="009458A4"/>
    <w:rsid w:val="0094591F"/>
    <w:rsid w:val="00945979"/>
    <w:rsid w:val="00945A0A"/>
    <w:rsid w:val="00945A1D"/>
    <w:rsid w:val="00945A1F"/>
    <w:rsid w:val="00945BB0"/>
    <w:rsid w:val="00945BC4"/>
    <w:rsid w:val="00945C0B"/>
    <w:rsid w:val="00945D7E"/>
    <w:rsid w:val="00945DC7"/>
    <w:rsid w:val="00945E68"/>
    <w:rsid w:val="00945EA0"/>
    <w:rsid w:val="00945EFD"/>
    <w:rsid w:val="00945F41"/>
    <w:rsid w:val="00945F78"/>
    <w:rsid w:val="00945FEB"/>
    <w:rsid w:val="00946000"/>
    <w:rsid w:val="0094601F"/>
    <w:rsid w:val="009460E6"/>
    <w:rsid w:val="009463EA"/>
    <w:rsid w:val="00946436"/>
    <w:rsid w:val="009464D7"/>
    <w:rsid w:val="009465CE"/>
    <w:rsid w:val="009465F0"/>
    <w:rsid w:val="00946869"/>
    <w:rsid w:val="009468EC"/>
    <w:rsid w:val="00946903"/>
    <w:rsid w:val="009469A6"/>
    <w:rsid w:val="009469F1"/>
    <w:rsid w:val="00946A45"/>
    <w:rsid w:val="00946BA3"/>
    <w:rsid w:val="00946BEF"/>
    <w:rsid w:val="00946BFE"/>
    <w:rsid w:val="00946CEE"/>
    <w:rsid w:val="00946DDE"/>
    <w:rsid w:val="00946E1A"/>
    <w:rsid w:val="009470D8"/>
    <w:rsid w:val="00947105"/>
    <w:rsid w:val="00947123"/>
    <w:rsid w:val="009471B3"/>
    <w:rsid w:val="00947287"/>
    <w:rsid w:val="009472BA"/>
    <w:rsid w:val="009472EC"/>
    <w:rsid w:val="0094731D"/>
    <w:rsid w:val="0094731F"/>
    <w:rsid w:val="00947381"/>
    <w:rsid w:val="009473A7"/>
    <w:rsid w:val="009473DC"/>
    <w:rsid w:val="00947471"/>
    <w:rsid w:val="0094751B"/>
    <w:rsid w:val="00947587"/>
    <w:rsid w:val="009475AC"/>
    <w:rsid w:val="00947654"/>
    <w:rsid w:val="009476C0"/>
    <w:rsid w:val="009476E5"/>
    <w:rsid w:val="00947715"/>
    <w:rsid w:val="00947716"/>
    <w:rsid w:val="0094772F"/>
    <w:rsid w:val="0094785E"/>
    <w:rsid w:val="00947864"/>
    <w:rsid w:val="009478F9"/>
    <w:rsid w:val="00947AC8"/>
    <w:rsid w:val="00947BAD"/>
    <w:rsid w:val="00947C1C"/>
    <w:rsid w:val="00947CB6"/>
    <w:rsid w:val="00947E05"/>
    <w:rsid w:val="00947E7C"/>
    <w:rsid w:val="00947EA2"/>
    <w:rsid w:val="00950034"/>
    <w:rsid w:val="00950088"/>
    <w:rsid w:val="009501FE"/>
    <w:rsid w:val="0095022E"/>
    <w:rsid w:val="009502DD"/>
    <w:rsid w:val="0095038B"/>
    <w:rsid w:val="00950455"/>
    <w:rsid w:val="00950579"/>
    <w:rsid w:val="0095062C"/>
    <w:rsid w:val="00950850"/>
    <w:rsid w:val="00950868"/>
    <w:rsid w:val="009508AC"/>
    <w:rsid w:val="0095098F"/>
    <w:rsid w:val="00950A16"/>
    <w:rsid w:val="00950CA4"/>
    <w:rsid w:val="00950CB3"/>
    <w:rsid w:val="00950DDA"/>
    <w:rsid w:val="00950E57"/>
    <w:rsid w:val="00950EF1"/>
    <w:rsid w:val="00950F0C"/>
    <w:rsid w:val="00950FAC"/>
    <w:rsid w:val="00951169"/>
    <w:rsid w:val="009511CE"/>
    <w:rsid w:val="0095128C"/>
    <w:rsid w:val="00951354"/>
    <w:rsid w:val="009513E0"/>
    <w:rsid w:val="0095157A"/>
    <w:rsid w:val="0095163F"/>
    <w:rsid w:val="0095179F"/>
    <w:rsid w:val="00951811"/>
    <w:rsid w:val="00951813"/>
    <w:rsid w:val="00951851"/>
    <w:rsid w:val="009518E5"/>
    <w:rsid w:val="0095191E"/>
    <w:rsid w:val="00951A45"/>
    <w:rsid w:val="00951A6D"/>
    <w:rsid w:val="00951AE1"/>
    <w:rsid w:val="00951B85"/>
    <w:rsid w:val="00951BD5"/>
    <w:rsid w:val="00951C1B"/>
    <w:rsid w:val="00951C4C"/>
    <w:rsid w:val="00951CDD"/>
    <w:rsid w:val="00951D02"/>
    <w:rsid w:val="00951D63"/>
    <w:rsid w:val="00951D9F"/>
    <w:rsid w:val="00951E15"/>
    <w:rsid w:val="00951E98"/>
    <w:rsid w:val="00951F07"/>
    <w:rsid w:val="00951FE0"/>
    <w:rsid w:val="009520B3"/>
    <w:rsid w:val="009520BB"/>
    <w:rsid w:val="0095211A"/>
    <w:rsid w:val="00952224"/>
    <w:rsid w:val="009522D0"/>
    <w:rsid w:val="009523B4"/>
    <w:rsid w:val="009523D7"/>
    <w:rsid w:val="009523EC"/>
    <w:rsid w:val="009524BC"/>
    <w:rsid w:val="009524DB"/>
    <w:rsid w:val="00952540"/>
    <w:rsid w:val="009526EE"/>
    <w:rsid w:val="009527F5"/>
    <w:rsid w:val="00952844"/>
    <w:rsid w:val="009529C1"/>
    <w:rsid w:val="009529D8"/>
    <w:rsid w:val="00952B7F"/>
    <w:rsid w:val="00952B8F"/>
    <w:rsid w:val="00952BCC"/>
    <w:rsid w:val="00952C3E"/>
    <w:rsid w:val="00952C62"/>
    <w:rsid w:val="00952D6E"/>
    <w:rsid w:val="00952DCA"/>
    <w:rsid w:val="00952E13"/>
    <w:rsid w:val="00952FD9"/>
    <w:rsid w:val="00953151"/>
    <w:rsid w:val="0095323D"/>
    <w:rsid w:val="0095334C"/>
    <w:rsid w:val="009533C3"/>
    <w:rsid w:val="00953433"/>
    <w:rsid w:val="0095349E"/>
    <w:rsid w:val="009534DE"/>
    <w:rsid w:val="009535BD"/>
    <w:rsid w:val="009536F6"/>
    <w:rsid w:val="009536FE"/>
    <w:rsid w:val="0095370C"/>
    <w:rsid w:val="0095375D"/>
    <w:rsid w:val="00953853"/>
    <w:rsid w:val="00953856"/>
    <w:rsid w:val="009539A2"/>
    <w:rsid w:val="00953A06"/>
    <w:rsid w:val="00953A1C"/>
    <w:rsid w:val="00953A64"/>
    <w:rsid w:val="00953AE2"/>
    <w:rsid w:val="00953AF8"/>
    <w:rsid w:val="00953C28"/>
    <w:rsid w:val="00953C44"/>
    <w:rsid w:val="00953CAA"/>
    <w:rsid w:val="00953D07"/>
    <w:rsid w:val="00953D99"/>
    <w:rsid w:val="00953DB4"/>
    <w:rsid w:val="00953DF5"/>
    <w:rsid w:val="00953E3E"/>
    <w:rsid w:val="00953E82"/>
    <w:rsid w:val="00954015"/>
    <w:rsid w:val="00954079"/>
    <w:rsid w:val="00954091"/>
    <w:rsid w:val="009541A1"/>
    <w:rsid w:val="0095426E"/>
    <w:rsid w:val="009543BB"/>
    <w:rsid w:val="009544F8"/>
    <w:rsid w:val="00954598"/>
    <w:rsid w:val="009545A2"/>
    <w:rsid w:val="009545F6"/>
    <w:rsid w:val="0095460B"/>
    <w:rsid w:val="0095464F"/>
    <w:rsid w:val="0095466E"/>
    <w:rsid w:val="00954684"/>
    <w:rsid w:val="009546B7"/>
    <w:rsid w:val="0095471D"/>
    <w:rsid w:val="00954809"/>
    <w:rsid w:val="0095487F"/>
    <w:rsid w:val="0095492D"/>
    <w:rsid w:val="009549C0"/>
    <w:rsid w:val="009549E0"/>
    <w:rsid w:val="00954A40"/>
    <w:rsid w:val="00954A51"/>
    <w:rsid w:val="00954AFB"/>
    <w:rsid w:val="00954B09"/>
    <w:rsid w:val="00954D6D"/>
    <w:rsid w:val="00954F85"/>
    <w:rsid w:val="00955139"/>
    <w:rsid w:val="00955279"/>
    <w:rsid w:val="009552D8"/>
    <w:rsid w:val="0095532D"/>
    <w:rsid w:val="0095534A"/>
    <w:rsid w:val="00955376"/>
    <w:rsid w:val="0095539A"/>
    <w:rsid w:val="0095554E"/>
    <w:rsid w:val="00955581"/>
    <w:rsid w:val="00955604"/>
    <w:rsid w:val="009557AA"/>
    <w:rsid w:val="009558D7"/>
    <w:rsid w:val="00955963"/>
    <w:rsid w:val="009559F7"/>
    <w:rsid w:val="00955A9E"/>
    <w:rsid w:val="00955B37"/>
    <w:rsid w:val="00955B5D"/>
    <w:rsid w:val="00955BDB"/>
    <w:rsid w:val="00955C0B"/>
    <w:rsid w:val="00955C51"/>
    <w:rsid w:val="00955C85"/>
    <w:rsid w:val="00955E9B"/>
    <w:rsid w:val="00955EC2"/>
    <w:rsid w:val="00955EFB"/>
    <w:rsid w:val="00955F54"/>
    <w:rsid w:val="00955F90"/>
    <w:rsid w:val="00955FA3"/>
    <w:rsid w:val="00956048"/>
    <w:rsid w:val="009560D5"/>
    <w:rsid w:val="00956174"/>
    <w:rsid w:val="00956219"/>
    <w:rsid w:val="009563B4"/>
    <w:rsid w:val="009564CB"/>
    <w:rsid w:val="0095655F"/>
    <w:rsid w:val="009565C8"/>
    <w:rsid w:val="009566B9"/>
    <w:rsid w:val="00956710"/>
    <w:rsid w:val="00956718"/>
    <w:rsid w:val="00956902"/>
    <w:rsid w:val="00956939"/>
    <w:rsid w:val="00956ACF"/>
    <w:rsid w:val="00956B6D"/>
    <w:rsid w:val="00956B83"/>
    <w:rsid w:val="00956C44"/>
    <w:rsid w:val="00956C5B"/>
    <w:rsid w:val="00956D9C"/>
    <w:rsid w:val="009570AF"/>
    <w:rsid w:val="009570BB"/>
    <w:rsid w:val="0095712D"/>
    <w:rsid w:val="00957153"/>
    <w:rsid w:val="009571F1"/>
    <w:rsid w:val="00957263"/>
    <w:rsid w:val="009572B0"/>
    <w:rsid w:val="009572BA"/>
    <w:rsid w:val="0095755A"/>
    <w:rsid w:val="009575AA"/>
    <w:rsid w:val="00957680"/>
    <w:rsid w:val="00957695"/>
    <w:rsid w:val="0095769E"/>
    <w:rsid w:val="009576B6"/>
    <w:rsid w:val="0095781B"/>
    <w:rsid w:val="00957836"/>
    <w:rsid w:val="00957980"/>
    <w:rsid w:val="009579EC"/>
    <w:rsid w:val="00957A11"/>
    <w:rsid w:val="00957AED"/>
    <w:rsid w:val="00957B3C"/>
    <w:rsid w:val="00957B6A"/>
    <w:rsid w:val="00957BA0"/>
    <w:rsid w:val="00957C25"/>
    <w:rsid w:val="00957C6C"/>
    <w:rsid w:val="00957CB0"/>
    <w:rsid w:val="00957E2C"/>
    <w:rsid w:val="00957E46"/>
    <w:rsid w:val="0096014A"/>
    <w:rsid w:val="009601D6"/>
    <w:rsid w:val="009602B3"/>
    <w:rsid w:val="009603E7"/>
    <w:rsid w:val="00960421"/>
    <w:rsid w:val="00960507"/>
    <w:rsid w:val="00960571"/>
    <w:rsid w:val="009606DC"/>
    <w:rsid w:val="009607C5"/>
    <w:rsid w:val="00960813"/>
    <w:rsid w:val="00960920"/>
    <w:rsid w:val="00960926"/>
    <w:rsid w:val="009609B8"/>
    <w:rsid w:val="009609C5"/>
    <w:rsid w:val="009609F5"/>
    <w:rsid w:val="00960AA8"/>
    <w:rsid w:val="00960AB2"/>
    <w:rsid w:val="00960B39"/>
    <w:rsid w:val="00960BF4"/>
    <w:rsid w:val="00960CC9"/>
    <w:rsid w:val="00960CD5"/>
    <w:rsid w:val="00960DB1"/>
    <w:rsid w:val="00960E5E"/>
    <w:rsid w:val="00960FDB"/>
    <w:rsid w:val="00960FE7"/>
    <w:rsid w:val="0096107C"/>
    <w:rsid w:val="0096116B"/>
    <w:rsid w:val="0096116F"/>
    <w:rsid w:val="00961190"/>
    <w:rsid w:val="0096120A"/>
    <w:rsid w:val="00961255"/>
    <w:rsid w:val="0096133E"/>
    <w:rsid w:val="0096134C"/>
    <w:rsid w:val="009613E6"/>
    <w:rsid w:val="009614AB"/>
    <w:rsid w:val="0096155B"/>
    <w:rsid w:val="009615D3"/>
    <w:rsid w:val="00961633"/>
    <w:rsid w:val="009616CF"/>
    <w:rsid w:val="009616ED"/>
    <w:rsid w:val="00961741"/>
    <w:rsid w:val="00961828"/>
    <w:rsid w:val="0096189F"/>
    <w:rsid w:val="0096195F"/>
    <w:rsid w:val="00961A11"/>
    <w:rsid w:val="00961B2D"/>
    <w:rsid w:val="00961BAA"/>
    <w:rsid w:val="00961D4C"/>
    <w:rsid w:val="00961D97"/>
    <w:rsid w:val="00961E1D"/>
    <w:rsid w:val="00961F61"/>
    <w:rsid w:val="00962005"/>
    <w:rsid w:val="0096212F"/>
    <w:rsid w:val="0096214F"/>
    <w:rsid w:val="00962241"/>
    <w:rsid w:val="009622B8"/>
    <w:rsid w:val="00962859"/>
    <w:rsid w:val="009628B3"/>
    <w:rsid w:val="009628B9"/>
    <w:rsid w:val="00962943"/>
    <w:rsid w:val="00962AF5"/>
    <w:rsid w:val="00962CB4"/>
    <w:rsid w:val="00962D00"/>
    <w:rsid w:val="00962D24"/>
    <w:rsid w:val="00962E35"/>
    <w:rsid w:val="00962FAC"/>
    <w:rsid w:val="0096307F"/>
    <w:rsid w:val="0096311A"/>
    <w:rsid w:val="00963183"/>
    <w:rsid w:val="0096320F"/>
    <w:rsid w:val="00963355"/>
    <w:rsid w:val="00963396"/>
    <w:rsid w:val="00963460"/>
    <w:rsid w:val="009634AA"/>
    <w:rsid w:val="0096357C"/>
    <w:rsid w:val="009635D1"/>
    <w:rsid w:val="009636AC"/>
    <w:rsid w:val="009636FC"/>
    <w:rsid w:val="00963799"/>
    <w:rsid w:val="0096392B"/>
    <w:rsid w:val="00963A5F"/>
    <w:rsid w:val="00963A63"/>
    <w:rsid w:val="00963B7F"/>
    <w:rsid w:val="00963B93"/>
    <w:rsid w:val="00963B9E"/>
    <w:rsid w:val="00963D67"/>
    <w:rsid w:val="00963DAF"/>
    <w:rsid w:val="00963E27"/>
    <w:rsid w:val="00963F5D"/>
    <w:rsid w:val="00963FB5"/>
    <w:rsid w:val="00963FE7"/>
    <w:rsid w:val="00964094"/>
    <w:rsid w:val="009642A0"/>
    <w:rsid w:val="00964345"/>
    <w:rsid w:val="00964398"/>
    <w:rsid w:val="009643AA"/>
    <w:rsid w:val="00964416"/>
    <w:rsid w:val="0096443E"/>
    <w:rsid w:val="00964455"/>
    <w:rsid w:val="0096446D"/>
    <w:rsid w:val="0096450C"/>
    <w:rsid w:val="00964768"/>
    <w:rsid w:val="009648AD"/>
    <w:rsid w:val="009648C5"/>
    <w:rsid w:val="00964A42"/>
    <w:rsid w:val="00964A94"/>
    <w:rsid w:val="00964B44"/>
    <w:rsid w:val="00964B88"/>
    <w:rsid w:val="00964DAB"/>
    <w:rsid w:val="00964DDF"/>
    <w:rsid w:val="00964E59"/>
    <w:rsid w:val="00964F11"/>
    <w:rsid w:val="0096515A"/>
    <w:rsid w:val="00965165"/>
    <w:rsid w:val="00965248"/>
    <w:rsid w:val="009652A4"/>
    <w:rsid w:val="00965335"/>
    <w:rsid w:val="009654F9"/>
    <w:rsid w:val="00965508"/>
    <w:rsid w:val="00965565"/>
    <w:rsid w:val="009656FA"/>
    <w:rsid w:val="009657A4"/>
    <w:rsid w:val="00965816"/>
    <w:rsid w:val="009658F3"/>
    <w:rsid w:val="00965AB1"/>
    <w:rsid w:val="00965ACE"/>
    <w:rsid w:val="00965B79"/>
    <w:rsid w:val="00965BA1"/>
    <w:rsid w:val="00965DD2"/>
    <w:rsid w:val="00965E8B"/>
    <w:rsid w:val="00965F33"/>
    <w:rsid w:val="00965F83"/>
    <w:rsid w:val="0096600E"/>
    <w:rsid w:val="00966025"/>
    <w:rsid w:val="00966225"/>
    <w:rsid w:val="00966292"/>
    <w:rsid w:val="009664A4"/>
    <w:rsid w:val="009665A5"/>
    <w:rsid w:val="009665A7"/>
    <w:rsid w:val="009665DB"/>
    <w:rsid w:val="009665F2"/>
    <w:rsid w:val="00966759"/>
    <w:rsid w:val="00966859"/>
    <w:rsid w:val="009668C2"/>
    <w:rsid w:val="00966924"/>
    <w:rsid w:val="00966941"/>
    <w:rsid w:val="0096695E"/>
    <w:rsid w:val="00966964"/>
    <w:rsid w:val="00966966"/>
    <w:rsid w:val="009669C6"/>
    <w:rsid w:val="00966B15"/>
    <w:rsid w:val="00966B1C"/>
    <w:rsid w:val="00966CBD"/>
    <w:rsid w:val="00966CD5"/>
    <w:rsid w:val="00966CF5"/>
    <w:rsid w:val="00966D17"/>
    <w:rsid w:val="00966D81"/>
    <w:rsid w:val="00966DDE"/>
    <w:rsid w:val="00966EEB"/>
    <w:rsid w:val="00967107"/>
    <w:rsid w:val="009671C2"/>
    <w:rsid w:val="009671E2"/>
    <w:rsid w:val="009672B0"/>
    <w:rsid w:val="0096732F"/>
    <w:rsid w:val="00967334"/>
    <w:rsid w:val="009673DC"/>
    <w:rsid w:val="009673F5"/>
    <w:rsid w:val="0096752E"/>
    <w:rsid w:val="0096754F"/>
    <w:rsid w:val="00967551"/>
    <w:rsid w:val="00967579"/>
    <w:rsid w:val="00967628"/>
    <w:rsid w:val="009677B8"/>
    <w:rsid w:val="00967860"/>
    <w:rsid w:val="00967988"/>
    <w:rsid w:val="00967AEA"/>
    <w:rsid w:val="00967C84"/>
    <w:rsid w:val="00967D8D"/>
    <w:rsid w:val="00967DB5"/>
    <w:rsid w:val="00967DFD"/>
    <w:rsid w:val="00967F1A"/>
    <w:rsid w:val="00967F39"/>
    <w:rsid w:val="00967FCF"/>
    <w:rsid w:val="009700BD"/>
    <w:rsid w:val="0097016B"/>
    <w:rsid w:val="009701A5"/>
    <w:rsid w:val="0097023F"/>
    <w:rsid w:val="009702DD"/>
    <w:rsid w:val="00970336"/>
    <w:rsid w:val="00970365"/>
    <w:rsid w:val="0097037E"/>
    <w:rsid w:val="009703E2"/>
    <w:rsid w:val="009703F2"/>
    <w:rsid w:val="009705C0"/>
    <w:rsid w:val="009705F8"/>
    <w:rsid w:val="0097060C"/>
    <w:rsid w:val="00970661"/>
    <w:rsid w:val="009706EF"/>
    <w:rsid w:val="00970722"/>
    <w:rsid w:val="0097097C"/>
    <w:rsid w:val="00970A1E"/>
    <w:rsid w:val="00970B54"/>
    <w:rsid w:val="00970B97"/>
    <w:rsid w:val="00970CB2"/>
    <w:rsid w:val="00970CFF"/>
    <w:rsid w:val="00970E2D"/>
    <w:rsid w:val="00970E48"/>
    <w:rsid w:val="00970ED6"/>
    <w:rsid w:val="00970EF1"/>
    <w:rsid w:val="00970F71"/>
    <w:rsid w:val="00970FBB"/>
    <w:rsid w:val="00970FF8"/>
    <w:rsid w:val="0097100B"/>
    <w:rsid w:val="0097103D"/>
    <w:rsid w:val="00971140"/>
    <w:rsid w:val="0097120F"/>
    <w:rsid w:val="00971259"/>
    <w:rsid w:val="009712B7"/>
    <w:rsid w:val="009712E3"/>
    <w:rsid w:val="00971350"/>
    <w:rsid w:val="00971466"/>
    <w:rsid w:val="009714C3"/>
    <w:rsid w:val="009714D7"/>
    <w:rsid w:val="00971524"/>
    <w:rsid w:val="009715CB"/>
    <w:rsid w:val="00971787"/>
    <w:rsid w:val="009717A4"/>
    <w:rsid w:val="009717C0"/>
    <w:rsid w:val="009719ED"/>
    <w:rsid w:val="00971A13"/>
    <w:rsid w:val="00971AB2"/>
    <w:rsid w:val="00971B7E"/>
    <w:rsid w:val="00971BA2"/>
    <w:rsid w:val="00971BD9"/>
    <w:rsid w:val="00971C93"/>
    <w:rsid w:val="00971E5B"/>
    <w:rsid w:val="00971E98"/>
    <w:rsid w:val="00971F20"/>
    <w:rsid w:val="00971F31"/>
    <w:rsid w:val="009720C8"/>
    <w:rsid w:val="009721C4"/>
    <w:rsid w:val="009721E0"/>
    <w:rsid w:val="009721FF"/>
    <w:rsid w:val="009722A6"/>
    <w:rsid w:val="009722A7"/>
    <w:rsid w:val="0097230D"/>
    <w:rsid w:val="0097236A"/>
    <w:rsid w:val="009723A6"/>
    <w:rsid w:val="009723EA"/>
    <w:rsid w:val="0097245C"/>
    <w:rsid w:val="009724CD"/>
    <w:rsid w:val="0097254A"/>
    <w:rsid w:val="009725A5"/>
    <w:rsid w:val="0097260A"/>
    <w:rsid w:val="00972650"/>
    <w:rsid w:val="0097265D"/>
    <w:rsid w:val="009727C6"/>
    <w:rsid w:val="00972842"/>
    <w:rsid w:val="00972957"/>
    <w:rsid w:val="009729D8"/>
    <w:rsid w:val="00972A0A"/>
    <w:rsid w:val="00972ADB"/>
    <w:rsid w:val="00972AF6"/>
    <w:rsid w:val="00972B28"/>
    <w:rsid w:val="00972B3C"/>
    <w:rsid w:val="00972B99"/>
    <w:rsid w:val="00972BB6"/>
    <w:rsid w:val="00972E67"/>
    <w:rsid w:val="00972EF3"/>
    <w:rsid w:val="00972F0A"/>
    <w:rsid w:val="00972F28"/>
    <w:rsid w:val="00972F2A"/>
    <w:rsid w:val="00972F34"/>
    <w:rsid w:val="00972FCD"/>
    <w:rsid w:val="00972FFB"/>
    <w:rsid w:val="00973151"/>
    <w:rsid w:val="00973227"/>
    <w:rsid w:val="00973229"/>
    <w:rsid w:val="00973257"/>
    <w:rsid w:val="009732A4"/>
    <w:rsid w:val="009733B5"/>
    <w:rsid w:val="009733E7"/>
    <w:rsid w:val="00973455"/>
    <w:rsid w:val="0097345A"/>
    <w:rsid w:val="009734A4"/>
    <w:rsid w:val="00973677"/>
    <w:rsid w:val="00973870"/>
    <w:rsid w:val="00973892"/>
    <w:rsid w:val="00973967"/>
    <w:rsid w:val="009739FF"/>
    <w:rsid w:val="00973B8C"/>
    <w:rsid w:val="00973BEC"/>
    <w:rsid w:val="00973D5A"/>
    <w:rsid w:val="00973E91"/>
    <w:rsid w:val="00973ECA"/>
    <w:rsid w:val="00973F84"/>
    <w:rsid w:val="00973FB7"/>
    <w:rsid w:val="00974068"/>
    <w:rsid w:val="0097406E"/>
    <w:rsid w:val="00974106"/>
    <w:rsid w:val="0097413B"/>
    <w:rsid w:val="00974278"/>
    <w:rsid w:val="009742B9"/>
    <w:rsid w:val="00974451"/>
    <w:rsid w:val="009745DD"/>
    <w:rsid w:val="009745FD"/>
    <w:rsid w:val="0097467D"/>
    <w:rsid w:val="0097474D"/>
    <w:rsid w:val="009747E9"/>
    <w:rsid w:val="0097482A"/>
    <w:rsid w:val="0097483D"/>
    <w:rsid w:val="009748B0"/>
    <w:rsid w:val="00974A0D"/>
    <w:rsid w:val="00974AAF"/>
    <w:rsid w:val="00974B20"/>
    <w:rsid w:val="00974B82"/>
    <w:rsid w:val="00974D72"/>
    <w:rsid w:val="00975004"/>
    <w:rsid w:val="00975076"/>
    <w:rsid w:val="0097511A"/>
    <w:rsid w:val="0097528F"/>
    <w:rsid w:val="009752B0"/>
    <w:rsid w:val="00975326"/>
    <w:rsid w:val="0097535E"/>
    <w:rsid w:val="00975510"/>
    <w:rsid w:val="00975556"/>
    <w:rsid w:val="009755F9"/>
    <w:rsid w:val="009756C4"/>
    <w:rsid w:val="00975765"/>
    <w:rsid w:val="009757D9"/>
    <w:rsid w:val="00975846"/>
    <w:rsid w:val="009758F7"/>
    <w:rsid w:val="00975942"/>
    <w:rsid w:val="00975978"/>
    <w:rsid w:val="009759DB"/>
    <w:rsid w:val="009759E2"/>
    <w:rsid w:val="00975AB5"/>
    <w:rsid w:val="00975ABD"/>
    <w:rsid w:val="00975B2B"/>
    <w:rsid w:val="00975BA6"/>
    <w:rsid w:val="00975CEB"/>
    <w:rsid w:val="00975CFD"/>
    <w:rsid w:val="00975CFF"/>
    <w:rsid w:val="00975DA7"/>
    <w:rsid w:val="00975E29"/>
    <w:rsid w:val="00976016"/>
    <w:rsid w:val="00976173"/>
    <w:rsid w:val="00976197"/>
    <w:rsid w:val="00976265"/>
    <w:rsid w:val="009763DD"/>
    <w:rsid w:val="0097649C"/>
    <w:rsid w:val="009764B4"/>
    <w:rsid w:val="00976660"/>
    <w:rsid w:val="00976694"/>
    <w:rsid w:val="0097675D"/>
    <w:rsid w:val="0097680B"/>
    <w:rsid w:val="00976867"/>
    <w:rsid w:val="00976881"/>
    <w:rsid w:val="00976929"/>
    <w:rsid w:val="009769DF"/>
    <w:rsid w:val="00976A34"/>
    <w:rsid w:val="00976AF0"/>
    <w:rsid w:val="00976B80"/>
    <w:rsid w:val="00976B9B"/>
    <w:rsid w:val="00976BAC"/>
    <w:rsid w:val="00976CB6"/>
    <w:rsid w:val="00976D18"/>
    <w:rsid w:val="00976D41"/>
    <w:rsid w:val="00976D4A"/>
    <w:rsid w:val="00976DEC"/>
    <w:rsid w:val="00976DFF"/>
    <w:rsid w:val="00976E31"/>
    <w:rsid w:val="00976E6A"/>
    <w:rsid w:val="00977117"/>
    <w:rsid w:val="0097713B"/>
    <w:rsid w:val="00977393"/>
    <w:rsid w:val="009773E8"/>
    <w:rsid w:val="00977554"/>
    <w:rsid w:val="0097757F"/>
    <w:rsid w:val="00977751"/>
    <w:rsid w:val="0097776E"/>
    <w:rsid w:val="009777AC"/>
    <w:rsid w:val="00977853"/>
    <w:rsid w:val="00977870"/>
    <w:rsid w:val="00977885"/>
    <w:rsid w:val="009779CE"/>
    <w:rsid w:val="00977A89"/>
    <w:rsid w:val="00977ABD"/>
    <w:rsid w:val="00977BEA"/>
    <w:rsid w:val="00977CE1"/>
    <w:rsid w:val="00977D11"/>
    <w:rsid w:val="00977D22"/>
    <w:rsid w:val="00977D30"/>
    <w:rsid w:val="00977D85"/>
    <w:rsid w:val="00977DCD"/>
    <w:rsid w:val="00977E0A"/>
    <w:rsid w:val="00977E67"/>
    <w:rsid w:val="00977F48"/>
    <w:rsid w:val="009800A3"/>
    <w:rsid w:val="00980185"/>
    <w:rsid w:val="00980361"/>
    <w:rsid w:val="009803AB"/>
    <w:rsid w:val="009803C8"/>
    <w:rsid w:val="00980450"/>
    <w:rsid w:val="009804CB"/>
    <w:rsid w:val="0098072E"/>
    <w:rsid w:val="009807A8"/>
    <w:rsid w:val="009807EB"/>
    <w:rsid w:val="0098081A"/>
    <w:rsid w:val="00980962"/>
    <w:rsid w:val="009809B1"/>
    <w:rsid w:val="009809BE"/>
    <w:rsid w:val="00980A9C"/>
    <w:rsid w:val="00980B1A"/>
    <w:rsid w:val="00980B5F"/>
    <w:rsid w:val="00980CDA"/>
    <w:rsid w:val="00980E36"/>
    <w:rsid w:val="00980EDE"/>
    <w:rsid w:val="00980FD1"/>
    <w:rsid w:val="00981018"/>
    <w:rsid w:val="009810A2"/>
    <w:rsid w:val="009810A8"/>
    <w:rsid w:val="00981187"/>
    <w:rsid w:val="009811C5"/>
    <w:rsid w:val="00981315"/>
    <w:rsid w:val="0098136B"/>
    <w:rsid w:val="009813C7"/>
    <w:rsid w:val="00981410"/>
    <w:rsid w:val="0098145E"/>
    <w:rsid w:val="00981466"/>
    <w:rsid w:val="009815C4"/>
    <w:rsid w:val="009815D8"/>
    <w:rsid w:val="009816FB"/>
    <w:rsid w:val="00981733"/>
    <w:rsid w:val="0098184A"/>
    <w:rsid w:val="00981943"/>
    <w:rsid w:val="00981A84"/>
    <w:rsid w:val="00981B7D"/>
    <w:rsid w:val="00981BD7"/>
    <w:rsid w:val="00981C33"/>
    <w:rsid w:val="00981C4E"/>
    <w:rsid w:val="00981CE7"/>
    <w:rsid w:val="00981CE9"/>
    <w:rsid w:val="00981D0B"/>
    <w:rsid w:val="00981E00"/>
    <w:rsid w:val="00981E6D"/>
    <w:rsid w:val="00981E95"/>
    <w:rsid w:val="0098200B"/>
    <w:rsid w:val="009820B7"/>
    <w:rsid w:val="009820C2"/>
    <w:rsid w:val="0098214E"/>
    <w:rsid w:val="009821AD"/>
    <w:rsid w:val="0098221C"/>
    <w:rsid w:val="00982279"/>
    <w:rsid w:val="009824A7"/>
    <w:rsid w:val="00982570"/>
    <w:rsid w:val="009825DA"/>
    <w:rsid w:val="00982672"/>
    <w:rsid w:val="00982681"/>
    <w:rsid w:val="00982744"/>
    <w:rsid w:val="00982947"/>
    <w:rsid w:val="00982959"/>
    <w:rsid w:val="0098299C"/>
    <w:rsid w:val="00982CFF"/>
    <w:rsid w:val="00982D1F"/>
    <w:rsid w:val="00982D5C"/>
    <w:rsid w:val="00982DDA"/>
    <w:rsid w:val="00982E17"/>
    <w:rsid w:val="00982E86"/>
    <w:rsid w:val="00982EC7"/>
    <w:rsid w:val="00982FB5"/>
    <w:rsid w:val="00982FEC"/>
    <w:rsid w:val="0098300B"/>
    <w:rsid w:val="009830CD"/>
    <w:rsid w:val="009830E9"/>
    <w:rsid w:val="009831E5"/>
    <w:rsid w:val="00983269"/>
    <w:rsid w:val="00983272"/>
    <w:rsid w:val="0098329E"/>
    <w:rsid w:val="0098331C"/>
    <w:rsid w:val="00983344"/>
    <w:rsid w:val="0098336D"/>
    <w:rsid w:val="00983387"/>
    <w:rsid w:val="009833E4"/>
    <w:rsid w:val="0098347B"/>
    <w:rsid w:val="0098357F"/>
    <w:rsid w:val="00983781"/>
    <w:rsid w:val="0098380E"/>
    <w:rsid w:val="00983850"/>
    <w:rsid w:val="009838E8"/>
    <w:rsid w:val="00983929"/>
    <w:rsid w:val="0098394B"/>
    <w:rsid w:val="00983957"/>
    <w:rsid w:val="009839B5"/>
    <w:rsid w:val="00983A25"/>
    <w:rsid w:val="00983BC6"/>
    <w:rsid w:val="00983DB9"/>
    <w:rsid w:val="00983F5A"/>
    <w:rsid w:val="00983FC1"/>
    <w:rsid w:val="00984109"/>
    <w:rsid w:val="00984176"/>
    <w:rsid w:val="00984189"/>
    <w:rsid w:val="009841CD"/>
    <w:rsid w:val="0098423E"/>
    <w:rsid w:val="00984253"/>
    <w:rsid w:val="00984351"/>
    <w:rsid w:val="00984455"/>
    <w:rsid w:val="009844A9"/>
    <w:rsid w:val="00984734"/>
    <w:rsid w:val="009847A1"/>
    <w:rsid w:val="00984830"/>
    <w:rsid w:val="00984878"/>
    <w:rsid w:val="00984889"/>
    <w:rsid w:val="009848A8"/>
    <w:rsid w:val="00984991"/>
    <w:rsid w:val="009849A8"/>
    <w:rsid w:val="00984AB8"/>
    <w:rsid w:val="00984B31"/>
    <w:rsid w:val="00984C9E"/>
    <w:rsid w:val="00984CAE"/>
    <w:rsid w:val="00984CF2"/>
    <w:rsid w:val="00984E4D"/>
    <w:rsid w:val="00984E5A"/>
    <w:rsid w:val="00984E7D"/>
    <w:rsid w:val="00984EFF"/>
    <w:rsid w:val="00984FE4"/>
    <w:rsid w:val="00985158"/>
    <w:rsid w:val="009852BB"/>
    <w:rsid w:val="00985317"/>
    <w:rsid w:val="00985395"/>
    <w:rsid w:val="009853A0"/>
    <w:rsid w:val="00985458"/>
    <w:rsid w:val="009854A0"/>
    <w:rsid w:val="00985561"/>
    <w:rsid w:val="00985702"/>
    <w:rsid w:val="00985733"/>
    <w:rsid w:val="00985881"/>
    <w:rsid w:val="00985991"/>
    <w:rsid w:val="009859AB"/>
    <w:rsid w:val="00985AD8"/>
    <w:rsid w:val="00985AE1"/>
    <w:rsid w:val="00985B31"/>
    <w:rsid w:val="00985B44"/>
    <w:rsid w:val="00985BD5"/>
    <w:rsid w:val="00985C0B"/>
    <w:rsid w:val="00985C16"/>
    <w:rsid w:val="00985ED5"/>
    <w:rsid w:val="0098600A"/>
    <w:rsid w:val="0098606E"/>
    <w:rsid w:val="00986082"/>
    <w:rsid w:val="0098617D"/>
    <w:rsid w:val="00986180"/>
    <w:rsid w:val="0098619E"/>
    <w:rsid w:val="009861E7"/>
    <w:rsid w:val="00986206"/>
    <w:rsid w:val="0098625E"/>
    <w:rsid w:val="00986373"/>
    <w:rsid w:val="0098648E"/>
    <w:rsid w:val="009864C1"/>
    <w:rsid w:val="00986579"/>
    <w:rsid w:val="0098663A"/>
    <w:rsid w:val="0098668F"/>
    <w:rsid w:val="009866F6"/>
    <w:rsid w:val="0098670A"/>
    <w:rsid w:val="00986779"/>
    <w:rsid w:val="0098691B"/>
    <w:rsid w:val="00986924"/>
    <w:rsid w:val="0098692A"/>
    <w:rsid w:val="00986936"/>
    <w:rsid w:val="00986996"/>
    <w:rsid w:val="00986A68"/>
    <w:rsid w:val="00986AC1"/>
    <w:rsid w:val="00986CAA"/>
    <w:rsid w:val="00986DFB"/>
    <w:rsid w:val="00986E0E"/>
    <w:rsid w:val="00986E21"/>
    <w:rsid w:val="00986E3C"/>
    <w:rsid w:val="00986E62"/>
    <w:rsid w:val="00987088"/>
    <w:rsid w:val="009870C0"/>
    <w:rsid w:val="0098713D"/>
    <w:rsid w:val="0098717A"/>
    <w:rsid w:val="009872B8"/>
    <w:rsid w:val="00987316"/>
    <w:rsid w:val="00987336"/>
    <w:rsid w:val="009873C2"/>
    <w:rsid w:val="009873E6"/>
    <w:rsid w:val="00987494"/>
    <w:rsid w:val="009874AB"/>
    <w:rsid w:val="00987511"/>
    <w:rsid w:val="00987583"/>
    <w:rsid w:val="0098764C"/>
    <w:rsid w:val="00987658"/>
    <w:rsid w:val="00987670"/>
    <w:rsid w:val="009876F0"/>
    <w:rsid w:val="0098772E"/>
    <w:rsid w:val="0098777C"/>
    <w:rsid w:val="00987828"/>
    <w:rsid w:val="0098791D"/>
    <w:rsid w:val="00987B1F"/>
    <w:rsid w:val="00987B9C"/>
    <w:rsid w:val="00987C2A"/>
    <w:rsid w:val="00987D5B"/>
    <w:rsid w:val="00987D5E"/>
    <w:rsid w:val="00987D9C"/>
    <w:rsid w:val="00987E14"/>
    <w:rsid w:val="00987E74"/>
    <w:rsid w:val="00987EC4"/>
    <w:rsid w:val="00987F57"/>
    <w:rsid w:val="00990271"/>
    <w:rsid w:val="0099032A"/>
    <w:rsid w:val="009905DD"/>
    <w:rsid w:val="00990680"/>
    <w:rsid w:val="009906DC"/>
    <w:rsid w:val="009907A3"/>
    <w:rsid w:val="009907B7"/>
    <w:rsid w:val="009909D5"/>
    <w:rsid w:val="009909EB"/>
    <w:rsid w:val="00990A17"/>
    <w:rsid w:val="00990CA1"/>
    <w:rsid w:val="00990CB2"/>
    <w:rsid w:val="00990CB9"/>
    <w:rsid w:val="00990CFA"/>
    <w:rsid w:val="00990D2A"/>
    <w:rsid w:val="00990EA6"/>
    <w:rsid w:val="00990ED6"/>
    <w:rsid w:val="00990F64"/>
    <w:rsid w:val="00990F82"/>
    <w:rsid w:val="00990F9C"/>
    <w:rsid w:val="00990FB1"/>
    <w:rsid w:val="00990FE7"/>
    <w:rsid w:val="00991045"/>
    <w:rsid w:val="00991083"/>
    <w:rsid w:val="00991232"/>
    <w:rsid w:val="009912FB"/>
    <w:rsid w:val="009913AB"/>
    <w:rsid w:val="009913D0"/>
    <w:rsid w:val="009914C2"/>
    <w:rsid w:val="00991538"/>
    <w:rsid w:val="0099163A"/>
    <w:rsid w:val="009916A9"/>
    <w:rsid w:val="009917AC"/>
    <w:rsid w:val="0099186B"/>
    <w:rsid w:val="009918C8"/>
    <w:rsid w:val="00991979"/>
    <w:rsid w:val="009919B6"/>
    <w:rsid w:val="009919CD"/>
    <w:rsid w:val="00991BDE"/>
    <w:rsid w:val="00991C5B"/>
    <w:rsid w:val="00991DD0"/>
    <w:rsid w:val="00991EAC"/>
    <w:rsid w:val="00991F16"/>
    <w:rsid w:val="00991F32"/>
    <w:rsid w:val="00991F5A"/>
    <w:rsid w:val="00991F7C"/>
    <w:rsid w:val="0099201A"/>
    <w:rsid w:val="009920B1"/>
    <w:rsid w:val="00992100"/>
    <w:rsid w:val="00992219"/>
    <w:rsid w:val="009922F9"/>
    <w:rsid w:val="0099232F"/>
    <w:rsid w:val="009924D4"/>
    <w:rsid w:val="009925F3"/>
    <w:rsid w:val="0099264F"/>
    <w:rsid w:val="009926B9"/>
    <w:rsid w:val="0099272C"/>
    <w:rsid w:val="00992737"/>
    <w:rsid w:val="009927BE"/>
    <w:rsid w:val="009927D6"/>
    <w:rsid w:val="00992845"/>
    <w:rsid w:val="0099288C"/>
    <w:rsid w:val="0099290F"/>
    <w:rsid w:val="00992920"/>
    <w:rsid w:val="009929D4"/>
    <w:rsid w:val="00992A17"/>
    <w:rsid w:val="00992DBC"/>
    <w:rsid w:val="00992E1A"/>
    <w:rsid w:val="00992F1E"/>
    <w:rsid w:val="00992F54"/>
    <w:rsid w:val="00992F6A"/>
    <w:rsid w:val="00993003"/>
    <w:rsid w:val="00993040"/>
    <w:rsid w:val="009930FD"/>
    <w:rsid w:val="009934B2"/>
    <w:rsid w:val="009934C0"/>
    <w:rsid w:val="0099372E"/>
    <w:rsid w:val="00993886"/>
    <w:rsid w:val="00993891"/>
    <w:rsid w:val="00993C1C"/>
    <w:rsid w:val="00993C36"/>
    <w:rsid w:val="00993C5C"/>
    <w:rsid w:val="00993D88"/>
    <w:rsid w:val="00993E6A"/>
    <w:rsid w:val="00993EBB"/>
    <w:rsid w:val="0099402A"/>
    <w:rsid w:val="009940A1"/>
    <w:rsid w:val="00994104"/>
    <w:rsid w:val="0099417C"/>
    <w:rsid w:val="00994195"/>
    <w:rsid w:val="009942B9"/>
    <w:rsid w:val="009943B6"/>
    <w:rsid w:val="009943BA"/>
    <w:rsid w:val="0099444E"/>
    <w:rsid w:val="009944E4"/>
    <w:rsid w:val="0099455A"/>
    <w:rsid w:val="009945E1"/>
    <w:rsid w:val="00994630"/>
    <w:rsid w:val="00994649"/>
    <w:rsid w:val="0099471E"/>
    <w:rsid w:val="0099479E"/>
    <w:rsid w:val="00994867"/>
    <w:rsid w:val="009948A3"/>
    <w:rsid w:val="00994A4D"/>
    <w:rsid w:val="00994AA3"/>
    <w:rsid w:val="00994AAE"/>
    <w:rsid w:val="00994AE0"/>
    <w:rsid w:val="00994C02"/>
    <w:rsid w:val="00994C96"/>
    <w:rsid w:val="00994DB2"/>
    <w:rsid w:val="00994EE1"/>
    <w:rsid w:val="00994F6F"/>
    <w:rsid w:val="00994FCB"/>
    <w:rsid w:val="00994FFD"/>
    <w:rsid w:val="0099507F"/>
    <w:rsid w:val="00995095"/>
    <w:rsid w:val="00995104"/>
    <w:rsid w:val="00995203"/>
    <w:rsid w:val="00995312"/>
    <w:rsid w:val="0099546C"/>
    <w:rsid w:val="009954DA"/>
    <w:rsid w:val="0099550A"/>
    <w:rsid w:val="00995625"/>
    <w:rsid w:val="00995692"/>
    <w:rsid w:val="0099572D"/>
    <w:rsid w:val="00995796"/>
    <w:rsid w:val="0099587E"/>
    <w:rsid w:val="0099588D"/>
    <w:rsid w:val="00995997"/>
    <w:rsid w:val="009959D0"/>
    <w:rsid w:val="009959DA"/>
    <w:rsid w:val="00995BA8"/>
    <w:rsid w:val="00995BCA"/>
    <w:rsid w:val="00995BF1"/>
    <w:rsid w:val="00995C99"/>
    <w:rsid w:val="00995CCC"/>
    <w:rsid w:val="00995E3E"/>
    <w:rsid w:val="00995F03"/>
    <w:rsid w:val="00995F0E"/>
    <w:rsid w:val="00995F6B"/>
    <w:rsid w:val="00995F6E"/>
    <w:rsid w:val="00996098"/>
    <w:rsid w:val="009960DF"/>
    <w:rsid w:val="00996104"/>
    <w:rsid w:val="009961BE"/>
    <w:rsid w:val="00996415"/>
    <w:rsid w:val="009965CD"/>
    <w:rsid w:val="0099674E"/>
    <w:rsid w:val="00996825"/>
    <w:rsid w:val="00996870"/>
    <w:rsid w:val="009968BB"/>
    <w:rsid w:val="0099694D"/>
    <w:rsid w:val="0099699F"/>
    <w:rsid w:val="00996A73"/>
    <w:rsid w:val="00996AE5"/>
    <w:rsid w:val="00996B55"/>
    <w:rsid w:val="00996BAF"/>
    <w:rsid w:val="00996CD2"/>
    <w:rsid w:val="00996E0B"/>
    <w:rsid w:val="00996FD4"/>
    <w:rsid w:val="00996FE3"/>
    <w:rsid w:val="00997050"/>
    <w:rsid w:val="00997129"/>
    <w:rsid w:val="0099714A"/>
    <w:rsid w:val="0099719C"/>
    <w:rsid w:val="009971EF"/>
    <w:rsid w:val="009972D9"/>
    <w:rsid w:val="0099731B"/>
    <w:rsid w:val="0099737F"/>
    <w:rsid w:val="00997466"/>
    <w:rsid w:val="009974E8"/>
    <w:rsid w:val="00997661"/>
    <w:rsid w:val="009976FB"/>
    <w:rsid w:val="0099772E"/>
    <w:rsid w:val="00997745"/>
    <w:rsid w:val="009977F9"/>
    <w:rsid w:val="009978F0"/>
    <w:rsid w:val="009979A6"/>
    <w:rsid w:val="009979E4"/>
    <w:rsid w:val="00997BA2"/>
    <w:rsid w:val="00997C4C"/>
    <w:rsid w:val="00997D6B"/>
    <w:rsid w:val="00997EB8"/>
    <w:rsid w:val="00997F86"/>
    <w:rsid w:val="00997F92"/>
    <w:rsid w:val="00997FEA"/>
    <w:rsid w:val="009A00E7"/>
    <w:rsid w:val="009A010C"/>
    <w:rsid w:val="009A0236"/>
    <w:rsid w:val="009A02DF"/>
    <w:rsid w:val="009A02F8"/>
    <w:rsid w:val="009A030F"/>
    <w:rsid w:val="009A036C"/>
    <w:rsid w:val="009A0464"/>
    <w:rsid w:val="009A04BC"/>
    <w:rsid w:val="009A053A"/>
    <w:rsid w:val="009A0557"/>
    <w:rsid w:val="009A061E"/>
    <w:rsid w:val="009A062F"/>
    <w:rsid w:val="009A07C4"/>
    <w:rsid w:val="009A0838"/>
    <w:rsid w:val="009A0885"/>
    <w:rsid w:val="009A08B9"/>
    <w:rsid w:val="009A09B5"/>
    <w:rsid w:val="009A09F2"/>
    <w:rsid w:val="009A0A46"/>
    <w:rsid w:val="009A0A4D"/>
    <w:rsid w:val="009A0AD5"/>
    <w:rsid w:val="009A0B06"/>
    <w:rsid w:val="009A0B2F"/>
    <w:rsid w:val="009A0BD3"/>
    <w:rsid w:val="009A0BE9"/>
    <w:rsid w:val="009A0D0B"/>
    <w:rsid w:val="009A0DBE"/>
    <w:rsid w:val="009A0F85"/>
    <w:rsid w:val="009A100F"/>
    <w:rsid w:val="009A11A4"/>
    <w:rsid w:val="009A11AB"/>
    <w:rsid w:val="009A12CE"/>
    <w:rsid w:val="009A12D1"/>
    <w:rsid w:val="009A14F4"/>
    <w:rsid w:val="009A15A6"/>
    <w:rsid w:val="009A15F4"/>
    <w:rsid w:val="009A1610"/>
    <w:rsid w:val="009A161D"/>
    <w:rsid w:val="009A16A7"/>
    <w:rsid w:val="009A1710"/>
    <w:rsid w:val="009A18B7"/>
    <w:rsid w:val="009A18FE"/>
    <w:rsid w:val="009A1951"/>
    <w:rsid w:val="009A19DE"/>
    <w:rsid w:val="009A1D01"/>
    <w:rsid w:val="009A1ED3"/>
    <w:rsid w:val="009A1EFC"/>
    <w:rsid w:val="009A1F4C"/>
    <w:rsid w:val="009A1F78"/>
    <w:rsid w:val="009A1FBA"/>
    <w:rsid w:val="009A1FE8"/>
    <w:rsid w:val="009A2203"/>
    <w:rsid w:val="009A2247"/>
    <w:rsid w:val="009A2324"/>
    <w:rsid w:val="009A2373"/>
    <w:rsid w:val="009A242B"/>
    <w:rsid w:val="009A248B"/>
    <w:rsid w:val="009A24E5"/>
    <w:rsid w:val="009A2673"/>
    <w:rsid w:val="009A278C"/>
    <w:rsid w:val="009A2843"/>
    <w:rsid w:val="009A28A8"/>
    <w:rsid w:val="009A28B0"/>
    <w:rsid w:val="009A2933"/>
    <w:rsid w:val="009A29D5"/>
    <w:rsid w:val="009A2A35"/>
    <w:rsid w:val="009A2B50"/>
    <w:rsid w:val="009A2C54"/>
    <w:rsid w:val="009A2D2E"/>
    <w:rsid w:val="009A2D9F"/>
    <w:rsid w:val="009A2DA9"/>
    <w:rsid w:val="009A2DB0"/>
    <w:rsid w:val="009A2E13"/>
    <w:rsid w:val="009A2E2C"/>
    <w:rsid w:val="009A2E6C"/>
    <w:rsid w:val="009A2E84"/>
    <w:rsid w:val="009A2EE1"/>
    <w:rsid w:val="009A306E"/>
    <w:rsid w:val="009A30BC"/>
    <w:rsid w:val="009A324C"/>
    <w:rsid w:val="009A3346"/>
    <w:rsid w:val="009A3368"/>
    <w:rsid w:val="009A34D0"/>
    <w:rsid w:val="009A350A"/>
    <w:rsid w:val="009A353D"/>
    <w:rsid w:val="009A365F"/>
    <w:rsid w:val="009A3691"/>
    <w:rsid w:val="009A3727"/>
    <w:rsid w:val="009A37E8"/>
    <w:rsid w:val="009A37E9"/>
    <w:rsid w:val="009A381B"/>
    <w:rsid w:val="009A38C0"/>
    <w:rsid w:val="009A3948"/>
    <w:rsid w:val="009A399F"/>
    <w:rsid w:val="009A39D4"/>
    <w:rsid w:val="009A3ACA"/>
    <w:rsid w:val="009A3C85"/>
    <w:rsid w:val="009A3CA6"/>
    <w:rsid w:val="009A3D80"/>
    <w:rsid w:val="009A3DF2"/>
    <w:rsid w:val="009A410C"/>
    <w:rsid w:val="009A414B"/>
    <w:rsid w:val="009A41A7"/>
    <w:rsid w:val="009A4242"/>
    <w:rsid w:val="009A42A1"/>
    <w:rsid w:val="009A42C2"/>
    <w:rsid w:val="009A42DD"/>
    <w:rsid w:val="009A4314"/>
    <w:rsid w:val="009A4438"/>
    <w:rsid w:val="009A44A5"/>
    <w:rsid w:val="009A44E3"/>
    <w:rsid w:val="009A45BC"/>
    <w:rsid w:val="009A45C1"/>
    <w:rsid w:val="009A468B"/>
    <w:rsid w:val="009A4735"/>
    <w:rsid w:val="009A47BA"/>
    <w:rsid w:val="009A47DB"/>
    <w:rsid w:val="009A480A"/>
    <w:rsid w:val="009A4813"/>
    <w:rsid w:val="009A488E"/>
    <w:rsid w:val="009A489B"/>
    <w:rsid w:val="009A48CD"/>
    <w:rsid w:val="009A48E6"/>
    <w:rsid w:val="009A490C"/>
    <w:rsid w:val="009A4A19"/>
    <w:rsid w:val="009A4B8C"/>
    <w:rsid w:val="009A4B8F"/>
    <w:rsid w:val="009A4BA3"/>
    <w:rsid w:val="009A4C1B"/>
    <w:rsid w:val="009A4D3E"/>
    <w:rsid w:val="009A4DC5"/>
    <w:rsid w:val="009A4E86"/>
    <w:rsid w:val="009A4EB2"/>
    <w:rsid w:val="009A4EB3"/>
    <w:rsid w:val="009A4ECC"/>
    <w:rsid w:val="009A4EF2"/>
    <w:rsid w:val="009A4F7C"/>
    <w:rsid w:val="009A51B0"/>
    <w:rsid w:val="009A52DC"/>
    <w:rsid w:val="009A5390"/>
    <w:rsid w:val="009A547D"/>
    <w:rsid w:val="009A5593"/>
    <w:rsid w:val="009A566E"/>
    <w:rsid w:val="009A56FD"/>
    <w:rsid w:val="009A5841"/>
    <w:rsid w:val="009A5895"/>
    <w:rsid w:val="009A58B7"/>
    <w:rsid w:val="009A58D4"/>
    <w:rsid w:val="009A58E9"/>
    <w:rsid w:val="009A59D9"/>
    <w:rsid w:val="009A5A5A"/>
    <w:rsid w:val="009A5C50"/>
    <w:rsid w:val="009A5C5C"/>
    <w:rsid w:val="009A5CEA"/>
    <w:rsid w:val="009A5D01"/>
    <w:rsid w:val="009A5D0C"/>
    <w:rsid w:val="009A5D12"/>
    <w:rsid w:val="009A5D74"/>
    <w:rsid w:val="009A5E25"/>
    <w:rsid w:val="009A5F6B"/>
    <w:rsid w:val="009A5FD6"/>
    <w:rsid w:val="009A60A8"/>
    <w:rsid w:val="009A60CD"/>
    <w:rsid w:val="009A60D6"/>
    <w:rsid w:val="009A6102"/>
    <w:rsid w:val="009A6158"/>
    <w:rsid w:val="009A6204"/>
    <w:rsid w:val="009A6296"/>
    <w:rsid w:val="009A6492"/>
    <w:rsid w:val="009A64FA"/>
    <w:rsid w:val="009A6545"/>
    <w:rsid w:val="009A66EE"/>
    <w:rsid w:val="009A6771"/>
    <w:rsid w:val="009A67A9"/>
    <w:rsid w:val="009A67BF"/>
    <w:rsid w:val="009A6960"/>
    <w:rsid w:val="009A6A34"/>
    <w:rsid w:val="009A6A90"/>
    <w:rsid w:val="009A6AC8"/>
    <w:rsid w:val="009A6B0B"/>
    <w:rsid w:val="009A6B47"/>
    <w:rsid w:val="009A6BF0"/>
    <w:rsid w:val="009A6C31"/>
    <w:rsid w:val="009A6C65"/>
    <w:rsid w:val="009A6C8D"/>
    <w:rsid w:val="009A6CB8"/>
    <w:rsid w:val="009A6DE4"/>
    <w:rsid w:val="009A6F5F"/>
    <w:rsid w:val="009A7002"/>
    <w:rsid w:val="009A70AF"/>
    <w:rsid w:val="009A7137"/>
    <w:rsid w:val="009A71B7"/>
    <w:rsid w:val="009A71E1"/>
    <w:rsid w:val="009A7253"/>
    <w:rsid w:val="009A7269"/>
    <w:rsid w:val="009A7313"/>
    <w:rsid w:val="009A7333"/>
    <w:rsid w:val="009A73EB"/>
    <w:rsid w:val="009A73F4"/>
    <w:rsid w:val="009A74F3"/>
    <w:rsid w:val="009A7526"/>
    <w:rsid w:val="009A75A8"/>
    <w:rsid w:val="009A76D5"/>
    <w:rsid w:val="009A76DA"/>
    <w:rsid w:val="009A770C"/>
    <w:rsid w:val="009A775B"/>
    <w:rsid w:val="009A7767"/>
    <w:rsid w:val="009A779D"/>
    <w:rsid w:val="009A77BB"/>
    <w:rsid w:val="009A77E5"/>
    <w:rsid w:val="009A78A1"/>
    <w:rsid w:val="009A78B7"/>
    <w:rsid w:val="009A7938"/>
    <w:rsid w:val="009A7998"/>
    <w:rsid w:val="009A79E7"/>
    <w:rsid w:val="009A7A64"/>
    <w:rsid w:val="009A7AEF"/>
    <w:rsid w:val="009A7D19"/>
    <w:rsid w:val="009A7DF6"/>
    <w:rsid w:val="009B00A4"/>
    <w:rsid w:val="009B00DD"/>
    <w:rsid w:val="009B0228"/>
    <w:rsid w:val="009B02F3"/>
    <w:rsid w:val="009B033B"/>
    <w:rsid w:val="009B0359"/>
    <w:rsid w:val="009B036B"/>
    <w:rsid w:val="009B03FD"/>
    <w:rsid w:val="009B0428"/>
    <w:rsid w:val="009B045E"/>
    <w:rsid w:val="009B04D0"/>
    <w:rsid w:val="009B058D"/>
    <w:rsid w:val="009B062D"/>
    <w:rsid w:val="009B0675"/>
    <w:rsid w:val="009B070A"/>
    <w:rsid w:val="009B07A3"/>
    <w:rsid w:val="009B0906"/>
    <w:rsid w:val="009B0985"/>
    <w:rsid w:val="009B0996"/>
    <w:rsid w:val="009B09FD"/>
    <w:rsid w:val="009B0A46"/>
    <w:rsid w:val="009B0B09"/>
    <w:rsid w:val="009B0B5C"/>
    <w:rsid w:val="009B0BA7"/>
    <w:rsid w:val="009B0BD6"/>
    <w:rsid w:val="009B0BE2"/>
    <w:rsid w:val="009B0C5E"/>
    <w:rsid w:val="009B0C6A"/>
    <w:rsid w:val="009B0CBC"/>
    <w:rsid w:val="009B0D4E"/>
    <w:rsid w:val="009B0DCC"/>
    <w:rsid w:val="009B0E37"/>
    <w:rsid w:val="009B0E99"/>
    <w:rsid w:val="009B0ED0"/>
    <w:rsid w:val="009B0F36"/>
    <w:rsid w:val="009B0F3B"/>
    <w:rsid w:val="009B0F5F"/>
    <w:rsid w:val="009B0FDE"/>
    <w:rsid w:val="009B0FFC"/>
    <w:rsid w:val="009B105F"/>
    <w:rsid w:val="009B111F"/>
    <w:rsid w:val="009B1171"/>
    <w:rsid w:val="009B1214"/>
    <w:rsid w:val="009B12FE"/>
    <w:rsid w:val="009B137A"/>
    <w:rsid w:val="009B1389"/>
    <w:rsid w:val="009B139F"/>
    <w:rsid w:val="009B13D6"/>
    <w:rsid w:val="009B14BC"/>
    <w:rsid w:val="009B14DB"/>
    <w:rsid w:val="009B1575"/>
    <w:rsid w:val="009B1755"/>
    <w:rsid w:val="009B1851"/>
    <w:rsid w:val="009B1934"/>
    <w:rsid w:val="009B1955"/>
    <w:rsid w:val="009B19B4"/>
    <w:rsid w:val="009B1A4F"/>
    <w:rsid w:val="009B1A53"/>
    <w:rsid w:val="009B1AB2"/>
    <w:rsid w:val="009B1AFF"/>
    <w:rsid w:val="009B1B08"/>
    <w:rsid w:val="009B1B25"/>
    <w:rsid w:val="009B1B63"/>
    <w:rsid w:val="009B1C51"/>
    <w:rsid w:val="009B1CD6"/>
    <w:rsid w:val="009B1DC0"/>
    <w:rsid w:val="009B1F60"/>
    <w:rsid w:val="009B211F"/>
    <w:rsid w:val="009B21DE"/>
    <w:rsid w:val="009B2256"/>
    <w:rsid w:val="009B2280"/>
    <w:rsid w:val="009B2358"/>
    <w:rsid w:val="009B23EC"/>
    <w:rsid w:val="009B2413"/>
    <w:rsid w:val="009B2438"/>
    <w:rsid w:val="009B24B2"/>
    <w:rsid w:val="009B24BD"/>
    <w:rsid w:val="009B24F6"/>
    <w:rsid w:val="009B2505"/>
    <w:rsid w:val="009B262A"/>
    <w:rsid w:val="009B2653"/>
    <w:rsid w:val="009B26CA"/>
    <w:rsid w:val="009B279D"/>
    <w:rsid w:val="009B27D3"/>
    <w:rsid w:val="009B2834"/>
    <w:rsid w:val="009B2896"/>
    <w:rsid w:val="009B28FF"/>
    <w:rsid w:val="009B293C"/>
    <w:rsid w:val="009B296D"/>
    <w:rsid w:val="009B2A4D"/>
    <w:rsid w:val="009B2A55"/>
    <w:rsid w:val="009B2AA3"/>
    <w:rsid w:val="009B2B51"/>
    <w:rsid w:val="009B2B8B"/>
    <w:rsid w:val="009B2D95"/>
    <w:rsid w:val="009B2EEC"/>
    <w:rsid w:val="009B2F42"/>
    <w:rsid w:val="009B307C"/>
    <w:rsid w:val="009B30EE"/>
    <w:rsid w:val="009B3205"/>
    <w:rsid w:val="009B3263"/>
    <w:rsid w:val="009B3266"/>
    <w:rsid w:val="009B33C2"/>
    <w:rsid w:val="009B3493"/>
    <w:rsid w:val="009B355C"/>
    <w:rsid w:val="009B35D3"/>
    <w:rsid w:val="009B3694"/>
    <w:rsid w:val="009B36FC"/>
    <w:rsid w:val="009B3750"/>
    <w:rsid w:val="009B383F"/>
    <w:rsid w:val="009B3920"/>
    <w:rsid w:val="009B398D"/>
    <w:rsid w:val="009B3A19"/>
    <w:rsid w:val="009B3B0F"/>
    <w:rsid w:val="009B3BA3"/>
    <w:rsid w:val="009B3C9C"/>
    <w:rsid w:val="009B3CD0"/>
    <w:rsid w:val="009B3D66"/>
    <w:rsid w:val="009B3DA5"/>
    <w:rsid w:val="009B3E13"/>
    <w:rsid w:val="009B3EE1"/>
    <w:rsid w:val="009B3F02"/>
    <w:rsid w:val="009B3FCB"/>
    <w:rsid w:val="009B4048"/>
    <w:rsid w:val="009B40AC"/>
    <w:rsid w:val="009B41D0"/>
    <w:rsid w:val="009B41F1"/>
    <w:rsid w:val="009B4246"/>
    <w:rsid w:val="009B432A"/>
    <w:rsid w:val="009B4378"/>
    <w:rsid w:val="009B4413"/>
    <w:rsid w:val="009B46FF"/>
    <w:rsid w:val="009B4987"/>
    <w:rsid w:val="009B4BDB"/>
    <w:rsid w:val="009B4CC5"/>
    <w:rsid w:val="009B4E6D"/>
    <w:rsid w:val="009B4EB6"/>
    <w:rsid w:val="009B4ED9"/>
    <w:rsid w:val="009B4FB4"/>
    <w:rsid w:val="009B501A"/>
    <w:rsid w:val="009B50DB"/>
    <w:rsid w:val="009B5264"/>
    <w:rsid w:val="009B5265"/>
    <w:rsid w:val="009B534B"/>
    <w:rsid w:val="009B5450"/>
    <w:rsid w:val="009B546B"/>
    <w:rsid w:val="009B5473"/>
    <w:rsid w:val="009B55D5"/>
    <w:rsid w:val="009B5782"/>
    <w:rsid w:val="009B58F0"/>
    <w:rsid w:val="009B5908"/>
    <w:rsid w:val="009B5925"/>
    <w:rsid w:val="009B5B04"/>
    <w:rsid w:val="009B5B73"/>
    <w:rsid w:val="009B5DF1"/>
    <w:rsid w:val="009B5EF0"/>
    <w:rsid w:val="009B5F53"/>
    <w:rsid w:val="009B5FDA"/>
    <w:rsid w:val="009B60B8"/>
    <w:rsid w:val="009B60C5"/>
    <w:rsid w:val="009B6182"/>
    <w:rsid w:val="009B6184"/>
    <w:rsid w:val="009B61DC"/>
    <w:rsid w:val="009B622D"/>
    <w:rsid w:val="009B6238"/>
    <w:rsid w:val="009B623F"/>
    <w:rsid w:val="009B6250"/>
    <w:rsid w:val="009B63E9"/>
    <w:rsid w:val="009B63EE"/>
    <w:rsid w:val="009B63FB"/>
    <w:rsid w:val="009B646F"/>
    <w:rsid w:val="009B654B"/>
    <w:rsid w:val="009B65A4"/>
    <w:rsid w:val="009B65DB"/>
    <w:rsid w:val="009B6764"/>
    <w:rsid w:val="009B68DF"/>
    <w:rsid w:val="009B68E4"/>
    <w:rsid w:val="009B69AF"/>
    <w:rsid w:val="009B6A13"/>
    <w:rsid w:val="009B6B43"/>
    <w:rsid w:val="009B6BE5"/>
    <w:rsid w:val="009B6BE6"/>
    <w:rsid w:val="009B6C52"/>
    <w:rsid w:val="009B6CAD"/>
    <w:rsid w:val="009B6CF5"/>
    <w:rsid w:val="009B6E35"/>
    <w:rsid w:val="009B6E3F"/>
    <w:rsid w:val="009B6E41"/>
    <w:rsid w:val="009B6E63"/>
    <w:rsid w:val="009B6E9F"/>
    <w:rsid w:val="009B6F4E"/>
    <w:rsid w:val="009B70DF"/>
    <w:rsid w:val="009B710E"/>
    <w:rsid w:val="009B71D0"/>
    <w:rsid w:val="009B7210"/>
    <w:rsid w:val="009B7267"/>
    <w:rsid w:val="009B736C"/>
    <w:rsid w:val="009B7381"/>
    <w:rsid w:val="009B744E"/>
    <w:rsid w:val="009B7678"/>
    <w:rsid w:val="009B7794"/>
    <w:rsid w:val="009B7945"/>
    <w:rsid w:val="009B7980"/>
    <w:rsid w:val="009B7A0E"/>
    <w:rsid w:val="009B7AB7"/>
    <w:rsid w:val="009B7EFE"/>
    <w:rsid w:val="009B7F2A"/>
    <w:rsid w:val="009C007A"/>
    <w:rsid w:val="009C00A5"/>
    <w:rsid w:val="009C0194"/>
    <w:rsid w:val="009C0295"/>
    <w:rsid w:val="009C041D"/>
    <w:rsid w:val="009C043C"/>
    <w:rsid w:val="009C0488"/>
    <w:rsid w:val="009C0636"/>
    <w:rsid w:val="009C0719"/>
    <w:rsid w:val="009C0846"/>
    <w:rsid w:val="009C08E4"/>
    <w:rsid w:val="009C0A50"/>
    <w:rsid w:val="009C0B01"/>
    <w:rsid w:val="009C0B3F"/>
    <w:rsid w:val="009C0B90"/>
    <w:rsid w:val="009C0BD0"/>
    <w:rsid w:val="009C0CCF"/>
    <w:rsid w:val="009C0D95"/>
    <w:rsid w:val="009C0E2E"/>
    <w:rsid w:val="009C0E4F"/>
    <w:rsid w:val="009C0ECE"/>
    <w:rsid w:val="009C0F2D"/>
    <w:rsid w:val="009C0F41"/>
    <w:rsid w:val="009C0FCE"/>
    <w:rsid w:val="009C1035"/>
    <w:rsid w:val="009C1067"/>
    <w:rsid w:val="009C10AC"/>
    <w:rsid w:val="009C10BF"/>
    <w:rsid w:val="009C1103"/>
    <w:rsid w:val="009C1120"/>
    <w:rsid w:val="009C1123"/>
    <w:rsid w:val="009C11A2"/>
    <w:rsid w:val="009C12E3"/>
    <w:rsid w:val="009C12FC"/>
    <w:rsid w:val="009C1304"/>
    <w:rsid w:val="009C15E4"/>
    <w:rsid w:val="009C1692"/>
    <w:rsid w:val="009C16A1"/>
    <w:rsid w:val="009C16FE"/>
    <w:rsid w:val="009C173B"/>
    <w:rsid w:val="009C17D8"/>
    <w:rsid w:val="009C182B"/>
    <w:rsid w:val="009C1858"/>
    <w:rsid w:val="009C186F"/>
    <w:rsid w:val="009C1878"/>
    <w:rsid w:val="009C1903"/>
    <w:rsid w:val="009C1932"/>
    <w:rsid w:val="009C1950"/>
    <w:rsid w:val="009C19C1"/>
    <w:rsid w:val="009C19F8"/>
    <w:rsid w:val="009C1A0B"/>
    <w:rsid w:val="009C1C2A"/>
    <w:rsid w:val="009C1C7B"/>
    <w:rsid w:val="009C1CD4"/>
    <w:rsid w:val="009C1CFD"/>
    <w:rsid w:val="009C1D19"/>
    <w:rsid w:val="009C1D4A"/>
    <w:rsid w:val="009C1DBD"/>
    <w:rsid w:val="009C1E60"/>
    <w:rsid w:val="009C1FA8"/>
    <w:rsid w:val="009C2031"/>
    <w:rsid w:val="009C20A0"/>
    <w:rsid w:val="009C2124"/>
    <w:rsid w:val="009C2188"/>
    <w:rsid w:val="009C21EA"/>
    <w:rsid w:val="009C2251"/>
    <w:rsid w:val="009C225E"/>
    <w:rsid w:val="009C2273"/>
    <w:rsid w:val="009C2315"/>
    <w:rsid w:val="009C23A6"/>
    <w:rsid w:val="009C2498"/>
    <w:rsid w:val="009C2665"/>
    <w:rsid w:val="009C27BA"/>
    <w:rsid w:val="009C27CC"/>
    <w:rsid w:val="009C2893"/>
    <w:rsid w:val="009C28A4"/>
    <w:rsid w:val="009C2928"/>
    <w:rsid w:val="009C29A8"/>
    <w:rsid w:val="009C2A69"/>
    <w:rsid w:val="009C2B5A"/>
    <w:rsid w:val="009C2C98"/>
    <w:rsid w:val="009C2DE3"/>
    <w:rsid w:val="009C2E0B"/>
    <w:rsid w:val="009C2F16"/>
    <w:rsid w:val="009C304F"/>
    <w:rsid w:val="009C3239"/>
    <w:rsid w:val="009C3267"/>
    <w:rsid w:val="009C328C"/>
    <w:rsid w:val="009C3496"/>
    <w:rsid w:val="009C35AD"/>
    <w:rsid w:val="009C35C3"/>
    <w:rsid w:val="009C35C5"/>
    <w:rsid w:val="009C3769"/>
    <w:rsid w:val="009C382C"/>
    <w:rsid w:val="009C382D"/>
    <w:rsid w:val="009C387A"/>
    <w:rsid w:val="009C3937"/>
    <w:rsid w:val="009C39E3"/>
    <w:rsid w:val="009C3B0F"/>
    <w:rsid w:val="009C3C2C"/>
    <w:rsid w:val="009C3C82"/>
    <w:rsid w:val="009C3DE0"/>
    <w:rsid w:val="009C3DE9"/>
    <w:rsid w:val="009C3EA2"/>
    <w:rsid w:val="009C3EA9"/>
    <w:rsid w:val="009C3F4B"/>
    <w:rsid w:val="009C3F9E"/>
    <w:rsid w:val="009C3FEE"/>
    <w:rsid w:val="009C403B"/>
    <w:rsid w:val="009C4150"/>
    <w:rsid w:val="009C4294"/>
    <w:rsid w:val="009C42F6"/>
    <w:rsid w:val="009C445C"/>
    <w:rsid w:val="009C451D"/>
    <w:rsid w:val="009C4534"/>
    <w:rsid w:val="009C460C"/>
    <w:rsid w:val="009C46AD"/>
    <w:rsid w:val="009C4790"/>
    <w:rsid w:val="009C479E"/>
    <w:rsid w:val="009C4A55"/>
    <w:rsid w:val="009C4BDA"/>
    <w:rsid w:val="009C4F19"/>
    <w:rsid w:val="009C4F2B"/>
    <w:rsid w:val="009C4F66"/>
    <w:rsid w:val="009C5006"/>
    <w:rsid w:val="009C50CA"/>
    <w:rsid w:val="009C50FA"/>
    <w:rsid w:val="009C5161"/>
    <w:rsid w:val="009C51D6"/>
    <w:rsid w:val="009C51FE"/>
    <w:rsid w:val="009C52F2"/>
    <w:rsid w:val="009C536E"/>
    <w:rsid w:val="009C539C"/>
    <w:rsid w:val="009C53AE"/>
    <w:rsid w:val="009C562A"/>
    <w:rsid w:val="009C5641"/>
    <w:rsid w:val="009C571C"/>
    <w:rsid w:val="009C59C8"/>
    <w:rsid w:val="009C5A1D"/>
    <w:rsid w:val="009C5A6E"/>
    <w:rsid w:val="009C5C3E"/>
    <w:rsid w:val="009C5C45"/>
    <w:rsid w:val="009C5CB2"/>
    <w:rsid w:val="009C5CBD"/>
    <w:rsid w:val="009C5E82"/>
    <w:rsid w:val="009C5EAD"/>
    <w:rsid w:val="009C5F09"/>
    <w:rsid w:val="009C5F15"/>
    <w:rsid w:val="009C5F8D"/>
    <w:rsid w:val="009C6078"/>
    <w:rsid w:val="009C6164"/>
    <w:rsid w:val="009C6175"/>
    <w:rsid w:val="009C6209"/>
    <w:rsid w:val="009C620E"/>
    <w:rsid w:val="009C6217"/>
    <w:rsid w:val="009C644F"/>
    <w:rsid w:val="009C6520"/>
    <w:rsid w:val="009C6676"/>
    <w:rsid w:val="009C66CD"/>
    <w:rsid w:val="009C6732"/>
    <w:rsid w:val="009C67C2"/>
    <w:rsid w:val="009C67EF"/>
    <w:rsid w:val="009C6813"/>
    <w:rsid w:val="009C686E"/>
    <w:rsid w:val="009C68FE"/>
    <w:rsid w:val="009C695A"/>
    <w:rsid w:val="009C6AF2"/>
    <w:rsid w:val="009C6BE1"/>
    <w:rsid w:val="009C6C67"/>
    <w:rsid w:val="009C6C6F"/>
    <w:rsid w:val="009C6CD0"/>
    <w:rsid w:val="009C6D08"/>
    <w:rsid w:val="009C6E18"/>
    <w:rsid w:val="009C6E24"/>
    <w:rsid w:val="009C6EBB"/>
    <w:rsid w:val="009C7107"/>
    <w:rsid w:val="009C724E"/>
    <w:rsid w:val="009C72BA"/>
    <w:rsid w:val="009C72E6"/>
    <w:rsid w:val="009C72FB"/>
    <w:rsid w:val="009C733B"/>
    <w:rsid w:val="009C7390"/>
    <w:rsid w:val="009C73A1"/>
    <w:rsid w:val="009C73C0"/>
    <w:rsid w:val="009C73DF"/>
    <w:rsid w:val="009C7427"/>
    <w:rsid w:val="009C7433"/>
    <w:rsid w:val="009C74AF"/>
    <w:rsid w:val="009C74BC"/>
    <w:rsid w:val="009C756C"/>
    <w:rsid w:val="009C7590"/>
    <w:rsid w:val="009C76BE"/>
    <w:rsid w:val="009C7753"/>
    <w:rsid w:val="009C77E6"/>
    <w:rsid w:val="009C7863"/>
    <w:rsid w:val="009C7898"/>
    <w:rsid w:val="009C789F"/>
    <w:rsid w:val="009C7924"/>
    <w:rsid w:val="009C79BC"/>
    <w:rsid w:val="009C7B40"/>
    <w:rsid w:val="009C7CFD"/>
    <w:rsid w:val="009C7D2C"/>
    <w:rsid w:val="009C7DA7"/>
    <w:rsid w:val="009C7E40"/>
    <w:rsid w:val="009C7FA9"/>
    <w:rsid w:val="009C7FAE"/>
    <w:rsid w:val="009D0128"/>
    <w:rsid w:val="009D0269"/>
    <w:rsid w:val="009D0456"/>
    <w:rsid w:val="009D04B4"/>
    <w:rsid w:val="009D056B"/>
    <w:rsid w:val="009D05D7"/>
    <w:rsid w:val="009D0687"/>
    <w:rsid w:val="009D071F"/>
    <w:rsid w:val="009D07C7"/>
    <w:rsid w:val="009D0850"/>
    <w:rsid w:val="009D08D7"/>
    <w:rsid w:val="009D08E8"/>
    <w:rsid w:val="009D0A56"/>
    <w:rsid w:val="009D0AFB"/>
    <w:rsid w:val="009D0B65"/>
    <w:rsid w:val="009D0BE2"/>
    <w:rsid w:val="009D0CDB"/>
    <w:rsid w:val="009D0DC9"/>
    <w:rsid w:val="009D0E1F"/>
    <w:rsid w:val="009D0E5B"/>
    <w:rsid w:val="009D108A"/>
    <w:rsid w:val="009D11E9"/>
    <w:rsid w:val="009D1288"/>
    <w:rsid w:val="009D1293"/>
    <w:rsid w:val="009D138C"/>
    <w:rsid w:val="009D13D5"/>
    <w:rsid w:val="009D1502"/>
    <w:rsid w:val="009D155A"/>
    <w:rsid w:val="009D1634"/>
    <w:rsid w:val="009D16A1"/>
    <w:rsid w:val="009D1709"/>
    <w:rsid w:val="009D17BA"/>
    <w:rsid w:val="009D1AB8"/>
    <w:rsid w:val="009D1BF4"/>
    <w:rsid w:val="009D1D79"/>
    <w:rsid w:val="009D1D7F"/>
    <w:rsid w:val="009D1DB5"/>
    <w:rsid w:val="009D20CA"/>
    <w:rsid w:val="009D21FA"/>
    <w:rsid w:val="009D228B"/>
    <w:rsid w:val="009D22D4"/>
    <w:rsid w:val="009D2349"/>
    <w:rsid w:val="009D2376"/>
    <w:rsid w:val="009D2444"/>
    <w:rsid w:val="009D2445"/>
    <w:rsid w:val="009D25ED"/>
    <w:rsid w:val="009D2608"/>
    <w:rsid w:val="009D260F"/>
    <w:rsid w:val="009D275B"/>
    <w:rsid w:val="009D2867"/>
    <w:rsid w:val="009D2913"/>
    <w:rsid w:val="009D2971"/>
    <w:rsid w:val="009D29F8"/>
    <w:rsid w:val="009D2A32"/>
    <w:rsid w:val="009D2A53"/>
    <w:rsid w:val="009D2BAE"/>
    <w:rsid w:val="009D2BAF"/>
    <w:rsid w:val="009D2CAD"/>
    <w:rsid w:val="009D2CB5"/>
    <w:rsid w:val="009D2E74"/>
    <w:rsid w:val="009D2F65"/>
    <w:rsid w:val="009D2FA7"/>
    <w:rsid w:val="009D3037"/>
    <w:rsid w:val="009D30D2"/>
    <w:rsid w:val="009D30E6"/>
    <w:rsid w:val="009D31A7"/>
    <w:rsid w:val="009D3281"/>
    <w:rsid w:val="009D32CF"/>
    <w:rsid w:val="009D331A"/>
    <w:rsid w:val="009D339A"/>
    <w:rsid w:val="009D341B"/>
    <w:rsid w:val="009D3545"/>
    <w:rsid w:val="009D3564"/>
    <w:rsid w:val="009D35EF"/>
    <w:rsid w:val="009D35FF"/>
    <w:rsid w:val="009D3614"/>
    <w:rsid w:val="009D38DC"/>
    <w:rsid w:val="009D393B"/>
    <w:rsid w:val="009D393F"/>
    <w:rsid w:val="009D3AF9"/>
    <w:rsid w:val="009D3BBF"/>
    <w:rsid w:val="009D3E05"/>
    <w:rsid w:val="009D3E8F"/>
    <w:rsid w:val="009D3EAC"/>
    <w:rsid w:val="009D3F30"/>
    <w:rsid w:val="009D3FB0"/>
    <w:rsid w:val="009D3FE0"/>
    <w:rsid w:val="009D4001"/>
    <w:rsid w:val="009D4151"/>
    <w:rsid w:val="009D4195"/>
    <w:rsid w:val="009D4255"/>
    <w:rsid w:val="009D4431"/>
    <w:rsid w:val="009D456B"/>
    <w:rsid w:val="009D45F6"/>
    <w:rsid w:val="009D4697"/>
    <w:rsid w:val="009D46BB"/>
    <w:rsid w:val="009D46CD"/>
    <w:rsid w:val="009D479B"/>
    <w:rsid w:val="009D480E"/>
    <w:rsid w:val="009D4B71"/>
    <w:rsid w:val="009D4BFE"/>
    <w:rsid w:val="009D4D27"/>
    <w:rsid w:val="009D4D52"/>
    <w:rsid w:val="009D4EDA"/>
    <w:rsid w:val="009D4F09"/>
    <w:rsid w:val="009D4F19"/>
    <w:rsid w:val="009D4F68"/>
    <w:rsid w:val="009D5151"/>
    <w:rsid w:val="009D5174"/>
    <w:rsid w:val="009D518E"/>
    <w:rsid w:val="009D5214"/>
    <w:rsid w:val="009D5339"/>
    <w:rsid w:val="009D5411"/>
    <w:rsid w:val="009D5617"/>
    <w:rsid w:val="009D57E3"/>
    <w:rsid w:val="009D5836"/>
    <w:rsid w:val="009D5840"/>
    <w:rsid w:val="009D587D"/>
    <w:rsid w:val="009D5A5B"/>
    <w:rsid w:val="009D5AB8"/>
    <w:rsid w:val="009D5B0D"/>
    <w:rsid w:val="009D5B35"/>
    <w:rsid w:val="009D5B99"/>
    <w:rsid w:val="009D5BB9"/>
    <w:rsid w:val="009D5F41"/>
    <w:rsid w:val="009D5FD7"/>
    <w:rsid w:val="009D62D3"/>
    <w:rsid w:val="009D6352"/>
    <w:rsid w:val="009D636A"/>
    <w:rsid w:val="009D63CA"/>
    <w:rsid w:val="009D63DB"/>
    <w:rsid w:val="009D6402"/>
    <w:rsid w:val="009D6434"/>
    <w:rsid w:val="009D6435"/>
    <w:rsid w:val="009D6469"/>
    <w:rsid w:val="009D6485"/>
    <w:rsid w:val="009D6498"/>
    <w:rsid w:val="009D64E1"/>
    <w:rsid w:val="009D64EB"/>
    <w:rsid w:val="009D6589"/>
    <w:rsid w:val="009D66E9"/>
    <w:rsid w:val="009D6700"/>
    <w:rsid w:val="009D6746"/>
    <w:rsid w:val="009D67B3"/>
    <w:rsid w:val="009D6855"/>
    <w:rsid w:val="009D68BE"/>
    <w:rsid w:val="009D68C3"/>
    <w:rsid w:val="009D693D"/>
    <w:rsid w:val="009D6950"/>
    <w:rsid w:val="009D69A0"/>
    <w:rsid w:val="009D6A7B"/>
    <w:rsid w:val="009D6AAC"/>
    <w:rsid w:val="009D6AC8"/>
    <w:rsid w:val="009D6B00"/>
    <w:rsid w:val="009D6B4F"/>
    <w:rsid w:val="009D6B6C"/>
    <w:rsid w:val="009D6C59"/>
    <w:rsid w:val="009D6C89"/>
    <w:rsid w:val="009D6D5C"/>
    <w:rsid w:val="009D6D9A"/>
    <w:rsid w:val="009D6F57"/>
    <w:rsid w:val="009D6FF2"/>
    <w:rsid w:val="009D7039"/>
    <w:rsid w:val="009D707E"/>
    <w:rsid w:val="009D735F"/>
    <w:rsid w:val="009D7427"/>
    <w:rsid w:val="009D751F"/>
    <w:rsid w:val="009D753A"/>
    <w:rsid w:val="009D75A7"/>
    <w:rsid w:val="009D75FF"/>
    <w:rsid w:val="009D7655"/>
    <w:rsid w:val="009D7756"/>
    <w:rsid w:val="009D791F"/>
    <w:rsid w:val="009D7936"/>
    <w:rsid w:val="009D7B5D"/>
    <w:rsid w:val="009D7C10"/>
    <w:rsid w:val="009D7DAE"/>
    <w:rsid w:val="009D7E41"/>
    <w:rsid w:val="009D7E5B"/>
    <w:rsid w:val="009D7EE1"/>
    <w:rsid w:val="009D7F58"/>
    <w:rsid w:val="009E0006"/>
    <w:rsid w:val="009E006D"/>
    <w:rsid w:val="009E011A"/>
    <w:rsid w:val="009E0125"/>
    <w:rsid w:val="009E0159"/>
    <w:rsid w:val="009E0193"/>
    <w:rsid w:val="009E01BE"/>
    <w:rsid w:val="009E01C2"/>
    <w:rsid w:val="009E03F5"/>
    <w:rsid w:val="009E04D5"/>
    <w:rsid w:val="009E0692"/>
    <w:rsid w:val="009E078C"/>
    <w:rsid w:val="009E07C7"/>
    <w:rsid w:val="009E07DF"/>
    <w:rsid w:val="009E080F"/>
    <w:rsid w:val="009E08F1"/>
    <w:rsid w:val="009E0A0B"/>
    <w:rsid w:val="009E0A3D"/>
    <w:rsid w:val="009E0A65"/>
    <w:rsid w:val="009E0A8A"/>
    <w:rsid w:val="009E0B80"/>
    <w:rsid w:val="009E0BC4"/>
    <w:rsid w:val="009E0C7E"/>
    <w:rsid w:val="009E0D20"/>
    <w:rsid w:val="009E0D2E"/>
    <w:rsid w:val="009E0DBE"/>
    <w:rsid w:val="009E0F39"/>
    <w:rsid w:val="009E0F3B"/>
    <w:rsid w:val="009E0FFA"/>
    <w:rsid w:val="009E1035"/>
    <w:rsid w:val="009E1050"/>
    <w:rsid w:val="009E10EE"/>
    <w:rsid w:val="009E10FD"/>
    <w:rsid w:val="009E11B2"/>
    <w:rsid w:val="009E11D8"/>
    <w:rsid w:val="009E1315"/>
    <w:rsid w:val="009E131E"/>
    <w:rsid w:val="009E132E"/>
    <w:rsid w:val="009E1367"/>
    <w:rsid w:val="009E136E"/>
    <w:rsid w:val="009E14E0"/>
    <w:rsid w:val="009E157D"/>
    <w:rsid w:val="009E161A"/>
    <w:rsid w:val="009E163B"/>
    <w:rsid w:val="009E164E"/>
    <w:rsid w:val="009E16D4"/>
    <w:rsid w:val="009E1837"/>
    <w:rsid w:val="009E18E3"/>
    <w:rsid w:val="009E1967"/>
    <w:rsid w:val="009E19FF"/>
    <w:rsid w:val="009E1A6E"/>
    <w:rsid w:val="009E1B7A"/>
    <w:rsid w:val="009E1C45"/>
    <w:rsid w:val="009E1E16"/>
    <w:rsid w:val="009E1E67"/>
    <w:rsid w:val="009E1ECE"/>
    <w:rsid w:val="009E1EE1"/>
    <w:rsid w:val="009E1EFA"/>
    <w:rsid w:val="009E1FFE"/>
    <w:rsid w:val="009E201F"/>
    <w:rsid w:val="009E207B"/>
    <w:rsid w:val="009E2095"/>
    <w:rsid w:val="009E2125"/>
    <w:rsid w:val="009E226C"/>
    <w:rsid w:val="009E2311"/>
    <w:rsid w:val="009E2317"/>
    <w:rsid w:val="009E2403"/>
    <w:rsid w:val="009E24AA"/>
    <w:rsid w:val="009E24F0"/>
    <w:rsid w:val="009E257F"/>
    <w:rsid w:val="009E25E1"/>
    <w:rsid w:val="009E261F"/>
    <w:rsid w:val="009E2754"/>
    <w:rsid w:val="009E28AC"/>
    <w:rsid w:val="009E2925"/>
    <w:rsid w:val="009E295A"/>
    <w:rsid w:val="009E2991"/>
    <w:rsid w:val="009E2AB8"/>
    <w:rsid w:val="009E2C55"/>
    <w:rsid w:val="009E2DD2"/>
    <w:rsid w:val="009E2E09"/>
    <w:rsid w:val="009E2E17"/>
    <w:rsid w:val="009E2E1F"/>
    <w:rsid w:val="009E2E7A"/>
    <w:rsid w:val="009E2EE9"/>
    <w:rsid w:val="009E2F33"/>
    <w:rsid w:val="009E302F"/>
    <w:rsid w:val="009E3057"/>
    <w:rsid w:val="009E3278"/>
    <w:rsid w:val="009E32DB"/>
    <w:rsid w:val="009E32E1"/>
    <w:rsid w:val="009E3362"/>
    <w:rsid w:val="009E3510"/>
    <w:rsid w:val="009E36B8"/>
    <w:rsid w:val="009E36C4"/>
    <w:rsid w:val="009E37C4"/>
    <w:rsid w:val="009E3887"/>
    <w:rsid w:val="009E398B"/>
    <w:rsid w:val="009E3ABC"/>
    <w:rsid w:val="009E3B25"/>
    <w:rsid w:val="009E3B67"/>
    <w:rsid w:val="009E3C34"/>
    <w:rsid w:val="009E3C37"/>
    <w:rsid w:val="009E3E59"/>
    <w:rsid w:val="009E3F20"/>
    <w:rsid w:val="009E4052"/>
    <w:rsid w:val="009E41DD"/>
    <w:rsid w:val="009E426B"/>
    <w:rsid w:val="009E4475"/>
    <w:rsid w:val="009E4551"/>
    <w:rsid w:val="009E4559"/>
    <w:rsid w:val="009E4797"/>
    <w:rsid w:val="009E48D8"/>
    <w:rsid w:val="009E4926"/>
    <w:rsid w:val="009E4A01"/>
    <w:rsid w:val="009E4B98"/>
    <w:rsid w:val="009E4C25"/>
    <w:rsid w:val="009E4C37"/>
    <w:rsid w:val="009E4C3D"/>
    <w:rsid w:val="009E4CE7"/>
    <w:rsid w:val="009E4E0D"/>
    <w:rsid w:val="009E4EE2"/>
    <w:rsid w:val="009E4F29"/>
    <w:rsid w:val="009E505D"/>
    <w:rsid w:val="009E5061"/>
    <w:rsid w:val="009E50ED"/>
    <w:rsid w:val="009E5122"/>
    <w:rsid w:val="009E5194"/>
    <w:rsid w:val="009E5372"/>
    <w:rsid w:val="009E539E"/>
    <w:rsid w:val="009E542C"/>
    <w:rsid w:val="009E54E7"/>
    <w:rsid w:val="009E5606"/>
    <w:rsid w:val="009E56CE"/>
    <w:rsid w:val="009E57B3"/>
    <w:rsid w:val="009E5821"/>
    <w:rsid w:val="009E5824"/>
    <w:rsid w:val="009E58E6"/>
    <w:rsid w:val="009E5985"/>
    <w:rsid w:val="009E59B4"/>
    <w:rsid w:val="009E59DF"/>
    <w:rsid w:val="009E5A08"/>
    <w:rsid w:val="009E5C31"/>
    <w:rsid w:val="009E5C70"/>
    <w:rsid w:val="009E5E29"/>
    <w:rsid w:val="009E5E7D"/>
    <w:rsid w:val="009E5E82"/>
    <w:rsid w:val="009E6104"/>
    <w:rsid w:val="009E6115"/>
    <w:rsid w:val="009E61EF"/>
    <w:rsid w:val="009E63A1"/>
    <w:rsid w:val="009E6490"/>
    <w:rsid w:val="009E6526"/>
    <w:rsid w:val="009E6903"/>
    <w:rsid w:val="009E69C2"/>
    <w:rsid w:val="009E6B06"/>
    <w:rsid w:val="009E6C22"/>
    <w:rsid w:val="009E6C2E"/>
    <w:rsid w:val="009E6C34"/>
    <w:rsid w:val="009E6E22"/>
    <w:rsid w:val="009E6F59"/>
    <w:rsid w:val="009E6FCD"/>
    <w:rsid w:val="009E711C"/>
    <w:rsid w:val="009E7123"/>
    <w:rsid w:val="009E7472"/>
    <w:rsid w:val="009E74BE"/>
    <w:rsid w:val="009E74CC"/>
    <w:rsid w:val="009E75DE"/>
    <w:rsid w:val="009E7621"/>
    <w:rsid w:val="009E763C"/>
    <w:rsid w:val="009E769D"/>
    <w:rsid w:val="009E76CB"/>
    <w:rsid w:val="009E785E"/>
    <w:rsid w:val="009E789F"/>
    <w:rsid w:val="009E78B9"/>
    <w:rsid w:val="009E78C3"/>
    <w:rsid w:val="009E7971"/>
    <w:rsid w:val="009E79F4"/>
    <w:rsid w:val="009E7A63"/>
    <w:rsid w:val="009E7B94"/>
    <w:rsid w:val="009E7C3D"/>
    <w:rsid w:val="009E7CB4"/>
    <w:rsid w:val="009E7D10"/>
    <w:rsid w:val="009E7D62"/>
    <w:rsid w:val="009F0011"/>
    <w:rsid w:val="009F00E3"/>
    <w:rsid w:val="009F00F4"/>
    <w:rsid w:val="009F0125"/>
    <w:rsid w:val="009F013F"/>
    <w:rsid w:val="009F0147"/>
    <w:rsid w:val="009F0173"/>
    <w:rsid w:val="009F021C"/>
    <w:rsid w:val="009F0243"/>
    <w:rsid w:val="009F028F"/>
    <w:rsid w:val="009F032A"/>
    <w:rsid w:val="009F037F"/>
    <w:rsid w:val="009F0401"/>
    <w:rsid w:val="009F04A1"/>
    <w:rsid w:val="009F04A3"/>
    <w:rsid w:val="009F0664"/>
    <w:rsid w:val="009F06FE"/>
    <w:rsid w:val="009F07E5"/>
    <w:rsid w:val="009F081B"/>
    <w:rsid w:val="009F083C"/>
    <w:rsid w:val="009F0846"/>
    <w:rsid w:val="009F0899"/>
    <w:rsid w:val="009F09BD"/>
    <w:rsid w:val="009F0CA1"/>
    <w:rsid w:val="009F0D4A"/>
    <w:rsid w:val="009F0EB4"/>
    <w:rsid w:val="009F0EC4"/>
    <w:rsid w:val="009F0F3F"/>
    <w:rsid w:val="009F10A4"/>
    <w:rsid w:val="009F1186"/>
    <w:rsid w:val="009F1490"/>
    <w:rsid w:val="009F14DB"/>
    <w:rsid w:val="009F153C"/>
    <w:rsid w:val="009F163E"/>
    <w:rsid w:val="009F1675"/>
    <w:rsid w:val="009F1741"/>
    <w:rsid w:val="009F1742"/>
    <w:rsid w:val="009F1758"/>
    <w:rsid w:val="009F17CB"/>
    <w:rsid w:val="009F187D"/>
    <w:rsid w:val="009F18D5"/>
    <w:rsid w:val="009F1909"/>
    <w:rsid w:val="009F194E"/>
    <w:rsid w:val="009F1991"/>
    <w:rsid w:val="009F1A1A"/>
    <w:rsid w:val="009F1AB6"/>
    <w:rsid w:val="009F1B0B"/>
    <w:rsid w:val="009F1BA1"/>
    <w:rsid w:val="009F1C2C"/>
    <w:rsid w:val="009F1C9B"/>
    <w:rsid w:val="009F1CA1"/>
    <w:rsid w:val="009F1CBB"/>
    <w:rsid w:val="009F1F0F"/>
    <w:rsid w:val="009F2006"/>
    <w:rsid w:val="009F2369"/>
    <w:rsid w:val="009F23A5"/>
    <w:rsid w:val="009F246D"/>
    <w:rsid w:val="009F2548"/>
    <w:rsid w:val="009F2700"/>
    <w:rsid w:val="009F277F"/>
    <w:rsid w:val="009F281F"/>
    <w:rsid w:val="009F296B"/>
    <w:rsid w:val="009F29C7"/>
    <w:rsid w:val="009F2B34"/>
    <w:rsid w:val="009F2C81"/>
    <w:rsid w:val="009F2D92"/>
    <w:rsid w:val="009F2DB1"/>
    <w:rsid w:val="009F2DC9"/>
    <w:rsid w:val="009F2F5F"/>
    <w:rsid w:val="009F2FA8"/>
    <w:rsid w:val="009F3042"/>
    <w:rsid w:val="009F30F3"/>
    <w:rsid w:val="009F317A"/>
    <w:rsid w:val="009F31EA"/>
    <w:rsid w:val="009F329A"/>
    <w:rsid w:val="009F32C9"/>
    <w:rsid w:val="009F33A2"/>
    <w:rsid w:val="009F3406"/>
    <w:rsid w:val="009F349A"/>
    <w:rsid w:val="009F34AB"/>
    <w:rsid w:val="009F3500"/>
    <w:rsid w:val="009F3536"/>
    <w:rsid w:val="009F3601"/>
    <w:rsid w:val="009F3629"/>
    <w:rsid w:val="009F3648"/>
    <w:rsid w:val="009F3660"/>
    <w:rsid w:val="009F368A"/>
    <w:rsid w:val="009F36DA"/>
    <w:rsid w:val="009F3705"/>
    <w:rsid w:val="009F396F"/>
    <w:rsid w:val="009F39A7"/>
    <w:rsid w:val="009F39B0"/>
    <w:rsid w:val="009F3B9A"/>
    <w:rsid w:val="009F3C2B"/>
    <w:rsid w:val="009F3D0B"/>
    <w:rsid w:val="009F3D86"/>
    <w:rsid w:val="009F3D9F"/>
    <w:rsid w:val="009F3DD5"/>
    <w:rsid w:val="009F3DF6"/>
    <w:rsid w:val="009F3E4E"/>
    <w:rsid w:val="009F3E66"/>
    <w:rsid w:val="009F3EAD"/>
    <w:rsid w:val="009F3F60"/>
    <w:rsid w:val="009F4030"/>
    <w:rsid w:val="009F403B"/>
    <w:rsid w:val="009F41B7"/>
    <w:rsid w:val="009F4205"/>
    <w:rsid w:val="009F4209"/>
    <w:rsid w:val="009F42B3"/>
    <w:rsid w:val="009F42ED"/>
    <w:rsid w:val="009F42EE"/>
    <w:rsid w:val="009F4328"/>
    <w:rsid w:val="009F432F"/>
    <w:rsid w:val="009F43DB"/>
    <w:rsid w:val="009F4432"/>
    <w:rsid w:val="009F448C"/>
    <w:rsid w:val="009F45B1"/>
    <w:rsid w:val="009F45ED"/>
    <w:rsid w:val="009F46BA"/>
    <w:rsid w:val="009F477A"/>
    <w:rsid w:val="009F4803"/>
    <w:rsid w:val="009F491F"/>
    <w:rsid w:val="009F4988"/>
    <w:rsid w:val="009F4AA5"/>
    <w:rsid w:val="009F4AC0"/>
    <w:rsid w:val="009F4BC9"/>
    <w:rsid w:val="009F4CFC"/>
    <w:rsid w:val="009F4D6D"/>
    <w:rsid w:val="009F4E55"/>
    <w:rsid w:val="009F4E99"/>
    <w:rsid w:val="009F4F8F"/>
    <w:rsid w:val="009F4FCA"/>
    <w:rsid w:val="009F5071"/>
    <w:rsid w:val="009F5165"/>
    <w:rsid w:val="009F51BE"/>
    <w:rsid w:val="009F5241"/>
    <w:rsid w:val="009F52EA"/>
    <w:rsid w:val="009F54A7"/>
    <w:rsid w:val="009F54E4"/>
    <w:rsid w:val="009F56D9"/>
    <w:rsid w:val="009F5793"/>
    <w:rsid w:val="009F57BE"/>
    <w:rsid w:val="009F5828"/>
    <w:rsid w:val="009F588F"/>
    <w:rsid w:val="009F59DF"/>
    <w:rsid w:val="009F5A44"/>
    <w:rsid w:val="009F5C07"/>
    <w:rsid w:val="009F5CA1"/>
    <w:rsid w:val="009F5CAC"/>
    <w:rsid w:val="009F5E35"/>
    <w:rsid w:val="009F5E50"/>
    <w:rsid w:val="009F5E7B"/>
    <w:rsid w:val="009F5F37"/>
    <w:rsid w:val="009F5FD0"/>
    <w:rsid w:val="009F6189"/>
    <w:rsid w:val="009F61EB"/>
    <w:rsid w:val="009F6276"/>
    <w:rsid w:val="009F62AE"/>
    <w:rsid w:val="009F62CA"/>
    <w:rsid w:val="009F630A"/>
    <w:rsid w:val="009F6343"/>
    <w:rsid w:val="009F63FB"/>
    <w:rsid w:val="009F651F"/>
    <w:rsid w:val="009F6728"/>
    <w:rsid w:val="009F678A"/>
    <w:rsid w:val="009F681A"/>
    <w:rsid w:val="009F6A49"/>
    <w:rsid w:val="009F6ACC"/>
    <w:rsid w:val="009F6B0B"/>
    <w:rsid w:val="009F6B14"/>
    <w:rsid w:val="009F6B24"/>
    <w:rsid w:val="009F6C51"/>
    <w:rsid w:val="009F6CA8"/>
    <w:rsid w:val="009F6CD9"/>
    <w:rsid w:val="009F6D50"/>
    <w:rsid w:val="009F6D9A"/>
    <w:rsid w:val="009F6E6F"/>
    <w:rsid w:val="009F6FC8"/>
    <w:rsid w:val="009F6FCA"/>
    <w:rsid w:val="009F7125"/>
    <w:rsid w:val="009F7164"/>
    <w:rsid w:val="009F7245"/>
    <w:rsid w:val="009F726F"/>
    <w:rsid w:val="009F728D"/>
    <w:rsid w:val="009F759D"/>
    <w:rsid w:val="009F7701"/>
    <w:rsid w:val="009F7771"/>
    <w:rsid w:val="009F77D1"/>
    <w:rsid w:val="009F77D7"/>
    <w:rsid w:val="009F77DF"/>
    <w:rsid w:val="009F7860"/>
    <w:rsid w:val="009F78C1"/>
    <w:rsid w:val="009F797D"/>
    <w:rsid w:val="009F79FC"/>
    <w:rsid w:val="009F7A8A"/>
    <w:rsid w:val="009F7B2E"/>
    <w:rsid w:val="009F7B3B"/>
    <w:rsid w:val="009F7CBE"/>
    <w:rsid w:val="009F7D07"/>
    <w:rsid w:val="009F7D2F"/>
    <w:rsid w:val="009F7D91"/>
    <w:rsid w:val="009F7DFC"/>
    <w:rsid w:val="009F7E7B"/>
    <w:rsid w:val="009F7EF6"/>
    <w:rsid w:val="009F7F20"/>
    <w:rsid w:val="00A00067"/>
    <w:rsid w:val="00A00076"/>
    <w:rsid w:val="00A000BE"/>
    <w:rsid w:val="00A000D9"/>
    <w:rsid w:val="00A001A2"/>
    <w:rsid w:val="00A001B7"/>
    <w:rsid w:val="00A001ED"/>
    <w:rsid w:val="00A00210"/>
    <w:rsid w:val="00A00216"/>
    <w:rsid w:val="00A00251"/>
    <w:rsid w:val="00A0028D"/>
    <w:rsid w:val="00A0033D"/>
    <w:rsid w:val="00A00382"/>
    <w:rsid w:val="00A00434"/>
    <w:rsid w:val="00A00469"/>
    <w:rsid w:val="00A0046B"/>
    <w:rsid w:val="00A004A8"/>
    <w:rsid w:val="00A004FC"/>
    <w:rsid w:val="00A0051F"/>
    <w:rsid w:val="00A005AB"/>
    <w:rsid w:val="00A005C1"/>
    <w:rsid w:val="00A00605"/>
    <w:rsid w:val="00A007CE"/>
    <w:rsid w:val="00A00B08"/>
    <w:rsid w:val="00A00BA7"/>
    <w:rsid w:val="00A00CF9"/>
    <w:rsid w:val="00A00D69"/>
    <w:rsid w:val="00A00DA8"/>
    <w:rsid w:val="00A00DD5"/>
    <w:rsid w:val="00A00DF3"/>
    <w:rsid w:val="00A00E24"/>
    <w:rsid w:val="00A00EEF"/>
    <w:rsid w:val="00A00EF8"/>
    <w:rsid w:val="00A00F4B"/>
    <w:rsid w:val="00A00F9A"/>
    <w:rsid w:val="00A00FCD"/>
    <w:rsid w:val="00A00FE4"/>
    <w:rsid w:val="00A00FE6"/>
    <w:rsid w:val="00A0101F"/>
    <w:rsid w:val="00A010D8"/>
    <w:rsid w:val="00A01179"/>
    <w:rsid w:val="00A011CA"/>
    <w:rsid w:val="00A011D1"/>
    <w:rsid w:val="00A01296"/>
    <w:rsid w:val="00A012A9"/>
    <w:rsid w:val="00A01344"/>
    <w:rsid w:val="00A0136E"/>
    <w:rsid w:val="00A01406"/>
    <w:rsid w:val="00A0145F"/>
    <w:rsid w:val="00A014D3"/>
    <w:rsid w:val="00A015CE"/>
    <w:rsid w:val="00A015E3"/>
    <w:rsid w:val="00A016A1"/>
    <w:rsid w:val="00A016B9"/>
    <w:rsid w:val="00A016C2"/>
    <w:rsid w:val="00A01793"/>
    <w:rsid w:val="00A017D5"/>
    <w:rsid w:val="00A018A6"/>
    <w:rsid w:val="00A018FF"/>
    <w:rsid w:val="00A01A10"/>
    <w:rsid w:val="00A01A3D"/>
    <w:rsid w:val="00A01AC1"/>
    <w:rsid w:val="00A01C55"/>
    <w:rsid w:val="00A01C72"/>
    <w:rsid w:val="00A01D10"/>
    <w:rsid w:val="00A01DA8"/>
    <w:rsid w:val="00A01E70"/>
    <w:rsid w:val="00A01EA4"/>
    <w:rsid w:val="00A01F72"/>
    <w:rsid w:val="00A01FAA"/>
    <w:rsid w:val="00A01FCA"/>
    <w:rsid w:val="00A0218F"/>
    <w:rsid w:val="00A02376"/>
    <w:rsid w:val="00A023BC"/>
    <w:rsid w:val="00A024E1"/>
    <w:rsid w:val="00A025F1"/>
    <w:rsid w:val="00A02639"/>
    <w:rsid w:val="00A0263E"/>
    <w:rsid w:val="00A02688"/>
    <w:rsid w:val="00A026CF"/>
    <w:rsid w:val="00A026DC"/>
    <w:rsid w:val="00A02762"/>
    <w:rsid w:val="00A02780"/>
    <w:rsid w:val="00A027A4"/>
    <w:rsid w:val="00A0280E"/>
    <w:rsid w:val="00A0282A"/>
    <w:rsid w:val="00A02864"/>
    <w:rsid w:val="00A02AC8"/>
    <w:rsid w:val="00A02BC4"/>
    <w:rsid w:val="00A02BD8"/>
    <w:rsid w:val="00A02C8C"/>
    <w:rsid w:val="00A02C9A"/>
    <w:rsid w:val="00A02CA1"/>
    <w:rsid w:val="00A02D64"/>
    <w:rsid w:val="00A02DB7"/>
    <w:rsid w:val="00A02E24"/>
    <w:rsid w:val="00A02EE2"/>
    <w:rsid w:val="00A02EF4"/>
    <w:rsid w:val="00A030E2"/>
    <w:rsid w:val="00A03200"/>
    <w:rsid w:val="00A03210"/>
    <w:rsid w:val="00A033ED"/>
    <w:rsid w:val="00A034B2"/>
    <w:rsid w:val="00A034D9"/>
    <w:rsid w:val="00A03714"/>
    <w:rsid w:val="00A03A06"/>
    <w:rsid w:val="00A03A1E"/>
    <w:rsid w:val="00A03B4F"/>
    <w:rsid w:val="00A03CDE"/>
    <w:rsid w:val="00A03D4D"/>
    <w:rsid w:val="00A03D5B"/>
    <w:rsid w:val="00A03D6E"/>
    <w:rsid w:val="00A03D85"/>
    <w:rsid w:val="00A03D8E"/>
    <w:rsid w:val="00A03DF8"/>
    <w:rsid w:val="00A03EC9"/>
    <w:rsid w:val="00A03F03"/>
    <w:rsid w:val="00A03F36"/>
    <w:rsid w:val="00A03F42"/>
    <w:rsid w:val="00A0409E"/>
    <w:rsid w:val="00A040BD"/>
    <w:rsid w:val="00A0410F"/>
    <w:rsid w:val="00A0415B"/>
    <w:rsid w:val="00A04182"/>
    <w:rsid w:val="00A0418C"/>
    <w:rsid w:val="00A041CC"/>
    <w:rsid w:val="00A04281"/>
    <w:rsid w:val="00A042AF"/>
    <w:rsid w:val="00A042B8"/>
    <w:rsid w:val="00A042D9"/>
    <w:rsid w:val="00A042DB"/>
    <w:rsid w:val="00A043BE"/>
    <w:rsid w:val="00A04505"/>
    <w:rsid w:val="00A04634"/>
    <w:rsid w:val="00A04766"/>
    <w:rsid w:val="00A047C5"/>
    <w:rsid w:val="00A047DD"/>
    <w:rsid w:val="00A0491F"/>
    <w:rsid w:val="00A04ABC"/>
    <w:rsid w:val="00A04B9C"/>
    <w:rsid w:val="00A04BCA"/>
    <w:rsid w:val="00A04D1D"/>
    <w:rsid w:val="00A04DC0"/>
    <w:rsid w:val="00A04DE9"/>
    <w:rsid w:val="00A04E7F"/>
    <w:rsid w:val="00A04E85"/>
    <w:rsid w:val="00A04EA9"/>
    <w:rsid w:val="00A04F33"/>
    <w:rsid w:val="00A04FB0"/>
    <w:rsid w:val="00A04FD2"/>
    <w:rsid w:val="00A04FF0"/>
    <w:rsid w:val="00A04FF8"/>
    <w:rsid w:val="00A050D6"/>
    <w:rsid w:val="00A050DC"/>
    <w:rsid w:val="00A052AD"/>
    <w:rsid w:val="00A05313"/>
    <w:rsid w:val="00A05323"/>
    <w:rsid w:val="00A054AC"/>
    <w:rsid w:val="00A054C1"/>
    <w:rsid w:val="00A05548"/>
    <w:rsid w:val="00A05602"/>
    <w:rsid w:val="00A056AA"/>
    <w:rsid w:val="00A056BB"/>
    <w:rsid w:val="00A05796"/>
    <w:rsid w:val="00A05853"/>
    <w:rsid w:val="00A058EF"/>
    <w:rsid w:val="00A058F4"/>
    <w:rsid w:val="00A05927"/>
    <w:rsid w:val="00A059BD"/>
    <w:rsid w:val="00A059D3"/>
    <w:rsid w:val="00A05AA5"/>
    <w:rsid w:val="00A05B90"/>
    <w:rsid w:val="00A05C7B"/>
    <w:rsid w:val="00A05D17"/>
    <w:rsid w:val="00A05D90"/>
    <w:rsid w:val="00A05FA4"/>
    <w:rsid w:val="00A060BD"/>
    <w:rsid w:val="00A061DD"/>
    <w:rsid w:val="00A0624A"/>
    <w:rsid w:val="00A06357"/>
    <w:rsid w:val="00A063D8"/>
    <w:rsid w:val="00A063EE"/>
    <w:rsid w:val="00A06414"/>
    <w:rsid w:val="00A0652E"/>
    <w:rsid w:val="00A06574"/>
    <w:rsid w:val="00A0658A"/>
    <w:rsid w:val="00A065FC"/>
    <w:rsid w:val="00A06656"/>
    <w:rsid w:val="00A06670"/>
    <w:rsid w:val="00A066CD"/>
    <w:rsid w:val="00A066D3"/>
    <w:rsid w:val="00A06775"/>
    <w:rsid w:val="00A06879"/>
    <w:rsid w:val="00A0688A"/>
    <w:rsid w:val="00A069A9"/>
    <w:rsid w:val="00A069BB"/>
    <w:rsid w:val="00A06A60"/>
    <w:rsid w:val="00A06B23"/>
    <w:rsid w:val="00A06B68"/>
    <w:rsid w:val="00A06C6F"/>
    <w:rsid w:val="00A06CD5"/>
    <w:rsid w:val="00A06D05"/>
    <w:rsid w:val="00A06D7A"/>
    <w:rsid w:val="00A06E18"/>
    <w:rsid w:val="00A06E3E"/>
    <w:rsid w:val="00A06EAB"/>
    <w:rsid w:val="00A06F6D"/>
    <w:rsid w:val="00A06FF5"/>
    <w:rsid w:val="00A071A4"/>
    <w:rsid w:val="00A07334"/>
    <w:rsid w:val="00A07494"/>
    <w:rsid w:val="00A076FF"/>
    <w:rsid w:val="00A077AD"/>
    <w:rsid w:val="00A077B6"/>
    <w:rsid w:val="00A0781D"/>
    <w:rsid w:val="00A078C1"/>
    <w:rsid w:val="00A07973"/>
    <w:rsid w:val="00A079B2"/>
    <w:rsid w:val="00A07A15"/>
    <w:rsid w:val="00A07ACD"/>
    <w:rsid w:val="00A07C67"/>
    <w:rsid w:val="00A07C6F"/>
    <w:rsid w:val="00A07C96"/>
    <w:rsid w:val="00A07C9C"/>
    <w:rsid w:val="00A07F07"/>
    <w:rsid w:val="00A07F4A"/>
    <w:rsid w:val="00A07FD1"/>
    <w:rsid w:val="00A1007E"/>
    <w:rsid w:val="00A100B5"/>
    <w:rsid w:val="00A100FF"/>
    <w:rsid w:val="00A10143"/>
    <w:rsid w:val="00A101A7"/>
    <w:rsid w:val="00A1023E"/>
    <w:rsid w:val="00A102A6"/>
    <w:rsid w:val="00A1059E"/>
    <w:rsid w:val="00A10630"/>
    <w:rsid w:val="00A106C7"/>
    <w:rsid w:val="00A106E2"/>
    <w:rsid w:val="00A10704"/>
    <w:rsid w:val="00A10715"/>
    <w:rsid w:val="00A108A3"/>
    <w:rsid w:val="00A108F5"/>
    <w:rsid w:val="00A10991"/>
    <w:rsid w:val="00A10A3E"/>
    <w:rsid w:val="00A10A91"/>
    <w:rsid w:val="00A10ABA"/>
    <w:rsid w:val="00A10AFC"/>
    <w:rsid w:val="00A10B34"/>
    <w:rsid w:val="00A10BF3"/>
    <w:rsid w:val="00A10D11"/>
    <w:rsid w:val="00A10D31"/>
    <w:rsid w:val="00A10D4B"/>
    <w:rsid w:val="00A10F7E"/>
    <w:rsid w:val="00A10FBC"/>
    <w:rsid w:val="00A10FCA"/>
    <w:rsid w:val="00A11193"/>
    <w:rsid w:val="00A111BA"/>
    <w:rsid w:val="00A111EB"/>
    <w:rsid w:val="00A111FF"/>
    <w:rsid w:val="00A11344"/>
    <w:rsid w:val="00A1148A"/>
    <w:rsid w:val="00A1169A"/>
    <w:rsid w:val="00A1178F"/>
    <w:rsid w:val="00A118A2"/>
    <w:rsid w:val="00A118F5"/>
    <w:rsid w:val="00A11906"/>
    <w:rsid w:val="00A11A17"/>
    <w:rsid w:val="00A11A72"/>
    <w:rsid w:val="00A11A9D"/>
    <w:rsid w:val="00A11A9E"/>
    <w:rsid w:val="00A11AAD"/>
    <w:rsid w:val="00A11AB4"/>
    <w:rsid w:val="00A11AFC"/>
    <w:rsid w:val="00A11B83"/>
    <w:rsid w:val="00A11C81"/>
    <w:rsid w:val="00A11CBE"/>
    <w:rsid w:val="00A11D84"/>
    <w:rsid w:val="00A1206B"/>
    <w:rsid w:val="00A12086"/>
    <w:rsid w:val="00A12092"/>
    <w:rsid w:val="00A1210D"/>
    <w:rsid w:val="00A12122"/>
    <w:rsid w:val="00A122A6"/>
    <w:rsid w:val="00A123AB"/>
    <w:rsid w:val="00A125F5"/>
    <w:rsid w:val="00A12678"/>
    <w:rsid w:val="00A126B9"/>
    <w:rsid w:val="00A127FD"/>
    <w:rsid w:val="00A12812"/>
    <w:rsid w:val="00A12945"/>
    <w:rsid w:val="00A12964"/>
    <w:rsid w:val="00A12AB5"/>
    <w:rsid w:val="00A12C27"/>
    <w:rsid w:val="00A12E3F"/>
    <w:rsid w:val="00A12E6C"/>
    <w:rsid w:val="00A12ED9"/>
    <w:rsid w:val="00A12F2A"/>
    <w:rsid w:val="00A12FAD"/>
    <w:rsid w:val="00A130C2"/>
    <w:rsid w:val="00A13119"/>
    <w:rsid w:val="00A13148"/>
    <w:rsid w:val="00A13225"/>
    <w:rsid w:val="00A13229"/>
    <w:rsid w:val="00A1335A"/>
    <w:rsid w:val="00A133F6"/>
    <w:rsid w:val="00A13415"/>
    <w:rsid w:val="00A13463"/>
    <w:rsid w:val="00A1346D"/>
    <w:rsid w:val="00A134A5"/>
    <w:rsid w:val="00A13670"/>
    <w:rsid w:val="00A1368A"/>
    <w:rsid w:val="00A137BD"/>
    <w:rsid w:val="00A137C1"/>
    <w:rsid w:val="00A137CB"/>
    <w:rsid w:val="00A137FD"/>
    <w:rsid w:val="00A13854"/>
    <w:rsid w:val="00A13857"/>
    <w:rsid w:val="00A138EC"/>
    <w:rsid w:val="00A139D6"/>
    <w:rsid w:val="00A139DC"/>
    <w:rsid w:val="00A13A19"/>
    <w:rsid w:val="00A13A50"/>
    <w:rsid w:val="00A13A85"/>
    <w:rsid w:val="00A13A97"/>
    <w:rsid w:val="00A13A9D"/>
    <w:rsid w:val="00A13AF5"/>
    <w:rsid w:val="00A13B18"/>
    <w:rsid w:val="00A13B22"/>
    <w:rsid w:val="00A13B29"/>
    <w:rsid w:val="00A13B86"/>
    <w:rsid w:val="00A13CDF"/>
    <w:rsid w:val="00A13DBF"/>
    <w:rsid w:val="00A13DCC"/>
    <w:rsid w:val="00A13DDF"/>
    <w:rsid w:val="00A13EC9"/>
    <w:rsid w:val="00A13FF5"/>
    <w:rsid w:val="00A1401E"/>
    <w:rsid w:val="00A141E2"/>
    <w:rsid w:val="00A1422B"/>
    <w:rsid w:val="00A1422D"/>
    <w:rsid w:val="00A1438C"/>
    <w:rsid w:val="00A143D2"/>
    <w:rsid w:val="00A1450B"/>
    <w:rsid w:val="00A14585"/>
    <w:rsid w:val="00A145A7"/>
    <w:rsid w:val="00A1473C"/>
    <w:rsid w:val="00A148A4"/>
    <w:rsid w:val="00A14926"/>
    <w:rsid w:val="00A14948"/>
    <w:rsid w:val="00A14A02"/>
    <w:rsid w:val="00A14A1A"/>
    <w:rsid w:val="00A14A6A"/>
    <w:rsid w:val="00A14ADF"/>
    <w:rsid w:val="00A14B0F"/>
    <w:rsid w:val="00A14B3B"/>
    <w:rsid w:val="00A14B76"/>
    <w:rsid w:val="00A14B8A"/>
    <w:rsid w:val="00A14D75"/>
    <w:rsid w:val="00A14E98"/>
    <w:rsid w:val="00A14E9F"/>
    <w:rsid w:val="00A14EB1"/>
    <w:rsid w:val="00A15055"/>
    <w:rsid w:val="00A15081"/>
    <w:rsid w:val="00A1513B"/>
    <w:rsid w:val="00A15194"/>
    <w:rsid w:val="00A151EE"/>
    <w:rsid w:val="00A1556D"/>
    <w:rsid w:val="00A1568C"/>
    <w:rsid w:val="00A15771"/>
    <w:rsid w:val="00A15867"/>
    <w:rsid w:val="00A15946"/>
    <w:rsid w:val="00A15962"/>
    <w:rsid w:val="00A1597D"/>
    <w:rsid w:val="00A15994"/>
    <w:rsid w:val="00A15A6B"/>
    <w:rsid w:val="00A15B79"/>
    <w:rsid w:val="00A15BA8"/>
    <w:rsid w:val="00A15C0B"/>
    <w:rsid w:val="00A15E4E"/>
    <w:rsid w:val="00A15E6F"/>
    <w:rsid w:val="00A16059"/>
    <w:rsid w:val="00A1615B"/>
    <w:rsid w:val="00A1619B"/>
    <w:rsid w:val="00A161A4"/>
    <w:rsid w:val="00A161AB"/>
    <w:rsid w:val="00A161D5"/>
    <w:rsid w:val="00A16269"/>
    <w:rsid w:val="00A163D7"/>
    <w:rsid w:val="00A163E0"/>
    <w:rsid w:val="00A165A0"/>
    <w:rsid w:val="00A165C3"/>
    <w:rsid w:val="00A166EE"/>
    <w:rsid w:val="00A1671C"/>
    <w:rsid w:val="00A1683A"/>
    <w:rsid w:val="00A1699D"/>
    <w:rsid w:val="00A169AA"/>
    <w:rsid w:val="00A16A19"/>
    <w:rsid w:val="00A16BBD"/>
    <w:rsid w:val="00A16BED"/>
    <w:rsid w:val="00A16C28"/>
    <w:rsid w:val="00A16E42"/>
    <w:rsid w:val="00A16E58"/>
    <w:rsid w:val="00A16E91"/>
    <w:rsid w:val="00A16ED8"/>
    <w:rsid w:val="00A16F0F"/>
    <w:rsid w:val="00A1702A"/>
    <w:rsid w:val="00A1703A"/>
    <w:rsid w:val="00A17159"/>
    <w:rsid w:val="00A17168"/>
    <w:rsid w:val="00A1717E"/>
    <w:rsid w:val="00A1720E"/>
    <w:rsid w:val="00A17224"/>
    <w:rsid w:val="00A173B5"/>
    <w:rsid w:val="00A175FF"/>
    <w:rsid w:val="00A17642"/>
    <w:rsid w:val="00A17684"/>
    <w:rsid w:val="00A176E3"/>
    <w:rsid w:val="00A17798"/>
    <w:rsid w:val="00A17899"/>
    <w:rsid w:val="00A17957"/>
    <w:rsid w:val="00A17968"/>
    <w:rsid w:val="00A1797D"/>
    <w:rsid w:val="00A179F4"/>
    <w:rsid w:val="00A17AB1"/>
    <w:rsid w:val="00A17AB9"/>
    <w:rsid w:val="00A17B6C"/>
    <w:rsid w:val="00A17C5A"/>
    <w:rsid w:val="00A17C6F"/>
    <w:rsid w:val="00A17E21"/>
    <w:rsid w:val="00A17E3D"/>
    <w:rsid w:val="00A17E73"/>
    <w:rsid w:val="00A17E8B"/>
    <w:rsid w:val="00A17ED1"/>
    <w:rsid w:val="00A17EE6"/>
    <w:rsid w:val="00A17F6E"/>
    <w:rsid w:val="00A20165"/>
    <w:rsid w:val="00A201DA"/>
    <w:rsid w:val="00A201FA"/>
    <w:rsid w:val="00A2028E"/>
    <w:rsid w:val="00A203BD"/>
    <w:rsid w:val="00A2044A"/>
    <w:rsid w:val="00A20594"/>
    <w:rsid w:val="00A2074C"/>
    <w:rsid w:val="00A207BB"/>
    <w:rsid w:val="00A207EA"/>
    <w:rsid w:val="00A20832"/>
    <w:rsid w:val="00A20893"/>
    <w:rsid w:val="00A20950"/>
    <w:rsid w:val="00A20B8B"/>
    <w:rsid w:val="00A20DF5"/>
    <w:rsid w:val="00A20EB0"/>
    <w:rsid w:val="00A20ECC"/>
    <w:rsid w:val="00A20FB4"/>
    <w:rsid w:val="00A21040"/>
    <w:rsid w:val="00A210A0"/>
    <w:rsid w:val="00A21110"/>
    <w:rsid w:val="00A21157"/>
    <w:rsid w:val="00A21196"/>
    <w:rsid w:val="00A2122F"/>
    <w:rsid w:val="00A21274"/>
    <w:rsid w:val="00A213BE"/>
    <w:rsid w:val="00A21489"/>
    <w:rsid w:val="00A2148B"/>
    <w:rsid w:val="00A215F7"/>
    <w:rsid w:val="00A21692"/>
    <w:rsid w:val="00A2171C"/>
    <w:rsid w:val="00A2177B"/>
    <w:rsid w:val="00A21907"/>
    <w:rsid w:val="00A2194F"/>
    <w:rsid w:val="00A21A0E"/>
    <w:rsid w:val="00A21B4D"/>
    <w:rsid w:val="00A21BBE"/>
    <w:rsid w:val="00A21D49"/>
    <w:rsid w:val="00A21D72"/>
    <w:rsid w:val="00A21F11"/>
    <w:rsid w:val="00A21F85"/>
    <w:rsid w:val="00A22016"/>
    <w:rsid w:val="00A2202F"/>
    <w:rsid w:val="00A220FA"/>
    <w:rsid w:val="00A221E4"/>
    <w:rsid w:val="00A221EB"/>
    <w:rsid w:val="00A22258"/>
    <w:rsid w:val="00A22266"/>
    <w:rsid w:val="00A22297"/>
    <w:rsid w:val="00A223DF"/>
    <w:rsid w:val="00A22476"/>
    <w:rsid w:val="00A22505"/>
    <w:rsid w:val="00A22511"/>
    <w:rsid w:val="00A22536"/>
    <w:rsid w:val="00A2256D"/>
    <w:rsid w:val="00A2257E"/>
    <w:rsid w:val="00A225BD"/>
    <w:rsid w:val="00A22641"/>
    <w:rsid w:val="00A227A0"/>
    <w:rsid w:val="00A227B6"/>
    <w:rsid w:val="00A227B8"/>
    <w:rsid w:val="00A228CB"/>
    <w:rsid w:val="00A22993"/>
    <w:rsid w:val="00A22A91"/>
    <w:rsid w:val="00A22C5A"/>
    <w:rsid w:val="00A22C63"/>
    <w:rsid w:val="00A22CA4"/>
    <w:rsid w:val="00A22D5A"/>
    <w:rsid w:val="00A22FE0"/>
    <w:rsid w:val="00A23254"/>
    <w:rsid w:val="00A23326"/>
    <w:rsid w:val="00A233CB"/>
    <w:rsid w:val="00A23426"/>
    <w:rsid w:val="00A2343E"/>
    <w:rsid w:val="00A234D0"/>
    <w:rsid w:val="00A23508"/>
    <w:rsid w:val="00A236F5"/>
    <w:rsid w:val="00A23702"/>
    <w:rsid w:val="00A237A2"/>
    <w:rsid w:val="00A2389E"/>
    <w:rsid w:val="00A23933"/>
    <w:rsid w:val="00A239C4"/>
    <w:rsid w:val="00A23CB3"/>
    <w:rsid w:val="00A23D2D"/>
    <w:rsid w:val="00A23D89"/>
    <w:rsid w:val="00A23F00"/>
    <w:rsid w:val="00A23F64"/>
    <w:rsid w:val="00A23F6D"/>
    <w:rsid w:val="00A2400C"/>
    <w:rsid w:val="00A24229"/>
    <w:rsid w:val="00A2427E"/>
    <w:rsid w:val="00A242DE"/>
    <w:rsid w:val="00A243E0"/>
    <w:rsid w:val="00A24518"/>
    <w:rsid w:val="00A24536"/>
    <w:rsid w:val="00A2454F"/>
    <w:rsid w:val="00A24778"/>
    <w:rsid w:val="00A247CA"/>
    <w:rsid w:val="00A24910"/>
    <w:rsid w:val="00A24998"/>
    <w:rsid w:val="00A24A3C"/>
    <w:rsid w:val="00A24A7A"/>
    <w:rsid w:val="00A24AF0"/>
    <w:rsid w:val="00A24B0C"/>
    <w:rsid w:val="00A24B12"/>
    <w:rsid w:val="00A24B52"/>
    <w:rsid w:val="00A24D11"/>
    <w:rsid w:val="00A24DBB"/>
    <w:rsid w:val="00A24DE6"/>
    <w:rsid w:val="00A250BB"/>
    <w:rsid w:val="00A25286"/>
    <w:rsid w:val="00A25375"/>
    <w:rsid w:val="00A25382"/>
    <w:rsid w:val="00A25390"/>
    <w:rsid w:val="00A25414"/>
    <w:rsid w:val="00A25416"/>
    <w:rsid w:val="00A25441"/>
    <w:rsid w:val="00A25797"/>
    <w:rsid w:val="00A25986"/>
    <w:rsid w:val="00A259B3"/>
    <w:rsid w:val="00A259E9"/>
    <w:rsid w:val="00A25A0C"/>
    <w:rsid w:val="00A25A5D"/>
    <w:rsid w:val="00A25AD5"/>
    <w:rsid w:val="00A25B17"/>
    <w:rsid w:val="00A25D77"/>
    <w:rsid w:val="00A25D7E"/>
    <w:rsid w:val="00A25F2A"/>
    <w:rsid w:val="00A2616D"/>
    <w:rsid w:val="00A2617D"/>
    <w:rsid w:val="00A262CE"/>
    <w:rsid w:val="00A26368"/>
    <w:rsid w:val="00A2642C"/>
    <w:rsid w:val="00A264E8"/>
    <w:rsid w:val="00A26550"/>
    <w:rsid w:val="00A2658A"/>
    <w:rsid w:val="00A266CF"/>
    <w:rsid w:val="00A266D5"/>
    <w:rsid w:val="00A26702"/>
    <w:rsid w:val="00A26716"/>
    <w:rsid w:val="00A26756"/>
    <w:rsid w:val="00A2675E"/>
    <w:rsid w:val="00A2678B"/>
    <w:rsid w:val="00A267A2"/>
    <w:rsid w:val="00A267D9"/>
    <w:rsid w:val="00A268AA"/>
    <w:rsid w:val="00A268D4"/>
    <w:rsid w:val="00A26964"/>
    <w:rsid w:val="00A26B15"/>
    <w:rsid w:val="00A26B16"/>
    <w:rsid w:val="00A26B53"/>
    <w:rsid w:val="00A26F7A"/>
    <w:rsid w:val="00A2703F"/>
    <w:rsid w:val="00A272C5"/>
    <w:rsid w:val="00A2743D"/>
    <w:rsid w:val="00A274C5"/>
    <w:rsid w:val="00A274FE"/>
    <w:rsid w:val="00A27501"/>
    <w:rsid w:val="00A27588"/>
    <w:rsid w:val="00A2778C"/>
    <w:rsid w:val="00A277EA"/>
    <w:rsid w:val="00A277F8"/>
    <w:rsid w:val="00A2784B"/>
    <w:rsid w:val="00A2787E"/>
    <w:rsid w:val="00A279C6"/>
    <w:rsid w:val="00A27B20"/>
    <w:rsid w:val="00A27B24"/>
    <w:rsid w:val="00A27BED"/>
    <w:rsid w:val="00A27CA7"/>
    <w:rsid w:val="00A27CB6"/>
    <w:rsid w:val="00A27CE7"/>
    <w:rsid w:val="00A27D3A"/>
    <w:rsid w:val="00A27E5F"/>
    <w:rsid w:val="00A27F0C"/>
    <w:rsid w:val="00A300BD"/>
    <w:rsid w:val="00A30167"/>
    <w:rsid w:val="00A3016F"/>
    <w:rsid w:val="00A30195"/>
    <w:rsid w:val="00A30266"/>
    <w:rsid w:val="00A30441"/>
    <w:rsid w:val="00A305AB"/>
    <w:rsid w:val="00A30731"/>
    <w:rsid w:val="00A30773"/>
    <w:rsid w:val="00A3078A"/>
    <w:rsid w:val="00A30992"/>
    <w:rsid w:val="00A309CB"/>
    <w:rsid w:val="00A30AA2"/>
    <w:rsid w:val="00A30AEE"/>
    <w:rsid w:val="00A30AF8"/>
    <w:rsid w:val="00A30B4B"/>
    <w:rsid w:val="00A30C08"/>
    <w:rsid w:val="00A30CC4"/>
    <w:rsid w:val="00A30D90"/>
    <w:rsid w:val="00A30DDE"/>
    <w:rsid w:val="00A30E22"/>
    <w:rsid w:val="00A30E3E"/>
    <w:rsid w:val="00A30EFA"/>
    <w:rsid w:val="00A30F28"/>
    <w:rsid w:val="00A31021"/>
    <w:rsid w:val="00A3103F"/>
    <w:rsid w:val="00A31160"/>
    <w:rsid w:val="00A31194"/>
    <w:rsid w:val="00A31198"/>
    <w:rsid w:val="00A311C5"/>
    <w:rsid w:val="00A311D7"/>
    <w:rsid w:val="00A31257"/>
    <w:rsid w:val="00A312B6"/>
    <w:rsid w:val="00A313A6"/>
    <w:rsid w:val="00A313F3"/>
    <w:rsid w:val="00A31400"/>
    <w:rsid w:val="00A3143F"/>
    <w:rsid w:val="00A31502"/>
    <w:rsid w:val="00A3159D"/>
    <w:rsid w:val="00A315B4"/>
    <w:rsid w:val="00A31617"/>
    <w:rsid w:val="00A316A8"/>
    <w:rsid w:val="00A316C1"/>
    <w:rsid w:val="00A316D1"/>
    <w:rsid w:val="00A31725"/>
    <w:rsid w:val="00A31732"/>
    <w:rsid w:val="00A31758"/>
    <w:rsid w:val="00A31821"/>
    <w:rsid w:val="00A3195C"/>
    <w:rsid w:val="00A31A4E"/>
    <w:rsid w:val="00A31B61"/>
    <w:rsid w:val="00A31CBB"/>
    <w:rsid w:val="00A31E27"/>
    <w:rsid w:val="00A31EF9"/>
    <w:rsid w:val="00A31F37"/>
    <w:rsid w:val="00A31F44"/>
    <w:rsid w:val="00A32016"/>
    <w:rsid w:val="00A32045"/>
    <w:rsid w:val="00A3204A"/>
    <w:rsid w:val="00A321C6"/>
    <w:rsid w:val="00A32258"/>
    <w:rsid w:val="00A32280"/>
    <w:rsid w:val="00A32309"/>
    <w:rsid w:val="00A323A2"/>
    <w:rsid w:val="00A323EB"/>
    <w:rsid w:val="00A3244B"/>
    <w:rsid w:val="00A32497"/>
    <w:rsid w:val="00A32594"/>
    <w:rsid w:val="00A327B5"/>
    <w:rsid w:val="00A328A8"/>
    <w:rsid w:val="00A3290E"/>
    <w:rsid w:val="00A32923"/>
    <w:rsid w:val="00A32AA8"/>
    <w:rsid w:val="00A32C3C"/>
    <w:rsid w:val="00A32CD6"/>
    <w:rsid w:val="00A32D92"/>
    <w:rsid w:val="00A32E87"/>
    <w:rsid w:val="00A32FD3"/>
    <w:rsid w:val="00A33032"/>
    <w:rsid w:val="00A330ED"/>
    <w:rsid w:val="00A33187"/>
    <w:rsid w:val="00A3318F"/>
    <w:rsid w:val="00A331C4"/>
    <w:rsid w:val="00A3322A"/>
    <w:rsid w:val="00A332B7"/>
    <w:rsid w:val="00A332C0"/>
    <w:rsid w:val="00A33333"/>
    <w:rsid w:val="00A334DD"/>
    <w:rsid w:val="00A335C2"/>
    <w:rsid w:val="00A3366C"/>
    <w:rsid w:val="00A338B1"/>
    <w:rsid w:val="00A33A74"/>
    <w:rsid w:val="00A33AF2"/>
    <w:rsid w:val="00A33BA8"/>
    <w:rsid w:val="00A33BC0"/>
    <w:rsid w:val="00A33BCB"/>
    <w:rsid w:val="00A33C33"/>
    <w:rsid w:val="00A33C3F"/>
    <w:rsid w:val="00A33C70"/>
    <w:rsid w:val="00A33D8A"/>
    <w:rsid w:val="00A33DF9"/>
    <w:rsid w:val="00A33F42"/>
    <w:rsid w:val="00A33F54"/>
    <w:rsid w:val="00A33F8E"/>
    <w:rsid w:val="00A33FCB"/>
    <w:rsid w:val="00A34388"/>
    <w:rsid w:val="00A3447F"/>
    <w:rsid w:val="00A344B5"/>
    <w:rsid w:val="00A344C5"/>
    <w:rsid w:val="00A344C7"/>
    <w:rsid w:val="00A3465D"/>
    <w:rsid w:val="00A34689"/>
    <w:rsid w:val="00A346FE"/>
    <w:rsid w:val="00A34708"/>
    <w:rsid w:val="00A34713"/>
    <w:rsid w:val="00A3477C"/>
    <w:rsid w:val="00A34789"/>
    <w:rsid w:val="00A3484F"/>
    <w:rsid w:val="00A34883"/>
    <w:rsid w:val="00A34998"/>
    <w:rsid w:val="00A34C50"/>
    <w:rsid w:val="00A34CED"/>
    <w:rsid w:val="00A34CF4"/>
    <w:rsid w:val="00A34DC3"/>
    <w:rsid w:val="00A34E95"/>
    <w:rsid w:val="00A34EB5"/>
    <w:rsid w:val="00A34F20"/>
    <w:rsid w:val="00A34FBB"/>
    <w:rsid w:val="00A34FDF"/>
    <w:rsid w:val="00A3511C"/>
    <w:rsid w:val="00A3514A"/>
    <w:rsid w:val="00A351B4"/>
    <w:rsid w:val="00A3528A"/>
    <w:rsid w:val="00A352A0"/>
    <w:rsid w:val="00A352E6"/>
    <w:rsid w:val="00A35349"/>
    <w:rsid w:val="00A353CB"/>
    <w:rsid w:val="00A35495"/>
    <w:rsid w:val="00A354B1"/>
    <w:rsid w:val="00A356EB"/>
    <w:rsid w:val="00A35760"/>
    <w:rsid w:val="00A3586D"/>
    <w:rsid w:val="00A35982"/>
    <w:rsid w:val="00A35986"/>
    <w:rsid w:val="00A35A22"/>
    <w:rsid w:val="00A35AD1"/>
    <w:rsid w:val="00A35B2B"/>
    <w:rsid w:val="00A35C39"/>
    <w:rsid w:val="00A35C95"/>
    <w:rsid w:val="00A35D80"/>
    <w:rsid w:val="00A35D86"/>
    <w:rsid w:val="00A35DC1"/>
    <w:rsid w:val="00A35F42"/>
    <w:rsid w:val="00A35FB1"/>
    <w:rsid w:val="00A35FBA"/>
    <w:rsid w:val="00A35FF6"/>
    <w:rsid w:val="00A36029"/>
    <w:rsid w:val="00A360B0"/>
    <w:rsid w:val="00A3610C"/>
    <w:rsid w:val="00A3611B"/>
    <w:rsid w:val="00A3616B"/>
    <w:rsid w:val="00A3622E"/>
    <w:rsid w:val="00A3628A"/>
    <w:rsid w:val="00A3632F"/>
    <w:rsid w:val="00A3634A"/>
    <w:rsid w:val="00A363BF"/>
    <w:rsid w:val="00A364A3"/>
    <w:rsid w:val="00A364F7"/>
    <w:rsid w:val="00A36573"/>
    <w:rsid w:val="00A3665D"/>
    <w:rsid w:val="00A3678A"/>
    <w:rsid w:val="00A367D9"/>
    <w:rsid w:val="00A368BB"/>
    <w:rsid w:val="00A368E1"/>
    <w:rsid w:val="00A36A0E"/>
    <w:rsid w:val="00A36C9A"/>
    <w:rsid w:val="00A36CE2"/>
    <w:rsid w:val="00A36DB0"/>
    <w:rsid w:val="00A36DC9"/>
    <w:rsid w:val="00A36E29"/>
    <w:rsid w:val="00A36E9D"/>
    <w:rsid w:val="00A36EA4"/>
    <w:rsid w:val="00A36F05"/>
    <w:rsid w:val="00A37240"/>
    <w:rsid w:val="00A3729A"/>
    <w:rsid w:val="00A37317"/>
    <w:rsid w:val="00A37325"/>
    <w:rsid w:val="00A37336"/>
    <w:rsid w:val="00A373B1"/>
    <w:rsid w:val="00A37498"/>
    <w:rsid w:val="00A3752C"/>
    <w:rsid w:val="00A37554"/>
    <w:rsid w:val="00A376C5"/>
    <w:rsid w:val="00A3772F"/>
    <w:rsid w:val="00A3777E"/>
    <w:rsid w:val="00A37791"/>
    <w:rsid w:val="00A37883"/>
    <w:rsid w:val="00A37893"/>
    <w:rsid w:val="00A3793C"/>
    <w:rsid w:val="00A379B1"/>
    <w:rsid w:val="00A379BC"/>
    <w:rsid w:val="00A37A1C"/>
    <w:rsid w:val="00A37B32"/>
    <w:rsid w:val="00A37C66"/>
    <w:rsid w:val="00A37CBD"/>
    <w:rsid w:val="00A37CC9"/>
    <w:rsid w:val="00A37CD0"/>
    <w:rsid w:val="00A37F12"/>
    <w:rsid w:val="00A37FD9"/>
    <w:rsid w:val="00A400AA"/>
    <w:rsid w:val="00A40137"/>
    <w:rsid w:val="00A4017D"/>
    <w:rsid w:val="00A4025C"/>
    <w:rsid w:val="00A402C8"/>
    <w:rsid w:val="00A40402"/>
    <w:rsid w:val="00A4043D"/>
    <w:rsid w:val="00A4046B"/>
    <w:rsid w:val="00A404D1"/>
    <w:rsid w:val="00A4055E"/>
    <w:rsid w:val="00A4056C"/>
    <w:rsid w:val="00A405D1"/>
    <w:rsid w:val="00A40672"/>
    <w:rsid w:val="00A407B6"/>
    <w:rsid w:val="00A407DA"/>
    <w:rsid w:val="00A40803"/>
    <w:rsid w:val="00A4081D"/>
    <w:rsid w:val="00A40948"/>
    <w:rsid w:val="00A4097C"/>
    <w:rsid w:val="00A40A15"/>
    <w:rsid w:val="00A40A9B"/>
    <w:rsid w:val="00A40AA6"/>
    <w:rsid w:val="00A40AB4"/>
    <w:rsid w:val="00A40B27"/>
    <w:rsid w:val="00A40B33"/>
    <w:rsid w:val="00A40B3F"/>
    <w:rsid w:val="00A40BA5"/>
    <w:rsid w:val="00A40C3C"/>
    <w:rsid w:val="00A40C6C"/>
    <w:rsid w:val="00A40D1F"/>
    <w:rsid w:val="00A40D22"/>
    <w:rsid w:val="00A40F43"/>
    <w:rsid w:val="00A4112E"/>
    <w:rsid w:val="00A4115F"/>
    <w:rsid w:val="00A41175"/>
    <w:rsid w:val="00A4124F"/>
    <w:rsid w:val="00A412C7"/>
    <w:rsid w:val="00A412CD"/>
    <w:rsid w:val="00A41312"/>
    <w:rsid w:val="00A4138A"/>
    <w:rsid w:val="00A4138E"/>
    <w:rsid w:val="00A41515"/>
    <w:rsid w:val="00A4160D"/>
    <w:rsid w:val="00A4162D"/>
    <w:rsid w:val="00A41667"/>
    <w:rsid w:val="00A4168B"/>
    <w:rsid w:val="00A4169D"/>
    <w:rsid w:val="00A416E4"/>
    <w:rsid w:val="00A41782"/>
    <w:rsid w:val="00A41802"/>
    <w:rsid w:val="00A418B2"/>
    <w:rsid w:val="00A418B6"/>
    <w:rsid w:val="00A418F5"/>
    <w:rsid w:val="00A418FA"/>
    <w:rsid w:val="00A41A09"/>
    <w:rsid w:val="00A41A1E"/>
    <w:rsid w:val="00A41B29"/>
    <w:rsid w:val="00A41BEE"/>
    <w:rsid w:val="00A41C48"/>
    <w:rsid w:val="00A41C8F"/>
    <w:rsid w:val="00A41D31"/>
    <w:rsid w:val="00A41D49"/>
    <w:rsid w:val="00A41D62"/>
    <w:rsid w:val="00A41EA2"/>
    <w:rsid w:val="00A4202E"/>
    <w:rsid w:val="00A42165"/>
    <w:rsid w:val="00A421C7"/>
    <w:rsid w:val="00A42248"/>
    <w:rsid w:val="00A42311"/>
    <w:rsid w:val="00A42382"/>
    <w:rsid w:val="00A4247E"/>
    <w:rsid w:val="00A424BB"/>
    <w:rsid w:val="00A424C6"/>
    <w:rsid w:val="00A42529"/>
    <w:rsid w:val="00A4258A"/>
    <w:rsid w:val="00A4258C"/>
    <w:rsid w:val="00A425E2"/>
    <w:rsid w:val="00A425E5"/>
    <w:rsid w:val="00A42667"/>
    <w:rsid w:val="00A4266A"/>
    <w:rsid w:val="00A4269A"/>
    <w:rsid w:val="00A42764"/>
    <w:rsid w:val="00A42777"/>
    <w:rsid w:val="00A427E6"/>
    <w:rsid w:val="00A42830"/>
    <w:rsid w:val="00A4287C"/>
    <w:rsid w:val="00A42A82"/>
    <w:rsid w:val="00A42A94"/>
    <w:rsid w:val="00A42AE3"/>
    <w:rsid w:val="00A42C0A"/>
    <w:rsid w:val="00A42C54"/>
    <w:rsid w:val="00A42C63"/>
    <w:rsid w:val="00A42C77"/>
    <w:rsid w:val="00A42CA7"/>
    <w:rsid w:val="00A42CD9"/>
    <w:rsid w:val="00A42D2C"/>
    <w:rsid w:val="00A42D2D"/>
    <w:rsid w:val="00A42D79"/>
    <w:rsid w:val="00A42D98"/>
    <w:rsid w:val="00A42E09"/>
    <w:rsid w:val="00A42F16"/>
    <w:rsid w:val="00A42FDD"/>
    <w:rsid w:val="00A42FF6"/>
    <w:rsid w:val="00A4307F"/>
    <w:rsid w:val="00A430D5"/>
    <w:rsid w:val="00A431B2"/>
    <w:rsid w:val="00A4329F"/>
    <w:rsid w:val="00A4333E"/>
    <w:rsid w:val="00A433BD"/>
    <w:rsid w:val="00A4347D"/>
    <w:rsid w:val="00A43601"/>
    <w:rsid w:val="00A43712"/>
    <w:rsid w:val="00A43730"/>
    <w:rsid w:val="00A43772"/>
    <w:rsid w:val="00A438A7"/>
    <w:rsid w:val="00A4399B"/>
    <w:rsid w:val="00A43A96"/>
    <w:rsid w:val="00A43B3E"/>
    <w:rsid w:val="00A43B4D"/>
    <w:rsid w:val="00A43B83"/>
    <w:rsid w:val="00A43C49"/>
    <w:rsid w:val="00A43C75"/>
    <w:rsid w:val="00A43DCA"/>
    <w:rsid w:val="00A43E11"/>
    <w:rsid w:val="00A43E65"/>
    <w:rsid w:val="00A43E85"/>
    <w:rsid w:val="00A43EA7"/>
    <w:rsid w:val="00A4413F"/>
    <w:rsid w:val="00A441AF"/>
    <w:rsid w:val="00A441C7"/>
    <w:rsid w:val="00A44277"/>
    <w:rsid w:val="00A44287"/>
    <w:rsid w:val="00A442C1"/>
    <w:rsid w:val="00A4430A"/>
    <w:rsid w:val="00A4437D"/>
    <w:rsid w:val="00A444D0"/>
    <w:rsid w:val="00A4459F"/>
    <w:rsid w:val="00A445B7"/>
    <w:rsid w:val="00A4468D"/>
    <w:rsid w:val="00A44778"/>
    <w:rsid w:val="00A4482B"/>
    <w:rsid w:val="00A4496E"/>
    <w:rsid w:val="00A44977"/>
    <w:rsid w:val="00A44A1F"/>
    <w:rsid w:val="00A44A9F"/>
    <w:rsid w:val="00A44C2A"/>
    <w:rsid w:val="00A44C52"/>
    <w:rsid w:val="00A44CDE"/>
    <w:rsid w:val="00A44CE1"/>
    <w:rsid w:val="00A44D0D"/>
    <w:rsid w:val="00A44DCD"/>
    <w:rsid w:val="00A44E83"/>
    <w:rsid w:val="00A44ED7"/>
    <w:rsid w:val="00A450AE"/>
    <w:rsid w:val="00A45140"/>
    <w:rsid w:val="00A45258"/>
    <w:rsid w:val="00A453F9"/>
    <w:rsid w:val="00A454DD"/>
    <w:rsid w:val="00A4577A"/>
    <w:rsid w:val="00A45799"/>
    <w:rsid w:val="00A458A1"/>
    <w:rsid w:val="00A4594E"/>
    <w:rsid w:val="00A459A9"/>
    <w:rsid w:val="00A45A67"/>
    <w:rsid w:val="00A45B6C"/>
    <w:rsid w:val="00A45CEA"/>
    <w:rsid w:val="00A45CFE"/>
    <w:rsid w:val="00A45D5B"/>
    <w:rsid w:val="00A45DA9"/>
    <w:rsid w:val="00A45E2A"/>
    <w:rsid w:val="00A45EFA"/>
    <w:rsid w:val="00A460B4"/>
    <w:rsid w:val="00A463A0"/>
    <w:rsid w:val="00A463CA"/>
    <w:rsid w:val="00A46418"/>
    <w:rsid w:val="00A4665D"/>
    <w:rsid w:val="00A4667D"/>
    <w:rsid w:val="00A46684"/>
    <w:rsid w:val="00A468D3"/>
    <w:rsid w:val="00A46986"/>
    <w:rsid w:val="00A46A34"/>
    <w:rsid w:val="00A46A37"/>
    <w:rsid w:val="00A46A89"/>
    <w:rsid w:val="00A46AD3"/>
    <w:rsid w:val="00A46AF7"/>
    <w:rsid w:val="00A46B97"/>
    <w:rsid w:val="00A46BCB"/>
    <w:rsid w:val="00A46BF3"/>
    <w:rsid w:val="00A46C43"/>
    <w:rsid w:val="00A46C71"/>
    <w:rsid w:val="00A46C7A"/>
    <w:rsid w:val="00A46C7D"/>
    <w:rsid w:val="00A46D4B"/>
    <w:rsid w:val="00A46ED4"/>
    <w:rsid w:val="00A46F0D"/>
    <w:rsid w:val="00A46F4D"/>
    <w:rsid w:val="00A4707B"/>
    <w:rsid w:val="00A47113"/>
    <w:rsid w:val="00A47158"/>
    <w:rsid w:val="00A471DE"/>
    <w:rsid w:val="00A472B7"/>
    <w:rsid w:val="00A47306"/>
    <w:rsid w:val="00A47328"/>
    <w:rsid w:val="00A473AF"/>
    <w:rsid w:val="00A473BB"/>
    <w:rsid w:val="00A47552"/>
    <w:rsid w:val="00A475AA"/>
    <w:rsid w:val="00A47609"/>
    <w:rsid w:val="00A4762F"/>
    <w:rsid w:val="00A476B7"/>
    <w:rsid w:val="00A476BA"/>
    <w:rsid w:val="00A4771C"/>
    <w:rsid w:val="00A47747"/>
    <w:rsid w:val="00A4775F"/>
    <w:rsid w:val="00A47847"/>
    <w:rsid w:val="00A47913"/>
    <w:rsid w:val="00A4792D"/>
    <w:rsid w:val="00A47961"/>
    <w:rsid w:val="00A47A87"/>
    <w:rsid w:val="00A47AAA"/>
    <w:rsid w:val="00A47ACC"/>
    <w:rsid w:val="00A47BD2"/>
    <w:rsid w:val="00A47C16"/>
    <w:rsid w:val="00A47C88"/>
    <w:rsid w:val="00A47CC5"/>
    <w:rsid w:val="00A47CD6"/>
    <w:rsid w:val="00A47DD1"/>
    <w:rsid w:val="00A47E75"/>
    <w:rsid w:val="00A5007A"/>
    <w:rsid w:val="00A50257"/>
    <w:rsid w:val="00A50292"/>
    <w:rsid w:val="00A50369"/>
    <w:rsid w:val="00A50394"/>
    <w:rsid w:val="00A503FE"/>
    <w:rsid w:val="00A504F8"/>
    <w:rsid w:val="00A50578"/>
    <w:rsid w:val="00A505E3"/>
    <w:rsid w:val="00A50641"/>
    <w:rsid w:val="00A5068E"/>
    <w:rsid w:val="00A5070C"/>
    <w:rsid w:val="00A5074C"/>
    <w:rsid w:val="00A5079C"/>
    <w:rsid w:val="00A507E5"/>
    <w:rsid w:val="00A5088B"/>
    <w:rsid w:val="00A508AB"/>
    <w:rsid w:val="00A5090A"/>
    <w:rsid w:val="00A5091E"/>
    <w:rsid w:val="00A509DD"/>
    <w:rsid w:val="00A50A1F"/>
    <w:rsid w:val="00A50B7F"/>
    <w:rsid w:val="00A50B97"/>
    <w:rsid w:val="00A50D22"/>
    <w:rsid w:val="00A50D96"/>
    <w:rsid w:val="00A50E80"/>
    <w:rsid w:val="00A50F0A"/>
    <w:rsid w:val="00A50F28"/>
    <w:rsid w:val="00A50F2A"/>
    <w:rsid w:val="00A50FB9"/>
    <w:rsid w:val="00A50FE8"/>
    <w:rsid w:val="00A510FD"/>
    <w:rsid w:val="00A51203"/>
    <w:rsid w:val="00A512F9"/>
    <w:rsid w:val="00A512FA"/>
    <w:rsid w:val="00A51460"/>
    <w:rsid w:val="00A51695"/>
    <w:rsid w:val="00A516AC"/>
    <w:rsid w:val="00A516F4"/>
    <w:rsid w:val="00A5177C"/>
    <w:rsid w:val="00A51B93"/>
    <w:rsid w:val="00A51C6E"/>
    <w:rsid w:val="00A51CA6"/>
    <w:rsid w:val="00A51CC5"/>
    <w:rsid w:val="00A51CE4"/>
    <w:rsid w:val="00A51DB8"/>
    <w:rsid w:val="00A51EB4"/>
    <w:rsid w:val="00A51EB7"/>
    <w:rsid w:val="00A51EBC"/>
    <w:rsid w:val="00A51EBD"/>
    <w:rsid w:val="00A52000"/>
    <w:rsid w:val="00A52012"/>
    <w:rsid w:val="00A520C3"/>
    <w:rsid w:val="00A52112"/>
    <w:rsid w:val="00A521D3"/>
    <w:rsid w:val="00A521FD"/>
    <w:rsid w:val="00A52243"/>
    <w:rsid w:val="00A52515"/>
    <w:rsid w:val="00A525D0"/>
    <w:rsid w:val="00A5278A"/>
    <w:rsid w:val="00A5280F"/>
    <w:rsid w:val="00A5289F"/>
    <w:rsid w:val="00A52ADC"/>
    <w:rsid w:val="00A52AFE"/>
    <w:rsid w:val="00A52BA8"/>
    <w:rsid w:val="00A52C93"/>
    <w:rsid w:val="00A52CCB"/>
    <w:rsid w:val="00A52E59"/>
    <w:rsid w:val="00A52EC5"/>
    <w:rsid w:val="00A52ED2"/>
    <w:rsid w:val="00A52F87"/>
    <w:rsid w:val="00A52FDF"/>
    <w:rsid w:val="00A53016"/>
    <w:rsid w:val="00A53234"/>
    <w:rsid w:val="00A53465"/>
    <w:rsid w:val="00A53646"/>
    <w:rsid w:val="00A536D2"/>
    <w:rsid w:val="00A5382B"/>
    <w:rsid w:val="00A5393E"/>
    <w:rsid w:val="00A539B9"/>
    <w:rsid w:val="00A539EE"/>
    <w:rsid w:val="00A53A86"/>
    <w:rsid w:val="00A53B17"/>
    <w:rsid w:val="00A53BAB"/>
    <w:rsid w:val="00A53BB8"/>
    <w:rsid w:val="00A53BEC"/>
    <w:rsid w:val="00A53DE8"/>
    <w:rsid w:val="00A53E96"/>
    <w:rsid w:val="00A53F31"/>
    <w:rsid w:val="00A53F68"/>
    <w:rsid w:val="00A54046"/>
    <w:rsid w:val="00A540C6"/>
    <w:rsid w:val="00A540E9"/>
    <w:rsid w:val="00A541BC"/>
    <w:rsid w:val="00A54257"/>
    <w:rsid w:val="00A5426F"/>
    <w:rsid w:val="00A54274"/>
    <w:rsid w:val="00A542CE"/>
    <w:rsid w:val="00A54350"/>
    <w:rsid w:val="00A54380"/>
    <w:rsid w:val="00A5438E"/>
    <w:rsid w:val="00A543DC"/>
    <w:rsid w:val="00A5443C"/>
    <w:rsid w:val="00A54440"/>
    <w:rsid w:val="00A54677"/>
    <w:rsid w:val="00A54722"/>
    <w:rsid w:val="00A54778"/>
    <w:rsid w:val="00A54823"/>
    <w:rsid w:val="00A54869"/>
    <w:rsid w:val="00A5489D"/>
    <w:rsid w:val="00A549BE"/>
    <w:rsid w:val="00A54B5E"/>
    <w:rsid w:val="00A54C0D"/>
    <w:rsid w:val="00A54C70"/>
    <w:rsid w:val="00A54C7B"/>
    <w:rsid w:val="00A54CD6"/>
    <w:rsid w:val="00A54CF5"/>
    <w:rsid w:val="00A54DAD"/>
    <w:rsid w:val="00A54DEE"/>
    <w:rsid w:val="00A54E0A"/>
    <w:rsid w:val="00A54E14"/>
    <w:rsid w:val="00A54E3F"/>
    <w:rsid w:val="00A54EA3"/>
    <w:rsid w:val="00A54FAC"/>
    <w:rsid w:val="00A550AB"/>
    <w:rsid w:val="00A552AE"/>
    <w:rsid w:val="00A552EA"/>
    <w:rsid w:val="00A552FA"/>
    <w:rsid w:val="00A5532C"/>
    <w:rsid w:val="00A55355"/>
    <w:rsid w:val="00A553CD"/>
    <w:rsid w:val="00A5540E"/>
    <w:rsid w:val="00A5541A"/>
    <w:rsid w:val="00A5552E"/>
    <w:rsid w:val="00A555F7"/>
    <w:rsid w:val="00A55807"/>
    <w:rsid w:val="00A5584D"/>
    <w:rsid w:val="00A5588F"/>
    <w:rsid w:val="00A558BC"/>
    <w:rsid w:val="00A559D9"/>
    <w:rsid w:val="00A55AB7"/>
    <w:rsid w:val="00A55CA0"/>
    <w:rsid w:val="00A55CB0"/>
    <w:rsid w:val="00A55D2E"/>
    <w:rsid w:val="00A55D58"/>
    <w:rsid w:val="00A55DA4"/>
    <w:rsid w:val="00A55F43"/>
    <w:rsid w:val="00A5605E"/>
    <w:rsid w:val="00A560E4"/>
    <w:rsid w:val="00A5616B"/>
    <w:rsid w:val="00A561DC"/>
    <w:rsid w:val="00A5621D"/>
    <w:rsid w:val="00A562FD"/>
    <w:rsid w:val="00A56430"/>
    <w:rsid w:val="00A56447"/>
    <w:rsid w:val="00A56505"/>
    <w:rsid w:val="00A5651A"/>
    <w:rsid w:val="00A5657A"/>
    <w:rsid w:val="00A56589"/>
    <w:rsid w:val="00A56629"/>
    <w:rsid w:val="00A56730"/>
    <w:rsid w:val="00A568C2"/>
    <w:rsid w:val="00A569E6"/>
    <w:rsid w:val="00A569FC"/>
    <w:rsid w:val="00A56AAD"/>
    <w:rsid w:val="00A56C13"/>
    <w:rsid w:val="00A56CA4"/>
    <w:rsid w:val="00A56CDB"/>
    <w:rsid w:val="00A56D37"/>
    <w:rsid w:val="00A56D9C"/>
    <w:rsid w:val="00A56E22"/>
    <w:rsid w:val="00A56F86"/>
    <w:rsid w:val="00A56FB9"/>
    <w:rsid w:val="00A56FF4"/>
    <w:rsid w:val="00A570CD"/>
    <w:rsid w:val="00A5711D"/>
    <w:rsid w:val="00A571FB"/>
    <w:rsid w:val="00A57241"/>
    <w:rsid w:val="00A57254"/>
    <w:rsid w:val="00A572E6"/>
    <w:rsid w:val="00A5731D"/>
    <w:rsid w:val="00A5734D"/>
    <w:rsid w:val="00A57453"/>
    <w:rsid w:val="00A57472"/>
    <w:rsid w:val="00A577C3"/>
    <w:rsid w:val="00A57924"/>
    <w:rsid w:val="00A57995"/>
    <w:rsid w:val="00A5799B"/>
    <w:rsid w:val="00A57A8B"/>
    <w:rsid w:val="00A57AB3"/>
    <w:rsid w:val="00A57C79"/>
    <w:rsid w:val="00A57C84"/>
    <w:rsid w:val="00A57D33"/>
    <w:rsid w:val="00A57DB1"/>
    <w:rsid w:val="00A57E49"/>
    <w:rsid w:val="00A6008E"/>
    <w:rsid w:val="00A6009B"/>
    <w:rsid w:val="00A601AC"/>
    <w:rsid w:val="00A60353"/>
    <w:rsid w:val="00A60594"/>
    <w:rsid w:val="00A60683"/>
    <w:rsid w:val="00A6077E"/>
    <w:rsid w:val="00A608C9"/>
    <w:rsid w:val="00A608EB"/>
    <w:rsid w:val="00A6098A"/>
    <w:rsid w:val="00A60A65"/>
    <w:rsid w:val="00A60AC2"/>
    <w:rsid w:val="00A60AD9"/>
    <w:rsid w:val="00A60BB0"/>
    <w:rsid w:val="00A60C13"/>
    <w:rsid w:val="00A60D04"/>
    <w:rsid w:val="00A60D90"/>
    <w:rsid w:val="00A60DE1"/>
    <w:rsid w:val="00A60F56"/>
    <w:rsid w:val="00A60F71"/>
    <w:rsid w:val="00A61080"/>
    <w:rsid w:val="00A611D7"/>
    <w:rsid w:val="00A611ED"/>
    <w:rsid w:val="00A61564"/>
    <w:rsid w:val="00A61692"/>
    <w:rsid w:val="00A616D8"/>
    <w:rsid w:val="00A6183D"/>
    <w:rsid w:val="00A61849"/>
    <w:rsid w:val="00A61868"/>
    <w:rsid w:val="00A619F8"/>
    <w:rsid w:val="00A61A0A"/>
    <w:rsid w:val="00A61A21"/>
    <w:rsid w:val="00A61A83"/>
    <w:rsid w:val="00A61AC9"/>
    <w:rsid w:val="00A61B4F"/>
    <w:rsid w:val="00A61B9C"/>
    <w:rsid w:val="00A61BFC"/>
    <w:rsid w:val="00A61C7B"/>
    <w:rsid w:val="00A61C90"/>
    <w:rsid w:val="00A61C91"/>
    <w:rsid w:val="00A61D27"/>
    <w:rsid w:val="00A61D5C"/>
    <w:rsid w:val="00A61D72"/>
    <w:rsid w:val="00A61E47"/>
    <w:rsid w:val="00A61F3E"/>
    <w:rsid w:val="00A61FEA"/>
    <w:rsid w:val="00A620CE"/>
    <w:rsid w:val="00A620DF"/>
    <w:rsid w:val="00A6215C"/>
    <w:rsid w:val="00A623BD"/>
    <w:rsid w:val="00A623FA"/>
    <w:rsid w:val="00A62434"/>
    <w:rsid w:val="00A624D5"/>
    <w:rsid w:val="00A62572"/>
    <w:rsid w:val="00A6266F"/>
    <w:rsid w:val="00A626B7"/>
    <w:rsid w:val="00A626E3"/>
    <w:rsid w:val="00A62912"/>
    <w:rsid w:val="00A62943"/>
    <w:rsid w:val="00A629CB"/>
    <w:rsid w:val="00A62A66"/>
    <w:rsid w:val="00A62B3C"/>
    <w:rsid w:val="00A62B4D"/>
    <w:rsid w:val="00A62BDB"/>
    <w:rsid w:val="00A62C24"/>
    <w:rsid w:val="00A62C2B"/>
    <w:rsid w:val="00A62C5F"/>
    <w:rsid w:val="00A62C70"/>
    <w:rsid w:val="00A62C78"/>
    <w:rsid w:val="00A62CE6"/>
    <w:rsid w:val="00A62EF3"/>
    <w:rsid w:val="00A62EFF"/>
    <w:rsid w:val="00A62F52"/>
    <w:rsid w:val="00A630FB"/>
    <w:rsid w:val="00A631E1"/>
    <w:rsid w:val="00A6320E"/>
    <w:rsid w:val="00A6323A"/>
    <w:rsid w:val="00A6333A"/>
    <w:rsid w:val="00A6336E"/>
    <w:rsid w:val="00A63423"/>
    <w:rsid w:val="00A6345E"/>
    <w:rsid w:val="00A634B9"/>
    <w:rsid w:val="00A634EC"/>
    <w:rsid w:val="00A6358F"/>
    <w:rsid w:val="00A636C9"/>
    <w:rsid w:val="00A636CC"/>
    <w:rsid w:val="00A63768"/>
    <w:rsid w:val="00A638B8"/>
    <w:rsid w:val="00A638D0"/>
    <w:rsid w:val="00A638E4"/>
    <w:rsid w:val="00A63A3F"/>
    <w:rsid w:val="00A63BCC"/>
    <w:rsid w:val="00A63C69"/>
    <w:rsid w:val="00A63CC7"/>
    <w:rsid w:val="00A63D76"/>
    <w:rsid w:val="00A63ED7"/>
    <w:rsid w:val="00A63F94"/>
    <w:rsid w:val="00A6401A"/>
    <w:rsid w:val="00A64027"/>
    <w:rsid w:val="00A640B3"/>
    <w:rsid w:val="00A640CF"/>
    <w:rsid w:val="00A6429E"/>
    <w:rsid w:val="00A642D7"/>
    <w:rsid w:val="00A64341"/>
    <w:rsid w:val="00A6434B"/>
    <w:rsid w:val="00A64394"/>
    <w:rsid w:val="00A644FA"/>
    <w:rsid w:val="00A64533"/>
    <w:rsid w:val="00A645C1"/>
    <w:rsid w:val="00A647AE"/>
    <w:rsid w:val="00A64936"/>
    <w:rsid w:val="00A64999"/>
    <w:rsid w:val="00A64AC2"/>
    <w:rsid w:val="00A64AC8"/>
    <w:rsid w:val="00A64B2B"/>
    <w:rsid w:val="00A64B57"/>
    <w:rsid w:val="00A64BA2"/>
    <w:rsid w:val="00A64CEE"/>
    <w:rsid w:val="00A64DE0"/>
    <w:rsid w:val="00A64FC8"/>
    <w:rsid w:val="00A6500C"/>
    <w:rsid w:val="00A65055"/>
    <w:rsid w:val="00A650F5"/>
    <w:rsid w:val="00A651AD"/>
    <w:rsid w:val="00A65293"/>
    <w:rsid w:val="00A652E6"/>
    <w:rsid w:val="00A65498"/>
    <w:rsid w:val="00A655FF"/>
    <w:rsid w:val="00A65631"/>
    <w:rsid w:val="00A6563E"/>
    <w:rsid w:val="00A65643"/>
    <w:rsid w:val="00A6564C"/>
    <w:rsid w:val="00A656D2"/>
    <w:rsid w:val="00A6580A"/>
    <w:rsid w:val="00A65841"/>
    <w:rsid w:val="00A65870"/>
    <w:rsid w:val="00A65891"/>
    <w:rsid w:val="00A65928"/>
    <w:rsid w:val="00A6599B"/>
    <w:rsid w:val="00A659E1"/>
    <w:rsid w:val="00A65A73"/>
    <w:rsid w:val="00A65AAE"/>
    <w:rsid w:val="00A65BA1"/>
    <w:rsid w:val="00A65CCE"/>
    <w:rsid w:val="00A65D7C"/>
    <w:rsid w:val="00A65FA0"/>
    <w:rsid w:val="00A65FA3"/>
    <w:rsid w:val="00A65FF0"/>
    <w:rsid w:val="00A6601A"/>
    <w:rsid w:val="00A66031"/>
    <w:rsid w:val="00A660DE"/>
    <w:rsid w:val="00A660F7"/>
    <w:rsid w:val="00A6613C"/>
    <w:rsid w:val="00A661E0"/>
    <w:rsid w:val="00A661F6"/>
    <w:rsid w:val="00A663A0"/>
    <w:rsid w:val="00A6643C"/>
    <w:rsid w:val="00A6647A"/>
    <w:rsid w:val="00A664B5"/>
    <w:rsid w:val="00A6650A"/>
    <w:rsid w:val="00A66541"/>
    <w:rsid w:val="00A6657C"/>
    <w:rsid w:val="00A666CA"/>
    <w:rsid w:val="00A667BB"/>
    <w:rsid w:val="00A667CE"/>
    <w:rsid w:val="00A6680E"/>
    <w:rsid w:val="00A66811"/>
    <w:rsid w:val="00A66818"/>
    <w:rsid w:val="00A66BD6"/>
    <w:rsid w:val="00A66DB5"/>
    <w:rsid w:val="00A66DD5"/>
    <w:rsid w:val="00A66F92"/>
    <w:rsid w:val="00A66FD9"/>
    <w:rsid w:val="00A6701C"/>
    <w:rsid w:val="00A67293"/>
    <w:rsid w:val="00A672FD"/>
    <w:rsid w:val="00A67466"/>
    <w:rsid w:val="00A674DE"/>
    <w:rsid w:val="00A67547"/>
    <w:rsid w:val="00A677A7"/>
    <w:rsid w:val="00A67945"/>
    <w:rsid w:val="00A67984"/>
    <w:rsid w:val="00A67A1E"/>
    <w:rsid w:val="00A67A58"/>
    <w:rsid w:val="00A67AC5"/>
    <w:rsid w:val="00A67AD9"/>
    <w:rsid w:val="00A67B1D"/>
    <w:rsid w:val="00A67B83"/>
    <w:rsid w:val="00A67C48"/>
    <w:rsid w:val="00A67D1B"/>
    <w:rsid w:val="00A67DAB"/>
    <w:rsid w:val="00A67E1D"/>
    <w:rsid w:val="00A67E5F"/>
    <w:rsid w:val="00A67F37"/>
    <w:rsid w:val="00A67F41"/>
    <w:rsid w:val="00A67F7C"/>
    <w:rsid w:val="00A7000C"/>
    <w:rsid w:val="00A70091"/>
    <w:rsid w:val="00A702BE"/>
    <w:rsid w:val="00A702FC"/>
    <w:rsid w:val="00A70385"/>
    <w:rsid w:val="00A704F8"/>
    <w:rsid w:val="00A705C9"/>
    <w:rsid w:val="00A70697"/>
    <w:rsid w:val="00A70803"/>
    <w:rsid w:val="00A70915"/>
    <w:rsid w:val="00A70B09"/>
    <w:rsid w:val="00A70B2D"/>
    <w:rsid w:val="00A70BE9"/>
    <w:rsid w:val="00A70C94"/>
    <w:rsid w:val="00A70D6E"/>
    <w:rsid w:val="00A70ECE"/>
    <w:rsid w:val="00A70FC3"/>
    <w:rsid w:val="00A70FE4"/>
    <w:rsid w:val="00A7113F"/>
    <w:rsid w:val="00A712D3"/>
    <w:rsid w:val="00A713F0"/>
    <w:rsid w:val="00A71591"/>
    <w:rsid w:val="00A71614"/>
    <w:rsid w:val="00A716D3"/>
    <w:rsid w:val="00A717B8"/>
    <w:rsid w:val="00A71829"/>
    <w:rsid w:val="00A71948"/>
    <w:rsid w:val="00A71A03"/>
    <w:rsid w:val="00A71A24"/>
    <w:rsid w:val="00A71A56"/>
    <w:rsid w:val="00A71C3F"/>
    <w:rsid w:val="00A71C84"/>
    <w:rsid w:val="00A71C94"/>
    <w:rsid w:val="00A71D36"/>
    <w:rsid w:val="00A71DC7"/>
    <w:rsid w:val="00A71E81"/>
    <w:rsid w:val="00A71FB9"/>
    <w:rsid w:val="00A7217E"/>
    <w:rsid w:val="00A7224E"/>
    <w:rsid w:val="00A72251"/>
    <w:rsid w:val="00A72255"/>
    <w:rsid w:val="00A722C4"/>
    <w:rsid w:val="00A723A3"/>
    <w:rsid w:val="00A7249F"/>
    <w:rsid w:val="00A72569"/>
    <w:rsid w:val="00A725C2"/>
    <w:rsid w:val="00A72744"/>
    <w:rsid w:val="00A7281A"/>
    <w:rsid w:val="00A7281F"/>
    <w:rsid w:val="00A72841"/>
    <w:rsid w:val="00A72854"/>
    <w:rsid w:val="00A72942"/>
    <w:rsid w:val="00A7297B"/>
    <w:rsid w:val="00A72ADC"/>
    <w:rsid w:val="00A72AE8"/>
    <w:rsid w:val="00A72B30"/>
    <w:rsid w:val="00A72BE3"/>
    <w:rsid w:val="00A72C89"/>
    <w:rsid w:val="00A72D5E"/>
    <w:rsid w:val="00A72DE2"/>
    <w:rsid w:val="00A72DFA"/>
    <w:rsid w:val="00A72E3D"/>
    <w:rsid w:val="00A72E6B"/>
    <w:rsid w:val="00A72EF1"/>
    <w:rsid w:val="00A72F8D"/>
    <w:rsid w:val="00A72FFE"/>
    <w:rsid w:val="00A7309B"/>
    <w:rsid w:val="00A73104"/>
    <w:rsid w:val="00A73286"/>
    <w:rsid w:val="00A733D2"/>
    <w:rsid w:val="00A73406"/>
    <w:rsid w:val="00A734A3"/>
    <w:rsid w:val="00A73529"/>
    <w:rsid w:val="00A735B5"/>
    <w:rsid w:val="00A735BF"/>
    <w:rsid w:val="00A735E4"/>
    <w:rsid w:val="00A73764"/>
    <w:rsid w:val="00A737B1"/>
    <w:rsid w:val="00A73886"/>
    <w:rsid w:val="00A73899"/>
    <w:rsid w:val="00A7392A"/>
    <w:rsid w:val="00A73A5A"/>
    <w:rsid w:val="00A73B12"/>
    <w:rsid w:val="00A73BD4"/>
    <w:rsid w:val="00A73D9A"/>
    <w:rsid w:val="00A73F70"/>
    <w:rsid w:val="00A74004"/>
    <w:rsid w:val="00A7400B"/>
    <w:rsid w:val="00A74029"/>
    <w:rsid w:val="00A741E7"/>
    <w:rsid w:val="00A7422A"/>
    <w:rsid w:val="00A74295"/>
    <w:rsid w:val="00A742AC"/>
    <w:rsid w:val="00A74382"/>
    <w:rsid w:val="00A7440D"/>
    <w:rsid w:val="00A74413"/>
    <w:rsid w:val="00A74421"/>
    <w:rsid w:val="00A744A9"/>
    <w:rsid w:val="00A7458C"/>
    <w:rsid w:val="00A745A6"/>
    <w:rsid w:val="00A745FC"/>
    <w:rsid w:val="00A74618"/>
    <w:rsid w:val="00A7470C"/>
    <w:rsid w:val="00A7478F"/>
    <w:rsid w:val="00A747B2"/>
    <w:rsid w:val="00A748C4"/>
    <w:rsid w:val="00A7497B"/>
    <w:rsid w:val="00A749AE"/>
    <w:rsid w:val="00A74B0F"/>
    <w:rsid w:val="00A74B1E"/>
    <w:rsid w:val="00A74BE4"/>
    <w:rsid w:val="00A74C3C"/>
    <w:rsid w:val="00A74C49"/>
    <w:rsid w:val="00A74D20"/>
    <w:rsid w:val="00A74D89"/>
    <w:rsid w:val="00A74DCC"/>
    <w:rsid w:val="00A74EF3"/>
    <w:rsid w:val="00A74F18"/>
    <w:rsid w:val="00A74F4B"/>
    <w:rsid w:val="00A74FC3"/>
    <w:rsid w:val="00A75071"/>
    <w:rsid w:val="00A75191"/>
    <w:rsid w:val="00A75299"/>
    <w:rsid w:val="00A75345"/>
    <w:rsid w:val="00A7539D"/>
    <w:rsid w:val="00A753A1"/>
    <w:rsid w:val="00A7553A"/>
    <w:rsid w:val="00A75706"/>
    <w:rsid w:val="00A7570C"/>
    <w:rsid w:val="00A758D6"/>
    <w:rsid w:val="00A75913"/>
    <w:rsid w:val="00A7592A"/>
    <w:rsid w:val="00A7596C"/>
    <w:rsid w:val="00A759C3"/>
    <w:rsid w:val="00A75A38"/>
    <w:rsid w:val="00A75A55"/>
    <w:rsid w:val="00A75B98"/>
    <w:rsid w:val="00A75BA3"/>
    <w:rsid w:val="00A75C79"/>
    <w:rsid w:val="00A75CD9"/>
    <w:rsid w:val="00A75D4B"/>
    <w:rsid w:val="00A75E86"/>
    <w:rsid w:val="00A7600C"/>
    <w:rsid w:val="00A76119"/>
    <w:rsid w:val="00A76330"/>
    <w:rsid w:val="00A76338"/>
    <w:rsid w:val="00A76378"/>
    <w:rsid w:val="00A7640B"/>
    <w:rsid w:val="00A76685"/>
    <w:rsid w:val="00A766F0"/>
    <w:rsid w:val="00A766FB"/>
    <w:rsid w:val="00A767A1"/>
    <w:rsid w:val="00A767FF"/>
    <w:rsid w:val="00A768A4"/>
    <w:rsid w:val="00A768B0"/>
    <w:rsid w:val="00A76927"/>
    <w:rsid w:val="00A769D4"/>
    <w:rsid w:val="00A76A25"/>
    <w:rsid w:val="00A76B1C"/>
    <w:rsid w:val="00A76D0C"/>
    <w:rsid w:val="00A76D9C"/>
    <w:rsid w:val="00A76FA5"/>
    <w:rsid w:val="00A77012"/>
    <w:rsid w:val="00A770DE"/>
    <w:rsid w:val="00A770FD"/>
    <w:rsid w:val="00A77132"/>
    <w:rsid w:val="00A7722E"/>
    <w:rsid w:val="00A7723C"/>
    <w:rsid w:val="00A77482"/>
    <w:rsid w:val="00A774B0"/>
    <w:rsid w:val="00A775D5"/>
    <w:rsid w:val="00A77642"/>
    <w:rsid w:val="00A77661"/>
    <w:rsid w:val="00A776D0"/>
    <w:rsid w:val="00A77786"/>
    <w:rsid w:val="00A777B8"/>
    <w:rsid w:val="00A777BD"/>
    <w:rsid w:val="00A7783C"/>
    <w:rsid w:val="00A7786E"/>
    <w:rsid w:val="00A778B9"/>
    <w:rsid w:val="00A779DA"/>
    <w:rsid w:val="00A77ACB"/>
    <w:rsid w:val="00A77B23"/>
    <w:rsid w:val="00A77C92"/>
    <w:rsid w:val="00A77DD0"/>
    <w:rsid w:val="00A77DD1"/>
    <w:rsid w:val="00A77F16"/>
    <w:rsid w:val="00A800AE"/>
    <w:rsid w:val="00A800B4"/>
    <w:rsid w:val="00A802A1"/>
    <w:rsid w:val="00A8032D"/>
    <w:rsid w:val="00A80345"/>
    <w:rsid w:val="00A80360"/>
    <w:rsid w:val="00A80502"/>
    <w:rsid w:val="00A80537"/>
    <w:rsid w:val="00A80666"/>
    <w:rsid w:val="00A806DC"/>
    <w:rsid w:val="00A806F2"/>
    <w:rsid w:val="00A80725"/>
    <w:rsid w:val="00A80736"/>
    <w:rsid w:val="00A8088F"/>
    <w:rsid w:val="00A808C2"/>
    <w:rsid w:val="00A80924"/>
    <w:rsid w:val="00A80927"/>
    <w:rsid w:val="00A80997"/>
    <w:rsid w:val="00A809B0"/>
    <w:rsid w:val="00A809B9"/>
    <w:rsid w:val="00A80A1B"/>
    <w:rsid w:val="00A80AD0"/>
    <w:rsid w:val="00A80C2D"/>
    <w:rsid w:val="00A80CF2"/>
    <w:rsid w:val="00A80DCA"/>
    <w:rsid w:val="00A80DF6"/>
    <w:rsid w:val="00A80E26"/>
    <w:rsid w:val="00A80E53"/>
    <w:rsid w:val="00A80E84"/>
    <w:rsid w:val="00A8104E"/>
    <w:rsid w:val="00A81077"/>
    <w:rsid w:val="00A8110E"/>
    <w:rsid w:val="00A8112F"/>
    <w:rsid w:val="00A8123D"/>
    <w:rsid w:val="00A812DF"/>
    <w:rsid w:val="00A8146E"/>
    <w:rsid w:val="00A8146F"/>
    <w:rsid w:val="00A8148E"/>
    <w:rsid w:val="00A81565"/>
    <w:rsid w:val="00A81579"/>
    <w:rsid w:val="00A81613"/>
    <w:rsid w:val="00A81627"/>
    <w:rsid w:val="00A81639"/>
    <w:rsid w:val="00A817CC"/>
    <w:rsid w:val="00A817E7"/>
    <w:rsid w:val="00A817E9"/>
    <w:rsid w:val="00A8188B"/>
    <w:rsid w:val="00A81948"/>
    <w:rsid w:val="00A81988"/>
    <w:rsid w:val="00A819C5"/>
    <w:rsid w:val="00A81A8B"/>
    <w:rsid w:val="00A81B48"/>
    <w:rsid w:val="00A81BF4"/>
    <w:rsid w:val="00A81D11"/>
    <w:rsid w:val="00A81DBD"/>
    <w:rsid w:val="00A81FF8"/>
    <w:rsid w:val="00A82004"/>
    <w:rsid w:val="00A8201B"/>
    <w:rsid w:val="00A82028"/>
    <w:rsid w:val="00A821B4"/>
    <w:rsid w:val="00A82245"/>
    <w:rsid w:val="00A8229A"/>
    <w:rsid w:val="00A822B1"/>
    <w:rsid w:val="00A822F5"/>
    <w:rsid w:val="00A82369"/>
    <w:rsid w:val="00A82456"/>
    <w:rsid w:val="00A82467"/>
    <w:rsid w:val="00A82498"/>
    <w:rsid w:val="00A824B8"/>
    <w:rsid w:val="00A82548"/>
    <w:rsid w:val="00A82560"/>
    <w:rsid w:val="00A825AC"/>
    <w:rsid w:val="00A825D0"/>
    <w:rsid w:val="00A8261E"/>
    <w:rsid w:val="00A8264C"/>
    <w:rsid w:val="00A8273E"/>
    <w:rsid w:val="00A8274A"/>
    <w:rsid w:val="00A82776"/>
    <w:rsid w:val="00A827D2"/>
    <w:rsid w:val="00A82990"/>
    <w:rsid w:val="00A829C5"/>
    <w:rsid w:val="00A82A65"/>
    <w:rsid w:val="00A82B14"/>
    <w:rsid w:val="00A82B3B"/>
    <w:rsid w:val="00A82BFB"/>
    <w:rsid w:val="00A82C85"/>
    <w:rsid w:val="00A82C8E"/>
    <w:rsid w:val="00A82D2F"/>
    <w:rsid w:val="00A82D46"/>
    <w:rsid w:val="00A82D6E"/>
    <w:rsid w:val="00A82E8C"/>
    <w:rsid w:val="00A82F0B"/>
    <w:rsid w:val="00A82FBD"/>
    <w:rsid w:val="00A8318A"/>
    <w:rsid w:val="00A831E5"/>
    <w:rsid w:val="00A83251"/>
    <w:rsid w:val="00A833AB"/>
    <w:rsid w:val="00A83514"/>
    <w:rsid w:val="00A83558"/>
    <w:rsid w:val="00A8361A"/>
    <w:rsid w:val="00A83689"/>
    <w:rsid w:val="00A8387A"/>
    <w:rsid w:val="00A838B1"/>
    <w:rsid w:val="00A83A80"/>
    <w:rsid w:val="00A83AF8"/>
    <w:rsid w:val="00A83C2C"/>
    <w:rsid w:val="00A83CC2"/>
    <w:rsid w:val="00A83D30"/>
    <w:rsid w:val="00A83D34"/>
    <w:rsid w:val="00A83EF3"/>
    <w:rsid w:val="00A840DB"/>
    <w:rsid w:val="00A840F1"/>
    <w:rsid w:val="00A84340"/>
    <w:rsid w:val="00A843B1"/>
    <w:rsid w:val="00A843C2"/>
    <w:rsid w:val="00A8454E"/>
    <w:rsid w:val="00A845EE"/>
    <w:rsid w:val="00A846FA"/>
    <w:rsid w:val="00A8486C"/>
    <w:rsid w:val="00A8497B"/>
    <w:rsid w:val="00A849E5"/>
    <w:rsid w:val="00A84BF3"/>
    <w:rsid w:val="00A84BF7"/>
    <w:rsid w:val="00A84D39"/>
    <w:rsid w:val="00A84D5B"/>
    <w:rsid w:val="00A84D90"/>
    <w:rsid w:val="00A84DF8"/>
    <w:rsid w:val="00A84E1E"/>
    <w:rsid w:val="00A84E46"/>
    <w:rsid w:val="00A84EDE"/>
    <w:rsid w:val="00A84EE6"/>
    <w:rsid w:val="00A84F6C"/>
    <w:rsid w:val="00A84F9F"/>
    <w:rsid w:val="00A84FD1"/>
    <w:rsid w:val="00A84FDC"/>
    <w:rsid w:val="00A8508A"/>
    <w:rsid w:val="00A8508B"/>
    <w:rsid w:val="00A850BF"/>
    <w:rsid w:val="00A85249"/>
    <w:rsid w:val="00A8529E"/>
    <w:rsid w:val="00A852DD"/>
    <w:rsid w:val="00A853CE"/>
    <w:rsid w:val="00A85420"/>
    <w:rsid w:val="00A85445"/>
    <w:rsid w:val="00A85495"/>
    <w:rsid w:val="00A854B1"/>
    <w:rsid w:val="00A85636"/>
    <w:rsid w:val="00A8569E"/>
    <w:rsid w:val="00A8576C"/>
    <w:rsid w:val="00A85789"/>
    <w:rsid w:val="00A85790"/>
    <w:rsid w:val="00A858E3"/>
    <w:rsid w:val="00A85982"/>
    <w:rsid w:val="00A85A08"/>
    <w:rsid w:val="00A85C84"/>
    <w:rsid w:val="00A85FB8"/>
    <w:rsid w:val="00A8601A"/>
    <w:rsid w:val="00A862F8"/>
    <w:rsid w:val="00A86314"/>
    <w:rsid w:val="00A86355"/>
    <w:rsid w:val="00A864B3"/>
    <w:rsid w:val="00A864F5"/>
    <w:rsid w:val="00A865B5"/>
    <w:rsid w:val="00A86610"/>
    <w:rsid w:val="00A8663D"/>
    <w:rsid w:val="00A8666A"/>
    <w:rsid w:val="00A8666E"/>
    <w:rsid w:val="00A867C1"/>
    <w:rsid w:val="00A867EF"/>
    <w:rsid w:val="00A86873"/>
    <w:rsid w:val="00A86902"/>
    <w:rsid w:val="00A86A04"/>
    <w:rsid w:val="00A86A22"/>
    <w:rsid w:val="00A86ACB"/>
    <w:rsid w:val="00A86AFF"/>
    <w:rsid w:val="00A86C11"/>
    <w:rsid w:val="00A86C77"/>
    <w:rsid w:val="00A86CDB"/>
    <w:rsid w:val="00A86D26"/>
    <w:rsid w:val="00A86D59"/>
    <w:rsid w:val="00A86D9C"/>
    <w:rsid w:val="00A86E21"/>
    <w:rsid w:val="00A86ED4"/>
    <w:rsid w:val="00A86ED5"/>
    <w:rsid w:val="00A86F5A"/>
    <w:rsid w:val="00A86F64"/>
    <w:rsid w:val="00A8702A"/>
    <w:rsid w:val="00A870A2"/>
    <w:rsid w:val="00A870AA"/>
    <w:rsid w:val="00A870EC"/>
    <w:rsid w:val="00A87197"/>
    <w:rsid w:val="00A871B5"/>
    <w:rsid w:val="00A8736E"/>
    <w:rsid w:val="00A873FC"/>
    <w:rsid w:val="00A8748C"/>
    <w:rsid w:val="00A874D4"/>
    <w:rsid w:val="00A87792"/>
    <w:rsid w:val="00A8782B"/>
    <w:rsid w:val="00A879B2"/>
    <w:rsid w:val="00A879D7"/>
    <w:rsid w:val="00A87A13"/>
    <w:rsid w:val="00A87C9B"/>
    <w:rsid w:val="00A87CED"/>
    <w:rsid w:val="00A87D19"/>
    <w:rsid w:val="00A87D30"/>
    <w:rsid w:val="00A87D56"/>
    <w:rsid w:val="00A87D72"/>
    <w:rsid w:val="00A87DEC"/>
    <w:rsid w:val="00A87E2B"/>
    <w:rsid w:val="00A87E79"/>
    <w:rsid w:val="00A87F1E"/>
    <w:rsid w:val="00A87FBF"/>
    <w:rsid w:val="00A87FC9"/>
    <w:rsid w:val="00A87FDE"/>
    <w:rsid w:val="00A90086"/>
    <w:rsid w:val="00A900CC"/>
    <w:rsid w:val="00A9011A"/>
    <w:rsid w:val="00A90165"/>
    <w:rsid w:val="00A901B3"/>
    <w:rsid w:val="00A90206"/>
    <w:rsid w:val="00A902A2"/>
    <w:rsid w:val="00A902C7"/>
    <w:rsid w:val="00A902E5"/>
    <w:rsid w:val="00A90422"/>
    <w:rsid w:val="00A9042F"/>
    <w:rsid w:val="00A9044E"/>
    <w:rsid w:val="00A904AB"/>
    <w:rsid w:val="00A904B8"/>
    <w:rsid w:val="00A90512"/>
    <w:rsid w:val="00A905FD"/>
    <w:rsid w:val="00A90622"/>
    <w:rsid w:val="00A90696"/>
    <w:rsid w:val="00A906DD"/>
    <w:rsid w:val="00A906FE"/>
    <w:rsid w:val="00A9070E"/>
    <w:rsid w:val="00A90881"/>
    <w:rsid w:val="00A90890"/>
    <w:rsid w:val="00A908BD"/>
    <w:rsid w:val="00A908C5"/>
    <w:rsid w:val="00A9092B"/>
    <w:rsid w:val="00A9095F"/>
    <w:rsid w:val="00A90960"/>
    <w:rsid w:val="00A9096A"/>
    <w:rsid w:val="00A9098F"/>
    <w:rsid w:val="00A90990"/>
    <w:rsid w:val="00A90A2D"/>
    <w:rsid w:val="00A90BF5"/>
    <w:rsid w:val="00A90DFE"/>
    <w:rsid w:val="00A90E25"/>
    <w:rsid w:val="00A90E6D"/>
    <w:rsid w:val="00A90E90"/>
    <w:rsid w:val="00A90EAA"/>
    <w:rsid w:val="00A90FB4"/>
    <w:rsid w:val="00A90FC1"/>
    <w:rsid w:val="00A910B4"/>
    <w:rsid w:val="00A911BD"/>
    <w:rsid w:val="00A911E2"/>
    <w:rsid w:val="00A91203"/>
    <w:rsid w:val="00A91210"/>
    <w:rsid w:val="00A912BD"/>
    <w:rsid w:val="00A9130F"/>
    <w:rsid w:val="00A913B0"/>
    <w:rsid w:val="00A91445"/>
    <w:rsid w:val="00A91584"/>
    <w:rsid w:val="00A9165A"/>
    <w:rsid w:val="00A91795"/>
    <w:rsid w:val="00A9188D"/>
    <w:rsid w:val="00A91929"/>
    <w:rsid w:val="00A91979"/>
    <w:rsid w:val="00A919BC"/>
    <w:rsid w:val="00A91A0B"/>
    <w:rsid w:val="00A91AF9"/>
    <w:rsid w:val="00A91B2A"/>
    <w:rsid w:val="00A91B48"/>
    <w:rsid w:val="00A91BF5"/>
    <w:rsid w:val="00A91C53"/>
    <w:rsid w:val="00A91C63"/>
    <w:rsid w:val="00A91D2F"/>
    <w:rsid w:val="00A91E8C"/>
    <w:rsid w:val="00A91ED5"/>
    <w:rsid w:val="00A9203C"/>
    <w:rsid w:val="00A9210F"/>
    <w:rsid w:val="00A921B6"/>
    <w:rsid w:val="00A92227"/>
    <w:rsid w:val="00A923CA"/>
    <w:rsid w:val="00A923E3"/>
    <w:rsid w:val="00A9244B"/>
    <w:rsid w:val="00A925D5"/>
    <w:rsid w:val="00A92639"/>
    <w:rsid w:val="00A927C4"/>
    <w:rsid w:val="00A929CC"/>
    <w:rsid w:val="00A92A28"/>
    <w:rsid w:val="00A92A87"/>
    <w:rsid w:val="00A92AA6"/>
    <w:rsid w:val="00A92BA7"/>
    <w:rsid w:val="00A92BE0"/>
    <w:rsid w:val="00A92D5A"/>
    <w:rsid w:val="00A92D7D"/>
    <w:rsid w:val="00A92DEA"/>
    <w:rsid w:val="00A92DEE"/>
    <w:rsid w:val="00A92EE4"/>
    <w:rsid w:val="00A92F11"/>
    <w:rsid w:val="00A92F9D"/>
    <w:rsid w:val="00A92FC8"/>
    <w:rsid w:val="00A93053"/>
    <w:rsid w:val="00A931F7"/>
    <w:rsid w:val="00A9321E"/>
    <w:rsid w:val="00A9326D"/>
    <w:rsid w:val="00A932ED"/>
    <w:rsid w:val="00A932FE"/>
    <w:rsid w:val="00A93323"/>
    <w:rsid w:val="00A93346"/>
    <w:rsid w:val="00A9337E"/>
    <w:rsid w:val="00A933D6"/>
    <w:rsid w:val="00A9358A"/>
    <w:rsid w:val="00A935C3"/>
    <w:rsid w:val="00A93637"/>
    <w:rsid w:val="00A937B6"/>
    <w:rsid w:val="00A93985"/>
    <w:rsid w:val="00A939EF"/>
    <w:rsid w:val="00A93A5D"/>
    <w:rsid w:val="00A93A86"/>
    <w:rsid w:val="00A93AAC"/>
    <w:rsid w:val="00A93AF0"/>
    <w:rsid w:val="00A93B1F"/>
    <w:rsid w:val="00A93B2F"/>
    <w:rsid w:val="00A93B44"/>
    <w:rsid w:val="00A93B99"/>
    <w:rsid w:val="00A93C69"/>
    <w:rsid w:val="00A93D2E"/>
    <w:rsid w:val="00A93DA4"/>
    <w:rsid w:val="00A93E2B"/>
    <w:rsid w:val="00A93E9F"/>
    <w:rsid w:val="00A93F71"/>
    <w:rsid w:val="00A940B2"/>
    <w:rsid w:val="00A940C0"/>
    <w:rsid w:val="00A940ED"/>
    <w:rsid w:val="00A9412D"/>
    <w:rsid w:val="00A94152"/>
    <w:rsid w:val="00A941E4"/>
    <w:rsid w:val="00A9420A"/>
    <w:rsid w:val="00A943BC"/>
    <w:rsid w:val="00A943CA"/>
    <w:rsid w:val="00A943D0"/>
    <w:rsid w:val="00A9443F"/>
    <w:rsid w:val="00A94440"/>
    <w:rsid w:val="00A9444A"/>
    <w:rsid w:val="00A945E9"/>
    <w:rsid w:val="00A94673"/>
    <w:rsid w:val="00A9484D"/>
    <w:rsid w:val="00A94861"/>
    <w:rsid w:val="00A94971"/>
    <w:rsid w:val="00A949A4"/>
    <w:rsid w:val="00A949AD"/>
    <w:rsid w:val="00A94B62"/>
    <w:rsid w:val="00A94CDA"/>
    <w:rsid w:val="00A94CDC"/>
    <w:rsid w:val="00A94D33"/>
    <w:rsid w:val="00A94E30"/>
    <w:rsid w:val="00A94EC4"/>
    <w:rsid w:val="00A94F7F"/>
    <w:rsid w:val="00A94FD8"/>
    <w:rsid w:val="00A950BE"/>
    <w:rsid w:val="00A950CF"/>
    <w:rsid w:val="00A950D8"/>
    <w:rsid w:val="00A950E9"/>
    <w:rsid w:val="00A951B9"/>
    <w:rsid w:val="00A95200"/>
    <w:rsid w:val="00A95204"/>
    <w:rsid w:val="00A95227"/>
    <w:rsid w:val="00A954A8"/>
    <w:rsid w:val="00A95524"/>
    <w:rsid w:val="00A95553"/>
    <w:rsid w:val="00A955A0"/>
    <w:rsid w:val="00A955AA"/>
    <w:rsid w:val="00A95668"/>
    <w:rsid w:val="00A956AB"/>
    <w:rsid w:val="00A957C2"/>
    <w:rsid w:val="00A957FB"/>
    <w:rsid w:val="00A9587F"/>
    <w:rsid w:val="00A95949"/>
    <w:rsid w:val="00A959EA"/>
    <w:rsid w:val="00A95A6E"/>
    <w:rsid w:val="00A95ADB"/>
    <w:rsid w:val="00A95B18"/>
    <w:rsid w:val="00A95C0B"/>
    <w:rsid w:val="00A95C7B"/>
    <w:rsid w:val="00A95C82"/>
    <w:rsid w:val="00A95C9C"/>
    <w:rsid w:val="00A95CB4"/>
    <w:rsid w:val="00A95CB8"/>
    <w:rsid w:val="00A95D48"/>
    <w:rsid w:val="00A95E4D"/>
    <w:rsid w:val="00A95E9C"/>
    <w:rsid w:val="00A95EAC"/>
    <w:rsid w:val="00A95F4F"/>
    <w:rsid w:val="00A96020"/>
    <w:rsid w:val="00A9606F"/>
    <w:rsid w:val="00A96119"/>
    <w:rsid w:val="00A9621B"/>
    <w:rsid w:val="00A96233"/>
    <w:rsid w:val="00A9624B"/>
    <w:rsid w:val="00A962DE"/>
    <w:rsid w:val="00A96470"/>
    <w:rsid w:val="00A96556"/>
    <w:rsid w:val="00A965BA"/>
    <w:rsid w:val="00A966D0"/>
    <w:rsid w:val="00A966FC"/>
    <w:rsid w:val="00A9679C"/>
    <w:rsid w:val="00A967F5"/>
    <w:rsid w:val="00A9688F"/>
    <w:rsid w:val="00A9695D"/>
    <w:rsid w:val="00A9699E"/>
    <w:rsid w:val="00A96BD1"/>
    <w:rsid w:val="00A96BE2"/>
    <w:rsid w:val="00A96E16"/>
    <w:rsid w:val="00A96E18"/>
    <w:rsid w:val="00A96EDB"/>
    <w:rsid w:val="00A96F29"/>
    <w:rsid w:val="00A96F5C"/>
    <w:rsid w:val="00A96F88"/>
    <w:rsid w:val="00A96FFA"/>
    <w:rsid w:val="00A97170"/>
    <w:rsid w:val="00A9719D"/>
    <w:rsid w:val="00A972A2"/>
    <w:rsid w:val="00A972DE"/>
    <w:rsid w:val="00A973E4"/>
    <w:rsid w:val="00A973FF"/>
    <w:rsid w:val="00A977E5"/>
    <w:rsid w:val="00A9786C"/>
    <w:rsid w:val="00A9796A"/>
    <w:rsid w:val="00A979DF"/>
    <w:rsid w:val="00A97BDE"/>
    <w:rsid w:val="00A97C5B"/>
    <w:rsid w:val="00A97D66"/>
    <w:rsid w:val="00A97DE3"/>
    <w:rsid w:val="00A97E28"/>
    <w:rsid w:val="00A97EDE"/>
    <w:rsid w:val="00A97F6E"/>
    <w:rsid w:val="00A97FCE"/>
    <w:rsid w:val="00AA0051"/>
    <w:rsid w:val="00AA0153"/>
    <w:rsid w:val="00AA0161"/>
    <w:rsid w:val="00AA0169"/>
    <w:rsid w:val="00AA01CC"/>
    <w:rsid w:val="00AA01E7"/>
    <w:rsid w:val="00AA0320"/>
    <w:rsid w:val="00AA03C1"/>
    <w:rsid w:val="00AA0404"/>
    <w:rsid w:val="00AA0474"/>
    <w:rsid w:val="00AA05AF"/>
    <w:rsid w:val="00AA05D6"/>
    <w:rsid w:val="00AA0670"/>
    <w:rsid w:val="00AA06A2"/>
    <w:rsid w:val="00AA0741"/>
    <w:rsid w:val="00AA0781"/>
    <w:rsid w:val="00AA088B"/>
    <w:rsid w:val="00AA08C2"/>
    <w:rsid w:val="00AA0935"/>
    <w:rsid w:val="00AA0B09"/>
    <w:rsid w:val="00AA0B11"/>
    <w:rsid w:val="00AA0BAF"/>
    <w:rsid w:val="00AA0BC1"/>
    <w:rsid w:val="00AA0C2C"/>
    <w:rsid w:val="00AA0D27"/>
    <w:rsid w:val="00AA0D30"/>
    <w:rsid w:val="00AA0D88"/>
    <w:rsid w:val="00AA0F5D"/>
    <w:rsid w:val="00AA1068"/>
    <w:rsid w:val="00AA10D1"/>
    <w:rsid w:val="00AA10D9"/>
    <w:rsid w:val="00AA127A"/>
    <w:rsid w:val="00AA12CA"/>
    <w:rsid w:val="00AA1329"/>
    <w:rsid w:val="00AA1382"/>
    <w:rsid w:val="00AA1410"/>
    <w:rsid w:val="00AA14CC"/>
    <w:rsid w:val="00AA15E8"/>
    <w:rsid w:val="00AA1634"/>
    <w:rsid w:val="00AA165B"/>
    <w:rsid w:val="00AA1673"/>
    <w:rsid w:val="00AA16A2"/>
    <w:rsid w:val="00AA1723"/>
    <w:rsid w:val="00AA1792"/>
    <w:rsid w:val="00AA1843"/>
    <w:rsid w:val="00AA1900"/>
    <w:rsid w:val="00AA19FD"/>
    <w:rsid w:val="00AA1A5F"/>
    <w:rsid w:val="00AA1B08"/>
    <w:rsid w:val="00AA1BC5"/>
    <w:rsid w:val="00AA1C20"/>
    <w:rsid w:val="00AA1D65"/>
    <w:rsid w:val="00AA2009"/>
    <w:rsid w:val="00AA21DE"/>
    <w:rsid w:val="00AA22D3"/>
    <w:rsid w:val="00AA236E"/>
    <w:rsid w:val="00AA23A3"/>
    <w:rsid w:val="00AA23CE"/>
    <w:rsid w:val="00AA23DC"/>
    <w:rsid w:val="00AA23F1"/>
    <w:rsid w:val="00AA2407"/>
    <w:rsid w:val="00AA2424"/>
    <w:rsid w:val="00AA243E"/>
    <w:rsid w:val="00AA24B4"/>
    <w:rsid w:val="00AA24C4"/>
    <w:rsid w:val="00AA25CC"/>
    <w:rsid w:val="00AA25D5"/>
    <w:rsid w:val="00AA269C"/>
    <w:rsid w:val="00AA273E"/>
    <w:rsid w:val="00AA2742"/>
    <w:rsid w:val="00AA2796"/>
    <w:rsid w:val="00AA2877"/>
    <w:rsid w:val="00AA28BC"/>
    <w:rsid w:val="00AA2954"/>
    <w:rsid w:val="00AA2970"/>
    <w:rsid w:val="00AA298F"/>
    <w:rsid w:val="00AA29B2"/>
    <w:rsid w:val="00AA2A0E"/>
    <w:rsid w:val="00AA2AB9"/>
    <w:rsid w:val="00AA2AF3"/>
    <w:rsid w:val="00AA2BDD"/>
    <w:rsid w:val="00AA2C79"/>
    <w:rsid w:val="00AA2CB1"/>
    <w:rsid w:val="00AA2CB9"/>
    <w:rsid w:val="00AA2CEB"/>
    <w:rsid w:val="00AA2D26"/>
    <w:rsid w:val="00AA2DFD"/>
    <w:rsid w:val="00AA314D"/>
    <w:rsid w:val="00AA336F"/>
    <w:rsid w:val="00AA3474"/>
    <w:rsid w:val="00AA34E2"/>
    <w:rsid w:val="00AA34E3"/>
    <w:rsid w:val="00AA3647"/>
    <w:rsid w:val="00AA36DE"/>
    <w:rsid w:val="00AA371C"/>
    <w:rsid w:val="00AA37A1"/>
    <w:rsid w:val="00AA3891"/>
    <w:rsid w:val="00AA3898"/>
    <w:rsid w:val="00AA399F"/>
    <w:rsid w:val="00AA39FA"/>
    <w:rsid w:val="00AA3AAD"/>
    <w:rsid w:val="00AA3AF2"/>
    <w:rsid w:val="00AA3B6F"/>
    <w:rsid w:val="00AA3BE1"/>
    <w:rsid w:val="00AA3C88"/>
    <w:rsid w:val="00AA3D27"/>
    <w:rsid w:val="00AA3D44"/>
    <w:rsid w:val="00AA3D77"/>
    <w:rsid w:val="00AA3D84"/>
    <w:rsid w:val="00AA3F3A"/>
    <w:rsid w:val="00AA3F70"/>
    <w:rsid w:val="00AA3FA0"/>
    <w:rsid w:val="00AA3FE8"/>
    <w:rsid w:val="00AA40DB"/>
    <w:rsid w:val="00AA410A"/>
    <w:rsid w:val="00AA429F"/>
    <w:rsid w:val="00AA42F5"/>
    <w:rsid w:val="00AA4328"/>
    <w:rsid w:val="00AA45CF"/>
    <w:rsid w:val="00AA4653"/>
    <w:rsid w:val="00AA469D"/>
    <w:rsid w:val="00AA46F8"/>
    <w:rsid w:val="00AA4714"/>
    <w:rsid w:val="00AA47C2"/>
    <w:rsid w:val="00AA47EF"/>
    <w:rsid w:val="00AA4847"/>
    <w:rsid w:val="00AA485E"/>
    <w:rsid w:val="00AA4905"/>
    <w:rsid w:val="00AA4952"/>
    <w:rsid w:val="00AA49ED"/>
    <w:rsid w:val="00AA4A3E"/>
    <w:rsid w:val="00AA4AB2"/>
    <w:rsid w:val="00AA4B13"/>
    <w:rsid w:val="00AA4BD7"/>
    <w:rsid w:val="00AA4C09"/>
    <w:rsid w:val="00AA4C4A"/>
    <w:rsid w:val="00AA4CFF"/>
    <w:rsid w:val="00AA4EB2"/>
    <w:rsid w:val="00AA4F3D"/>
    <w:rsid w:val="00AA4F84"/>
    <w:rsid w:val="00AA5024"/>
    <w:rsid w:val="00AA504C"/>
    <w:rsid w:val="00AA5093"/>
    <w:rsid w:val="00AA512C"/>
    <w:rsid w:val="00AA514B"/>
    <w:rsid w:val="00AA52DD"/>
    <w:rsid w:val="00AA534E"/>
    <w:rsid w:val="00AA5485"/>
    <w:rsid w:val="00AA548F"/>
    <w:rsid w:val="00AA54B9"/>
    <w:rsid w:val="00AA5507"/>
    <w:rsid w:val="00AA55DC"/>
    <w:rsid w:val="00AA55E1"/>
    <w:rsid w:val="00AA563D"/>
    <w:rsid w:val="00AA5708"/>
    <w:rsid w:val="00AA57F7"/>
    <w:rsid w:val="00AA5883"/>
    <w:rsid w:val="00AA59B0"/>
    <w:rsid w:val="00AA5A25"/>
    <w:rsid w:val="00AA5B2F"/>
    <w:rsid w:val="00AA5B71"/>
    <w:rsid w:val="00AA5C06"/>
    <w:rsid w:val="00AA5CC9"/>
    <w:rsid w:val="00AA5CDC"/>
    <w:rsid w:val="00AA5D86"/>
    <w:rsid w:val="00AA5DA1"/>
    <w:rsid w:val="00AA5E83"/>
    <w:rsid w:val="00AA5EB3"/>
    <w:rsid w:val="00AA5F17"/>
    <w:rsid w:val="00AA5F36"/>
    <w:rsid w:val="00AA5F98"/>
    <w:rsid w:val="00AA60EF"/>
    <w:rsid w:val="00AA61CC"/>
    <w:rsid w:val="00AA635D"/>
    <w:rsid w:val="00AA63BF"/>
    <w:rsid w:val="00AA6437"/>
    <w:rsid w:val="00AA6672"/>
    <w:rsid w:val="00AA66C9"/>
    <w:rsid w:val="00AA66FD"/>
    <w:rsid w:val="00AA6799"/>
    <w:rsid w:val="00AA6903"/>
    <w:rsid w:val="00AA6963"/>
    <w:rsid w:val="00AA69CB"/>
    <w:rsid w:val="00AA69E2"/>
    <w:rsid w:val="00AA6A56"/>
    <w:rsid w:val="00AA6C79"/>
    <w:rsid w:val="00AA6CDC"/>
    <w:rsid w:val="00AA6DBF"/>
    <w:rsid w:val="00AA6E44"/>
    <w:rsid w:val="00AA6EC5"/>
    <w:rsid w:val="00AA6F60"/>
    <w:rsid w:val="00AA6FF1"/>
    <w:rsid w:val="00AA70A6"/>
    <w:rsid w:val="00AA7153"/>
    <w:rsid w:val="00AA715B"/>
    <w:rsid w:val="00AA7321"/>
    <w:rsid w:val="00AA7326"/>
    <w:rsid w:val="00AA734B"/>
    <w:rsid w:val="00AA7426"/>
    <w:rsid w:val="00AA7447"/>
    <w:rsid w:val="00AA74F1"/>
    <w:rsid w:val="00AA7638"/>
    <w:rsid w:val="00AA76CC"/>
    <w:rsid w:val="00AA7708"/>
    <w:rsid w:val="00AA773F"/>
    <w:rsid w:val="00AA77AA"/>
    <w:rsid w:val="00AA77B3"/>
    <w:rsid w:val="00AA77BE"/>
    <w:rsid w:val="00AA77D2"/>
    <w:rsid w:val="00AA77E5"/>
    <w:rsid w:val="00AA780B"/>
    <w:rsid w:val="00AA7826"/>
    <w:rsid w:val="00AA7977"/>
    <w:rsid w:val="00AA7A46"/>
    <w:rsid w:val="00AA7A5F"/>
    <w:rsid w:val="00AA7A83"/>
    <w:rsid w:val="00AA7ADF"/>
    <w:rsid w:val="00AA7B4C"/>
    <w:rsid w:val="00AA7B5C"/>
    <w:rsid w:val="00AA7B75"/>
    <w:rsid w:val="00AA7C35"/>
    <w:rsid w:val="00AA7D2D"/>
    <w:rsid w:val="00AA7D4A"/>
    <w:rsid w:val="00AA7D68"/>
    <w:rsid w:val="00AA7D7F"/>
    <w:rsid w:val="00AA7DFD"/>
    <w:rsid w:val="00AA7EEC"/>
    <w:rsid w:val="00AA7F3B"/>
    <w:rsid w:val="00AA7FC5"/>
    <w:rsid w:val="00AB01CB"/>
    <w:rsid w:val="00AB0228"/>
    <w:rsid w:val="00AB0319"/>
    <w:rsid w:val="00AB034F"/>
    <w:rsid w:val="00AB0380"/>
    <w:rsid w:val="00AB03C0"/>
    <w:rsid w:val="00AB03CF"/>
    <w:rsid w:val="00AB04C5"/>
    <w:rsid w:val="00AB068B"/>
    <w:rsid w:val="00AB0717"/>
    <w:rsid w:val="00AB071C"/>
    <w:rsid w:val="00AB0762"/>
    <w:rsid w:val="00AB0768"/>
    <w:rsid w:val="00AB07C7"/>
    <w:rsid w:val="00AB07D9"/>
    <w:rsid w:val="00AB0819"/>
    <w:rsid w:val="00AB08BE"/>
    <w:rsid w:val="00AB08FA"/>
    <w:rsid w:val="00AB092B"/>
    <w:rsid w:val="00AB092F"/>
    <w:rsid w:val="00AB0934"/>
    <w:rsid w:val="00AB0BC8"/>
    <w:rsid w:val="00AB0CC5"/>
    <w:rsid w:val="00AB0D38"/>
    <w:rsid w:val="00AB0D54"/>
    <w:rsid w:val="00AB0D7E"/>
    <w:rsid w:val="00AB0E4C"/>
    <w:rsid w:val="00AB0EE7"/>
    <w:rsid w:val="00AB0EF4"/>
    <w:rsid w:val="00AB0F15"/>
    <w:rsid w:val="00AB0F1C"/>
    <w:rsid w:val="00AB1172"/>
    <w:rsid w:val="00AB11EC"/>
    <w:rsid w:val="00AB130E"/>
    <w:rsid w:val="00AB135E"/>
    <w:rsid w:val="00AB1384"/>
    <w:rsid w:val="00AB1549"/>
    <w:rsid w:val="00AB15DE"/>
    <w:rsid w:val="00AB16D7"/>
    <w:rsid w:val="00AB1700"/>
    <w:rsid w:val="00AB1745"/>
    <w:rsid w:val="00AB175C"/>
    <w:rsid w:val="00AB1770"/>
    <w:rsid w:val="00AB185A"/>
    <w:rsid w:val="00AB1882"/>
    <w:rsid w:val="00AB18A8"/>
    <w:rsid w:val="00AB1B19"/>
    <w:rsid w:val="00AB1B88"/>
    <w:rsid w:val="00AB1B8A"/>
    <w:rsid w:val="00AB1C03"/>
    <w:rsid w:val="00AB1CC9"/>
    <w:rsid w:val="00AB1CD8"/>
    <w:rsid w:val="00AB1DAE"/>
    <w:rsid w:val="00AB1DF9"/>
    <w:rsid w:val="00AB1E88"/>
    <w:rsid w:val="00AB1E8A"/>
    <w:rsid w:val="00AB1ED8"/>
    <w:rsid w:val="00AB1F39"/>
    <w:rsid w:val="00AB1F3F"/>
    <w:rsid w:val="00AB1F7E"/>
    <w:rsid w:val="00AB1F9F"/>
    <w:rsid w:val="00AB201B"/>
    <w:rsid w:val="00AB2020"/>
    <w:rsid w:val="00AB2045"/>
    <w:rsid w:val="00AB2070"/>
    <w:rsid w:val="00AB2097"/>
    <w:rsid w:val="00AB2365"/>
    <w:rsid w:val="00AB2433"/>
    <w:rsid w:val="00AB2443"/>
    <w:rsid w:val="00AB24CC"/>
    <w:rsid w:val="00AB24DA"/>
    <w:rsid w:val="00AB25F1"/>
    <w:rsid w:val="00AB26F4"/>
    <w:rsid w:val="00AB26FD"/>
    <w:rsid w:val="00AB2739"/>
    <w:rsid w:val="00AB27E5"/>
    <w:rsid w:val="00AB2897"/>
    <w:rsid w:val="00AB298B"/>
    <w:rsid w:val="00AB2AEA"/>
    <w:rsid w:val="00AB2BA6"/>
    <w:rsid w:val="00AB2DD6"/>
    <w:rsid w:val="00AB30E2"/>
    <w:rsid w:val="00AB30F4"/>
    <w:rsid w:val="00AB32A8"/>
    <w:rsid w:val="00AB32A9"/>
    <w:rsid w:val="00AB32D9"/>
    <w:rsid w:val="00AB32FF"/>
    <w:rsid w:val="00AB3404"/>
    <w:rsid w:val="00AB343A"/>
    <w:rsid w:val="00AB347E"/>
    <w:rsid w:val="00AB355E"/>
    <w:rsid w:val="00AB357B"/>
    <w:rsid w:val="00AB35A9"/>
    <w:rsid w:val="00AB364E"/>
    <w:rsid w:val="00AB3657"/>
    <w:rsid w:val="00AB376E"/>
    <w:rsid w:val="00AB377A"/>
    <w:rsid w:val="00AB3838"/>
    <w:rsid w:val="00AB383F"/>
    <w:rsid w:val="00AB3920"/>
    <w:rsid w:val="00AB3929"/>
    <w:rsid w:val="00AB3B54"/>
    <w:rsid w:val="00AB3BCC"/>
    <w:rsid w:val="00AB3C12"/>
    <w:rsid w:val="00AB3CE0"/>
    <w:rsid w:val="00AB3DD5"/>
    <w:rsid w:val="00AB3E5B"/>
    <w:rsid w:val="00AB3E7C"/>
    <w:rsid w:val="00AB3F78"/>
    <w:rsid w:val="00AB3FB1"/>
    <w:rsid w:val="00AB40AE"/>
    <w:rsid w:val="00AB4278"/>
    <w:rsid w:val="00AB4337"/>
    <w:rsid w:val="00AB4350"/>
    <w:rsid w:val="00AB43C7"/>
    <w:rsid w:val="00AB43F8"/>
    <w:rsid w:val="00AB4411"/>
    <w:rsid w:val="00AB4428"/>
    <w:rsid w:val="00AB449C"/>
    <w:rsid w:val="00AB461D"/>
    <w:rsid w:val="00AB4831"/>
    <w:rsid w:val="00AB49E1"/>
    <w:rsid w:val="00AB4A03"/>
    <w:rsid w:val="00AB4AFC"/>
    <w:rsid w:val="00AB4B3A"/>
    <w:rsid w:val="00AB4B80"/>
    <w:rsid w:val="00AB4C67"/>
    <w:rsid w:val="00AB4C8D"/>
    <w:rsid w:val="00AB4CED"/>
    <w:rsid w:val="00AB4CFA"/>
    <w:rsid w:val="00AB4D44"/>
    <w:rsid w:val="00AB4DF0"/>
    <w:rsid w:val="00AB4E0D"/>
    <w:rsid w:val="00AB4E36"/>
    <w:rsid w:val="00AB4EBE"/>
    <w:rsid w:val="00AB5179"/>
    <w:rsid w:val="00AB5240"/>
    <w:rsid w:val="00AB5272"/>
    <w:rsid w:val="00AB52D7"/>
    <w:rsid w:val="00AB52F0"/>
    <w:rsid w:val="00AB52F6"/>
    <w:rsid w:val="00AB5420"/>
    <w:rsid w:val="00AB54D9"/>
    <w:rsid w:val="00AB5511"/>
    <w:rsid w:val="00AB5517"/>
    <w:rsid w:val="00AB5584"/>
    <w:rsid w:val="00AB55F7"/>
    <w:rsid w:val="00AB5649"/>
    <w:rsid w:val="00AB5718"/>
    <w:rsid w:val="00AB5782"/>
    <w:rsid w:val="00AB5896"/>
    <w:rsid w:val="00AB5C0A"/>
    <w:rsid w:val="00AB5C2D"/>
    <w:rsid w:val="00AB5D35"/>
    <w:rsid w:val="00AB5D9E"/>
    <w:rsid w:val="00AB5DBC"/>
    <w:rsid w:val="00AB5DF7"/>
    <w:rsid w:val="00AB5E62"/>
    <w:rsid w:val="00AB5FD1"/>
    <w:rsid w:val="00AB621E"/>
    <w:rsid w:val="00AB62A1"/>
    <w:rsid w:val="00AB6340"/>
    <w:rsid w:val="00AB6351"/>
    <w:rsid w:val="00AB64E9"/>
    <w:rsid w:val="00AB6508"/>
    <w:rsid w:val="00AB663F"/>
    <w:rsid w:val="00AB6644"/>
    <w:rsid w:val="00AB664E"/>
    <w:rsid w:val="00AB6801"/>
    <w:rsid w:val="00AB68D1"/>
    <w:rsid w:val="00AB6AB2"/>
    <w:rsid w:val="00AB6ADB"/>
    <w:rsid w:val="00AB6B0E"/>
    <w:rsid w:val="00AB6BBF"/>
    <w:rsid w:val="00AB6CF1"/>
    <w:rsid w:val="00AB6E73"/>
    <w:rsid w:val="00AB6EEF"/>
    <w:rsid w:val="00AB7004"/>
    <w:rsid w:val="00AB7016"/>
    <w:rsid w:val="00AB7134"/>
    <w:rsid w:val="00AB71D4"/>
    <w:rsid w:val="00AB7249"/>
    <w:rsid w:val="00AB72AC"/>
    <w:rsid w:val="00AB735B"/>
    <w:rsid w:val="00AB7374"/>
    <w:rsid w:val="00AB73EA"/>
    <w:rsid w:val="00AB7486"/>
    <w:rsid w:val="00AB766F"/>
    <w:rsid w:val="00AB7670"/>
    <w:rsid w:val="00AB7678"/>
    <w:rsid w:val="00AB7802"/>
    <w:rsid w:val="00AB782C"/>
    <w:rsid w:val="00AB7844"/>
    <w:rsid w:val="00AB789E"/>
    <w:rsid w:val="00AB7A73"/>
    <w:rsid w:val="00AB7AEF"/>
    <w:rsid w:val="00AB7C36"/>
    <w:rsid w:val="00AB7C46"/>
    <w:rsid w:val="00AB7C6E"/>
    <w:rsid w:val="00AB7C85"/>
    <w:rsid w:val="00AB7CA2"/>
    <w:rsid w:val="00AB7CC6"/>
    <w:rsid w:val="00AB7D43"/>
    <w:rsid w:val="00AB7DAF"/>
    <w:rsid w:val="00AB7E05"/>
    <w:rsid w:val="00AB7E27"/>
    <w:rsid w:val="00AB7F13"/>
    <w:rsid w:val="00AB7FEB"/>
    <w:rsid w:val="00AC0023"/>
    <w:rsid w:val="00AC00E4"/>
    <w:rsid w:val="00AC022D"/>
    <w:rsid w:val="00AC02AA"/>
    <w:rsid w:val="00AC02B9"/>
    <w:rsid w:val="00AC02C1"/>
    <w:rsid w:val="00AC02DF"/>
    <w:rsid w:val="00AC0352"/>
    <w:rsid w:val="00AC0356"/>
    <w:rsid w:val="00AC0405"/>
    <w:rsid w:val="00AC0473"/>
    <w:rsid w:val="00AC0495"/>
    <w:rsid w:val="00AC0531"/>
    <w:rsid w:val="00AC0591"/>
    <w:rsid w:val="00AC05DC"/>
    <w:rsid w:val="00AC060A"/>
    <w:rsid w:val="00AC0646"/>
    <w:rsid w:val="00AC0692"/>
    <w:rsid w:val="00AC06D7"/>
    <w:rsid w:val="00AC06E7"/>
    <w:rsid w:val="00AC070D"/>
    <w:rsid w:val="00AC0746"/>
    <w:rsid w:val="00AC075A"/>
    <w:rsid w:val="00AC078B"/>
    <w:rsid w:val="00AC084B"/>
    <w:rsid w:val="00AC08A3"/>
    <w:rsid w:val="00AC0A16"/>
    <w:rsid w:val="00AC0B52"/>
    <w:rsid w:val="00AC0B8B"/>
    <w:rsid w:val="00AC0C5D"/>
    <w:rsid w:val="00AC0C78"/>
    <w:rsid w:val="00AC0D08"/>
    <w:rsid w:val="00AC0D4C"/>
    <w:rsid w:val="00AC0EA9"/>
    <w:rsid w:val="00AC0F47"/>
    <w:rsid w:val="00AC0F8B"/>
    <w:rsid w:val="00AC1097"/>
    <w:rsid w:val="00AC123E"/>
    <w:rsid w:val="00AC124C"/>
    <w:rsid w:val="00AC12BD"/>
    <w:rsid w:val="00AC12DC"/>
    <w:rsid w:val="00AC133D"/>
    <w:rsid w:val="00AC1348"/>
    <w:rsid w:val="00AC1496"/>
    <w:rsid w:val="00AC14A7"/>
    <w:rsid w:val="00AC14C7"/>
    <w:rsid w:val="00AC1568"/>
    <w:rsid w:val="00AC1718"/>
    <w:rsid w:val="00AC1730"/>
    <w:rsid w:val="00AC181B"/>
    <w:rsid w:val="00AC1889"/>
    <w:rsid w:val="00AC1A4A"/>
    <w:rsid w:val="00AC1A6E"/>
    <w:rsid w:val="00AC1C2A"/>
    <w:rsid w:val="00AC1D94"/>
    <w:rsid w:val="00AC1DB4"/>
    <w:rsid w:val="00AC1E74"/>
    <w:rsid w:val="00AC1F62"/>
    <w:rsid w:val="00AC1F75"/>
    <w:rsid w:val="00AC1FE0"/>
    <w:rsid w:val="00AC2081"/>
    <w:rsid w:val="00AC21E0"/>
    <w:rsid w:val="00AC2305"/>
    <w:rsid w:val="00AC23AB"/>
    <w:rsid w:val="00AC2472"/>
    <w:rsid w:val="00AC2480"/>
    <w:rsid w:val="00AC258F"/>
    <w:rsid w:val="00AC2759"/>
    <w:rsid w:val="00AC276A"/>
    <w:rsid w:val="00AC285D"/>
    <w:rsid w:val="00AC2A08"/>
    <w:rsid w:val="00AC2AE3"/>
    <w:rsid w:val="00AC2BC2"/>
    <w:rsid w:val="00AC2CA2"/>
    <w:rsid w:val="00AC2E0C"/>
    <w:rsid w:val="00AC2E62"/>
    <w:rsid w:val="00AC2F3B"/>
    <w:rsid w:val="00AC303A"/>
    <w:rsid w:val="00AC303C"/>
    <w:rsid w:val="00AC30FD"/>
    <w:rsid w:val="00AC3143"/>
    <w:rsid w:val="00AC31AA"/>
    <w:rsid w:val="00AC32CF"/>
    <w:rsid w:val="00AC332A"/>
    <w:rsid w:val="00AC334D"/>
    <w:rsid w:val="00AC33AE"/>
    <w:rsid w:val="00AC344F"/>
    <w:rsid w:val="00AC348B"/>
    <w:rsid w:val="00AC35C2"/>
    <w:rsid w:val="00AC36F5"/>
    <w:rsid w:val="00AC3709"/>
    <w:rsid w:val="00AC3790"/>
    <w:rsid w:val="00AC37D9"/>
    <w:rsid w:val="00AC3846"/>
    <w:rsid w:val="00AC38C2"/>
    <w:rsid w:val="00AC395E"/>
    <w:rsid w:val="00AC399C"/>
    <w:rsid w:val="00AC3A93"/>
    <w:rsid w:val="00AC3B15"/>
    <w:rsid w:val="00AC3CF8"/>
    <w:rsid w:val="00AC3D69"/>
    <w:rsid w:val="00AC3E01"/>
    <w:rsid w:val="00AC3FFF"/>
    <w:rsid w:val="00AC418E"/>
    <w:rsid w:val="00AC41A9"/>
    <w:rsid w:val="00AC41DE"/>
    <w:rsid w:val="00AC43D3"/>
    <w:rsid w:val="00AC442C"/>
    <w:rsid w:val="00AC446E"/>
    <w:rsid w:val="00AC44D4"/>
    <w:rsid w:val="00AC4578"/>
    <w:rsid w:val="00AC45F1"/>
    <w:rsid w:val="00AC460A"/>
    <w:rsid w:val="00AC46AA"/>
    <w:rsid w:val="00AC46D2"/>
    <w:rsid w:val="00AC475D"/>
    <w:rsid w:val="00AC47DB"/>
    <w:rsid w:val="00AC4834"/>
    <w:rsid w:val="00AC4980"/>
    <w:rsid w:val="00AC499E"/>
    <w:rsid w:val="00AC4A37"/>
    <w:rsid w:val="00AC4A96"/>
    <w:rsid w:val="00AC4B5F"/>
    <w:rsid w:val="00AC4D29"/>
    <w:rsid w:val="00AC4DB3"/>
    <w:rsid w:val="00AC5084"/>
    <w:rsid w:val="00AC5189"/>
    <w:rsid w:val="00AC5219"/>
    <w:rsid w:val="00AC53F8"/>
    <w:rsid w:val="00AC54A5"/>
    <w:rsid w:val="00AC552E"/>
    <w:rsid w:val="00AC5666"/>
    <w:rsid w:val="00AC5828"/>
    <w:rsid w:val="00AC5899"/>
    <w:rsid w:val="00AC59E5"/>
    <w:rsid w:val="00AC5A22"/>
    <w:rsid w:val="00AC5C39"/>
    <w:rsid w:val="00AC5C3D"/>
    <w:rsid w:val="00AC5CB2"/>
    <w:rsid w:val="00AC5DFD"/>
    <w:rsid w:val="00AC5E17"/>
    <w:rsid w:val="00AC5EC2"/>
    <w:rsid w:val="00AC5F7E"/>
    <w:rsid w:val="00AC5F81"/>
    <w:rsid w:val="00AC5FDA"/>
    <w:rsid w:val="00AC600A"/>
    <w:rsid w:val="00AC610F"/>
    <w:rsid w:val="00AC6113"/>
    <w:rsid w:val="00AC61A9"/>
    <w:rsid w:val="00AC61C2"/>
    <w:rsid w:val="00AC61E1"/>
    <w:rsid w:val="00AC61E8"/>
    <w:rsid w:val="00AC634D"/>
    <w:rsid w:val="00AC639A"/>
    <w:rsid w:val="00AC63CF"/>
    <w:rsid w:val="00AC644C"/>
    <w:rsid w:val="00AC64E5"/>
    <w:rsid w:val="00AC6500"/>
    <w:rsid w:val="00AC6511"/>
    <w:rsid w:val="00AC6545"/>
    <w:rsid w:val="00AC6558"/>
    <w:rsid w:val="00AC662F"/>
    <w:rsid w:val="00AC676A"/>
    <w:rsid w:val="00AC6776"/>
    <w:rsid w:val="00AC677C"/>
    <w:rsid w:val="00AC68F6"/>
    <w:rsid w:val="00AC695D"/>
    <w:rsid w:val="00AC6993"/>
    <w:rsid w:val="00AC69B2"/>
    <w:rsid w:val="00AC69D2"/>
    <w:rsid w:val="00AC69E8"/>
    <w:rsid w:val="00AC6A05"/>
    <w:rsid w:val="00AC6B4E"/>
    <w:rsid w:val="00AC6B69"/>
    <w:rsid w:val="00AC6BBB"/>
    <w:rsid w:val="00AC6C8D"/>
    <w:rsid w:val="00AC6CFE"/>
    <w:rsid w:val="00AC6D72"/>
    <w:rsid w:val="00AC6DC6"/>
    <w:rsid w:val="00AC6E33"/>
    <w:rsid w:val="00AC7047"/>
    <w:rsid w:val="00AC7162"/>
    <w:rsid w:val="00AC7245"/>
    <w:rsid w:val="00AC72C3"/>
    <w:rsid w:val="00AC73D1"/>
    <w:rsid w:val="00AC744F"/>
    <w:rsid w:val="00AC7477"/>
    <w:rsid w:val="00AC751E"/>
    <w:rsid w:val="00AC755A"/>
    <w:rsid w:val="00AC75DD"/>
    <w:rsid w:val="00AC765A"/>
    <w:rsid w:val="00AC7678"/>
    <w:rsid w:val="00AC7734"/>
    <w:rsid w:val="00AC7736"/>
    <w:rsid w:val="00AC774B"/>
    <w:rsid w:val="00AC7779"/>
    <w:rsid w:val="00AC77DB"/>
    <w:rsid w:val="00AC7841"/>
    <w:rsid w:val="00AC78D5"/>
    <w:rsid w:val="00AC7979"/>
    <w:rsid w:val="00AC7997"/>
    <w:rsid w:val="00AC7AA4"/>
    <w:rsid w:val="00AC7BA7"/>
    <w:rsid w:val="00AC7BBA"/>
    <w:rsid w:val="00AC7D1D"/>
    <w:rsid w:val="00AC7D45"/>
    <w:rsid w:val="00AC7D4C"/>
    <w:rsid w:val="00AC7F9A"/>
    <w:rsid w:val="00AC7FBB"/>
    <w:rsid w:val="00AD015A"/>
    <w:rsid w:val="00AD01D3"/>
    <w:rsid w:val="00AD01D4"/>
    <w:rsid w:val="00AD01DE"/>
    <w:rsid w:val="00AD0206"/>
    <w:rsid w:val="00AD0251"/>
    <w:rsid w:val="00AD0443"/>
    <w:rsid w:val="00AD0466"/>
    <w:rsid w:val="00AD04AA"/>
    <w:rsid w:val="00AD06A3"/>
    <w:rsid w:val="00AD07D8"/>
    <w:rsid w:val="00AD082E"/>
    <w:rsid w:val="00AD0832"/>
    <w:rsid w:val="00AD0848"/>
    <w:rsid w:val="00AD0871"/>
    <w:rsid w:val="00AD087F"/>
    <w:rsid w:val="00AD08EE"/>
    <w:rsid w:val="00AD0967"/>
    <w:rsid w:val="00AD09B4"/>
    <w:rsid w:val="00AD09C2"/>
    <w:rsid w:val="00AD0AB7"/>
    <w:rsid w:val="00AD0C9E"/>
    <w:rsid w:val="00AD0CC9"/>
    <w:rsid w:val="00AD0D6F"/>
    <w:rsid w:val="00AD0D7B"/>
    <w:rsid w:val="00AD0DA1"/>
    <w:rsid w:val="00AD0DAE"/>
    <w:rsid w:val="00AD10FB"/>
    <w:rsid w:val="00AD1369"/>
    <w:rsid w:val="00AD1379"/>
    <w:rsid w:val="00AD13A3"/>
    <w:rsid w:val="00AD1502"/>
    <w:rsid w:val="00AD1710"/>
    <w:rsid w:val="00AD1804"/>
    <w:rsid w:val="00AD1805"/>
    <w:rsid w:val="00AD1821"/>
    <w:rsid w:val="00AD1828"/>
    <w:rsid w:val="00AD184F"/>
    <w:rsid w:val="00AD1891"/>
    <w:rsid w:val="00AD1898"/>
    <w:rsid w:val="00AD18B0"/>
    <w:rsid w:val="00AD1901"/>
    <w:rsid w:val="00AD1985"/>
    <w:rsid w:val="00AD1A07"/>
    <w:rsid w:val="00AD1A33"/>
    <w:rsid w:val="00AD1A79"/>
    <w:rsid w:val="00AD1AA0"/>
    <w:rsid w:val="00AD1CA5"/>
    <w:rsid w:val="00AD1DBE"/>
    <w:rsid w:val="00AD1E5E"/>
    <w:rsid w:val="00AD1FE6"/>
    <w:rsid w:val="00AD202D"/>
    <w:rsid w:val="00AD205C"/>
    <w:rsid w:val="00AD20F2"/>
    <w:rsid w:val="00AD2175"/>
    <w:rsid w:val="00AD22B1"/>
    <w:rsid w:val="00AD2338"/>
    <w:rsid w:val="00AD2387"/>
    <w:rsid w:val="00AD23C9"/>
    <w:rsid w:val="00AD24C7"/>
    <w:rsid w:val="00AD258B"/>
    <w:rsid w:val="00AD2719"/>
    <w:rsid w:val="00AD2854"/>
    <w:rsid w:val="00AD2857"/>
    <w:rsid w:val="00AD2913"/>
    <w:rsid w:val="00AD2945"/>
    <w:rsid w:val="00AD2972"/>
    <w:rsid w:val="00AD2A4D"/>
    <w:rsid w:val="00AD2B0F"/>
    <w:rsid w:val="00AD2B9B"/>
    <w:rsid w:val="00AD2C19"/>
    <w:rsid w:val="00AD2D98"/>
    <w:rsid w:val="00AD2DAD"/>
    <w:rsid w:val="00AD2EA9"/>
    <w:rsid w:val="00AD3062"/>
    <w:rsid w:val="00AD3271"/>
    <w:rsid w:val="00AD332F"/>
    <w:rsid w:val="00AD33AF"/>
    <w:rsid w:val="00AD3509"/>
    <w:rsid w:val="00AD37A1"/>
    <w:rsid w:val="00AD38C8"/>
    <w:rsid w:val="00AD3921"/>
    <w:rsid w:val="00AD39AE"/>
    <w:rsid w:val="00AD3A8D"/>
    <w:rsid w:val="00AD3B6D"/>
    <w:rsid w:val="00AD3BA8"/>
    <w:rsid w:val="00AD3C57"/>
    <w:rsid w:val="00AD3C9A"/>
    <w:rsid w:val="00AD3D93"/>
    <w:rsid w:val="00AD3FA7"/>
    <w:rsid w:val="00AD410A"/>
    <w:rsid w:val="00AD41C5"/>
    <w:rsid w:val="00AD42E6"/>
    <w:rsid w:val="00AD4704"/>
    <w:rsid w:val="00AD4810"/>
    <w:rsid w:val="00AD4986"/>
    <w:rsid w:val="00AD4B55"/>
    <w:rsid w:val="00AD4BF6"/>
    <w:rsid w:val="00AD4CC2"/>
    <w:rsid w:val="00AD4DBC"/>
    <w:rsid w:val="00AD4E51"/>
    <w:rsid w:val="00AD4EA4"/>
    <w:rsid w:val="00AD4EC2"/>
    <w:rsid w:val="00AD4F7E"/>
    <w:rsid w:val="00AD4FC2"/>
    <w:rsid w:val="00AD4FF0"/>
    <w:rsid w:val="00AD5039"/>
    <w:rsid w:val="00AD5067"/>
    <w:rsid w:val="00AD513C"/>
    <w:rsid w:val="00AD5163"/>
    <w:rsid w:val="00AD528E"/>
    <w:rsid w:val="00AD52BE"/>
    <w:rsid w:val="00AD5356"/>
    <w:rsid w:val="00AD555E"/>
    <w:rsid w:val="00AD55BC"/>
    <w:rsid w:val="00AD5682"/>
    <w:rsid w:val="00AD57D9"/>
    <w:rsid w:val="00AD5883"/>
    <w:rsid w:val="00AD58B5"/>
    <w:rsid w:val="00AD591D"/>
    <w:rsid w:val="00AD5976"/>
    <w:rsid w:val="00AD597A"/>
    <w:rsid w:val="00AD5A37"/>
    <w:rsid w:val="00AD5B13"/>
    <w:rsid w:val="00AD5C08"/>
    <w:rsid w:val="00AD5D3F"/>
    <w:rsid w:val="00AD5D70"/>
    <w:rsid w:val="00AD5E4A"/>
    <w:rsid w:val="00AD5F00"/>
    <w:rsid w:val="00AD5F41"/>
    <w:rsid w:val="00AD61A3"/>
    <w:rsid w:val="00AD630A"/>
    <w:rsid w:val="00AD6346"/>
    <w:rsid w:val="00AD64BD"/>
    <w:rsid w:val="00AD64C1"/>
    <w:rsid w:val="00AD6524"/>
    <w:rsid w:val="00AD6583"/>
    <w:rsid w:val="00AD65B0"/>
    <w:rsid w:val="00AD6770"/>
    <w:rsid w:val="00AD677F"/>
    <w:rsid w:val="00AD6806"/>
    <w:rsid w:val="00AD69EF"/>
    <w:rsid w:val="00AD6ABA"/>
    <w:rsid w:val="00AD6AC8"/>
    <w:rsid w:val="00AD6B4E"/>
    <w:rsid w:val="00AD6BA2"/>
    <w:rsid w:val="00AD6C40"/>
    <w:rsid w:val="00AD6C84"/>
    <w:rsid w:val="00AD6CF0"/>
    <w:rsid w:val="00AD6D3D"/>
    <w:rsid w:val="00AD7025"/>
    <w:rsid w:val="00AD7071"/>
    <w:rsid w:val="00AD7193"/>
    <w:rsid w:val="00AD7218"/>
    <w:rsid w:val="00AD72BF"/>
    <w:rsid w:val="00AD7318"/>
    <w:rsid w:val="00AD739A"/>
    <w:rsid w:val="00AD742D"/>
    <w:rsid w:val="00AD753C"/>
    <w:rsid w:val="00AD7570"/>
    <w:rsid w:val="00AD763A"/>
    <w:rsid w:val="00AD7679"/>
    <w:rsid w:val="00AD76E2"/>
    <w:rsid w:val="00AD7800"/>
    <w:rsid w:val="00AD784A"/>
    <w:rsid w:val="00AD7905"/>
    <w:rsid w:val="00AD795A"/>
    <w:rsid w:val="00AD79D0"/>
    <w:rsid w:val="00AD7A1C"/>
    <w:rsid w:val="00AD7AA5"/>
    <w:rsid w:val="00AD7C7C"/>
    <w:rsid w:val="00AD7D55"/>
    <w:rsid w:val="00AD7D95"/>
    <w:rsid w:val="00AD7E25"/>
    <w:rsid w:val="00AD7FD4"/>
    <w:rsid w:val="00AE0034"/>
    <w:rsid w:val="00AE01A4"/>
    <w:rsid w:val="00AE0207"/>
    <w:rsid w:val="00AE0224"/>
    <w:rsid w:val="00AE0433"/>
    <w:rsid w:val="00AE048D"/>
    <w:rsid w:val="00AE04ED"/>
    <w:rsid w:val="00AE0523"/>
    <w:rsid w:val="00AE05D5"/>
    <w:rsid w:val="00AE06D1"/>
    <w:rsid w:val="00AE09CF"/>
    <w:rsid w:val="00AE0A42"/>
    <w:rsid w:val="00AE0CFF"/>
    <w:rsid w:val="00AE0D3A"/>
    <w:rsid w:val="00AE0D86"/>
    <w:rsid w:val="00AE0DBA"/>
    <w:rsid w:val="00AE0DC3"/>
    <w:rsid w:val="00AE0ECA"/>
    <w:rsid w:val="00AE0FAB"/>
    <w:rsid w:val="00AE0FC7"/>
    <w:rsid w:val="00AE1008"/>
    <w:rsid w:val="00AE104A"/>
    <w:rsid w:val="00AE10C2"/>
    <w:rsid w:val="00AE1227"/>
    <w:rsid w:val="00AE122E"/>
    <w:rsid w:val="00AE1342"/>
    <w:rsid w:val="00AE13B3"/>
    <w:rsid w:val="00AE13B6"/>
    <w:rsid w:val="00AE15D1"/>
    <w:rsid w:val="00AE15FB"/>
    <w:rsid w:val="00AE165C"/>
    <w:rsid w:val="00AE168F"/>
    <w:rsid w:val="00AE16B3"/>
    <w:rsid w:val="00AE17C6"/>
    <w:rsid w:val="00AE18D4"/>
    <w:rsid w:val="00AE19F2"/>
    <w:rsid w:val="00AE1ABC"/>
    <w:rsid w:val="00AE1B77"/>
    <w:rsid w:val="00AE1BDB"/>
    <w:rsid w:val="00AE1C11"/>
    <w:rsid w:val="00AE1C80"/>
    <w:rsid w:val="00AE1C9D"/>
    <w:rsid w:val="00AE1D57"/>
    <w:rsid w:val="00AE1DAF"/>
    <w:rsid w:val="00AE1DFD"/>
    <w:rsid w:val="00AE1E73"/>
    <w:rsid w:val="00AE1F01"/>
    <w:rsid w:val="00AE1F3E"/>
    <w:rsid w:val="00AE1F57"/>
    <w:rsid w:val="00AE205C"/>
    <w:rsid w:val="00AE20A3"/>
    <w:rsid w:val="00AE21BE"/>
    <w:rsid w:val="00AE2279"/>
    <w:rsid w:val="00AE22BA"/>
    <w:rsid w:val="00AE2367"/>
    <w:rsid w:val="00AE2475"/>
    <w:rsid w:val="00AE248E"/>
    <w:rsid w:val="00AE2720"/>
    <w:rsid w:val="00AE2858"/>
    <w:rsid w:val="00AE29FC"/>
    <w:rsid w:val="00AE2A00"/>
    <w:rsid w:val="00AE2A0F"/>
    <w:rsid w:val="00AE2AEB"/>
    <w:rsid w:val="00AE2B27"/>
    <w:rsid w:val="00AE2B67"/>
    <w:rsid w:val="00AE2BC4"/>
    <w:rsid w:val="00AE2CA0"/>
    <w:rsid w:val="00AE2D32"/>
    <w:rsid w:val="00AE2D3B"/>
    <w:rsid w:val="00AE2DAD"/>
    <w:rsid w:val="00AE2F80"/>
    <w:rsid w:val="00AE2FF2"/>
    <w:rsid w:val="00AE304E"/>
    <w:rsid w:val="00AE31D5"/>
    <w:rsid w:val="00AE3338"/>
    <w:rsid w:val="00AE344F"/>
    <w:rsid w:val="00AE35E3"/>
    <w:rsid w:val="00AE3669"/>
    <w:rsid w:val="00AE36A5"/>
    <w:rsid w:val="00AE37CA"/>
    <w:rsid w:val="00AE3858"/>
    <w:rsid w:val="00AE387A"/>
    <w:rsid w:val="00AE39DA"/>
    <w:rsid w:val="00AE3A03"/>
    <w:rsid w:val="00AE3D2F"/>
    <w:rsid w:val="00AE3D5D"/>
    <w:rsid w:val="00AE3E1D"/>
    <w:rsid w:val="00AE3EEF"/>
    <w:rsid w:val="00AE3F51"/>
    <w:rsid w:val="00AE3F5B"/>
    <w:rsid w:val="00AE3FBB"/>
    <w:rsid w:val="00AE3FED"/>
    <w:rsid w:val="00AE41E5"/>
    <w:rsid w:val="00AE4282"/>
    <w:rsid w:val="00AE42F7"/>
    <w:rsid w:val="00AE43F5"/>
    <w:rsid w:val="00AE4522"/>
    <w:rsid w:val="00AE4552"/>
    <w:rsid w:val="00AE45AF"/>
    <w:rsid w:val="00AE45C7"/>
    <w:rsid w:val="00AE45DD"/>
    <w:rsid w:val="00AE45F0"/>
    <w:rsid w:val="00AE4722"/>
    <w:rsid w:val="00AE476C"/>
    <w:rsid w:val="00AE47AE"/>
    <w:rsid w:val="00AE47C8"/>
    <w:rsid w:val="00AE48B3"/>
    <w:rsid w:val="00AE48F5"/>
    <w:rsid w:val="00AE4920"/>
    <w:rsid w:val="00AE497D"/>
    <w:rsid w:val="00AE49E9"/>
    <w:rsid w:val="00AE4A49"/>
    <w:rsid w:val="00AE4A79"/>
    <w:rsid w:val="00AE4A83"/>
    <w:rsid w:val="00AE4A8A"/>
    <w:rsid w:val="00AE4B29"/>
    <w:rsid w:val="00AE4BD1"/>
    <w:rsid w:val="00AE4CF0"/>
    <w:rsid w:val="00AE4E03"/>
    <w:rsid w:val="00AE50A5"/>
    <w:rsid w:val="00AE5132"/>
    <w:rsid w:val="00AE51F8"/>
    <w:rsid w:val="00AE5270"/>
    <w:rsid w:val="00AE5290"/>
    <w:rsid w:val="00AE546D"/>
    <w:rsid w:val="00AE54A3"/>
    <w:rsid w:val="00AE584D"/>
    <w:rsid w:val="00AE597B"/>
    <w:rsid w:val="00AE5B20"/>
    <w:rsid w:val="00AE5BF4"/>
    <w:rsid w:val="00AE5CB5"/>
    <w:rsid w:val="00AE5D8D"/>
    <w:rsid w:val="00AE5E69"/>
    <w:rsid w:val="00AE615C"/>
    <w:rsid w:val="00AE61A7"/>
    <w:rsid w:val="00AE63DE"/>
    <w:rsid w:val="00AE648F"/>
    <w:rsid w:val="00AE65DA"/>
    <w:rsid w:val="00AE674D"/>
    <w:rsid w:val="00AE6822"/>
    <w:rsid w:val="00AE682B"/>
    <w:rsid w:val="00AE68E8"/>
    <w:rsid w:val="00AE693C"/>
    <w:rsid w:val="00AE69F7"/>
    <w:rsid w:val="00AE6A23"/>
    <w:rsid w:val="00AE6A6D"/>
    <w:rsid w:val="00AE6A6F"/>
    <w:rsid w:val="00AE6C40"/>
    <w:rsid w:val="00AE6C6C"/>
    <w:rsid w:val="00AE6C8D"/>
    <w:rsid w:val="00AE6CD4"/>
    <w:rsid w:val="00AE6D32"/>
    <w:rsid w:val="00AE6DB6"/>
    <w:rsid w:val="00AE6E32"/>
    <w:rsid w:val="00AE6F1F"/>
    <w:rsid w:val="00AE710A"/>
    <w:rsid w:val="00AE712A"/>
    <w:rsid w:val="00AE7219"/>
    <w:rsid w:val="00AE72C9"/>
    <w:rsid w:val="00AE73FB"/>
    <w:rsid w:val="00AE746E"/>
    <w:rsid w:val="00AE747B"/>
    <w:rsid w:val="00AE754F"/>
    <w:rsid w:val="00AE75DD"/>
    <w:rsid w:val="00AE763D"/>
    <w:rsid w:val="00AE7689"/>
    <w:rsid w:val="00AE78C7"/>
    <w:rsid w:val="00AE7AA3"/>
    <w:rsid w:val="00AE7AEE"/>
    <w:rsid w:val="00AE7B2C"/>
    <w:rsid w:val="00AE7B32"/>
    <w:rsid w:val="00AE7DA3"/>
    <w:rsid w:val="00AE7DE7"/>
    <w:rsid w:val="00AE7E47"/>
    <w:rsid w:val="00AE7F78"/>
    <w:rsid w:val="00AF00E1"/>
    <w:rsid w:val="00AF0165"/>
    <w:rsid w:val="00AF016F"/>
    <w:rsid w:val="00AF0202"/>
    <w:rsid w:val="00AF0242"/>
    <w:rsid w:val="00AF0421"/>
    <w:rsid w:val="00AF07DC"/>
    <w:rsid w:val="00AF089A"/>
    <w:rsid w:val="00AF097C"/>
    <w:rsid w:val="00AF0C2D"/>
    <w:rsid w:val="00AF0DBD"/>
    <w:rsid w:val="00AF0DE2"/>
    <w:rsid w:val="00AF0E3E"/>
    <w:rsid w:val="00AF0ECB"/>
    <w:rsid w:val="00AF0FCA"/>
    <w:rsid w:val="00AF1039"/>
    <w:rsid w:val="00AF10A5"/>
    <w:rsid w:val="00AF10F1"/>
    <w:rsid w:val="00AF10F2"/>
    <w:rsid w:val="00AF110D"/>
    <w:rsid w:val="00AF1136"/>
    <w:rsid w:val="00AF115F"/>
    <w:rsid w:val="00AF1163"/>
    <w:rsid w:val="00AF1414"/>
    <w:rsid w:val="00AF1490"/>
    <w:rsid w:val="00AF1591"/>
    <w:rsid w:val="00AF16A3"/>
    <w:rsid w:val="00AF16E4"/>
    <w:rsid w:val="00AF1703"/>
    <w:rsid w:val="00AF1734"/>
    <w:rsid w:val="00AF17BE"/>
    <w:rsid w:val="00AF17DB"/>
    <w:rsid w:val="00AF181C"/>
    <w:rsid w:val="00AF195D"/>
    <w:rsid w:val="00AF19E2"/>
    <w:rsid w:val="00AF19E8"/>
    <w:rsid w:val="00AF1A23"/>
    <w:rsid w:val="00AF1A9F"/>
    <w:rsid w:val="00AF1AFD"/>
    <w:rsid w:val="00AF1B16"/>
    <w:rsid w:val="00AF1C02"/>
    <w:rsid w:val="00AF1C6C"/>
    <w:rsid w:val="00AF1CB2"/>
    <w:rsid w:val="00AF1D28"/>
    <w:rsid w:val="00AF1F4B"/>
    <w:rsid w:val="00AF1FE2"/>
    <w:rsid w:val="00AF1FED"/>
    <w:rsid w:val="00AF206A"/>
    <w:rsid w:val="00AF2146"/>
    <w:rsid w:val="00AF21DB"/>
    <w:rsid w:val="00AF2243"/>
    <w:rsid w:val="00AF224A"/>
    <w:rsid w:val="00AF225A"/>
    <w:rsid w:val="00AF2361"/>
    <w:rsid w:val="00AF23A9"/>
    <w:rsid w:val="00AF249C"/>
    <w:rsid w:val="00AF2530"/>
    <w:rsid w:val="00AF25E8"/>
    <w:rsid w:val="00AF26C8"/>
    <w:rsid w:val="00AF26D2"/>
    <w:rsid w:val="00AF27A6"/>
    <w:rsid w:val="00AF27D6"/>
    <w:rsid w:val="00AF280C"/>
    <w:rsid w:val="00AF2A81"/>
    <w:rsid w:val="00AF2AC0"/>
    <w:rsid w:val="00AF2B63"/>
    <w:rsid w:val="00AF2BA1"/>
    <w:rsid w:val="00AF2BC9"/>
    <w:rsid w:val="00AF2C20"/>
    <w:rsid w:val="00AF2DBB"/>
    <w:rsid w:val="00AF2E9C"/>
    <w:rsid w:val="00AF2F55"/>
    <w:rsid w:val="00AF2FFD"/>
    <w:rsid w:val="00AF300C"/>
    <w:rsid w:val="00AF3071"/>
    <w:rsid w:val="00AF3083"/>
    <w:rsid w:val="00AF30A4"/>
    <w:rsid w:val="00AF3163"/>
    <w:rsid w:val="00AF3232"/>
    <w:rsid w:val="00AF32C9"/>
    <w:rsid w:val="00AF3345"/>
    <w:rsid w:val="00AF335B"/>
    <w:rsid w:val="00AF33A2"/>
    <w:rsid w:val="00AF3550"/>
    <w:rsid w:val="00AF37A6"/>
    <w:rsid w:val="00AF37CA"/>
    <w:rsid w:val="00AF3800"/>
    <w:rsid w:val="00AF38E8"/>
    <w:rsid w:val="00AF3954"/>
    <w:rsid w:val="00AF3A89"/>
    <w:rsid w:val="00AF3BB1"/>
    <w:rsid w:val="00AF3C5F"/>
    <w:rsid w:val="00AF3CC0"/>
    <w:rsid w:val="00AF3D44"/>
    <w:rsid w:val="00AF3EE6"/>
    <w:rsid w:val="00AF3F58"/>
    <w:rsid w:val="00AF4034"/>
    <w:rsid w:val="00AF403B"/>
    <w:rsid w:val="00AF4049"/>
    <w:rsid w:val="00AF4095"/>
    <w:rsid w:val="00AF4117"/>
    <w:rsid w:val="00AF413B"/>
    <w:rsid w:val="00AF420A"/>
    <w:rsid w:val="00AF42A6"/>
    <w:rsid w:val="00AF42E0"/>
    <w:rsid w:val="00AF452B"/>
    <w:rsid w:val="00AF4571"/>
    <w:rsid w:val="00AF464A"/>
    <w:rsid w:val="00AF46D8"/>
    <w:rsid w:val="00AF4772"/>
    <w:rsid w:val="00AF4848"/>
    <w:rsid w:val="00AF4876"/>
    <w:rsid w:val="00AF48F2"/>
    <w:rsid w:val="00AF4917"/>
    <w:rsid w:val="00AF4935"/>
    <w:rsid w:val="00AF49F8"/>
    <w:rsid w:val="00AF4A1F"/>
    <w:rsid w:val="00AF4A49"/>
    <w:rsid w:val="00AF4A5D"/>
    <w:rsid w:val="00AF4ADC"/>
    <w:rsid w:val="00AF4C53"/>
    <w:rsid w:val="00AF4C60"/>
    <w:rsid w:val="00AF4CA7"/>
    <w:rsid w:val="00AF4D02"/>
    <w:rsid w:val="00AF4E79"/>
    <w:rsid w:val="00AF4EAF"/>
    <w:rsid w:val="00AF4EEE"/>
    <w:rsid w:val="00AF4F41"/>
    <w:rsid w:val="00AF4FAF"/>
    <w:rsid w:val="00AF50C8"/>
    <w:rsid w:val="00AF5135"/>
    <w:rsid w:val="00AF513B"/>
    <w:rsid w:val="00AF5295"/>
    <w:rsid w:val="00AF52CD"/>
    <w:rsid w:val="00AF52CE"/>
    <w:rsid w:val="00AF5338"/>
    <w:rsid w:val="00AF53D1"/>
    <w:rsid w:val="00AF5480"/>
    <w:rsid w:val="00AF551D"/>
    <w:rsid w:val="00AF55CA"/>
    <w:rsid w:val="00AF55DC"/>
    <w:rsid w:val="00AF5636"/>
    <w:rsid w:val="00AF5638"/>
    <w:rsid w:val="00AF5719"/>
    <w:rsid w:val="00AF5829"/>
    <w:rsid w:val="00AF59C2"/>
    <w:rsid w:val="00AF5A08"/>
    <w:rsid w:val="00AF5A88"/>
    <w:rsid w:val="00AF5AE8"/>
    <w:rsid w:val="00AF5AF9"/>
    <w:rsid w:val="00AF5BDB"/>
    <w:rsid w:val="00AF5C51"/>
    <w:rsid w:val="00AF5CA2"/>
    <w:rsid w:val="00AF5CC2"/>
    <w:rsid w:val="00AF5E7A"/>
    <w:rsid w:val="00AF5FE9"/>
    <w:rsid w:val="00AF6013"/>
    <w:rsid w:val="00AF6042"/>
    <w:rsid w:val="00AF6120"/>
    <w:rsid w:val="00AF61B6"/>
    <w:rsid w:val="00AF6318"/>
    <w:rsid w:val="00AF65CA"/>
    <w:rsid w:val="00AF65D4"/>
    <w:rsid w:val="00AF6833"/>
    <w:rsid w:val="00AF687D"/>
    <w:rsid w:val="00AF68D7"/>
    <w:rsid w:val="00AF6970"/>
    <w:rsid w:val="00AF6B10"/>
    <w:rsid w:val="00AF6B2B"/>
    <w:rsid w:val="00AF6C67"/>
    <w:rsid w:val="00AF6D5B"/>
    <w:rsid w:val="00AF6DA5"/>
    <w:rsid w:val="00AF6DB0"/>
    <w:rsid w:val="00AF6E26"/>
    <w:rsid w:val="00AF6E72"/>
    <w:rsid w:val="00AF6EB9"/>
    <w:rsid w:val="00AF6FCD"/>
    <w:rsid w:val="00AF6FE2"/>
    <w:rsid w:val="00AF7092"/>
    <w:rsid w:val="00AF717C"/>
    <w:rsid w:val="00AF71C2"/>
    <w:rsid w:val="00AF71C7"/>
    <w:rsid w:val="00AF72F0"/>
    <w:rsid w:val="00AF73E7"/>
    <w:rsid w:val="00AF73ED"/>
    <w:rsid w:val="00AF7596"/>
    <w:rsid w:val="00AF765E"/>
    <w:rsid w:val="00AF76D6"/>
    <w:rsid w:val="00AF7710"/>
    <w:rsid w:val="00AF7749"/>
    <w:rsid w:val="00AF78B8"/>
    <w:rsid w:val="00AF7902"/>
    <w:rsid w:val="00AF7A76"/>
    <w:rsid w:val="00AF7B87"/>
    <w:rsid w:val="00AF7C48"/>
    <w:rsid w:val="00AF7C4A"/>
    <w:rsid w:val="00AF7C65"/>
    <w:rsid w:val="00AF7C99"/>
    <w:rsid w:val="00AF7CF7"/>
    <w:rsid w:val="00B00028"/>
    <w:rsid w:val="00B0011A"/>
    <w:rsid w:val="00B002FE"/>
    <w:rsid w:val="00B003E7"/>
    <w:rsid w:val="00B00462"/>
    <w:rsid w:val="00B004D2"/>
    <w:rsid w:val="00B007AC"/>
    <w:rsid w:val="00B0090C"/>
    <w:rsid w:val="00B0091E"/>
    <w:rsid w:val="00B00A34"/>
    <w:rsid w:val="00B00AA7"/>
    <w:rsid w:val="00B00C88"/>
    <w:rsid w:val="00B00E8D"/>
    <w:rsid w:val="00B00EE0"/>
    <w:rsid w:val="00B00F4A"/>
    <w:rsid w:val="00B0103E"/>
    <w:rsid w:val="00B0116D"/>
    <w:rsid w:val="00B0121C"/>
    <w:rsid w:val="00B01228"/>
    <w:rsid w:val="00B012C0"/>
    <w:rsid w:val="00B012F0"/>
    <w:rsid w:val="00B0133C"/>
    <w:rsid w:val="00B01341"/>
    <w:rsid w:val="00B013A9"/>
    <w:rsid w:val="00B013DE"/>
    <w:rsid w:val="00B014BE"/>
    <w:rsid w:val="00B01569"/>
    <w:rsid w:val="00B0156C"/>
    <w:rsid w:val="00B0157A"/>
    <w:rsid w:val="00B016CB"/>
    <w:rsid w:val="00B017E4"/>
    <w:rsid w:val="00B01800"/>
    <w:rsid w:val="00B0180C"/>
    <w:rsid w:val="00B0180F"/>
    <w:rsid w:val="00B01948"/>
    <w:rsid w:val="00B019A7"/>
    <w:rsid w:val="00B01A20"/>
    <w:rsid w:val="00B01A53"/>
    <w:rsid w:val="00B01AFE"/>
    <w:rsid w:val="00B01B9C"/>
    <w:rsid w:val="00B01BB8"/>
    <w:rsid w:val="00B01D05"/>
    <w:rsid w:val="00B01D6A"/>
    <w:rsid w:val="00B01D9B"/>
    <w:rsid w:val="00B01DF8"/>
    <w:rsid w:val="00B01EE2"/>
    <w:rsid w:val="00B01F4C"/>
    <w:rsid w:val="00B020E4"/>
    <w:rsid w:val="00B02141"/>
    <w:rsid w:val="00B0217A"/>
    <w:rsid w:val="00B021B3"/>
    <w:rsid w:val="00B02223"/>
    <w:rsid w:val="00B0225A"/>
    <w:rsid w:val="00B022BA"/>
    <w:rsid w:val="00B02323"/>
    <w:rsid w:val="00B023DB"/>
    <w:rsid w:val="00B0248E"/>
    <w:rsid w:val="00B0253D"/>
    <w:rsid w:val="00B025B4"/>
    <w:rsid w:val="00B025F9"/>
    <w:rsid w:val="00B0260A"/>
    <w:rsid w:val="00B027C4"/>
    <w:rsid w:val="00B02952"/>
    <w:rsid w:val="00B029D4"/>
    <w:rsid w:val="00B02B03"/>
    <w:rsid w:val="00B02B1F"/>
    <w:rsid w:val="00B02B82"/>
    <w:rsid w:val="00B02D4C"/>
    <w:rsid w:val="00B02D5C"/>
    <w:rsid w:val="00B02DC9"/>
    <w:rsid w:val="00B02E9A"/>
    <w:rsid w:val="00B02F5D"/>
    <w:rsid w:val="00B02F7F"/>
    <w:rsid w:val="00B02F85"/>
    <w:rsid w:val="00B03068"/>
    <w:rsid w:val="00B03091"/>
    <w:rsid w:val="00B030EC"/>
    <w:rsid w:val="00B03209"/>
    <w:rsid w:val="00B032FD"/>
    <w:rsid w:val="00B0330F"/>
    <w:rsid w:val="00B0346F"/>
    <w:rsid w:val="00B0348D"/>
    <w:rsid w:val="00B0350D"/>
    <w:rsid w:val="00B035B8"/>
    <w:rsid w:val="00B035D5"/>
    <w:rsid w:val="00B036A3"/>
    <w:rsid w:val="00B036EC"/>
    <w:rsid w:val="00B03776"/>
    <w:rsid w:val="00B037D6"/>
    <w:rsid w:val="00B0385E"/>
    <w:rsid w:val="00B039CA"/>
    <w:rsid w:val="00B03A34"/>
    <w:rsid w:val="00B03AA4"/>
    <w:rsid w:val="00B03C14"/>
    <w:rsid w:val="00B03CD1"/>
    <w:rsid w:val="00B03E14"/>
    <w:rsid w:val="00B03E75"/>
    <w:rsid w:val="00B03F9F"/>
    <w:rsid w:val="00B040B2"/>
    <w:rsid w:val="00B0410A"/>
    <w:rsid w:val="00B04224"/>
    <w:rsid w:val="00B0424A"/>
    <w:rsid w:val="00B04287"/>
    <w:rsid w:val="00B04341"/>
    <w:rsid w:val="00B04378"/>
    <w:rsid w:val="00B04455"/>
    <w:rsid w:val="00B04477"/>
    <w:rsid w:val="00B044A5"/>
    <w:rsid w:val="00B044BB"/>
    <w:rsid w:val="00B04634"/>
    <w:rsid w:val="00B04724"/>
    <w:rsid w:val="00B047B4"/>
    <w:rsid w:val="00B048BA"/>
    <w:rsid w:val="00B04A21"/>
    <w:rsid w:val="00B04B70"/>
    <w:rsid w:val="00B04C47"/>
    <w:rsid w:val="00B04C7F"/>
    <w:rsid w:val="00B04CD8"/>
    <w:rsid w:val="00B04D04"/>
    <w:rsid w:val="00B04D1C"/>
    <w:rsid w:val="00B04DB5"/>
    <w:rsid w:val="00B04E4D"/>
    <w:rsid w:val="00B04E5B"/>
    <w:rsid w:val="00B04EEB"/>
    <w:rsid w:val="00B04F14"/>
    <w:rsid w:val="00B04F64"/>
    <w:rsid w:val="00B04F78"/>
    <w:rsid w:val="00B04F9D"/>
    <w:rsid w:val="00B0500A"/>
    <w:rsid w:val="00B05255"/>
    <w:rsid w:val="00B052E7"/>
    <w:rsid w:val="00B0537E"/>
    <w:rsid w:val="00B0538A"/>
    <w:rsid w:val="00B05457"/>
    <w:rsid w:val="00B055A1"/>
    <w:rsid w:val="00B055B1"/>
    <w:rsid w:val="00B055CC"/>
    <w:rsid w:val="00B056CB"/>
    <w:rsid w:val="00B05785"/>
    <w:rsid w:val="00B058A0"/>
    <w:rsid w:val="00B059EB"/>
    <w:rsid w:val="00B05A4D"/>
    <w:rsid w:val="00B05BA6"/>
    <w:rsid w:val="00B05C8B"/>
    <w:rsid w:val="00B05D1A"/>
    <w:rsid w:val="00B05D45"/>
    <w:rsid w:val="00B05E3E"/>
    <w:rsid w:val="00B05EB1"/>
    <w:rsid w:val="00B05F5F"/>
    <w:rsid w:val="00B05F83"/>
    <w:rsid w:val="00B062B9"/>
    <w:rsid w:val="00B063BF"/>
    <w:rsid w:val="00B063D3"/>
    <w:rsid w:val="00B064DE"/>
    <w:rsid w:val="00B0651A"/>
    <w:rsid w:val="00B0660D"/>
    <w:rsid w:val="00B06697"/>
    <w:rsid w:val="00B06746"/>
    <w:rsid w:val="00B06751"/>
    <w:rsid w:val="00B06759"/>
    <w:rsid w:val="00B06771"/>
    <w:rsid w:val="00B0679E"/>
    <w:rsid w:val="00B067E7"/>
    <w:rsid w:val="00B0681E"/>
    <w:rsid w:val="00B0687C"/>
    <w:rsid w:val="00B068F8"/>
    <w:rsid w:val="00B06942"/>
    <w:rsid w:val="00B069F6"/>
    <w:rsid w:val="00B069FB"/>
    <w:rsid w:val="00B06A60"/>
    <w:rsid w:val="00B06A9D"/>
    <w:rsid w:val="00B06B67"/>
    <w:rsid w:val="00B06DD9"/>
    <w:rsid w:val="00B06E1C"/>
    <w:rsid w:val="00B06EE4"/>
    <w:rsid w:val="00B06EE7"/>
    <w:rsid w:val="00B06F81"/>
    <w:rsid w:val="00B07003"/>
    <w:rsid w:val="00B070C7"/>
    <w:rsid w:val="00B070F2"/>
    <w:rsid w:val="00B07152"/>
    <w:rsid w:val="00B0733E"/>
    <w:rsid w:val="00B07365"/>
    <w:rsid w:val="00B073A1"/>
    <w:rsid w:val="00B0753A"/>
    <w:rsid w:val="00B07573"/>
    <w:rsid w:val="00B075B6"/>
    <w:rsid w:val="00B077AD"/>
    <w:rsid w:val="00B079F9"/>
    <w:rsid w:val="00B07A20"/>
    <w:rsid w:val="00B07B9B"/>
    <w:rsid w:val="00B07C00"/>
    <w:rsid w:val="00B07CE9"/>
    <w:rsid w:val="00B07DCC"/>
    <w:rsid w:val="00B07DE2"/>
    <w:rsid w:val="00B07E0D"/>
    <w:rsid w:val="00B07E22"/>
    <w:rsid w:val="00B07EF4"/>
    <w:rsid w:val="00B07F0F"/>
    <w:rsid w:val="00B100B5"/>
    <w:rsid w:val="00B100C2"/>
    <w:rsid w:val="00B100FF"/>
    <w:rsid w:val="00B1010D"/>
    <w:rsid w:val="00B1017A"/>
    <w:rsid w:val="00B1017B"/>
    <w:rsid w:val="00B10230"/>
    <w:rsid w:val="00B102D4"/>
    <w:rsid w:val="00B103F9"/>
    <w:rsid w:val="00B1046F"/>
    <w:rsid w:val="00B104A1"/>
    <w:rsid w:val="00B10654"/>
    <w:rsid w:val="00B1067F"/>
    <w:rsid w:val="00B10710"/>
    <w:rsid w:val="00B1073C"/>
    <w:rsid w:val="00B10820"/>
    <w:rsid w:val="00B10956"/>
    <w:rsid w:val="00B1098F"/>
    <w:rsid w:val="00B109B9"/>
    <w:rsid w:val="00B109E7"/>
    <w:rsid w:val="00B10A43"/>
    <w:rsid w:val="00B10B96"/>
    <w:rsid w:val="00B10C3B"/>
    <w:rsid w:val="00B10D56"/>
    <w:rsid w:val="00B10E05"/>
    <w:rsid w:val="00B10E20"/>
    <w:rsid w:val="00B10E61"/>
    <w:rsid w:val="00B10F79"/>
    <w:rsid w:val="00B10F8A"/>
    <w:rsid w:val="00B11274"/>
    <w:rsid w:val="00B112D1"/>
    <w:rsid w:val="00B11301"/>
    <w:rsid w:val="00B11349"/>
    <w:rsid w:val="00B113DA"/>
    <w:rsid w:val="00B114D1"/>
    <w:rsid w:val="00B114E1"/>
    <w:rsid w:val="00B11569"/>
    <w:rsid w:val="00B11694"/>
    <w:rsid w:val="00B116A7"/>
    <w:rsid w:val="00B116FB"/>
    <w:rsid w:val="00B11963"/>
    <w:rsid w:val="00B11A30"/>
    <w:rsid w:val="00B11B20"/>
    <w:rsid w:val="00B11BE6"/>
    <w:rsid w:val="00B11C2C"/>
    <w:rsid w:val="00B11D33"/>
    <w:rsid w:val="00B11D34"/>
    <w:rsid w:val="00B11D58"/>
    <w:rsid w:val="00B11F5E"/>
    <w:rsid w:val="00B120FB"/>
    <w:rsid w:val="00B1213C"/>
    <w:rsid w:val="00B121DD"/>
    <w:rsid w:val="00B122B8"/>
    <w:rsid w:val="00B12427"/>
    <w:rsid w:val="00B12451"/>
    <w:rsid w:val="00B1247F"/>
    <w:rsid w:val="00B12594"/>
    <w:rsid w:val="00B125A1"/>
    <w:rsid w:val="00B12603"/>
    <w:rsid w:val="00B1260E"/>
    <w:rsid w:val="00B12696"/>
    <w:rsid w:val="00B126CB"/>
    <w:rsid w:val="00B127F0"/>
    <w:rsid w:val="00B1281D"/>
    <w:rsid w:val="00B12867"/>
    <w:rsid w:val="00B128C1"/>
    <w:rsid w:val="00B12939"/>
    <w:rsid w:val="00B12A8B"/>
    <w:rsid w:val="00B12C1A"/>
    <w:rsid w:val="00B12C76"/>
    <w:rsid w:val="00B12C91"/>
    <w:rsid w:val="00B12DAB"/>
    <w:rsid w:val="00B12DCF"/>
    <w:rsid w:val="00B12E02"/>
    <w:rsid w:val="00B12EDD"/>
    <w:rsid w:val="00B1303D"/>
    <w:rsid w:val="00B13164"/>
    <w:rsid w:val="00B1327B"/>
    <w:rsid w:val="00B13292"/>
    <w:rsid w:val="00B1331A"/>
    <w:rsid w:val="00B13477"/>
    <w:rsid w:val="00B134E8"/>
    <w:rsid w:val="00B135C7"/>
    <w:rsid w:val="00B1365B"/>
    <w:rsid w:val="00B13666"/>
    <w:rsid w:val="00B1372E"/>
    <w:rsid w:val="00B137FC"/>
    <w:rsid w:val="00B138CE"/>
    <w:rsid w:val="00B13960"/>
    <w:rsid w:val="00B1399B"/>
    <w:rsid w:val="00B139C6"/>
    <w:rsid w:val="00B139CF"/>
    <w:rsid w:val="00B139D6"/>
    <w:rsid w:val="00B13AF0"/>
    <w:rsid w:val="00B13B31"/>
    <w:rsid w:val="00B13B44"/>
    <w:rsid w:val="00B13C08"/>
    <w:rsid w:val="00B13C36"/>
    <w:rsid w:val="00B13CCB"/>
    <w:rsid w:val="00B13E6E"/>
    <w:rsid w:val="00B13E73"/>
    <w:rsid w:val="00B13F0B"/>
    <w:rsid w:val="00B13F43"/>
    <w:rsid w:val="00B140B6"/>
    <w:rsid w:val="00B1414E"/>
    <w:rsid w:val="00B141FC"/>
    <w:rsid w:val="00B14231"/>
    <w:rsid w:val="00B14246"/>
    <w:rsid w:val="00B14471"/>
    <w:rsid w:val="00B14485"/>
    <w:rsid w:val="00B144DD"/>
    <w:rsid w:val="00B145BC"/>
    <w:rsid w:val="00B1471F"/>
    <w:rsid w:val="00B14761"/>
    <w:rsid w:val="00B1482D"/>
    <w:rsid w:val="00B1487F"/>
    <w:rsid w:val="00B148FF"/>
    <w:rsid w:val="00B14941"/>
    <w:rsid w:val="00B14A39"/>
    <w:rsid w:val="00B14B28"/>
    <w:rsid w:val="00B14B7C"/>
    <w:rsid w:val="00B14BA3"/>
    <w:rsid w:val="00B14BFD"/>
    <w:rsid w:val="00B14D31"/>
    <w:rsid w:val="00B14D7A"/>
    <w:rsid w:val="00B14DFE"/>
    <w:rsid w:val="00B14F0C"/>
    <w:rsid w:val="00B151A8"/>
    <w:rsid w:val="00B151BB"/>
    <w:rsid w:val="00B15251"/>
    <w:rsid w:val="00B15340"/>
    <w:rsid w:val="00B15399"/>
    <w:rsid w:val="00B153FF"/>
    <w:rsid w:val="00B15475"/>
    <w:rsid w:val="00B1553B"/>
    <w:rsid w:val="00B1570F"/>
    <w:rsid w:val="00B15802"/>
    <w:rsid w:val="00B15820"/>
    <w:rsid w:val="00B1584E"/>
    <w:rsid w:val="00B15910"/>
    <w:rsid w:val="00B15A77"/>
    <w:rsid w:val="00B15AA7"/>
    <w:rsid w:val="00B15ABE"/>
    <w:rsid w:val="00B15AD1"/>
    <w:rsid w:val="00B15C27"/>
    <w:rsid w:val="00B15D99"/>
    <w:rsid w:val="00B15E0B"/>
    <w:rsid w:val="00B15EE3"/>
    <w:rsid w:val="00B15F7C"/>
    <w:rsid w:val="00B16026"/>
    <w:rsid w:val="00B1603D"/>
    <w:rsid w:val="00B16100"/>
    <w:rsid w:val="00B16120"/>
    <w:rsid w:val="00B161C0"/>
    <w:rsid w:val="00B161F2"/>
    <w:rsid w:val="00B1631A"/>
    <w:rsid w:val="00B16401"/>
    <w:rsid w:val="00B1649D"/>
    <w:rsid w:val="00B1649F"/>
    <w:rsid w:val="00B1651F"/>
    <w:rsid w:val="00B168BF"/>
    <w:rsid w:val="00B16991"/>
    <w:rsid w:val="00B169A1"/>
    <w:rsid w:val="00B16BF4"/>
    <w:rsid w:val="00B16E46"/>
    <w:rsid w:val="00B16EF3"/>
    <w:rsid w:val="00B17192"/>
    <w:rsid w:val="00B1719B"/>
    <w:rsid w:val="00B17215"/>
    <w:rsid w:val="00B172B8"/>
    <w:rsid w:val="00B172D0"/>
    <w:rsid w:val="00B1736F"/>
    <w:rsid w:val="00B17417"/>
    <w:rsid w:val="00B1759C"/>
    <w:rsid w:val="00B175F2"/>
    <w:rsid w:val="00B17616"/>
    <w:rsid w:val="00B176B8"/>
    <w:rsid w:val="00B176C3"/>
    <w:rsid w:val="00B176F8"/>
    <w:rsid w:val="00B17742"/>
    <w:rsid w:val="00B177A7"/>
    <w:rsid w:val="00B1784E"/>
    <w:rsid w:val="00B17B94"/>
    <w:rsid w:val="00B17D68"/>
    <w:rsid w:val="00B17DA6"/>
    <w:rsid w:val="00B17E7E"/>
    <w:rsid w:val="00B17EB6"/>
    <w:rsid w:val="00B2010F"/>
    <w:rsid w:val="00B2024B"/>
    <w:rsid w:val="00B202D3"/>
    <w:rsid w:val="00B203F6"/>
    <w:rsid w:val="00B204BE"/>
    <w:rsid w:val="00B205C2"/>
    <w:rsid w:val="00B2060F"/>
    <w:rsid w:val="00B20647"/>
    <w:rsid w:val="00B2065B"/>
    <w:rsid w:val="00B206A9"/>
    <w:rsid w:val="00B206C3"/>
    <w:rsid w:val="00B206FA"/>
    <w:rsid w:val="00B20707"/>
    <w:rsid w:val="00B20714"/>
    <w:rsid w:val="00B207CF"/>
    <w:rsid w:val="00B20828"/>
    <w:rsid w:val="00B20841"/>
    <w:rsid w:val="00B20862"/>
    <w:rsid w:val="00B208D3"/>
    <w:rsid w:val="00B20A1D"/>
    <w:rsid w:val="00B20A42"/>
    <w:rsid w:val="00B20B7D"/>
    <w:rsid w:val="00B20C39"/>
    <w:rsid w:val="00B20CE5"/>
    <w:rsid w:val="00B20E03"/>
    <w:rsid w:val="00B20E0F"/>
    <w:rsid w:val="00B20EE2"/>
    <w:rsid w:val="00B21009"/>
    <w:rsid w:val="00B21011"/>
    <w:rsid w:val="00B210D6"/>
    <w:rsid w:val="00B212E4"/>
    <w:rsid w:val="00B21449"/>
    <w:rsid w:val="00B2155F"/>
    <w:rsid w:val="00B216BC"/>
    <w:rsid w:val="00B216F2"/>
    <w:rsid w:val="00B21788"/>
    <w:rsid w:val="00B2188F"/>
    <w:rsid w:val="00B21944"/>
    <w:rsid w:val="00B21AA9"/>
    <w:rsid w:val="00B21AFC"/>
    <w:rsid w:val="00B21BF6"/>
    <w:rsid w:val="00B21C86"/>
    <w:rsid w:val="00B21DA2"/>
    <w:rsid w:val="00B21DD4"/>
    <w:rsid w:val="00B21DD7"/>
    <w:rsid w:val="00B21E08"/>
    <w:rsid w:val="00B21E44"/>
    <w:rsid w:val="00B21ECA"/>
    <w:rsid w:val="00B21ED0"/>
    <w:rsid w:val="00B21FEA"/>
    <w:rsid w:val="00B220AE"/>
    <w:rsid w:val="00B220C9"/>
    <w:rsid w:val="00B22134"/>
    <w:rsid w:val="00B22157"/>
    <w:rsid w:val="00B222C7"/>
    <w:rsid w:val="00B223BF"/>
    <w:rsid w:val="00B223FE"/>
    <w:rsid w:val="00B2244E"/>
    <w:rsid w:val="00B224B0"/>
    <w:rsid w:val="00B2257A"/>
    <w:rsid w:val="00B225E5"/>
    <w:rsid w:val="00B2266E"/>
    <w:rsid w:val="00B2270A"/>
    <w:rsid w:val="00B22798"/>
    <w:rsid w:val="00B227AE"/>
    <w:rsid w:val="00B22A1E"/>
    <w:rsid w:val="00B22AF8"/>
    <w:rsid w:val="00B22B8F"/>
    <w:rsid w:val="00B22CF2"/>
    <w:rsid w:val="00B22E84"/>
    <w:rsid w:val="00B22F0A"/>
    <w:rsid w:val="00B230D2"/>
    <w:rsid w:val="00B23164"/>
    <w:rsid w:val="00B23216"/>
    <w:rsid w:val="00B2327A"/>
    <w:rsid w:val="00B23307"/>
    <w:rsid w:val="00B23377"/>
    <w:rsid w:val="00B234D3"/>
    <w:rsid w:val="00B234FC"/>
    <w:rsid w:val="00B23521"/>
    <w:rsid w:val="00B235F2"/>
    <w:rsid w:val="00B236F8"/>
    <w:rsid w:val="00B238E7"/>
    <w:rsid w:val="00B239EC"/>
    <w:rsid w:val="00B239FB"/>
    <w:rsid w:val="00B23A6C"/>
    <w:rsid w:val="00B23B0A"/>
    <w:rsid w:val="00B23C0E"/>
    <w:rsid w:val="00B23CB3"/>
    <w:rsid w:val="00B23E17"/>
    <w:rsid w:val="00B23E5D"/>
    <w:rsid w:val="00B2407C"/>
    <w:rsid w:val="00B240CC"/>
    <w:rsid w:val="00B240D0"/>
    <w:rsid w:val="00B24337"/>
    <w:rsid w:val="00B2438A"/>
    <w:rsid w:val="00B2441F"/>
    <w:rsid w:val="00B24457"/>
    <w:rsid w:val="00B244DD"/>
    <w:rsid w:val="00B2456F"/>
    <w:rsid w:val="00B24674"/>
    <w:rsid w:val="00B24782"/>
    <w:rsid w:val="00B2488F"/>
    <w:rsid w:val="00B24901"/>
    <w:rsid w:val="00B24AF9"/>
    <w:rsid w:val="00B24B5F"/>
    <w:rsid w:val="00B24BC0"/>
    <w:rsid w:val="00B24C01"/>
    <w:rsid w:val="00B24D19"/>
    <w:rsid w:val="00B24D84"/>
    <w:rsid w:val="00B24EB8"/>
    <w:rsid w:val="00B24ED6"/>
    <w:rsid w:val="00B24F08"/>
    <w:rsid w:val="00B24F53"/>
    <w:rsid w:val="00B25214"/>
    <w:rsid w:val="00B2523D"/>
    <w:rsid w:val="00B25387"/>
    <w:rsid w:val="00B253A1"/>
    <w:rsid w:val="00B253EE"/>
    <w:rsid w:val="00B2541E"/>
    <w:rsid w:val="00B254A3"/>
    <w:rsid w:val="00B25521"/>
    <w:rsid w:val="00B255C5"/>
    <w:rsid w:val="00B2563E"/>
    <w:rsid w:val="00B2570E"/>
    <w:rsid w:val="00B25734"/>
    <w:rsid w:val="00B25812"/>
    <w:rsid w:val="00B25851"/>
    <w:rsid w:val="00B2585D"/>
    <w:rsid w:val="00B258FE"/>
    <w:rsid w:val="00B2591E"/>
    <w:rsid w:val="00B25BDF"/>
    <w:rsid w:val="00B25C43"/>
    <w:rsid w:val="00B25D02"/>
    <w:rsid w:val="00B25D5B"/>
    <w:rsid w:val="00B25DA4"/>
    <w:rsid w:val="00B25DDE"/>
    <w:rsid w:val="00B25E80"/>
    <w:rsid w:val="00B25EF1"/>
    <w:rsid w:val="00B25F2B"/>
    <w:rsid w:val="00B25F2C"/>
    <w:rsid w:val="00B260E9"/>
    <w:rsid w:val="00B26167"/>
    <w:rsid w:val="00B262AB"/>
    <w:rsid w:val="00B262E1"/>
    <w:rsid w:val="00B264A6"/>
    <w:rsid w:val="00B26562"/>
    <w:rsid w:val="00B265BC"/>
    <w:rsid w:val="00B2671B"/>
    <w:rsid w:val="00B2673A"/>
    <w:rsid w:val="00B267AC"/>
    <w:rsid w:val="00B26819"/>
    <w:rsid w:val="00B269D4"/>
    <w:rsid w:val="00B26CF7"/>
    <w:rsid w:val="00B26F7D"/>
    <w:rsid w:val="00B27019"/>
    <w:rsid w:val="00B274DA"/>
    <w:rsid w:val="00B275B1"/>
    <w:rsid w:val="00B276D6"/>
    <w:rsid w:val="00B277F8"/>
    <w:rsid w:val="00B277FD"/>
    <w:rsid w:val="00B2785E"/>
    <w:rsid w:val="00B27973"/>
    <w:rsid w:val="00B2798D"/>
    <w:rsid w:val="00B27B58"/>
    <w:rsid w:val="00B27B72"/>
    <w:rsid w:val="00B27EB8"/>
    <w:rsid w:val="00B27EB9"/>
    <w:rsid w:val="00B27FB5"/>
    <w:rsid w:val="00B27FCB"/>
    <w:rsid w:val="00B300EF"/>
    <w:rsid w:val="00B301A9"/>
    <w:rsid w:val="00B301E1"/>
    <w:rsid w:val="00B3028E"/>
    <w:rsid w:val="00B302C9"/>
    <w:rsid w:val="00B30386"/>
    <w:rsid w:val="00B30446"/>
    <w:rsid w:val="00B30488"/>
    <w:rsid w:val="00B305C4"/>
    <w:rsid w:val="00B306F1"/>
    <w:rsid w:val="00B306F4"/>
    <w:rsid w:val="00B307EE"/>
    <w:rsid w:val="00B307FC"/>
    <w:rsid w:val="00B30957"/>
    <w:rsid w:val="00B30A96"/>
    <w:rsid w:val="00B30A9A"/>
    <w:rsid w:val="00B30AE0"/>
    <w:rsid w:val="00B30C1C"/>
    <w:rsid w:val="00B30C3D"/>
    <w:rsid w:val="00B30CFA"/>
    <w:rsid w:val="00B30D0A"/>
    <w:rsid w:val="00B30D40"/>
    <w:rsid w:val="00B30D73"/>
    <w:rsid w:val="00B30DDA"/>
    <w:rsid w:val="00B30E34"/>
    <w:rsid w:val="00B30EB5"/>
    <w:rsid w:val="00B30FCA"/>
    <w:rsid w:val="00B30FEE"/>
    <w:rsid w:val="00B31048"/>
    <w:rsid w:val="00B3119E"/>
    <w:rsid w:val="00B3121A"/>
    <w:rsid w:val="00B312A7"/>
    <w:rsid w:val="00B31354"/>
    <w:rsid w:val="00B31365"/>
    <w:rsid w:val="00B31458"/>
    <w:rsid w:val="00B31482"/>
    <w:rsid w:val="00B31509"/>
    <w:rsid w:val="00B31576"/>
    <w:rsid w:val="00B3164A"/>
    <w:rsid w:val="00B316BC"/>
    <w:rsid w:val="00B3173F"/>
    <w:rsid w:val="00B31759"/>
    <w:rsid w:val="00B3181A"/>
    <w:rsid w:val="00B3184F"/>
    <w:rsid w:val="00B31A0C"/>
    <w:rsid w:val="00B31C64"/>
    <w:rsid w:val="00B31CB2"/>
    <w:rsid w:val="00B31CD5"/>
    <w:rsid w:val="00B31D08"/>
    <w:rsid w:val="00B31DB5"/>
    <w:rsid w:val="00B31EB7"/>
    <w:rsid w:val="00B32060"/>
    <w:rsid w:val="00B32090"/>
    <w:rsid w:val="00B320FE"/>
    <w:rsid w:val="00B3231C"/>
    <w:rsid w:val="00B3244B"/>
    <w:rsid w:val="00B32470"/>
    <w:rsid w:val="00B325C7"/>
    <w:rsid w:val="00B32650"/>
    <w:rsid w:val="00B32860"/>
    <w:rsid w:val="00B328DA"/>
    <w:rsid w:val="00B329D8"/>
    <w:rsid w:val="00B32AB8"/>
    <w:rsid w:val="00B32AD9"/>
    <w:rsid w:val="00B32B1D"/>
    <w:rsid w:val="00B32B42"/>
    <w:rsid w:val="00B32B98"/>
    <w:rsid w:val="00B32C48"/>
    <w:rsid w:val="00B32D01"/>
    <w:rsid w:val="00B32DFA"/>
    <w:rsid w:val="00B32E26"/>
    <w:rsid w:val="00B32E37"/>
    <w:rsid w:val="00B32F19"/>
    <w:rsid w:val="00B32F74"/>
    <w:rsid w:val="00B330C9"/>
    <w:rsid w:val="00B33124"/>
    <w:rsid w:val="00B33156"/>
    <w:rsid w:val="00B33272"/>
    <w:rsid w:val="00B3346B"/>
    <w:rsid w:val="00B3349F"/>
    <w:rsid w:val="00B334D7"/>
    <w:rsid w:val="00B3351C"/>
    <w:rsid w:val="00B33588"/>
    <w:rsid w:val="00B3361B"/>
    <w:rsid w:val="00B336A6"/>
    <w:rsid w:val="00B336C6"/>
    <w:rsid w:val="00B33712"/>
    <w:rsid w:val="00B33791"/>
    <w:rsid w:val="00B3389E"/>
    <w:rsid w:val="00B338D0"/>
    <w:rsid w:val="00B338F0"/>
    <w:rsid w:val="00B33940"/>
    <w:rsid w:val="00B33A7A"/>
    <w:rsid w:val="00B33C08"/>
    <w:rsid w:val="00B33C7D"/>
    <w:rsid w:val="00B33CA2"/>
    <w:rsid w:val="00B33CB7"/>
    <w:rsid w:val="00B33E2D"/>
    <w:rsid w:val="00B33E88"/>
    <w:rsid w:val="00B33ED6"/>
    <w:rsid w:val="00B33EFB"/>
    <w:rsid w:val="00B3400E"/>
    <w:rsid w:val="00B34020"/>
    <w:rsid w:val="00B34194"/>
    <w:rsid w:val="00B3424B"/>
    <w:rsid w:val="00B34277"/>
    <w:rsid w:val="00B3435B"/>
    <w:rsid w:val="00B3439D"/>
    <w:rsid w:val="00B343A8"/>
    <w:rsid w:val="00B34409"/>
    <w:rsid w:val="00B344D8"/>
    <w:rsid w:val="00B34516"/>
    <w:rsid w:val="00B34517"/>
    <w:rsid w:val="00B34568"/>
    <w:rsid w:val="00B34571"/>
    <w:rsid w:val="00B345A2"/>
    <w:rsid w:val="00B346C2"/>
    <w:rsid w:val="00B34700"/>
    <w:rsid w:val="00B34722"/>
    <w:rsid w:val="00B3473E"/>
    <w:rsid w:val="00B348B7"/>
    <w:rsid w:val="00B349AC"/>
    <w:rsid w:val="00B34A29"/>
    <w:rsid w:val="00B34A7D"/>
    <w:rsid w:val="00B34B95"/>
    <w:rsid w:val="00B34C4C"/>
    <w:rsid w:val="00B34D57"/>
    <w:rsid w:val="00B34E12"/>
    <w:rsid w:val="00B35101"/>
    <w:rsid w:val="00B35105"/>
    <w:rsid w:val="00B35223"/>
    <w:rsid w:val="00B352C8"/>
    <w:rsid w:val="00B352F6"/>
    <w:rsid w:val="00B352FA"/>
    <w:rsid w:val="00B3536D"/>
    <w:rsid w:val="00B3541C"/>
    <w:rsid w:val="00B354F2"/>
    <w:rsid w:val="00B35510"/>
    <w:rsid w:val="00B35619"/>
    <w:rsid w:val="00B3568C"/>
    <w:rsid w:val="00B356E5"/>
    <w:rsid w:val="00B356E6"/>
    <w:rsid w:val="00B356F1"/>
    <w:rsid w:val="00B3575B"/>
    <w:rsid w:val="00B35910"/>
    <w:rsid w:val="00B35A0E"/>
    <w:rsid w:val="00B35A29"/>
    <w:rsid w:val="00B35A86"/>
    <w:rsid w:val="00B35AA5"/>
    <w:rsid w:val="00B35AB6"/>
    <w:rsid w:val="00B35B0C"/>
    <w:rsid w:val="00B35B36"/>
    <w:rsid w:val="00B35BD2"/>
    <w:rsid w:val="00B35D7E"/>
    <w:rsid w:val="00B35E1C"/>
    <w:rsid w:val="00B35EB1"/>
    <w:rsid w:val="00B35F04"/>
    <w:rsid w:val="00B35F31"/>
    <w:rsid w:val="00B35FF5"/>
    <w:rsid w:val="00B36063"/>
    <w:rsid w:val="00B36211"/>
    <w:rsid w:val="00B36241"/>
    <w:rsid w:val="00B36401"/>
    <w:rsid w:val="00B36417"/>
    <w:rsid w:val="00B364D5"/>
    <w:rsid w:val="00B36525"/>
    <w:rsid w:val="00B366DF"/>
    <w:rsid w:val="00B367B0"/>
    <w:rsid w:val="00B36827"/>
    <w:rsid w:val="00B369D2"/>
    <w:rsid w:val="00B36A27"/>
    <w:rsid w:val="00B36A2A"/>
    <w:rsid w:val="00B36A46"/>
    <w:rsid w:val="00B36ACD"/>
    <w:rsid w:val="00B36B5C"/>
    <w:rsid w:val="00B36BE6"/>
    <w:rsid w:val="00B36C50"/>
    <w:rsid w:val="00B36D31"/>
    <w:rsid w:val="00B36DA6"/>
    <w:rsid w:val="00B36DC1"/>
    <w:rsid w:val="00B36DCA"/>
    <w:rsid w:val="00B36DDC"/>
    <w:rsid w:val="00B36FAD"/>
    <w:rsid w:val="00B37019"/>
    <w:rsid w:val="00B37135"/>
    <w:rsid w:val="00B371D0"/>
    <w:rsid w:val="00B371EC"/>
    <w:rsid w:val="00B372B1"/>
    <w:rsid w:val="00B372E9"/>
    <w:rsid w:val="00B37300"/>
    <w:rsid w:val="00B3735F"/>
    <w:rsid w:val="00B37370"/>
    <w:rsid w:val="00B373F5"/>
    <w:rsid w:val="00B37458"/>
    <w:rsid w:val="00B37499"/>
    <w:rsid w:val="00B374EF"/>
    <w:rsid w:val="00B3751D"/>
    <w:rsid w:val="00B3755B"/>
    <w:rsid w:val="00B375DC"/>
    <w:rsid w:val="00B37682"/>
    <w:rsid w:val="00B376BD"/>
    <w:rsid w:val="00B37837"/>
    <w:rsid w:val="00B3785E"/>
    <w:rsid w:val="00B37868"/>
    <w:rsid w:val="00B37914"/>
    <w:rsid w:val="00B37A83"/>
    <w:rsid w:val="00B37AA1"/>
    <w:rsid w:val="00B37AB6"/>
    <w:rsid w:val="00B37C19"/>
    <w:rsid w:val="00B37C41"/>
    <w:rsid w:val="00B37C46"/>
    <w:rsid w:val="00B37CC5"/>
    <w:rsid w:val="00B37D60"/>
    <w:rsid w:val="00B37D8B"/>
    <w:rsid w:val="00B37EC5"/>
    <w:rsid w:val="00B37F64"/>
    <w:rsid w:val="00B400B6"/>
    <w:rsid w:val="00B401BF"/>
    <w:rsid w:val="00B40353"/>
    <w:rsid w:val="00B40362"/>
    <w:rsid w:val="00B40519"/>
    <w:rsid w:val="00B4052D"/>
    <w:rsid w:val="00B405F3"/>
    <w:rsid w:val="00B40629"/>
    <w:rsid w:val="00B4064F"/>
    <w:rsid w:val="00B4066A"/>
    <w:rsid w:val="00B4066F"/>
    <w:rsid w:val="00B4070C"/>
    <w:rsid w:val="00B40827"/>
    <w:rsid w:val="00B40880"/>
    <w:rsid w:val="00B4098E"/>
    <w:rsid w:val="00B409D7"/>
    <w:rsid w:val="00B40C1F"/>
    <w:rsid w:val="00B40C44"/>
    <w:rsid w:val="00B40CFA"/>
    <w:rsid w:val="00B40D1A"/>
    <w:rsid w:val="00B41247"/>
    <w:rsid w:val="00B4129E"/>
    <w:rsid w:val="00B413B5"/>
    <w:rsid w:val="00B41573"/>
    <w:rsid w:val="00B415A0"/>
    <w:rsid w:val="00B41666"/>
    <w:rsid w:val="00B4166F"/>
    <w:rsid w:val="00B41837"/>
    <w:rsid w:val="00B418E2"/>
    <w:rsid w:val="00B41A1D"/>
    <w:rsid w:val="00B41AA2"/>
    <w:rsid w:val="00B41AAE"/>
    <w:rsid w:val="00B41B3C"/>
    <w:rsid w:val="00B41BFC"/>
    <w:rsid w:val="00B41E08"/>
    <w:rsid w:val="00B41EDD"/>
    <w:rsid w:val="00B42015"/>
    <w:rsid w:val="00B4202F"/>
    <w:rsid w:val="00B4210E"/>
    <w:rsid w:val="00B4217E"/>
    <w:rsid w:val="00B4220A"/>
    <w:rsid w:val="00B4233D"/>
    <w:rsid w:val="00B4233E"/>
    <w:rsid w:val="00B423FF"/>
    <w:rsid w:val="00B4246B"/>
    <w:rsid w:val="00B42488"/>
    <w:rsid w:val="00B4249A"/>
    <w:rsid w:val="00B424CC"/>
    <w:rsid w:val="00B42535"/>
    <w:rsid w:val="00B42559"/>
    <w:rsid w:val="00B4263C"/>
    <w:rsid w:val="00B4263F"/>
    <w:rsid w:val="00B42775"/>
    <w:rsid w:val="00B427D4"/>
    <w:rsid w:val="00B42980"/>
    <w:rsid w:val="00B429E2"/>
    <w:rsid w:val="00B42A4A"/>
    <w:rsid w:val="00B42E9B"/>
    <w:rsid w:val="00B42ED5"/>
    <w:rsid w:val="00B42F8D"/>
    <w:rsid w:val="00B430C7"/>
    <w:rsid w:val="00B43146"/>
    <w:rsid w:val="00B434C0"/>
    <w:rsid w:val="00B43534"/>
    <w:rsid w:val="00B435BF"/>
    <w:rsid w:val="00B43675"/>
    <w:rsid w:val="00B43725"/>
    <w:rsid w:val="00B43760"/>
    <w:rsid w:val="00B43766"/>
    <w:rsid w:val="00B4388F"/>
    <w:rsid w:val="00B43963"/>
    <w:rsid w:val="00B43B41"/>
    <w:rsid w:val="00B43D8C"/>
    <w:rsid w:val="00B43E8E"/>
    <w:rsid w:val="00B44058"/>
    <w:rsid w:val="00B4405A"/>
    <w:rsid w:val="00B440AB"/>
    <w:rsid w:val="00B44108"/>
    <w:rsid w:val="00B44109"/>
    <w:rsid w:val="00B44177"/>
    <w:rsid w:val="00B44237"/>
    <w:rsid w:val="00B44436"/>
    <w:rsid w:val="00B4445D"/>
    <w:rsid w:val="00B44517"/>
    <w:rsid w:val="00B4463E"/>
    <w:rsid w:val="00B44803"/>
    <w:rsid w:val="00B44972"/>
    <w:rsid w:val="00B4499C"/>
    <w:rsid w:val="00B44A62"/>
    <w:rsid w:val="00B44A71"/>
    <w:rsid w:val="00B44C7F"/>
    <w:rsid w:val="00B44D09"/>
    <w:rsid w:val="00B44E06"/>
    <w:rsid w:val="00B44E7E"/>
    <w:rsid w:val="00B450E5"/>
    <w:rsid w:val="00B4518B"/>
    <w:rsid w:val="00B45192"/>
    <w:rsid w:val="00B45246"/>
    <w:rsid w:val="00B452AF"/>
    <w:rsid w:val="00B452DA"/>
    <w:rsid w:val="00B45461"/>
    <w:rsid w:val="00B455E1"/>
    <w:rsid w:val="00B4570D"/>
    <w:rsid w:val="00B45726"/>
    <w:rsid w:val="00B45770"/>
    <w:rsid w:val="00B4578A"/>
    <w:rsid w:val="00B45806"/>
    <w:rsid w:val="00B458E7"/>
    <w:rsid w:val="00B45AEE"/>
    <w:rsid w:val="00B45D12"/>
    <w:rsid w:val="00B45DE6"/>
    <w:rsid w:val="00B45F5E"/>
    <w:rsid w:val="00B45FB1"/>
    <w:rsid w:val="00B45FB5"/>
    <w:rsid w:val="00B45FC3"/>
    <w:rsid w:val="00B46178"/>
    <w:rsid w:val="00B4617A"/>
    <w:rsid w:val="00B461AB"/>
    <w:rsid w:val="00B461F6"/>
    <w:rsid w:val="00B462FD"/>
    <w:rsid w:val="00B46447"/>
    <w:rsid w:val="00B464C3"/>
    <w:rsid w:val="00B46526"/>
    <w:rsid w:val="00B4658C"/>
    <w:rsid w:val="00B465C6"/>
    <w:rsid w:val="00B46904"/>
    <w:rsid w:val="00B46969"/>
    <w:rsid w:val="00B46D35"/>
    <w:rsid w:val="00B46D76"/>
    <w:rsid w:val="00B46DE3"/>
    <w:rsid w:val="00B46E84"/>
    <w:rsid w:val="00B46FC9"/>
    <w:rsid w:val="00B47066"/>
    <w:rsid w:val="00B47119"/>
    <w:rsid w:val="00B4716D"/>
    <w:rsid w:val="00B471C5"/>
    <w:rsid w:val="00B4727B"/>
    <w:rsid w:val="00B47289"/>
    <w:rsid w:val="00B47320"/>
    <w:rsid w:val="00B47613"/>
    <w:rsid w:val="00B476CC"/>
    <w:rsid w:val="00B4778D"/>
    <w:rsid w:val="00B477C4"/>
    <w:rsid w:val="00B477D4"/>
    <w:rsid w:val="00B4793E"/>
    <w:rsid w:val="00B479CB"/>
    <w:rsid w:val="00B479EA"/>
    <w:rsid w:val="00B47A1D"/>
    <w:rsid w:val="00B47AE5"/>
    <w:rsid w:val="00B47B9D"/>
    <w:rsid w:val="00B47C10"/>
    <w:rsid w:val="00B47C17"/>
    <w:rsid w:val="00B47D46"/>
    <w:rsid w:val="00B47E40"/>
    <w:rsid w:val="00B47F0E"/>
    <w:rsid w:val="00B47F75"/>
    <w:rsid w:val="00B47F84"/>
    <w:rsid w:val="00B500B6"/>
    <w:rsid w:val="00B5010A"/>
    <w:rsid w:val="00B5020C"/>
    <w:rsid w:val="00B5054C"/>
    <w:rsid w:val="00B505FE"/>
    <w:rsid w:val="00B50623"/>
    <w:rsid w:val="00B506C7"/>
    <w:rsid w:val="00B507AF"/>
    <w:rsid w:val="00B50840"/>
    <w:rsid w:val="00B508E4"/>
    <w:rsid w:val="00B5099D"/>
    <w:rsid w:val="00B50A2D"/>
    <w:rsid w:val="00B50A49"/>
    <w:rsid w:val="00B50A7A"/>
    <w:rsid w:val="00B50ABA"/>
    <w:rsid w:val="00B50B22"/>
    <w:rsid w:val="00B50C89"/>
    <w:rsid w:val="00B50E58"/>
    <w:rsid w:val="00B50EE0"/>
    <w:rsid w:val="00B50F44"/>
    <w:rsid w:val="00B50F90"/>
    <w:rsid w:val="00B5107A"/>
    <w:rsid w:val="00B5108D"/>
    <w:rsid w:val="00B5112D"/>
    <w:rsid w:val="00B511C8"/>
    <w:rsid w:val="00B5129F"/>
    <w:rsid w:val="00B5146D"/>
    <w:rsid w:val="00B51471"/>
    <w:rsid w:val="00B51604"/>
    <w:rsid w:val="00B51607"/>
    <w:rsid w:val="00B5179E"/>
    <w:rsid w:val="00B51942"/>
    <w:rsid w:val="00B51995"/>
    <w:rsid w:val="00B51A1F"/>
    <w:rsid w:val="00B51A5C"/>
    <w:rsid w:val="00B51B18"/>
    <w:rsid w:val="00B51C66"/>
    <w:rsid w:val="00B51CEA"/>
    <w:rsid w:val="00B51CFA"/>
    <w:rsid w:val="00B51D21"/>
    <w:rsid w:val="00B51E8F"/>
    <w:rsid w:val="00B52000"/>
    <w:rsid w:val="00B52230"/>
    <w:rsid w:val="00B5241D"/>
    <w:rsid w:val="00B52689"/>
    <w:rsid w:val="00B526AF"/>
    <w:rsid w:val="00B527AE"/>
    <w:rsid w:val="00B527D5"/>
    <w:rsid w:val="00B5296C"/>
    <w:rsid w:val="00B52AF0"/>
    <w:rsid w:val="00B52AFF"/>
    <w:rsid w:val="00B52C55"/>
    <w:rsid w:val="00B52D4E"/>
    <w:rsid w:val="00B52D79"/>
    <w:rsid w:val="00B52DE9"/>
    <w:rsid w:val="00B52E28"/>
    <w:rsid w:val="00B52E89"/>
    <w:rsid w:val="00B53044"/>
    <w:rsid w:val="00B530E5"/>
    <w:rsid w:val="00B5313C"/>
    <w:rsid w:val="00B53248"/>
    <w:rsid w:val="00B53336"/>
    <w:rsid w:val="00B53395"/>
    <w:rsid w:val="00B533AA"/>
    <w:rsid w:val="00B53445"/>
    <w:rsid w:val="00B534F7"/>
    <w:rsid w:val="00B5371B"/>
    <w:rsid w:val="00B537E6"/>
    <w:rsid w:val="00B537F1"/>
    <w:rsid w:val="00B5382F"/>
    <w:rsid w:val="00B53A9E"/>
    <w:rsid w:val="00B53C0C"/>
    <w:rsid w:val="00B53C39"/>
    <w:rsid w:val="00B53CA0"/>
    <w:rsid w:val="00B53CB0"/>
    <w:rsid w:val="00B53D9F"/>
    <w:rsid w:val="00B53DE1"/>
    <w:rsid w:val="00B53FCD"/>
    <w:rsid w:val="00B54023"/>
    <w:rsid w:val="00B54049"/>
    <w:rsid w:val="00B540C2"/>
    <w:rsid w:val="00B540F7"/>
    <w:rsid w:val="00B541CF"/>
    <w:rsid w:val="00B54265"/>
    <w:rsid w:val="00B542EB"/>
    <w:rsid w:val="00B54474"/>
    <w:rsid w:val="00B544A1"/>
    <w:rsid w:val="00B544A5"/>
    <w:rsid w:val="00B5467A"/>
    <w:rsid w:val="00B5479F"/>
    <w:rsid w:val="00B547BB"/>
    <w:rsid w:val="00B547DD"/>
    <w:rsid w:val="00B54856"/>
    <w:rsid w:val="00B5498A"/>
    <w:rsid w:val="00B54A6A"/>
    <w:rsid w:val="00B54B71"/>
    <w:rsid w:val="00B54C6B"/>
    <w:rsid w:val="00B54C7D"/>
    <w:rsid w:val="00B54D38"/>
    <w:rsid w:val="00B54D46"/>
    <w:rsid w:val="00B54E49"/>
    <w:rsid w:val="00B54ECF"/>
    <w:rsid w:val="00B54FF0"/>
    <w:rsid w:val="00B55086"/>
    <w:rsid w:val="00B550D9"/>
    <w:rsid w:val="00B55173"/>
    <w:rsid w:val="00B5518F"/>
    <w:rsid w:val="00B55467"/>
    <w:rsid w:val="00B554B0"/>
    <w:rsid w:val="00B554C2"/>
    <w:rsid w:val="00B55595"/>
    <w:rsid w:val="00B5576B"/>
    <w:rsid w:val="00B557A6"/>
    <w:rsid w:val="00B557AE"/>
    <w:rsid w:val="00B5587F"/>
    <w:rsid w:val="00B55895"/>
    <w:rsid w:val="00B558D0"/>
    <w:rsid w:val="00B559AD"/>
    <w:rsid w:val="00B559BD"/>
    <w:rsid w:val="00B55A44"/>
    <w:rsid w:val="00B55B67"/>
    <w:rsid w:val="00B55C4D"/>
    <w:rsid w:val="00B55C7D"/>
    <w:rsid w:val="00B55CA0"/>
    <w:rsid w:val="00B55D76"/>
    <w:rsid w:val="00B55DE0"/>
    <w:rsid w:val="00B55EC8"/>
    <w:rsid w:val="00B55FD0"/>
    <w:rsid w:val="00B5608F"/>
    <w:rsid w:val="00B56097"/>
    <w:rsid w:val="00B560E1"/>
    <w:rsid w:val="00B562E8"/>
    <w:rsid w:val="00B56308"/>
    <w:rsid w:val="00B5638C"/>
    <w:rsid w:val="00B563CD"/>
    <w:rsid w:val="00B563E8"/>
    <w:rsid w:val="00B5647F"/>
    <w:rsid w:val="00B564C5"/>
    <w:rsid w:val="00B564E8"/>
    <w:rsid w:val="00B56842"/>
    <w:rsid w:val="00B56946"/>
    <w:rsid w:val="00B56AD5"/>
    <w:rsid w:val="00B56BD9"/>
    <w:rsid w:val="00B56F34"/>
    <w:rsid w:val="00B56F52"/>
    <w:rsid w:val="00B56FA6"/>
    <w:rsid w:val="00B56FF3"/>
    <w:rsid w:val="00B57059"/>
    <w:rsid w:val="00B570AC"/>
    <w:rsid w:val="00B570D0"/>
    <w:rsid w:val="00B57142"/>
    <w:rsid w:val="00B57169"/>
    <w:rsid w:val="00B57187"/>
    <w:rsid w:val="00B57224"/>
    <w:rsid w:val="00B5731D"/>
    <w:rsid w:val="00B574DA"/>
    <w:rsid w:val="00B57595"/>
    <w:rsid w:val="00B57641"/>
    <w:rsid w:val="00B57689"/>
    <w:rsid w:val="00B576AC"/>
    <w:rsid w:val="00B5776C"/>
    <w:rsid w:val="00B577A5"/>
    <w:rsid w:val="00B57807"/>
    <w:rsid w:val="00B57891"/>
    <w:rsid w:val="00B578CF"/>
    <w:rsid w:val="00B578F8"/>
    <w:rsid w:val="00B57955"/>
    <w:rsid w:val="00B57986"/>
    <w:rsid w:val="00B579F1"/>
    <w:rsid w:val="00B57AAB"/>
    <w:rsid w:val="00B57BB2"/>
    <w:rsid w:val="00B57C4A"/>
    <w:rsid w:val="00B57C57"/>
    <w:rsid w:val="00B57CBB"/>
    <w:rsid w:val="00B57CFD"/>
    <w:rsid w:val="00B57DDB"/>
    <w:rsid w:val="00B57F18"/>
    <w:rsid w:val="00B57FB9"/>
    <w:rsid w:val="00B57FFB"/>
    <w:rsid w:val="00B60065"/>
    <w:rsid w:val="00B6009C"/>
    <w:rsid w:val="00B60120"/>
    <w:rsid w:val="00B601C7"/>
    <w:rsid w:val="00B601CF"/>
    <w:rsid w:val="00B601D4"/>
    <w:rsid w:val="00B60218"/>
    <w:rsid w:val="00B60306"/>
    <w:rsid w:val="00B603FE"/>
    <w:rsid w:val="00B60427"/>
    <w:rsid w:val="00B60533"/>
    <w:rsid w:val="00B60563"/>
    <w:rsid w:val="00B60691"/>
    <w:rsid w:val="00B6069F"/>
    <w:rsid w:val="00B60737"/>
    <w:rsid w:val="00B60777"/>
    <w:rsid w:val="00B6078F"/>
    <w:rsid w:val="00B607A4"/>
    <w:rsid w:val="00B607C3"/>
    <w:rsid w:val="00B608A6"/>
    <w:rsid w:val="00B609A4"/>
    <w:rsid w:val="00B60A23"/>
    <w:rsid w:val="00B60B2B"/>
    <w:rsid w:val="00B60B64"/>
    <w:rsid w:val="00B60B72"/>
    <w:rsid w:val="00B60C69"/>
    <w:rsid w:val="00B60CEF"/>
    <w:rsid w:val="00B60ED1"/>
    <w:rsid w:val="00B60FAA"/>
    <w:rsid w:val="00B60FCF"/>
    <w:rsid w:val="00B60FE8"/>
    <w:rsid w:val="00B61046"/>
    <w:rsid w:val="00B61188"/>
    <w:rsid w:val="00B611DB"/>
    <w:rsid w:val="00B611FC"/>
    <w:rsid w:val="00B61290"/>
    <w:rsid w:val="00B612E0"/>
    <w:rsid w:val="00B613D6"/>
    <w:rsid w:val="00B61530"/>
    <w:rsid w:val="00B6167E"/>
    <w:rsid w:val="00B6172E"/>
    <w:rsid w:val="00B617CD"/>
    <w:rsid w:val="00B61865"/>
    <w:rsid w:val="00B618A7"/>
    <w:rsid w:val="00B61952"/>
    <w:rsid w:val="00B61962"/>
    <w:rsid w:val="00B61A43"/>
    <w:rsid w:val="00B61DD9"/>
    <w:rsid w:val="00B61E27"/>
    <w:rsid w:val="00B61E81"/>
    <w:rsid w:val="00B61ED2"/>
    <w:rsid w:val="00B61ED4"/>
    <w:rsid w:val="00B61FC7"/>
    <w:rsid w:val="00B62007"/>
    <w:rsid w:val="00B620CC"/>
    <w:rsid w:val="00B621AD"/>
    <w:rsid w:val="00B62390"/>
    <w:rsid w:val="00B623A1"/>
    <w:rsid w:val="00B624E7"/>
    <w:rsid w:val="00B62825"/>
    <w:rsid w:val="00B6291F"/>
    <w:rsid w:val="00B62989"/>
    <w:rsid w:val="00B62BC7"/>
    <w:rsid w:val="00B62BD7"/>
    <w:rsid w:val="00B62C50"/>
    <w:rsid w:val="00B62CF6"/>
    <w:rsid w:val="00B62E6D"/>
    <w:rsid w:val="00B62E95"/>
    <w:rsid w:val="00B62F49"/>
    <w:rsid w:val="00B630B3"/>
    <w:rsid w:val="00B631D5"/>
    <w:rsid w:val="00B631E2"/>
    <w:rsid w:val="00B63278"/>
    <w:rsid w:val="00B632B5"/>
    <w:rsid w:val="00B633D8"/>
    <w:rsid w:val="00B634D7"/>
    <w:rsid w:val="00B634F0"/>
    <w:rsid w:val="00B6358A"/>
    <w:rsid w:val="00B63650"/>
    <w:rsid w:val="00B6365D"/>
    <w:rsid w:val="00B636BF"/>
    <w:rsid w:val="00B636CD"/>
    <w:rsid w:val="00B63785"/>
    <w:rsid w:val="00B637EB"/>
    <w:rsid w:val="00B638F6"/>
    <w:rsid w:val="00B63BE7"/>
    <w:rsid w:val="00B63BEC"/>
    <w:rsid w:val="00B63CAF"/>
    <w:rsid w:val="00B63CEB"/>
    <w:rsid w:val="00B63D51"/>
    <w:rsid w:val="00B63DDF"/>
    <w:rsid w:val="00B63E1F"/>
    <w:rsid w:val="00B63FE3"/>
    <w:rsid w:val="00B6402B"/>
    <w:rsid w:val="00B6409F"/>
    <w:rsid w:val="00B640B1"/>
    <w:rsid w:val="00B64204"/>
    <w:rsid w:val="00B6425B"/>
    <w:rsid w:val="00B6427A"/>
    <w:rsid w:val="00B642AC"/>
    <w:rsid w:val="00B6431E"/>
    <w:rsid w:val="00B64370"/>
    <w:rsid w:val="00B643A8"/>
    <w:rsid w:val="00B64418"/>
    <w:rsid w:val="00B6442B"/>
    <w:rsid w:val="00B64449"/>
    <w:rsid w:val="00B64547"/>
    <w:rsid w:val="00B645AF"/>
    <w:rsid w:val="00B645D3"/>
    <w:rsid w:val="00B64658"/>
    <w:rsid w:val="00B64680"/>
    <w:rsid w:val="00B64730"/>
    <w:rsid w:val="00B647EE"/>
    <w:rsid w:val="00B6480B"/>
    <w:rsid w:val="00B64876"/>
    <w:rsid w:val="00B6498A"/>
    <w:rsid w:val="00B649AB"/>
    <w:rsid w:val="00B64AE8"/>
    <w:rsid w:val="00B64B30"/>
    <w:rsid w:val="00B64DA4"/>
    <w:rsid w:val="00B64DC4"/>
    <w:rsid w:val="00B64DD2"/>
    <w:rsid w:val="00B64F41"/>
    <w:rsid w:val="00B64FB2"/>
    <w:rsid w:val="00B64FE0"/>
    <w:rsid w:val="00B64FFB"/>
    <w:rsid w:val="00B6506F"/>
    <w:rsid w:val="00B65103"/>
    <w:rsid w:val="00B651D5"/>
    <w:rsid w:val="00B651DF"/>
    <w:rsid w:val="00B6529B"/>
    <w:rsid w:val="00B65325"/>
    <w:rsid w:val="00B65584"/>
    <w:rsid w:val="00B655F8"/>
    <w:rsid w:val="00B65623"/>
    <w:rsid w:val="00B656D3"/>
    <w:rsid w:val="00B656E8"/>
    <w:rsid w:val="00B656F3"/>
    <w:rsid w:val="00B657CD"/>
    <w:rsid w:val="00B6599C"/>
    <w:rsid w:val="00B65A69"/>
    <w:rsid w:val="00B65C6E"/>
    <w:rsid w:val="00B65CEC"/>
    <w:rsid w:val="00B65D04"/>
    <w:rsid w:val="00B65D80"/>
    <w:rsid w:val="00B65E01"/>
    <w:rsid w:val="00B65E2E"/>
    <w:rsid w:val="00B66014"/>
    <w:rsid w:val="00B66070"/>
    <w:rsid w:val="00B66109"/>
    <w:rsid w:val="00B6616E"/>
    <w:rsid w:val="00B66198"/>
    <w:rsid w:val="00B661D7"/>
    <w:rsid w:val="00B66251"/>
    <w:rsid w:val="00B662DB"/>
    <w:rsid w:val="00B663B8"/>
    <w:rsid w:val="00B663F0"/>
    <w:rsid w:val="00B664BC"/>
    <w:rsid w:val="00B6654E"/>
    <w:rsid w:val="00B665AE"/>
    <w:rsid w:val="00B666AE"/>
    <w:rsid w:val="00B666BB"/>
    <w:rsid w:val="00B666DF"/>
    <w:rsid w:val="00B66821"/>
    <w:rsid w:val="00B66885"/>
    <w:rsid w:val="00B66933"/>
    <w:rsid w:val="00B66944"/>
    <w:rsid w:val="00B66971"/>
    <w:rsid w:val="00B66A05"/>
    <w:rsid w:val="00B66AAB"/>
    <w:rsid w:val="00B66B3C"/>
    <w:rsid w:val="00B66B6D"/>
    <w:rsid w:val="00B66D27"/>
    <w:rsid w:val="00B66DCC"/>
    <w:rsid w:val="00B66F45"/>
    <w:rsid w:val="00B671A4"/>
    <w:rsid w:val="00B671E4"/>
    <w:rsid w:val="00B672FB"/>
    <w:rsid w:val="00B67367"/>
    <w:rsid w:val="00B6743C"/>
    <w:rsid w:val="00B674A4"/>
    <w:rsid w:val="00B67525"/>
    <w:rsid w:val="00B675C2"/>
    <w:rsid w:val="00B67617"/>
    <w:rsid w:val="00B6766E"/>
    <w:rsid w:val="00B676EB"/>
    <w:rsid w:val="00B6784D"/>
    <w:rsid w:val="00B6799C"/>
    <w:rsid w:val="00B67A95"/>
    <w:rsid w:val="00B67AC7"/>
    <w:rsid w:val="00B67ADF"/>
    <w:rsid w:val="00B67B69"/>
    <w:rsid w:val="00B67B93"/>
    <w:rsid w:val="00B67D2C"/>
    <w:rsid w:val="00B67DF9"/>
    <w:rsid w:val="00B67DFB"/>
    <w:rsid w:val="00B67E63"/>
    <w:rsid w:val="00B67EAB"/>
    <w:rsid w:val="00B67FBF"/>
    <w:rsid w:val="00B67FC0"/>
    <w:rsid w:val="00B70059"/>
    <w:rsid w:val="00B7007B"/>
    <w:rsid w:val="00B7017B"/>
    <w:rsid w:val="00B701C6"/>
    <w:rsid w:val="00B7021F"/>
    <w:rsid w:val="00B70336"/>
    <w:rsid w:val="00B7035C"/>
    <w:rsid w:val="00B70374"/>
    <w:rsid w:val="00B70457"/>
    <w:rsid w:val="00B70458"/>
    <w:rsid w:val="00B704D9"/>
    <w:rsid w:val="00B70518"/>
    <w:rsid w:val="00B70523"/>
    <w:rsid w:val="00B7057E"/>
    <w:rsid w:val="00B70642"/>
    <w:rsid w:val="00B706DF"/>
    <w:rsid w:val="00B707F5"/>
    <w:rsid w:val="00B7082F"/>
    <w:rsid w:val="00B70882"/>
    <w:rsid w:val="00B708CF"/>
    <w:rsid w:val="00B7091E"/>
    <w:rsid w:val="00B7098B"/>
    <w:rsid w:val="00B70B36"/>
    <w:rsid w:val="00B70C24"/>
    <w:rsid w:val="00B70C25"/>
    <w:rsid w:val="00B70C7B"/>
    <w:rsid w:val="00B70CB5"/>
    <w:rsid w:val="00B70CDF"/>
    <w:rsid w:val="00B70DD5"/>
    <w:rsid w:val="00B70DF1"/>
    <w:rsid w:val="00B70E89"/>
    <w:rsid w:val="00B70E8E"/>
    <w:rsid w:val="00B71004"/>
    <w:rsid w:val="00B71010"/>
    <w:rsid w:val="00B71023"/>
    <w:rsid w:val="00B71158"/>
    <w:rsid w:val="00B7120E"/>
    <w:rsid w:val="00B7133D"/>
    <w:rsid w:val="00B713F8"/>
    <w:rsid w:val="00B715BB"/>
    <w:rsid w:val="00B71676"/>
    <w:rsid w:val="00B7168F"/>
    <w:rsid w:val="00B716A3"/>
    <w:rsid w:val="00B7170E"/>
    <w:rsid w:val="00B7175B"/>
    <w:rsid w:val="00B717C0"/>
    <w:rsid w:val="00B717D8"/>
    <w:rsid w:val="00B71903"/>
    <w:rsid w:val="00B71915"/>
    <w:rsid w:val="00B71A05"/>
    <w:rsid w:val="00B71B5F"/>
    <w:rsid w:val="00B71D06"/>
    <w:rsid w:val="00B71D07"/>
    <w:rsid w:val="00B71E04"/>
    <w:rsid w:val="00B71E3C"/>
    <w:rsid w:val="00B72095"/>
    <w:rsid w:val="00B720F6"/>
    <w:rsid w:val="00B724D7"/>
    <w:rsid w:val="00B724FC"/>
    <w:rsid w:val="00B72597"/>
    <w:rsid w:val="00B725B3"/>
    <w:rsid w:val="00B72615"/>
    <w:rsid w:val="00B72686"/>
    <w:rsid w:val="00B726B5"/>
    <w:rsid w:val="00B72720"/>
    <w:rsid w:val="00B727A8"/>
    <w:rsid w:val="00B7284C"/>
    <w:rsid w:val="00B7287C"/>
    <w:rsid w:val="00B728E9"/>
    <w:rsid w:val="00B729A4"/>
    <w:rsid w:val="00B72CE0"/>
    <w:rsid w:val="00B72D1A"/>
    <w:rsid w:val="00B72E15"/>
    <w:rsid w:val="00B72E25"/>
    <w:rsid w:val="00B72E29"/>
    <w:rsid w:val="00B72E8F"/>
    <w:rsid w:val="00B72EA1"/>
    <w:rsid w:val="00B72ECB"/>
    <w:rsid w:val="00B72FA1"/>
    <w:rsid w:val="00B730EF"/>
    <w:rsid w:val="00B731B3"/>
    <w:rsid w:val="00B731DA"/>
    <w:rsid w:val="00B7322B"/>
    <w:rsid w:val="00B733C1"/>
    <w:rsid w:val="00B733EE"/>
    <w:rsid w:val="00B7349A"/>
    <w:rsid w:val="00B734AC"/>
    <w:rsid w:val="00B734BB"/>
    <w:rsid w:val="00B734F4"/>
    <w:rsid w:val="00B73503"/>
    <w:rsid w:val="00B73612"/>
    <w:rsid w:val="00B73871"/>
    <w:rsid w:val="00B738AF"/>
    <w:rsid w:val="00B738C8"/>
    <w:rsid w:val="00B73A18"/>
    <w:rsid w:val="00B73A2E"/>
    <w:rsid w:val="00B73A83"/>
    <w:rsid w:val="00B73B13"/>
    <w:rsid w:val="00B73B84"/>
    <w:rsid w:val="00B73C0D"/>
    <w:rsid w:val="00B73C2D"/>
    <w:rsid w:val="00B73D27"/>
    <w:rsid w:val="00B73D3A"/>
    <w:rsid w:val="00B73DED"/>
    <w:rsid w:val="00B73E3D"/>
    <w:rsid w:val="00B73E42"/>
    <w:rsid w:val="00B74063"/>
    <w:rsid w:val="00B740C1"/>
    <w:rsid w:val="00B741C5"/>
    <w:rsid w:val="00B741DA"/>
    <w:rsid w:val="00B7427B"/>
    <w:rsid w:val="00B742B1"/>
    <w:rsid w:val="00B744AF"/>
    <w:rsid w:val="00B74753"/>
    <w:rsid w:val="00B74854"/>
    <w:rsid w:val="00B748E8"/>
    <w:rsid w:val="00B7495B"/>
    <w:rsid w:val="00B749AC"/>
    <w:rsid w:val="00B74A3B"/>
    <w:rsid w:val="00B74A5E"/>
    <w:rsid w:val="00B74AC6"/>
    <w:rsid w:val="00B74BA9"/>
    <w:rsid w:val="00B74BE9"/>
    <w:rsid w:val="00B74BEA"/>
    <w:rsid w:val="00B74C23"/>
    <w:rsid w:val="00B74C2B"/>
    <w:rsid w:val="00B74C56"/>
    <w:rsid w:val="00B74C5E"/>
    <w:rsid w:val="00B74CFF"/>
    <w:rsid w:val="00B74D82"/>
    <w:rsid w:val="00B74D83"/>
    <w:rsid w:val="00B74DD8"/>
    <w:rsid w:val="00B74EC1"/>
    <w:rsid w:val="00B74FA4"/>
    <w:rsid w:val="00B75010"/>
    <w:rsid w:val="00B75180"/>
    <w:rsid w:val="00B752C2"/>
    <w:rsid w:val="00B7543B"/>
    <w:rsid w:val="00B7544A"/>
    <w:rsid w:val="00B757AB"/>
    <w:rsid w:val="00B7582A"/>
    <w:rsid w:val="00B758AD"/>
    <w:rsid w:val="00B758D9"/>
    <w:rsid w:val="00B75A4A"/>
    <w:rsid w:val="00B75A99"/>
    <w:rsid w:val="00B75B66"/>
    <w:rsid w:val="00B75B9F"/>
    <w:rsid w:val="00B75D17"/>
    <w:rsid w:val="00B75D7E"/>
    <w:rsid w:val="00B75EAD"/>
    <w:rsid w:val="00B75EF8"/>
    <w:rsid w:val="00B7625A"/>
    <w:rsid w:val="00B76377"/>
    <w:rsid w:val="00B763AD"/>
    <w:rsid w:val="00B764D9"/>
    <w:rsid w:val="00B764F9"/>
    <w:rsid w:val="00B76551"/>
    <w:rsid w:val="00B7659B"/>
    <w:rsid w:val="00B765F8"/>
    <w:rsid w:val="00B76635"/>
    <w:rsid w:val="00B76653"/>
    <w:rsid w:val="00B766A2"/>
    <w:rsid w:val="00B766B0"/>
    <w:rsid w:val="00B766CA"/>
    <w:rsid w:val="00B766CD"/>
    <w:rsid w:val="00B76700"/>
    <w:rsid w:val="00B76725"/>
    <w:rsid w:val="00B7672F"/>
    <w:rsid w:val="00B7673A"/>
    <w:rsid w:val="00B76744"/>
    <w:rsid w:val="00B76748"/>
    <w:rsid w:val="00B7676F"/>
    <w:rsid w:val="00B767F2"/>
    <w:rsid w:val="00B7684B"/>
    <w:rsid w:val="00B76884"/>
    <w:rsid w:val="00B768A2"/>
    <w:rsid w:val="00B76A89"/>
    <w:rsid w:val="00B76ACC"/>
    <w:rsid w:val="00B76AF0"/>
    <w:rsid w:val="00B76AF5"/>
    <w:rsid w:val="00B76B23"/>
    <w:rsid w:val="00B76BD7"/>
    <w:rsid w:val="00B76C11"/>
    <w:rsid w:val="00B76C19"/>
    <w:rsid w:val="00B76E49"/>
    <w:rsid w:val="00B76E4D"/>
    <w:rsid w:val="00B76EDF"/>
    <w:rsid w:val="00B76F36"/>
    <w:rsid w:val="00B76F37"/>
    <w:rsid w:val="00B770E4"/>
    <w:rsid w:val="00B7714C"/>
    <w:rsid w:val="00B771D3"/>
    <w:rsid w:val="00B7721B"/>
    <w:rsid w:val="00B77225"/>
    <w:rsid w:val="00B77245"/>
    <w:rsid w:val="00B77364"/>
    <w:rsid w:val="00B773BE"/>
    <w:rsid w:val="00B774BD"/>
    <w:rsid w:val="00B776B0"/>
    <w:rsid w:val="00B777A4"/>
    <w:rsid w:val="00B777A6"/>
    <w:rsid w:val="00B77A0D"/>
    <w:rsid w:val="00B77A30"/>
    <w:rsid w:val="00B77B06"/>
    <w:rsid w:val="00B77B64"/>
    <w:rsid w:val="00B77C58"/>
    <w:rsid w:val="00B77D49"/>
    <w:rsid w:val="00B77D56"/>
    <w:rsid w:val="00B77D64"/>
    <w:rsid w:val="00B77F5D"/>
    <w:rsid w:val="00B80028"/>
    <w:rsid w:val="00B8015A"/>
    <w:rsid w:val="00B80181"/>
    <w:rsid w:val="00B8019F"/>
    <w:rsid w:val="00B80276"/>
    <w:rsid w:val="00B80344"/>
    <w:rsid w:val="00B80456"/>
    <w:rsid w:val="00B8049D"/>
    <w:rsid w:val="00B804A1"/>
    <w:rsid w:val="00B804C4"/>
    <w:rsid w:val="00B804F4"/>
    <w:rsid w:val="00B8052A"/>
    <w:rsid w:val="00B80592"/>
    <w:rsid w:val="00B805E0"/>
    <w:rsid w:val="00B80605"/>
    <w:rsid w:val="00B8067C"/>
    <w:rsid w:val="00B807FB"/>
    <w:rsid w:val="00B80886"/>
    <w:rsid w:val="00B808AE"/>
    <w:rsid w:val="00B80992"/>
    <w:rsid w:val="00B80AA9"/>
    <w:rsid w:val="00B80B0C"/>
    <w:rsid w:val="00B80B61"/>
    <w:rsid w:val="00B80BAE"/>
    <w:rsid w:val="00B80EFA"/>
    <w:rsid w:val="00B81031"/>
    <w:rsid w:val="00B81070"/>
    <w:rsid w:val="00B81186"/>
    <w:rsid w:val="00B81264"/>
    <w:rsid w:val="00B812AD"/>
    <w:rsid w:val="00B8148F"/>
    <w:rsid w:val="00B814C1"/>
    <w:rsid w:val="00B814F6"/>
    <w:rsid w:val="00B816A8"/>
    <w:rsid w:val="00B81731"/>
    <w:rsid w:val="00B81886"/>
    <w:rsid w:val="00B818BC"/>
    <w:rsid w:val="00B818C6"/>
    <w:rsid w:val="00B81920"/>
    <w:rsid w:val="00B8198E"/>
    <w:rsid w:val="00B819D6"/>
    <w:rsid w:val="00B81A69"/>
    <w:rsid w:val="00B81A85"/>
    <w:rsid w:val="00B81AC6"/>
    <w:rsid w:val="00B81B2C"/>
    <w:rsid w:val="00B81B49"/>
    <w:rsid w:val="00B81D06"/>
    <w:rsid w:val="00B81D0B"/>
    <w:rsid w:val="00B81EC8"/>
    <w:rsid w:val="00B8207B"/>
    <w:rsid w:val="00B8208E"/>
    <w:rsid w:val="00B82279"/>
    <w:rsid w:val="00B823BD"/>
    <w:rsid w:val="00B825C8"/>
    <w:rsid w:val="00B825E9"/>
    <w:rsid w:val="00B8266B"/>
    <w:rsid w:val="00B82734"/>
    <w:rsid w:val="00B8278A"/>
    <w:rsid w:val="00B82809"/>
    <w:rsid w:val="00B8282C"/>
    <w:rsid w:val="00B8282E"/>
    <w:rsid w:val="00B828A6"/>
    <w:rsid w:val="00B828AE"/>
    <w:rsid w:val="00B8290F"/>
    <w:rsid w:val="00B82938"/>
    <w:rsid w:val="00B8296D"/>
    <w:rsid w:val="00B829D3"/>
    <w:rsid w:val="00B82A8B"/>
    <w:rsid w:val="00B82B0A"/>
    <w:rsid w:val="00B82ECF"/>
    <w:rsid w:val="00B82F33"/>
    <w:rsid w:val="00B82F6C"/>
    <w:rsid w:val="00B82F8D"/>
    <w:rsid w:val="00B82FBC"/>
    <w:rsid w:val="00B82FCA"/>
    <w:rsid w:val="00B830BC"/>
    <w:rsid w:val="00B83129"/>
    <w:rsid w:val="00B832A3"/>
    <w:rsid w:val="00B832C0"/>
    <w:rsid w:val="00B833BF"/>
    <w:rsid w:val="00B83533"/>
    <w:rsid w:val="00B835AA"/>
    <w:rsid w:val="00B835BD"/>
    <w:rsid w:val="00B83606"/>
    <w:rsid w:val="00B83681"/>
    <w:rsid w:val="00B836FA"/>
    <w:rsid w:val="00B83796"/>
    <w:rsid w:val="00B8382D"/>
    <w:rsid w:val="00B83917"/>
    <w:rsid w:val="00B83924"/>
    <w:rsid w:val="00B83B36"/>
    <w:rsid w:val="00B83C03"/>
    <w:rsid w:val="00B83DAB"/>
    <w:rsid w:val="00B83E45"/>
    <w:rsid w:val="00B83ED5"/>
    <w:rsid w:val="00B83F24"/>
    <w:rsid w:val="00B84043"/>
    <w:rsid w:val="00B84058"/>
    <w:rsid w:val="00B8418F"/>
    <w:rsid w:val="00B842C9"/>
    <w:rsid w:val="00B842D3"/>
    <w:rsid w:val="00B8446B"/>
    <w:rsid w:val="00B844F4"/>
    <w:rsid w:val="00B84579"/>
    <w:rsid w:val="00B847E9"/>
    <w:rsid w:val="00B8485C"/>
    <w:rsid w:val="00B84866"/>
    <w:rsid w:val="00B8489F"/>
    <w:rsid w:val="00B848AA"/>
    <w:rsid w:val="00B84ACB"/>
    <w:rsid w:val="00B84ADB"/>
    <w:rsid w:val="00B84AE8"/>
    <w:rsid w:val="00B84AFD"/>
    <w:rsid w:val="00B84BFB"/>
    <w:rsid w:val="00B84C00"/>
    <w:rsid w:val="00B84C84"/>
    <w:rsid w:val="00B84D26"/>
    <w:rsid w:val="00B84D48"/>
    <w:rsid w:val="00B84E17"/>
    <w:rsid w:val="00B84E37"/>
    <w:rsid w:val="00B84E39"/>
    <w:rsid w:val="00B84E50"/>
    <w:rsid w:val="00B84E6A"/>
    <w:rsid w:val="00B84E84"/>
    <w:rsid w:val="00B84EDB"/>
    <w:rsid w:val="00B84FA5"/>
    <w:rsid w:val="00B84FEB"/>
    <w:rsid w:val="00B8505B"/>
    <w:rsid w:val="00B850E1"/>
    <w:rsid w:val="00B85143"/>
    <w:rsid w:val="00B85157"/>
    <w:rsid w:val="00B851F5"/>
    <w:rsid w:val="00B8546B"/>
    <w:rsid w:val="00B855F4"/>
    <w:rsid w:val="00B85604"/>
    <w:rsid w:val="00B856A4"/>
    <w:rsid w:val="00B85703"/>
    <w:rsid w:val="00B85785"/>
    <w:rsid w:val="00B8583F"/>
    <w:rsid w:val="00B85893"/>
    <w:rsid w:val="00B85901"/>
    <w:rsid w:val="00B85A60"/>
    <w:rsid w:val="00B85A70"/>
    <w:rsid w:val="00B85B6B"/>
    <w:rsid w:val="00B85B7A"/>
    <w:rsid w:val="00B85B92"/>
    <w:rsid w:val="00B85CDF"/>
    <w:rsid w:val="00B85DC3"/>
    <w:rsid w:val="00B85DCA"/>
    <w:rsid w:val="00B85E91"/>
    <w:rsid w:val="00B85F48"/>
    <w:rsid w:val="00B85F77"/>
    <w:rsid w:val="00B8602F"/>
    <w:rsid w:val="00B86120"/>
    <w:rsid w:val="00B861DA"/>
    <w:rsid w:val="00B86243"/>
    <w:rsid w:val="00B8647F"/>
    <w:rsid w:val="00B864B5"/>
    <w:rsid w:val="00B86627"/>
    <w:rsid w:val="00B8664D"/>
    <w:rsid w:val="00B867A8"/>
    <w:rsid w:val="00B867E9"/>
    <w:rsid w:val="00B868A9"/>
    <w:rsid w:val="00B86BAD"/>
    <w:rsid w:val="00B86BCD"/>
    <w:rsid w:val="00B86C0B"/>
    <w:rsid w:val="00B86C7F"/>
    <w:rsid w:val="00B86D4A"/>
    <w:rsid w:val="00B86E85"/>
    <w:rsid w:val="00B86ED7"/>
    <w:rsid w:val="00B87003"/>
    <w:rsid w:val="00B87099"/>
    <w:rsid w:val="00B870CD"/>
    <w:rsid w:val="00B870E0"/>
    <w:rsid w:val="00B870EE"/>
    <w:rsid w:val="00B8721D"/>
    <w:rsid w:val="00B87317"/>
    <w:rsid w:val="00B87326"/>
    <w:rsid w:val="00B873AD"/>
    <w:rsid w:val="00B8741D"/>
    <w:rsid w:val="00B87475"/>
    <w:rsid w:val="00B874CD"/>
    <w:rsid w:val="00B87555"/>
    <w:rsid w:val="00B875CD"/>
    <w:rsid w:val="00B87614"/>
    <w:rsid w:val="00B8768F"/>
    <w:rsid w:val="00B876DE"/>
    <w:rsid w:val="00B8772A"/>
    <w:rsid w:val="00B8781D"/>
    <w:rsid w:val="00B87823"/>
    <w:rsid w:val="00B878A0"/>
    <w:rsid w:val="00B878C0"/>
    <w:rsid w:val="00B87B78"/>
    <w:rsid w:val="00B87B85"/>
    <w:rsid w:val="00B87C60"/>
    <w:rsid w:val="00B87C91"/>
    <w:rsid w:val="00B87CE7"/>
    <w:rsid w:val="00B87DCE"/>
    <w:rsid w:val="00B87FAC"/>
    <w:rsid w:val="00B87FD9"/>
    <w:rsid w:val="00B90069"/>
    <w:rsid w:val="00B90251"/>
    <w:rsid w:val="00B902DD"/>
    <w:rsid w:val="00B9034F"/>
    <w:rsid w:val="00B90375"/>
    <w:rsid w:val="00B90397"/>
    <w:rsid w:val="00B9039C"/>
    <w:rsid w:val="00B90423"/>
    <w:rsid w:val="00B90491"/>
    <w:rsid w:val="00B90497"/>
    <w:rsid w:val="00B904C1"/>
    <w:rsid w:val="00B90569"/>
    <w:rsid w:val="00B9056D"/>
    <w:rsid w:val="00B905C6"/>
    <w:rsid w:val="00B905C7"/>
    <w:rsid w:val="00B90621"/>
    <w:rsid w:val="00B90784"/>
    <w:rsid w:val="00B90845"/>
    <w:rsid w:val="00B908FC"/>
    <w:rsid w:val="00B90A02"/>
    <w:rsid w:val="00B90A46"/>
    <w:rsid w:val="00B90A58"/>
    <w:rsid w:val="00B90A88"/>
    <w:rsid w:val="00B90B54"/>
    <w:rsid w:val="00B90BB1"/>
    <w:rsid w:val="00B90C42"/>
    <w:rsid w:val="00B90DF2"/>
    <w:rsid w:val="00B90EB5"/>
    <w:rsid w:val="00B90ED5"/>
    <w:rsid w:val="00B90F68"/>
    <w:rsid w:val="00B90FA9"/>
    <w:rsid w:val="00B91075"/>
    <w:rsid w:val="00B9115E"/>
    <w:rsid w:val="00B912CF"/>
    <w:rsid w:val="00B91300"/>
    <w:rsid w:val="00B91315"/>
    <w:rsid w:val="00B913E8"/>
    <w:rsid w:val="00B91410"/>
    <w:rsid w:val="00B91478"/>
    <w:rsid w:val="00B914A5"/>
    <w:rsid w:val="00B914AB"/>
    <w:rsid w:val="00B91766"/>
    <w:rsid w:val="00B917B4"/>
    <w:rsid w:val="00B917F5"/>
    <w:rsid w:val="00B91802"/>
    <w:rsid w:val="00B91874"/>
    <w:rsid w:val="00B918C8"/>
    <w:rsid w:val="00B918ED"/>
    <w:rsid w:val="00B91A05"/>
    <w:rsid w:val="00B91A74"/>
    <w:rsid w:val="00B91A8F"/>
    <w:rsid w:val="00B91B06"/>
    <w:rsid w:val="00B91B7C"/>
    <w:rsid w:val="00B91B7F"/>
    <w:rsid w:val="00B91C66"/>
    <w:rsid w:val="00B91CFA"/>
    <w:rsid w:val="00B91D85"/>
    <w:rsid w:val="00B91DEE"/>
    <w:rsid w:val="00B91E93"/>
    <w:rsid w:val="00B91F08"/>
    <w:rsid w:val="00B9207E"/>
    <w:rsid w:val="00B92171"/>
    <w:rsid w:val="00B921C7"/>
    <w:rsid w:val="00B92208"/>
    <w:rsid w:val="00B9225B"/>
    <w:rsid w:val="00B9232A"/>
    <w:rsid w:val="00B923EB"/>
    <w:rsid w:val="00B92471"/>
    <w:rsid w:val="00B92481"/>
    <w:rsid w:val="00B9260A"/>
    <w:rsid w:val="00B9263B"/>
    <w:rsid w:val="00B9268F"/>
    <w:rsid w:val="00B926C5"/>
    <w:rsid w:val="00B9273A"/>
    <w:rsid w:val="00B929F0"/>
    <w:rsid w:val="00B92AEE"/>
    <w:rsid w:val="00B92CAB"/>
    <w:rsid w:val="00B92CC6"/>
    <w:rsid w:val="00B92D44"/>
    <w:rsid w:val="00B92D86"/>
    <w:rsid w:val="00B92DBF"/>
    <w:rsid w:val="00B92E35"/>
    <w:rsid w:val="00B92F22"/>
    <w:rsid w:val="00B92F77"/>
    <w:rsid w:val="00B92F7A"/>
    <w:rsid w:val="00B92FEC"/>
    <w:rsid w:val="00B93087"/>
    <w:rsid w:val="00B93191"/>
    <w:rsid w:val="00B93311"/>
    <w:rsid w:val="00B934A6"/>
    <w:rsid w:val="00B93539"/>
    <w:rsid w:val="00B93581"/>
    <w:rsid w:val="00B935C8"/>
    <w:rsid w:val="00B93941"/>
    <w:rsid w:val="00B93A0C"/>
    <w:rsid w:val="00B93A31"/>
    <w:rsid w:val="00B93ADA"/>
    <w:rsid w:val="00B93BED"/>
    <w:rsid w:val="00B93CB3"/>
    <w:rsid w:val="00B93DD7"/>
    <w:rsid w:val="00B93DFB"/>
    <w:rsid w:val="00B93E27"/>
    <w:rsid w:val="00B93E33"/>
    <w:rsid w:val="00B93E74"/>
    <w:rsid w:val="00B93E8B"/>
    <w:rsid w:val="00B94070"/>
    <w:rsid w:val="00B941A5"/>
    <w:rsid w:val="00B941CC"/>
    <w:rsid w:val="00B94345"/>
    <w:rsid w:val="00B943EC"/>
    <w:rsid w:val="00B94422"/>
    <w:rsid w:val="00B94448"/>
    <w:rsid w:val="00B9448A"/>
    <w:rsid w:val="00B94568"/>
    <w:rsid w:val="00B9456F"/>
    <w:rsid w:val="00B946C7"/>
    <w:rsid w:val="00B946ED"/>
    <w:rsid w:val="00B947A2"/>
    <w:rsid w:val="00B9484C"/>
    <w:rsid w:val="00B94866"/>
    <w:rsid w:val="00B94989"/>
    <w:rsid w:val="00B949F7"/>
    <w:rsid w:val="00B94A17"/>
    <w:rsid w:val="00B94A3F"/>
    <w:rsid w:val="00B94A46"/>
    <w:rsid w:val="00B94A47"/>
    <w:rsid w:val="00B94B46"/>
    <w:rsid w:val="00B94BB4"/>
    <w:rsid w:val="00B94BEB"/>
    <w:rsid w:val="00B94C5A"/>
    <w:rsid w:val="00B94C85"/>
    <w:rsid w:val="00B94DC4"/>
    <w:rsid w:val="00B94E2D"/>
    <w:rsid w:val="00B94EB8"/>
    <w:rsid w:val="00B95048"/>
    <w:rsid w:val="00B95106"/>
    <w:rsid w:val="00B9516C"/>
    <w:rsid w:val="00B95190"/>
    <w:rsid w:val="00B9527C"/>
    <w:rsid w:val="00B95292"/>
    <w:rsid w:val="00B95299"/>
    <w:rsid w:val="00B952F7"/>
    <w:rsid w:val="00B95367"/>
    <w:rsid w:val="00B95448"/>
    <w:rsid w:val="00B954E8"/>
    <w:rsid w:val="00B95501"/>
    <w:rsid w:val="00B9555B"/>
    <w:rsid w:val="00B95588"/>
    <w:rsid w:val="00B95592"/>
    <w:rsid w:val="00B955EE"/>
    <w:rsid w:val="00B955F9"/>
    <w:rsid w:val="00B955FF"/>
    <w:rsid w:val="00B9571E"/>
    <w:rsid w:val="00B95755"/>
    <w:rsid w:val="00B95993"/>
    <w:rsid w:val="00B95A6A"/>
    <w:rsid w:val="00B95AF0"/>
    <w:rsid w:val="00B95C0D"/>
    <w:rsid w:val="00B95C7F"/>
    <w:rsid w:val="00B95CAD"/>
    <w:rsid w:val="00B95CF5"/>
    <w:rsid w:val="00B95D4A"/>
    <w:rsid w:val="00B960E3"/>
    <w:rsid w:val="00B9613A"/>
    <w:rsid w:val="00B96145"/>
    <w:rsid w:val="00B96146"/>
    <w:rsid w:val="00B96168"/>
    <w:rsid w:val="00B9628A"/>
    <w:rsid w:val="00B962CB"/>
    <w:rsid w:val="00B962CE"/>
    <w:rsid w:val="00B9632C"/>
    <w:rsid w:val="00B96448"/>
    <w:rsid w:val="00B96475"/>
    <w:rsid w:val="00B964BF"/>
    <w:rsid w:val="00B965A4"/>
    <w:rsid w:val="00B96747"/>
    <w:rsid w:val="00B96754"/>
    <w:rsid w:val="00B96805"/>
    <w:rsid w:val="00B96827"/>
    <w:rsid w:val="00B968D7"/>
    <w:rsid w:val="00B96962"/>
    <w:rsid w:val="00B96AA3"/>
    <w:rsid w:val="00B96ADD"/>
    <w:rsid w:val="00B96C6A"/>
    <w:rsid w:val="00B96CA0"/>
    <w:rsid w:val="00B96DF7"/>
    <w:rsid w:val="00B96EA8"/>
    <w:rsid w:val="00B96ECE"/>
    <w:rsid w:val="00B96ED2"/>
    <w:rsid w:val="00B971D8"/>
    <w:rsid w:val="00B97221"/>
    <w:rsid w:val="00B972A8"/>
    <w:rsid w:val="00B97311"/>
    <w:rsid w:val="00B97531"/>
    <w:rsid w:val="00B97548"/>
    <w:rsid w:val="00B975D8"/>
    <w:rsid w:val="00B9771B"/>
    <w:rsid w:val="00B9773A"/>
    <w:rsid w:val="00B9781C"/>
    <w:rsid w:val="00B9783C"/>
    <w:rsid w:val="00B97922"/>
    <w:rsid w:val="00B979D7"/>
    <w:rsid w:val="00B97A35"/>
    <w:rsid w:val="00B97AF5"/>
    <w:rsid w:val="00B97B6A"/>
    <w:rsid w:val="00B97BB9"/>
    <w:rsid w:val="00B97D7D"/>
    <w:rsid w:val="00B97E30"/>
    <w:rsid w:val="00B97EBE"/>
    <w:rsid w:val="00B97F0C"/>
    <w:rsid w:val="00B97FA8"/>
    <w:rsid w:val="00B97FC8"/>
    <w:rsid w:val="00BA00AF"/>
    <w:rsid w:val="00BA01E0"/>
    <w:rsid w:val="00BA047F"/>
    <w:rsid w:val="00BA04E1"/>
    <w:rsid w:val="00BA0614"/>
    <w:rsid w:val="00BA062A"/>
    <w:rsid w:val="00BA06B4"/>
    <w:rsid w:val="00BA06E3"/>
    <w:rsid w:val="00BA074D"/>
    <w:rsid w:val="00BA07D7"/>
    <w:rsid w:val="00BA0836"/>
    <w:rsid w:val="00BA08A4"/>
    <w:rsid w:val="00BA08E4"/>
    <w:rsid w:val="00BA0961"/>
    <w:rsid w:val="00BA0ADF"/>
    <w:rsid w:val="00BA0BAD"/>
    <w:rsid w:val="00BA0BB4"/>
    <w:rsid w:val="00BA0D56"/>
    <w:rsid w:val="00BA0DA1"/>
    <w:rsid w:val="00BA0DD6"/>
    <w:rsid w:val="00BA0DF9"/>
    <w:rsid w:val="00BA102B"/>
    <w:rsid w:val="00BA1281"/>
    <w:rsid w:val="00BA132C"/>
    <w:rsid w:val="00BA13BC"/>
    <w:rsid w:val="00BA13C4"/>
    <w:rsid w:val="00BA141F"/>
    <w:rsid w:val="00BA14D1"/>
    <w:rsid w:val="00BA150E"/>
    <w:rsid w:val="00BA15DB"/>
    <w:rsid w:val="00BA164A"/>
    <w:rsid w:val="00BA165D"/>
    <w:rsid w:val="00BA16BD"/>
    <w:rsid w:val="00BA16E6"/>
    <w:rsid w:val="00BA1901"/>
    <w:rsid w:val="00BA198C"/>
    <w:rsid w:val="00BA19BA"/>
    <w:rsid w:val="00BA1B5F"/>
    <w:rsid w:val="00BA1B87"/>
    <w:rsid w:val="00BA1BC5"/>
    <w:rsid w:val="00BA1C4A"/>
    <w:rsid w:val="00BA1D47"/>
    <w:rsid w:val="00BA1DC5"/>
    <w:rsid w:val="00BA1E57"/>
    <w:rsid w:val="00BA1F68"/>
    <w:rsid w:val="00BA219C"/>
    <w:rsid w:val="00BA2206"/>
    <w:rsid w:val="00BA2210"/>
    <w:rsid w:val="00BA224C"/>
    <w:rsid w:val="00BA2273"/>
    <w:rsid w:val="00BA2280"/>
    <w:rsid w:val="00BA22A9"/>
    <w:rsid w:val="00BA23A8"/>
    <w:rsid w:val="00BA24A8"/>
    <w:rsid w:val="00BA24B6"/>
    <w:rsid w:val="00BA25B2"/>
    <w:rsid w:val="00BA26FE"/>
    <w:rsid w:val="00BA276E"/>
    <w:rsid w:val="00BA27D4"/>
    <w:rsid w:val="00BA2899"/>
    <w:rsid w:val="00BA28B9"/>
    <w:rsid w:val="00BA290E"/>
    <w:rsid w:val="00BA2B84"/>
    <w:rsid w:val="00BA2C09"/>
    <w:rsid w:val="00BA2CBC"/>
    <w:rsid w:val="00BA2D59"/>
    <w:rsid w:val="00BA2EAF"/>
    <w:rsid w:val="00BA2F17"/>
    <w:rsid w:val="00BA2FD5"/>
    <w:rsid w:val="00BA313A"/>
    <w:rsid w:val="00BA314C"/>
    <w:rsid w:val="00BA3250"/>
    <w:rsid w:val="00BA3327"/>
    <w:rsid w:val="00BA3407"/>
    <w:rsid w:val="00BA342E"/>
    <w:rsid w:val="00BA3461"/>
    <w:rsid w:val="00BA354D"/>
    <w:rsid w:val="00BA35B0"/>
    <w:rsid w:val="00BA360C"/>
    <w:rsid w:val="00BA3796"/>
    <w:rsid w:val="00BA380F"/>
    <w:rsid w:val="00BA394F"/>
    <w:rsid w:val="00BA39E6"/>
    <w:rsid w:val="00BA3A02"/>
    <w:rsid w:val="00BA3B65"/>
    <w:rsid w:val="00BA3B9C"/>
    <w:rsid w:val="00BA3BC7"/>
    <w:rsid w:val="00BA3BD8"/>
    <w:rsid w:val="00BA3CC1"/>
    <w:rsid w:val="00BA3CCA"/>
    <w:rsid w:val="00BA3D1D"/>
    <w:rsid w:val="00BA3E17"/>
    <w:rsid w:val="00BA3E79"/>
    <w:rsid w:val="00BA3ECC"/>
    <w:rsid w:val="00BA4115"/>
    <w:rsid w:val="00BA414B"/>
    <w:rsid w:val="00BA41E6"/>
    <w:rsid w:val="00BA450B"/>
    <w:rsid w:val="00BA4550"/>
    <w:rsid w:val="00BA4704"/>
    <w:rsid w:val="00BA477F"/>
    <w:rsid w:val="00BA4894"/>
    <w:rsid w:val="00BA493B"/>
    <w:rsid w:val="00BA49BE"/>
    <w:rsid w:val="00BA4A12"/>
    <w:rsid w:val="00BA4A8F"/>
    <w:rsid w:val="00BA4ABD"/>
    <w:rsid w:val="00BA4AF1"/>
    <w:rsid w:val="00BA4B02"/>
    <w:rsid w:val="00BA4B4A"/>
    <w:rsid w:val="00BA4B91"/>
    <w:rsid w:val="00BA4BA3"/>
    <w:rsid w:val="00BA4D7E"/>
    <w:rsid w:val="00BA4D90"/>
    <w:rsid w:val="00BA4D92"/>
    <w:rsid w:val="00BA4FC9"/>
    <w:rsid w:val="00BA50E2"/>
    <w:rsid w:val="00BA512A"/>
    <w:rsid w:val="00BA5161"/>
    <w:rsid w:val="00BA52AD"/>
    <w:rsid w:val="00BA52E0"/>
    <w:rsid w:val="00BA531B"/>
    <w:rsid w:val="00BA5372"/>
    <w:rsid w:val="00BA53DF"/>
    <w:rsid w:val="00BA543E"/>
    <w:rsid w:val="00BA5454"/>
    <w:rsid w:val="00BA5481"/>
    <w:rsid w:val="00BA554A"/>
    <w:rsid w:val="00BA571A"/>
    <w:rsid w:val="00BA5750"/>
    <w:rsid w:val="00BA5796"/>
    <w:rsid w:val="00BA57BB"/>
    <w:rsid w:val="00BA582E"/>
    <w:rsid w:val="00BA584B"/>
    <w:rsid w:val="00BA584F"/>
    <w:rsid w:val="00BA5997"/>
    <w:rsid w:val="00BA59C6"/>
    <w:rsid w:val="00BA59E6"/>
    <w:rsid w:val="00BA5A01"/>
    <w:rsid w:val="00BA5AC9"/>
    <w:rsid w:val="00BA5B5B"/>
    <w:rsid w:val="00BA5C42"/>
    <w:rsid w:val="00BA5C46"/>
    <w:rsid w:val="00BA5C78"/>
    <w:rsid w:val="00BA5CAD"/>
    <w:rsid w:val="00BA5CB7"/>
    <w:rsid w:val="00BA5CF3"/>
    <w:rsid w:val="00BA5DEE"/>
    <w:rsid w:val="00BA5F74"/>
    <w:rsid w:val="00BA6027"/>
    <w:rsid w:val="00BA6036"/>
    <w:rsid w:val="00BA6046"/>
    <w:rsid w:val="00BA612A"/>
    <w:rsid w:val="00BA6179"/>
    <w:rsid w:val="00BA61FF"/>
    <w:rsid w:val="00BA6264"/>
    <w:rsid w:val="00BA63CE"/>
    <w:rsid w:val="00BA63FF"/>
    <w:rsid w:val="00BA6432"/>
    <w:rsid w:val="00BA6611"/>
    <w:rsid w:val="00BA666C"/>
    <w:rsid w:val="00BA6674"/>
    <w:rsid w:val="00BA66AC"/>
    <w:rsid w:val="00BA66C2"/>
    <w:rsid w:val="00BA66EB"/>
    <w:rsid w:val="00BA6861"/>
    <w:rsid w:val="00BA69B4"/>
    <w:rsid w:val="00BA69B7"/>
    <w:rsid w:val="00BA6A75"/>
    <w:rsid w:val="00BA6ADA"/>
    <w:rsid w:val="00BA6B6D"/>
    <w:rsid w:val="00BA6C94"/>
    <w:rsid w:val="00BA6DBE"/>
    <w:rsid w:val="00BA6DF8"/>
    <w:rsid w:val="00BA6E63"/>
    <w:rsid w:val="00BA7088"/>
    <w:rsid w:val="00BA7120"/>
    <w:rsid w:val="00BA718C"/>
    <w:rsid w:val="00BA7234"/>
    <w:rsid w:val="00BA7266"/>
    <w:rsid w:val="00BA7295"/>
    <w:rsid w:val="00BA74A0"/>
    <w:rsid w:val="00BA74F8"/>
    <w:rsid w:val="00BA75DC"/>
    <w:rsid w:val="00BA762D"/>
    <w:rsid w:val="00BA7723"/>
    <w:rsid w:val="00BA77EF"/>
    <w:rsid w:val="00BA78F6"/>
    <w:rsid w:val="00BA794C"/>
    <w:rsid w:val="00BA796F"/>
    <w:rsid w:val="00BA7A92"/>
    <w:rsid w:val="00BA7AF3"/>
    <w:rsid w:val="00BA7C26"/>
    <w:rsid w:val="00BA7C83"/>
    <w:rsid w:val="00BA7CDD"/>
    <w:rsid w:val="00BA7D67"/>
    <w:rsid w:val="00BA7DD1"/>
    <w:rsid w:val="00BA7DDD"/>
    <w:rsid w:val="00BA7E2A"/>
    <w:rsid w:val="00BA7EAC"/>
    <w:rsid w:val="00BB0008"/>
    <w:rsid w:val="00BB000D"/>
    <w:rsid w:val="00BB006F"/>
    <w:rsid w:val="00BB0086"/>
    <w:rsid w:val="00BB00C3"/>
    <w:rsid w:val="00BB0272"/>
    <w:rsid w:val="00BB0381"/>
    <w:rsid w:val="00BB048F"/>
    <w:rsid w:val="00BB05E0"/>
    <w:rsid w:val="00BB069F"/>
    <w:rsid w:val="00BB07F6"/>
    <w:rsid w:val="00BB0812"/>
    <w:rsid w:val="00BB0857"/>
    <w:rsid w:val="00BB08FD"/>
    <w:rsid w:val="00BB0987"/>
    <w:rsid w:val="00BB0AA3"/>
    <w:rsid w:val="00BB0CC1"/>
    <w:rsid w:val="00BB0CE6"/>
    <w:rsid w:val="00BB0E1D"/>
    <w:rsid w:val="00BB0ED0"/>
    <w:rsid w:val="00BB0EE5"/>
    <w:rsid w:val="00BB0F48"/>
    <w:rsid w:val="00BB0F4C"/>
    <w:rsid w:val="00BB0FE4"/>
    <w:rsid w:val="00BB10E9"/>
    <w:rsid w:val="00BB12B1"/>
    <w:rsid w:val="00BB12DE"/>
    <w:rsid w:val="00BB1502"/>
    <w:rsid w:val="00BB154E"/>
    <w:rsid w:val="00BB180C"/>
    <w:rsid w:val="00BB195E"/>
    <w:rsid w:val="00BB1983"/>
    <w:rsid w:val="00BB199C"/>
    <w:rsid w:val="00BB19B5"/>
    <w:rsid w:val="00BB1AFC"/>
    <w:rsid w:val="00BB1B10"/>
    <w:rsid w:val="00BB1B52"/>
    <w:rsid w:val="00BB1B87"/>
    <w:rsid w:val="00BB1FAF"/>
    <w:rsid w:val="00BB20F8"/>
    <w:rsid w:val="00BB2113"/>
    <w:rsid w:val="00BB215F"/>
    <w:rsid w:val="00BB2183"/>
    <w:rsid w:val="00BB219E"/>
    <w:rsid w:val="00BB21AF"/>
    <w:rsid w:val="00BB2213"/>
    <w:rsid w:val="00BB22A7"/>
    <w:rsid w:val="00BB2366"/>
    <w:rsid w:val="00BB238B"/>
    <w:rsid w:val="00BB2449"/>
    <w:rsid w:val="00BB244B"/>
    <w:rsid w:val="00BB24F3"/>
    <w:rsid w:val="00BB2504"/>
    <w:rsid w:val="00BB261F"/>
    <w:rsid w:val="00BB2803"/>
    <w:rsid w:val="00BB28BA"/>
    <w:rsid w:val="00BB2984"/>
    <w:rsid w:val="00BB2AC6"/>
    <w:rsid w:val="00BB2B22"/>
    <w:rsid w:val="00BB2BE2"/>
    <w:rsid w:val="00BB2CBC"/>
    <w:rsid w:val="00BB2D0A"/>
    <w:rsid w:val="00BB2D6C"/>
    <w:rsid w:val="00BB2D96"/>
    <w:rsid w:val="00BB2F8A"/>
    <w:rsid w:val="00BB2FB4"/>
    <w:rsid w:val="00BB305E"/>
    <w:rsid w:val="00BB3197"/>
    <w:rsid w:val="00BB33AC"/>
    <w:rsid w:val="00BB348D"/>
    <w:rsid w:val="00BB353F"/>
    <w:rsid w:val="00BB364C"/>
    <w:rsid w:val="00BB3664"/>
    <w:rsid w:val="00BB36EF"/>
    <w:rsid w:val="00BB3728"/>
    <w:rsid w:val="00BB37A9"/>
    <w:rsid w:val="00BB38A4"/>
    <w:rsid w:val="00BB3972"/>
    <w:rsid w:val="00BB397F"/>
    <w:rsid w:val="00BB3983"/>
    <w:rsid w:val="00BB3A05"/>
    <w:rsid w:val="00BB3A96"/>
    <w:rsid w:val="00BB3A9D"/>
    <w:rsid w:val="00BB3B36"/>
    <w:rsid w:val="00BB3BA7"/>
    <w:rsid w:val="00BB3BAC"/>
    <w:rsid w:val="00BB3BD7"/>
    <w:rsid w:val="00BB3CD4"/>
    <w:rsid w:val="00BB3CDA"/>
    <w:rsid w:val="00BB3DAC"/>
    <w:rsid w:val="00BB3E1C"/>
    <w:rsid w:val="00BB4041"/>
    <w:rsid w:val="00BB4067"/>
    <w:rsid w:val="00BB4085"/>
    <w:rsid w:val="00BB408C"/>
    <w:rsid w:val="00BB41F3"/>
    <w:rsid w:val="00BB41FA"/>
    <w:rsid w:val="00BB4211"/>
    <w:rsid w:val="00BB4323"/>
    <w:rsid w:val="00BB439F"/>
    <w:rsid w:val="00BB43C2"/>
    <w:rsid w:val="00BB44E9"/>
    <w:rsid w:val="00BB451B"/>
    <w:rsid w:val="00BB4560"/>
    <w:rsid w:val="00BB4734"/>
    <w:rsid w:val="00BB479A"/>
    <w:rsid w:val="00BB47C3"/>
    <w:rsid w:val="00BB47E1"/>
    <w:rsid w:val="00BB49CC"/>
    <w:rsid w:val="00BB4A7A"/>
    <w:rsid w:val="00BB4C30"/>
    <w:rsid w:val="00BB4D33"/>
    <w:rsid w:val="00BB4D39"/>
    <w:rsid w:val="00BB4DD6"/>
    <w:rsid w:val="00BB5048"/>
    <w:rsid w:val="00BB505E"/>
    <w:rsid w:val="00BB5149"/>
    <w:rsid w:val="00BB51B9"/>
    <w:rsid w:val="00BB51D5"/>
    <w:rsid w:val="00BB5205"/>
    <w:rsid w:val="00BB52E2"/>
    <w:rsid w:val="00BB5407"/>
    <w:rsid w:val="00BB543E"/>
    <w:rsid w:val="00BB54AC"/>
    <w:rsid w:val="00BB54FA"/>
    <w:rsid w:val="00BB569F"/>
    <w:rsid w:val="00BB56AD"/>
    <w:rsid w:val="00BB56DA"/>
    <w:rsid w:val="00BB5788"/>
    <w:rsid w:val="00BB5813"/>
    <w:rsid w:val="00BB581D"/>
    <w:rsid w:val="00BB5888"/>
    <w:rsid w:val="00BB5913"/>
    <w:rsid w:val="00BB5947"/>
    <w:rsid w:val="00BB5A31"/>
    <w:rsid w:val="00BB5CDD"/>
    <w:rsid w:val="00BB5D2D"/>
    <w:rsid w:val="00BB5D95"/>
    <w:rsid w:val="00BB5DE6"/>
    <w:rsid w:val="00BB5EB2"/>
    <w:rsid w:val="00BB5EE9"/>
    <w:rsid w:val="00BB5F71"/>
    <w:rsid w:val="00BB6016"/>
    <w:rsid w:val="00BB6125"/>
    <w:rsid w:val="00BB63E8"/>
    <w:rsid w:val="00BB6408"/>
    <w:rsid w:val="00BB6466"/>
    <w:rsid w:val="00BB6472"/>
    <w:rsid w:val="00BB6522"/>
    <w:rsid w:val="00BB6641"/>
    <w:rsid w:val="00BB6837"/>
    <w:rsid w:val="00BB6864"/>
    <w:rsid w:val="00BB68BA"/>
    <w:rsid w:val="00BB68CF"/>
    <w:rsid w:val="00BB6964"/>
    <w:rsid w:val="00BB6987"/>
    <w:rsid w:val="00BB69A4"/>
    <w:rsid w:val="00BB69BE"/>
    <w:rsid w:val="00BB6A95"/>
    <w:rsid w:val="00BB6AB7"/>
    <w:rsid w:val="00BB6C93"/>
    <w:rsid w:val="00BB6CB3"/>
    <w:rsid w:val="00BB6D84"/>
    <w:rsid w:val="00BB6FBA"/>
    <w:rsid w:val="00BB6FCB"/>
    <w:rsid w:val="00BB6FEB"/>
    <w:rsid w:val="00BB7279"/>
    <w:rsid w:val="00BB737B"/>
    <w:rsid w:val="00BB73A7"/>
    <w:rsid w:val="00BB7403"/>
    <w:rsid w:val="00BB7590"/>
    <w:rsid w:val="00BB76C3"/>
    <w:rsid w:val="00BB76FC"/>
    <w:rsid w:val="00BB7706"/>
    <w:rsid w:val="00BB774F"/>
    <w:rsid w:val="00BB7800"/>
    <w:rsid w:val="00BB7809"/>
    <w:rsid w:val="00BB7865"/>
    <w:rsid w:val="00BB793D"/>
    <w:rsid w:val="00BB79A5"/>
    <w:rsid w:val="00BB79F6"/>
    <w:rsid w:val="00BB7A35"/>
    <w:rsid w:val="00BB7ADA"/>
    <w:rsid w:val="00BB7B81"/>
    <w:rsid w:val="00BB7B9C"/>
    <w:rsid w:val="00BB7CB5"/>
    <w:rsid w:val="00BB7E89"/>
    <w:rsid w:val="00BB7E90"/>
    <w:rsid w:val="00BB7F59"/>
    <w:rsid w:val="00BB7FA0"/>
    <w:rsid w:val="00BB7FD3"/>
    <w:rsid w:val="00BC0047"/>
    <w:rsid w:val="00BC0091"/>
    <w:rsid w:val="00BC0154"/>
    <w:rsid w:val="00BC01A7"/>
    <w:rsid w:val="00BC01BE"/>
    <w:rsid w:val="00BC0200"/>
    <w:rsid w:val="00BC0254"/>
    <w:rsid w:val="00BC029E"/>
    <w:rsid w:val="00BC02D1"/>
    <w:rsid w:val="00BC02FB"/>
    <w:rsid w:val="00BC02FD"/>
    <w:rsid w:val="00BC03BA"/>
    <w:rsid w:val="00BC054C"/>
    <w:rsid w:val="00BC0568"/>
    <w:rsid w:val="00BC0635"/>
    <w:rsid w:val="00BC0665"/>
    <w:rsid w:val="00BC06B9"/>
    <w:rsid w:val="00BC074B"/>
    <w:rsid w:val="00BC07FD"/>
    <w:rsid w:val="00BC083A"/>
    <w:rsid w:val="00BC08A0"/>
    <w:rsid w:val="00BC09DD"/>
    <w:rsid w:val="00BC0A4C"/>
    <w:rsid w:val="00BC0A4D"/>
    <w:rsid w:val="00BC0B88"/>
    <w:rsid w:val="00BC0B93"/>
    <w:rsid w:val="00BC0BA3"/>
    <w:rsid w:val="00BC0DE6"/>
    <w:rsid w:val="00BC0DED"/>
    <w:rsid w:val="00BC0E2C"/>
    <w:rsid w:val="00BC0E85"/>
    <w:rsid w:val="00BC1013"/>
    <w:rsid w:val="00BC1164"/>
    <w:rsid w:val="00BC117A"/>
    <w:rsid w:val="00BC11B1"/>
    <w:rsid w:val="00BC1207"/>
    <w:rsid w:val="00BC1282"/>
    <w:rsid w:val="00BC1406"/>
    <w:rsid w:val="00BC1501"/>
    <w:rsid w:val="00BC158E"/>
    <w:rsid w:val="00BC18AB"/>
    <w:rsid w:val="00BC18F8"/>
    <w:rsid w:val="00BC19FF"/>
    <w:rsid w:val="00BC1AC4"/>
    <w:rsid w:val="00BC1B56"/>
    <w:rsid w:val="00BC1CC0"/>
    <w:rsid w:val="00BC1DF1"/>
    <w:rsid w:val="00BC1E5D"/>
    <w:rsid w:val="00BC1E65"/>
    <w:rsid w:val="00BC1F96"/>
    <w:rsid w:val="00BC2147"/>
    <w:rsid w:val="00BC2293"/>
    <w:rsid w:val="00BC22AD"/>
    <w:rsid w:val="00BC2319"/>
    <w:rsid w:val="00BC2343"/>
    <w:rsid w:val="00BC23D5"/>
    <w:rsid w:val="00BC23DD"/>
    <w:rsid w:val="00BC2479"/>
    <w:rsid w:val="00BC24FE"/>
    <w:rsid w:val="00BC2522"/>
    <w:rsid w:val="00BC2526"/>
    <w:rsid w:val="00BC264B"/>
    <w:rsid w:val="00BC266F"/>
    <w:rsid w:val="00BC271D"/>
    <w:rsid w:val="00BC27AF"/>
    <w:rsid w:val="00BC27B7"/>
    <w:rsid w:val="00BC27E2"/>
    <w:rsid w:val="00BC2901"/>
    <w:rsid w:val="00BC2952"/>
    <w:rsid w:val="00BC299B"/>
    <w:rsid w:val="00BC2A7E"/>
    <w:rsid w:val="00BC2C73"/>
    <w:rsid w:val="00BC2C7B"/>
    <w:rsid w:val="00BC2DBD"/>
    <w:rsid w:val="00BC2DD5"/>
    <w:rsid w:val="00BC2E35"/>
    <w:rsid w:val="00BC2F88"/>
    <w:rsid w:val="00BC3053"/>
    <w:rsid w:val="00BC305C"/>
    <w:rsid w:val="00BC3084"/>
    <w:rsid w:val="00BC3134"/>
    <w:rsid w:val="00BC3150"/>
    <w:rsid w:val="00BC316D"/>
    <w:rsid w:val="00BC323C"/>
    <w:rsid w:val="00BC32D0"/>
    <w:rsid w:val="00BC3316"/>
    <w:rsid w:val="00BC33A3"/>
    <w:rsid w:val="00BC33C8"/>
    <w:rsid w:val="00BC3615"/>
    <w:rsid w:val="00BC367A"/>
    <w:rsid w:val="00BC3758"/>
    <w:rsid w:val="00BC3892"/>
    <w:rsid w:val="00BC38AF"/>
    <w:rsid w:val="00BC3969"/>
    <w:rsid w:val="00BC3A28"/>
    <w:rsid w:val="00BC3BB0"/>
    <w:rsid w:val="00BC3CDA"/>
    <w:rsid w:val="00BC3D64"/>
    <w:rsid w:val="00BC3D67"/>
    <w:rsid w:val="00BC3D93"/>
    <w:rsid w:val="00BC3DDA"/>
    <w:rsid w:val="00BC3E8F"/>
    <w:rsid w:val="00BC3EE7"/>
    <w:rsid w:val="00BC3F4C"/>
    <w:rsid w:val="00BC3F53"/>
    <w:rsid w:val="00BC3F57"/>
    <w:rsid w:val="00BC3FB8"/>
    <w:rsid w:val="00BC3FE4"/>
    <w:rsid w:val="00BC4042"/>
    <w:rsid w:val="00BC4129"/>
    <w:rsid w:val="00BC4165"/>
    <w:rsid w:val="00BC416B"/>
    <w:rsid w:val="00BC41BA"/>
    <w:rsid w:val="00BC41E0"/>
    <w:rsid w:val="00BC43A4"/>
    <w:rsid w:val="00BC451D"/>
    <w:rsid w:val="00BC4613"/>
    <w:rsid w:val="00BC4669"/>
    <w:rsid w:val="00BC4740"/>
    <w:rsid w:val="00BC47CD"/>
    <w:rsid w:val="00BC47DF"/>
    <w:rsid w:val="00BC4897"/>
    <w:rsid w:val="00BC49E4"/>
    <w:rsid w:val="00BC4AEB"/>
    <w:rsid w:val="00BC4B91"/>
    <w:rsid w:val="00BC4E0F"/>
    <w:rsid w:val="00BC4F2E"/>
    <w:rsid w:val="00BC4FE5"/>
    <w:rsid w:val="00BC5025"/>
    <w:rsid w:val="00BC5075"/>
    <w:rsid w:val="00BC50A5"/>
    <w:rsid w:val="00BC5175"/>
    <w:rsid w:val="00BC518E"/>
    <w:rsid w:val="00BC5246"/>
    <w:rsid w:val="00BC5265"/>
    <w:rsid w:val="00BC526F"/>
    <w:rsid w:val="00BC52DE"/>
    <w:rsid w:val="00BC53A1"/>
    <w:rsid w:val="00BC5410"/>
    <w:rsid w:val="00BC5531"/>
    <w:rsid w:val="00BC5595"/>
    <w:rsid w:val="00BC5615"/>
    <w:rsid w:val="00BC5647"/>
    <w:rsid w:val="00BC56C2"/>
    <w:rsid w:val="00BC57FC"/>
    <w:rsid w:val="00BC5976"/>
    <w:rsid w:val="00BC599C"/>
    <w:rsid w:val="00BC5AE8"/>
    <w:rsid w:val="00BC5B09"/>
    <w:rsid w:val="00BC5B8B"/>
    <w:rsid w:val="00BC5BE5"/>
    <w:rsid w:val="00BC5CFD"/>
    <w:rsid w:val="00BC5DA1"/>
    <w:rsid w:val="00BC5F1C"/>
    <w:rsid w:val="00BC6031"/>
    <w:rsid w:val="00BC60E5"/>
    <w:rsid w:val="00BC60FF"/>
    <w:rsid w:val="00BC6314"/>
    <w:rsid w:val="00BC6389"/>
    <w:rsid w:val="00BC63AB"/>
    <w:rsid w:val="00BC63CE"/>
    <w:rsid w:val="00BC64C6"/>
    <w:rsid w:val="00BC64FF"/>
    <w:rsid w:val="00BC65FD"/>
    <w:rsid w:val="00BC6660"/>
    <w:rsid w:val="00BC66C8"/>
    <w:rsid w:val="00BC671F"/>
    <w:rsid w:val="00BC678E"/>
    <w:rsid w:val="00BC6840"/>
    <w:rsid w:val="00BC69C8"/>
    <w:rsid w:val="00BC6AE6"/>
    <w:rsid w:val="00BC6B59"/>
    <w:rsid w:val="00BC6BF1"/>
    <w:rsid w:val="00BC6C41"/>
    <w:rsid w:val="00BC6C56"/>
    <w:rsid w:val="00BC6C6E"/>
    <w:rsid w:val="00BC6CFC"/>
    <w:rsid w:val="00BC6D98"/>
    <w:rsid w:val="00BC6DE2"/>
    <w:rsid w:val="00BC6E31"/>
    <w:rsid w:val="00BC6EB7"/>
    <w:rsid w:val="00BC6EE4"/>
    <w:rsid w:val="00BC6F35"/>
    <w:rsid w:val="00BC7009"/>
    <w:rsid w:val="00BC702D"/>
    <w:rsid w:val="00BC7072"/>
    <w:rsid w:val="00BC70D4"/>
    <w:rsid w:val="00BC70DB"/>
    <w:rsid w:val="00BC7134"/>
    <w:rsid w:val="00BC716B"/>
    <w:rsid w:val="00BC7233"/>
    <w:rsid w:val="00BC72DA"/>
    <w:rsid w:val="00BC72F5"/>
    <w:rsid w:val="00BC7478"/>
    <w:rsid w:val="00BC74DE"/>
    <w:rsid w:val="00BC74EC"/>
    <w:rsid w:val="00BC7623"/>
    <w:rsid w:val="00BC7750"/>
    <w:rsid w:val="00BC7A19"/>
    <w:rsid w:val="00BC7A38"/>
    <w:rsid w:val="00BC7AC1"/>
    <w:rsid w:val="00BC7B4E"/>
    <w:rsid w:val="00BC7B54"/>
    <w:rsid w:val="00BC7B7A"/>
    <w:rsid w:val="00BC7C9E"/>
    <w:rsid w:val="00BC7DA9"/>
    <w:rsid w:val="00BC7E0B"/>
    <w:rsid w:val="00BC7E0F"/>
    <w:rsid w:val="00BC7EE3"/>
    <w:rsid w:val="00BC7F04"/>
    <w:rsid w:val="00BC7F2F"/>
    <w:rsid w:val="00BC7F37"/>
    <w:rsid w:val="00BC7FF8"/>
    <w:rsid w:val="00BD004C"/>
    <w:rsid w:val="00BD00DA"/>
    <w:rsid w:val="00BD00EA"/>
    <w:rsid w:val="00BD0189"/>
    <w:rsid w:val="00BD01BB"/>
    <w:rsid w:val="00BD0281"/>
    <w:rsid w:val="00BD030B"/>
    <w:rsid w:val="00BD03B4"/>
    <w:rsid w:val="00BD03BF"/>
    <w:rsid w:val="00BD0415"/>
    <w:rsid w:val="00BD041D"/>
    <w:rsid w:val="00BD0460"/>
    <w:rsid w:val="00BD04E4"/>
    <w:rsid w:val="00BD04FF"/>
    <w:rsid w:val="00BD0507"/>
    <w:rsid w:val="00BD0529"/>
    <w:rsid w:val="00BD05EC"/>
    <w:rsid w:val="00BD0617"/>
    <w:rsid w:val="00BD0697"/>
    <w:rsid w:val="00BD074D"/>
    <w:rsid w:val="00BD0839"/>
    <w:rsid w:val="00BD084E"/>
    <w:rsid w:val="00BD0A17"/>
    <w:rsid w:val="00BD0C19"/>
    <w:rsid w:val="00BD0C5F"/>
    <w:rsid w:val="00BD0C8D"/>
    <w:rsid w:val="00BD0CF0"/>
    <w:rsid w:val="00BD0D39"/>
    <w:rsid w:val="00BD0DB7"/>
    <w:rsid w:val="00BD0E60"/>
    <w:rsid w:val="00BD0ECF"/>
    <w:rsid w:val="00BD11E0"/>
    <w:rsid w:val="00BD11F9"/>
    <w:rsid w:val="00BD1292"/>
    <w:rsid w:val="00BD1310"/>
    <w:rsid w:val="00BD1341"/>
    <w:rsid w:val="00BD1345"/>
    <w:rsid w:val="00BD1476"/>
    <w:rsid w:val="00BD163B"/>
    <w:rsid w:val="00BD169D"/>
    <w:rsid w:val="00BD16E1"/>
    <w:rsid w:val="00BD174F"/>
    <w:rsid w:val="00BD1751"/>
    <w:rsid w:val="00BD18BB"/>
    <w:rsid w:val="00BD18C9"/>
    <w:rsid w:val="00BD18CA"/>
    <w:rsid w:val="00BD18D8"/>
    <w:rsid w:val="00BD1952"/>
    <w:rsid w:val="00BD19CF"/>
    <w:rsid w:val="00BD1ACA"/>
    <w:rsid w:val="00BD1B77"/>
    <w:rsid w:val="00BD1B8F"/>
    <w:rsid w:val="00BD1C3B"/>
    <w:rsid w:val="00BD1D10"/>
    <w:rsid w:val="00BD1D97"/>
    <w:rsid w:val="00BD1DCD"/>
    <w:rsid w:val="00BD1E74"/>
    <w:rsid w:val="00BD1FFD"/>
    <w:rsid w:val="00BD20C6"/>
    <w:rsid w:val="00BD211D"/>
    <w:rsid w:val="00BD216F"/>
    <w:rsid w:val="00BD2333"/>
    <w:rsid w:val="00BD23B2"/>
    <w:rsid w:val="00BD2479"/>
    <w:rsid w:val="00BD278C"/>
    <w:rsid w:val="00BD295D"/>
    <w:rsid w:val="00BD29BC"/>
    <w:rsid w:val="00BD2A1D"/>
    <w:rsid w:val="00BD2A2B"/>
    <w:rsid w:val="00BD2AFC"/>
    <w:rsid w:val="00BD2C02"/>
    <w:rsid w:val="00BD2C51"/>
    <w:rsid w:val="00BD2D2F"/>
    <w:rsid w:val="00BD2DAD"/>
    <w:rsid w:val="00BD2E21"/>
    <w:rsid w:val="00BD2E52"/>
    <w:rsid w:val="00BD2EC2"/>
    <w:rsid w:val="00BD2ED6"/>
    <w:rsid w:val="00BD309F"/>
    <w:rsid w:val="00BD316A"/>
    <w:rsid w:val="00BD3176"/>
    <w:rsid w:val="00BD31CB"/>
    <w:rsid w:val="00BD31E0"/>
    <w:rsid w:val="00BD321B"/>
    <w:rsid w:val="00BD3235"/>
    <w:rsid w:val="00BD3468"/>
    <w:rsid w:val="00BD347B"/>
    <w:rsid w:val="00BD3498"/>
    <w:rsid w:val="00BD34DA"/>
    <w:rsid w:val="00BD35B8"/>
    <w:rsid w:val="00BD35FE"/>
    <w:rsid w:val="00BD3664"/>
    <w:rsid w:val="00BD3681"/>
    <w:rsid w:val="00BD368B"/>
    <w:rsid w:val="00BD36AE"/>
    <w:rsid w:val="00BD36BB"/>
    <w:rsid w:val="00BD3736"/>
    <w:rsid w:val="00BD3764"/>
    <w:rsid w:val="00BD37F4"/>
    <w:rsid w:val="00BD38DF"/>
    <w:rsid w:val="00BD3977"/>
    <w:rsid w:val="00BD39B6"/>
    <w:rsid w:val="00BD3A0D"/>
    <w:rsid w:val="00BD3A21"/>
    <w:rsid w:val="00BD3A7A"/>
    <w:rsid w:val="00BD3A80"/>
    <w:rsid w:val="00BD3A93"/>
    <w:rsid w:val="00BD3AE2"/>
    <w:rsid w:val="00BD3AFC"/>
    <w:rsid w:val="00BD3C03"/>
    <w:rsid w:val="00BD3C63"/>
    <w:rsid w:val="00BD3D38"/>
    <w:rsid w:val="00BD3D3C"/>
    <w:rsid w:val="00BD3EC1"/>
    <w:rsid w:val="00BD3FD3"/>
    <w:rsid w:val="00BD414B"/>
    <w:rsid w:val="00BD4188"/>
    <w:rsid w:val="00BD427A"/>
    <w:rsid w:val="00BD4303"/>
    <w:rsid w:val="00BD4489"/>
    <w:rsid w:val="00BD4495"/>
    <w:rsid w:val="00BD454F"/>
    <w:rsid w:val="00BD4553"/>
    <w:rsid w:val="00BD45C7"/>
    <w:rsid w:val="00BD461C"/>
    <w:rsid w:val="00BD4705"/>
    <w:rsid w:val="00BD4742"/>
    <w:rsid w:val="00BD4773"/>
    <w:rsid w:val="00BD48C1"/>
    <w:rsid w:val="00BD48F0"/>
    <w:rsid w:val="00BD4942"/>
    <w:rsid w:val="00BD4A60"/>
    <w:rsid w:val="00BD4AB6"/>
    <w:rsid w:val="00BD4B26"/>
    <w:rsid w:val="00BD4CFC"/>
    <w:rsid w:val="00BD4D52"/>
    <w:rsid w:val="00BD4F38"/>
    <w:rsid w:val="00BD4F4C"/>
    <w:rsid w:val="00BD4FDA"/>
    <w:rsid w:val="00BD503A"/>
    <w:rsid w:val="00BD505F"/>
    <w:rsid w:val="00BD507C"/>
    <w:rsid w:val="00BD5123"/>
    <w:rsid w:val="00BD520B"/>
    <w:rsid w:val="00BD5452"/>
    <w:rsid w:val="00BD5459"/>
    <w:rsid w:val="00BD550B"/>
    <w:rsid w:val="00BD5524"/>
    <w:rsid w:val="00BD5596"/>
    <w:rsid w:val="00BD55BA"/>
    <w:rsid w:val="00BD55C4"/>
    <w:rsid w:val="00BD55F0"/>
    <w:rsid w:val="00BD5861"/>
    <w:rsid w:val="00BD590F"/>
    <w:rsid w:val="00BD5910"/>
    <w:rsid w:val="00BD598F"/>
    <w:rsid w:val="00BD5AB7"/>
    <w:rsid w:val="00BD5BDD"/>
    <w:rsid w:val="00BD5BE0"/>
    <w:rsid w:val="00BD5CD9"/>
    <w:rsid w:val="00BD5D74"/>
    <w:rsid w:val="00BD5D7E"/>
    <w:rsid w:val="00BD5E01"/>
    <w:rsid w:val="00BD5E23"/>
    <w:rsid w:val="00BD5E96"/>
    <w:rsid w:val="00BD5EBD"/>
    <w:rsid w:val="00BD5F97"/>
    <w:rsid w:val="00BD607D"/>
    <w:rsid w:val="00BD60CF"/>
    <w:rsid w:val="00BD61A5"/>
    <w:rsid w:val="00BD62C6"/>
    <w:rsid w:val="00BD63E3"/>
    <w:rsid w:val="00BD640C"/>
    <w:rsid w:val="00BD646B"/>
    <w:rsid w:val="00BD6484"/>
    <w:rsid w:val="00BD6485"/>
    <w:rsid w:val="00BD64F3"/>
    <w:rsid w:val="00BD653D"/>
    <w:rsid w:val="00BD6568"/>
    <w:rsid w:val="00BD6606"/>
    <w:rsid w:val="00BD6629"/>
    <w:rsid w:val="00BD66B9"/>
    <w:rsid w:val="00BD66E4"/>
    <w:rsid w:val="00BD674C"/>
    <w:rsid w:val="00BD6754"/>
    <w:rsid w:val="00BD67F3"/>
    <w:rsid w:val="00BD67F4"/>
    <w:rsid w:val="00BD6804"/>
    <w:rsid w:val="00BD6806"/>
    <w:rsid w:val="00BD6808"/>
    <w:rsid w:val="00BD685B"/>
    <w:rsid w:val="00BD6915"/>
    <w:rsid w:val="00BD6918"/>
    <w:rsid w:val="00BD6923"/>
    <w:rsid w:val="00BD6977"/>
    <w:rsid w:val="00BD69F6"/>
    <w:rsid w:val="00BD6B41"/>
    <w:rsid w:val="00BD6B93"/>
    <w:rsid w:val="00BD6BA2"/>
    <w:rsid w:val="00BD6C0C"/>
    <w:rsid w:val="00BD6D75"/>
    <w:rsid w:val="00BD6EFF"/>
    <w:rsid w:val="00BD6F2E"/>
    <w:rsid w:val="00BD7021"/>
    <w:rsid w:val="00BD70DB"/>
    <w:rsid w:val="00BD71EA"/>
    <w:rsid w:val="00BD72A8"/>
    <w:rsid w:val="00BD72CB"/>
    <w:rsid w:val="00BD745D"/>
    <w:rsid w:val="00BD74AA"/>
    <w:rsid w:val="00BD74B7"/>
    <w:rsid w:val="00BD74C8"/>
    <w:rsid w:val="00BD74CF"/>
    <w:rsid w:val="00BD778B"/>
    <w:rsid w:val="00BD7796"/>
    <w:rsid w:val="00BD7851"/>
    <w:rsid w:val="00BD798D"/>
    <w:rsid w:val="00BD79B6"/>
    <w:rsid w:val="00BD7A14"/>
    <w:rsid w:val="00BD7A52"/>
    <w:rsid w:val="00BD7A72"/>
    <w:rsid w:val="00BD7BD7"/>
    <w:rsid w:val="00BD7BF9"/>
    <w:rsid w:val="00BD7D5A"/>
    <w:rsid w:val="00BD7E02"/>
    <w:rsid w:val="00BE011C"/>
    <w:rsid w:val="00BE01E1"/>
    <w:rsid w:val="00BE0218"/>
    <w:rsid w:val="00BE0236"/>
    <w:rsid w:val="00BE0334"/>
    <w:rsid w:val="00BE067E"/>
    <w:rsid w:val="00BE0697"/>
    <w:rsid w:val="00BE06DC"/>
    <w:rsid w:val="00BE07EA"/>
    <w:rsid w:val="00BE08E9"/>
    <w:rsid w:val="00BE0A37"/>
    <w:rsid w:val="00BE0A5D"/>
    <w:rsid w:val="00BE0AA4"/>
    <w:rsid w:val="00BE0AB3"/>
    <w:rsid w:val="00BE0B0D"/>
    <w:rsid w:val="00BE0C24"/>
    <w:rsid w:val="00BE0C39"/>
    <w:rsid w:val="00BE0CD9"/>
    <w:rsid w:val="00BE0D4B"/>
    <w:rsid w:val="00BE0F91"/>
    <w:rsid w:val="00BE1078"/>
    <w:rsid w:val="00BE122F"/>
    <w:rsid w:val="00BE134E"/>
    <w:rsid w:val="00BE1355"/>
    <w:rsid w:val="00BE148A"/>
    <w:rsid w:val="00BE1599"/>
    <w:rsid w:val="00BE15B8"/>
    <w:rsid w:val="00BE15C3"/>
    <w:rsid w:val="00BE1639"/>
    <w:rsid w:val="00BE169B"/>
    <w:rsid w:val="00BE182E"/>
    <w:rsid w:val="00BE1905"/>
    <w:rsid w:val="00BE1912"/>
    <w:rsid w:val="00BE1A38"/>
    <w:rsid w:val="00BE1A40"/>
    <w:rsid w:val="00BE1A44"/>
    <w:rsid w:val="00BE1A91"/>
    <w:rsid w:val="00BE1B3D"/>
    <w:rsid w:val="00BE1C02"/>
    <w:rsid w:val="00BE1C2A"/>
    <w:rsid w:val="00BE1C65"/>
    <w:rsid w:val="00BE1D7E"/>
    <w:rsid w:val="00BE1E3B"/>
    <w:rsid w:val="00BE1E6D"/>
    <w:rsid w:val="00BE1FF9"/>
    <w:rsid w:val="00BE2047"/>
    <w:rsid w:val="00BE20EB"/>
    <w:rsid w:val="00BE2131"/>
    <w:rsid w:val="00BE21B9"/>
    <w:rsid w:val="00BE2290"/>
    <w:rsid w:val="00BE233C"/>
    <w:rsid w:val="00BE2363"/>
    <w:rsid w:val="00BE2378"/>
    <w:rsid w:val="00BE239F"/>
    <w:rsid w:val="00BE23B5"/>
    <w:rsid w:val="00BE23BE"/>
    <w:rsid w:val="00BE23C6"/>
    <w:rsid w:val="00BE23D1"/>
    <w:rsid w:val="00BE23EB"/>
    <w:rsid w:val="00BE2403"/>
    <w:rsid w:val="00BE24BF"/>
    <w:rsid w:val="00BE24E4"/>
    <w:rsid w:val="00BE25D1"/>
    <w:rsid w:val="00BE260B"/>
    <w:rsid w:val="00BE26A8"/>
    <w:rsid w:val="00BE2712"/>
    <w:rsid w:val="00BE27C4"/>
    <w:rsid w:val="00BE2977"/>
    <w:rsid w:val="00BE29CC"/>
    <w:rsid w:val="00BE29E7"/>
    <w:rsid w:val="00BE2A66"/>
    <w:rsid w:val="00BE2ADE"/>
    <w:rsid w:val="00BE2B02"/>
    <w:rsid w:val="00BE2C4C"/>
    <w:rsid w:val="00BE2F22"/>
    <w:rsid w:val="00BE30C5"/>
    <w:rsid w:val="00BE32F1"/>
    <w:rsid w:val="00BE352F"/>
    <w:rsid w:val="00BE35D1"/>
    <w:rsid w:val="00BE3756"/>
    <w:rsid w:val="00BE3A39"/>
    <w:rsid w:val="00BE3AA6"/>
    <w:rsid w:val="00BE3AE7"/>
    <w:rsid w:val="00BE3B88"/>
    <w:rsid w:val="00BE3CC7"/>
    <w:rsid w:val="00BE3D1B"/>
    <w:rsid w:val="00BE3D6C"/>
    <w:rsid w:val="00BE3DBC"/>
    <w:rsid w:val="00BE3DF0"/>
    <w:rsid w:val="00BE3FCE"/>
    <w:rsid w:val="00BE4037"/>
    <w:rsid w:val="00BE4047"/>
    <w:rsid w:val="00BE404E"/>
    <w:rsid w:val="00BE44EB"/>
    <w:rsid w:val="00BE4544"/>
    <w:rsid w:val="00BE4586"/>
    <w:rsid w:val="00BE45CD"/>
    <w:rsid w:val="00BE4733"/>
    <w:rsid w:val="00BE4788"/>
    <w:rsid w:val="00BE47D2"/>
    <w:rsid w:val="00BE47F4"/>
    <w:rsid w:val="00BE480B"/>
    <w:rsid w:val="00BE4828"/>
    <w:rsid w:val="00BE48D2"/>
    <w:rsid w:val="00BE4912"/>
    <w:rsid w:val="00BE49A7"/>
    <w:rsid w:val="00BE4A74"/>
    <w:rsid w:val="00BE4B5E"/>
    <w:rsid w:val="00BE4BF3"/>
    <w:rsid w:val="00BE4CC3"/>
    <w:rsid w:val="00BE4D09"/>
    <w:rsid w:val="00BE4D2C"/>
    <w:rsid w:val="00BE4E12"/>
    <w:rsid w:val="00BE4E3D"/>
    <w:rsid w:val="00BE4F83"/>
    <w:rsid w:val="00BE516D"/>
    <w:rsid w:val="00BE51BD"/>
    <w:rsid w:val="00BE51DA"/>
    <w:rsid w:val="00BE528F"/>
    <w:rsid w:val="00BE52EF"/>
    <w:rsid w:val="00BE53D7"/>
    <w:rsid w:val="00BE5431"/>
    <w:rsid w:val="00BE547A"/>
    <w:rsid w:val="00BE54C1"/>
    <w:rsid w:val="00BE5585"/>
    <w:rsid w:val="00BE571B"/>
    <w:rsid w:val="00BE5C0E"/>
    <w:rsid w:val="00BE5D42"/>
    <w:rsid w:val="00BE5DDD"/>
    <w:rsid w:val="00BE5E65"/>
    <w:rsid w:val="00BE5EED"/>
    <w:rsid w:val="00BE5F67"/>
    <w:rsid w:val="00BE5F8D"/>
    <w:rsid w:val="00BE60A0"/>
    <w:rsid w:val="00BE60E3"/>
    <w:rsid w:val="00BE60EE"/>
    <w:rsid w:val="00BE60FF"/>
    <w:rsid w:val="00BE6256"/>
    <w:rsid w:val="00BE62A1"/>
    <w:rsid w:val="00BE62FF"/>
    <w:rsid w:val="00BE6309"/>
    <w:rsid w:val="00BE63AC"/>
    <w:rsid w:val="00BE63DE"/>
    <w:rsid w:val="00BE644D"/>
    <w:rsid w:val="00BE6475"/>
    <w:rsid w:val="00BE6612"/>
    <w:rsid w:val="00BE679F"/>
    <w:rsid w:val="00BE67A0"/>
    <w:rsid w:val="00BE6A03"/>
    <w:rsid w:val="00BE6A1F"/>
    <w:rsid w:val="00BE6A35"/>
    <w:rsid w:val="00BE6B21"/>
    <w:rsid w:val="00BE6B5A"/>
    <w:rsid w:val="00BE6C8C"/>
    <w:rsid w:val="00BE6CA9"/>
    <w:rsid w:val="00BE6CD2"/>
    <w:rsid w:val="00BE6CF0"/>
    <w:rsid w:val="00BE6D01"/>
    <w:rsid w:val="00BE6D40"/>
    <w:rsid w:val="00BE6DFC"/>
    <w:rsid w:val="00BE6E59"/>
    <w:rsid w:val="00BE6EFF"/>
    <w:rsid w:val="00BE6F49"/>
    <w:rsid w:val="00BE6FB2"/>
    <w:rsid w:val="00BE708D"/>
    <w:rsid w:val="00BE7145"/>
    <w:rsid w:val="00BE72BC"/>
    <w:rsid w:val="00BE73AF"/>
    <w:rsid w:val="00BE7462"/>
    <w:rsid w:val="00BE7688"/>
    <w:rsid w:val="00BE77B1"/>
    <w:rsid w:val="00BE77E2"/>
    <w:rsid w:val="00BE7806"/>
    <w:rsid w:val="00BE793B"/>
    <w:rsid w:val="00BE7986"/>
    <w:rsid w:val="00BE7ABA"/>
    <w:rsid w:val="00BE7B53"/>
    <w:rsid w:val="00BE7B91"/>
    <w:rsid w:val="00BE7D6E"/>
    <w:rsid w:val="00BE7DDA"/>
    <w:rsid w:val="00BE7EB1"/>
    <w:rsid w:val="00BE7FAF"/>
    <w:rsid w:val="00BF003B"/>
    <w:rsid w:val="00BF008B"/>
    <w:rsid w:val="00BF016A"/>
    <w:rsid w:val="00BF018B"/>
    <w:rsid w:val="00BF01CF"/>
    <w:rsid w:val="00BF0277"/>
    <w:rsid w:val="00BF027D"/>
    <w:rsid w:val="00BF037E"/>
    <w:rsid w:val="00BF0594"/>
    <w:rsid w:val="00BF0599"/>
    <w:rsid w:val="00BF06BE"/>
    <w:rsid w:val="00BF07C7"/>
    <w:rsid w:val="00BF07FE"/>
    <w:rsid w:val="00BF0820"/>
    <w:rsid w:val="00BF088A"/>
    <w:rsid w:val="00BF08F7"/>
    <w:rsid w:val="00BF0924"/>
    <w:rsid w:val="00BF0A15"/>
    <w:rsid w:val="00BF0A1A"/>
    <w:rsid w:val="00BF0AA1"/>
    <w:rsid w:val="00BF0B49"/>
    <w:rsid w:val="00BF0B80"/>
    <w:rsid w:val="00BF0BE3"/>
    <w:rsid w:val="00BF0BEC"/>
    <w:rsid w:val="00BF0C25"/>
    <w:rsid w:val="00BF0DDD"/>
    <w:rsid w:val="00BF0DF5"/>
    <w:rsid w:val="00BF0E4B"/>
    <w:rsid w:val="00BF0E5F"/>
    <w:rsid w:val="00BF0E8B"/>
    <w:rsid w:val="00BF0F3F"/>
    <w:rsid w:val="00BF0F7E"/>
    <w:rsid w:val="00BF0FBA"/>
    <w:rsid w:val="00BF0FCD"/>
    <w:rsid w:val="00BF1008"/>
    <w:rsid w:val="00BF11AB"/>
    <w:rsid w:val="00BF1254"/>
    <w:rsid w:val="00BF12AC"/>
    <w:rsid w:val="00BF1344"/>
    <w:rsid w:val="00BF14BE"/>
    <w:rsid w:val="00BF152A"/>
    <w:rsid w:val="00BF1541"/>
    <w:rsid w:val="00BF1586"/>
    <w:rsid w:val="00BF15A3"/>
    <w:rsid w:val="00BF15AE"/>
    <w:rsid w:val="00BF1604"/>
    <w:rsid w:val="00BF1749"/>
    <w:rsid w:val="00BF17DF"/>
    <w:rsid w:val="00BF1847"/>
    <w:rsid w:val="00BF18BA"/>
    <w:rsid w:val="00BF1978"/>
    <w:rsid w:val="00BF1988"/>
    <w:rsid w:val="00BF1AEA"/>
    <w:rsid w:val="00BF1B61"/>
    <w:rsid w:val="00BF1C16"/>
    <w:rsid w:val="00BF1DB5"/>
    <w:rsid w:val="00BF1DD9"/>
    <w:rsid w:val="00BF1F5E"/>
    <w:rsid w:val="00BF1F77"/>
    <w:rsid w:val="00BF2038"/>
    <w:rsid w:val="00BF20BF"/>
    <w:rsid w:val="00BF229F"/>
    <w:rsid w:val="00BF2346"/>
    <w:rsid w:val="00BF252A"/>
    <w:rsid w:val="00BF258C"/>
    <w:rsid w:val="00BF274F"/>
    <w:rsid w:val="00BF275B"/>
    <w:rsid w:val="00BF27DE"/>
    <w:rsid w:val="00BF2A3B"/>
    <w:rsid w:val="00BF2A6F"/>
    <w:rsid w:val="00BF2BFE"/>
    <w:rsid w:val="00BF2CFD"/>
    <w:rsid w:val="00BF2E74"/>
    <w:rsid w:val="00BF2EF4"/>
    <w:rsid w:val="00BF2F3D"/>
    <w:rsid w:val="00BF2F8C"/>
    <w:rsid w:val="00BF2F9E"/>
    <w:rsid w:val="00BF3004"/>
    <w:rsid w:val="00BF3055"/>
    <w:rsid w:val="00BF3089"/>
    <w:rsid w:val="00BF30B0"/>
    <w:rsid w:val="00BF320E"/>
    <w:rsid w:val="00BF3260"/>
    <w:rsid w:val="00BF3300"/>
    <w:rsid w:val="00BF33B7"/>
    <w:rsid w:val="00BF3484"/>
    <w:rsid w:val="00BF3545"/>
    <w:rsid w:val="00BF35C2"/>
    <w:rsid w:val="00BF3607"/>
    <w:rsid w:val="00BF3640"/>
    <w:rsid w:val="00BF366D"/>
    <w:rsid w:val="00BF36CF"/>
    <w:rsid w:val="00BF36D5"/>
    <w:rsid w:val="00BF3737"/>
    <w:rsid w:val="00BF37C2"/>
    <w:rsid w:val="00BF3879"/>
    <w:rsid w:val="00BF3880"/>
    <w:rsid w:val="00BF38FA"/>
    <w:rsid w:val="00BF3A10"/>
    <w:rsid w:val="00BF3ABF"/>
    <w:rsid w:val="00BF3BBB"/>
    <w:rsid w:val="00BF3D10"/>
    <w:rsid w:val="00BF3E38"/>
    <w:rsid w:val="00BF4046"/>
    <w:rsid w:val="00BF4104"/>
    <w:rsid w:val="00BF4145"/>
    <w:rsid w:val="00BF414C"/>
    <w:rsid w:val="00BF4196"/>
    <w:rsid w:val="00BF41A4"/>
    <w:rsid w:val="00BF41B7"/>
    <w:rsid w:val="00BF4216"/>
    <w:rsid w:val="00BF4243"/>
    <w:rsid w:val="00BF43D3"/>
    <w:rsid w:val="00BF4543"/>
    <w:rsid w:val="00BF4562"/>
    <w:rsid w:val="00BF45FB"/>
    <w:rsid w:val="00BF4743"/>
    <w:rsid w:val="00BF477F"/>
    <w:rsid w:val="00BF47F5"/>
    <w:rsid w:val="00BF4918"/>
    <w:rsid w:val="00BF4981"/>
    <w:rsid w:val="00BF49C7"/>
    <w:rsid w:val="00BF4A34"/>
    <w:rsid w:val="00BF4AAC"/>
    <w:rsid w:val="00BF4C82"/>
    <w:rsid w:val="00BF4C9E"/>
    <w:rsid w:val="00BF4CBD"/>
    <w:rsid w:val="00BF4E1D"/>
    <w:rsid w:val="00BF4EF8"/>
    <w:rsid w:val="00BF5019"/>
    <w:rsid w:val="00BF50A0"/>
    <w:rsid w:val="00BF50F6"/>
    <w:rsid w:val="00BF5105"/>
    <w:rsid w:val="00BF514F"/>
    <w:rsid w:val="00BF51CD"/>
    <w:rsid w:val="00BF526F"/>
    <w:rsid w:val="00BF52C1"/>
    <w:rsid w:val="00BF530F"/>
    <w:rsid w:val="00BF53EF"/>
    <w:rsid w:val="00BF5492"/>
    <w:rsid w:val="00BF54AB"/>
    <w:rsid w:val="00BF54F7"/>
    <w:rsid w:val="00BF558C"/>
    <w:rsid w:val="00BF5658"/>
    <w:rsid w:val="00BF5694"/>
    <w:rsid w:val="00BF56E6"/>
    <w:rsid w:val="00BF56FE"/>
    <w:rsid w:val="00BF5742"/>
    <w:rsid w:val="00BF5763"/>
    <w:rsid w:val="00BF57EE"/>
    <w:rsid w:val="00BF5933"/>
    <w:rsid w:val="00BF594B"/>
    <w:rsid w:val="00BF5965"/>
    <w:rsid w:val="00BF59EB"/>
    <w:rsid w:val="00BF5A12"/>
    <w:rsid w:val="00BF5A72"/>
    <w:rsid w:val="00BF5DF2"/>
    <w:rsid w:val="00BF5EA0"/>
    <w:rsid w:val="00BF5EE1"/>
    <w:rsid w:val="00BF5F00"/>
    <w:rsid w:val="00BF6093"/>
    <w:rsid w:val="00BF60EA"/>
    <w:rsid w:val="00BF62B9"/>
    <w:rsid w:val="00BF62E2"/>
    <w:rsid w:val="00BF635A"/>
    <w:rsid w:val="00BF63DB"/>
    <w:rsid w:val="00BF63FC"/>
    <w:rsid w:val="00BF645B"/>
    <w:rsid w:val="00BF64B6"/>
    <w:rsid w:val="00BF6574"/>
    <w:rsid w:val="00BF65E6"/>
    <w:rsid w:val="00BF65F9"/>
    <w:rsid w:val="00BF66EF"/>
    <w:rsid w:val="00BF6723"/>
    <w:rsid w:val="00BF67A6"/>
    <w:rsid w:val="00BF67EE"/>
    <w:rsid w:val="00BF69CB"/>
    <w:rsid w:val="00BF6B9E"/>
    <w:rsid w:val="00BF6BAC"/>
    <w:rsid w:val="00BF6BB6"/>
    <w:rsid w:val="00BF6BB8"/>
    <w:rsid w:val="00BF6BEB"/>
    <w:rsid w:val="00BF6CA6"/>
    <w:rsid w:val="00BF6D39"/>
    <w:rsid w:val="00BF6D5C"/>
    <w:rsid w:val="00BF6E52"/>
    <w:rsid w:val="00BF6F8B"/>
    <w:rsid w:val="00BF719F"/>
    <w:rsid w:val="00BF7287"/>
    <w:rsid w:val="00BF72F1"/>
    <w:rsid w:val="00BF7327"/>
    <w:rsid w:val="00BF7637"/>
    <w:rsid w:val="00BF76F5"/>
    <w:rsid w:val="00BF77D3"/>
    <w:rsid w:val="00BF7851"/>
    <w:rsid w:val="00BF7932"/>
    <w:rsid w:val="00BF79BB"/>
    <w:rsid w:val="00BF7A39"/>
    <w:rsid w:val="00BF7B05"/>
    <w:rsid w:val="00BF7B27"/>
    <w:rsid w:val="00BF7B31"/>
    <w:rsid w:val="00BF7B78"/>
    <w:rsid w:val="00BF7BD7"/>
    <w:rsid w:val="00BF7BE6"/>
    <w:rsid w:val="00BF7BE9"/>
    <w:rsid w:val="00BF7DBE"/>
    <w:rsid w:val="00BF7DD8"/>
    <w:rsid w:val="00BF7E3B"/>
    <w:rsid w:val="00BF7E92"/>
    <w:rsid w:val="00BF7EA2"/>
    <w:rsid w:val="00BF7F8F"/>
    <w:rsid w:val="00C0013F"/>
    <w:rsid w:val="00C00192"/>
    <w:rsid w:val="00C00197"/>
    <w:rsid w:val="00C0038E"/>
    <w:rsid w:val="00C003B0"/>
    <w:rsid w:val="00C0042F"/>
    <w:rsid w:val="00C0047A"/>
    <w:rsid w:val="00C004D9"/>
    <w:rsid w:val="00C00507"/>
    <w:rsid w:val="00C00672"/>
    <w:rsid w:val="00C0069E"/>
    <w:rsid w:val="00C006BA"/>
    <w:rsid w:val="00C006D8"/>
    <w:rsid w:val="00C0076C"/>
    <w:rsid w:val="00C00977"/>
    <w:rsid w:val="00C0099C"/>
    <w:rsid w:val="00C009CD"/>
    <w:rsid w:val="00C00A36"/>
    <w:rsid w:val="00C00ABD"/>
    <w:rsid w:val="00C00AF9"/>
    <w:rsid w:val="00C00B47"/>
    <w:rsid w:val="00C00B5A"/>
    <w:rsid w:val="00C00BEC"/>
    <w:rsid w:val="00C00D0B"/>
    <w:rsid w:val="00C00D13"/>
    <w:rsid w:val="00C00D56"/>
    <w:rsid w:val="00C00D68"/>
    <w:rsid w:val="00C011DC"/>
    <w:rsid w:val="00C01268"/>
    <w:rsid w:val="00C012A8"/>
    <w:rsid w:val="00C012B9"/>
    <w:rsid w:val="00C0145C"/>
    <w:rsid w:val="00C01489"/>
    <w:rsid w:val="00C01562"/>
    <w:rsid w:val="00C01598"/>
    <w:rsid w:val="00C01730"/>
    <w:rsid w:val="00C01837"/>
    <w:rsid w:val="00C018BE"/>
    <w:rsid w:val="00C0193D"/>
    <w:rsid w:val="00C0193E"/>
    <w:rsid w:val="00C01A0A"/>
    <w:rsid w:val="00C01A18"/>
    <w:rsid w:val="00C01ABC"/>
    <w:rsid w:val="00C01AD5"/>
    <w:rsid w:val="00C01B6A"/>
    <w:rsid w:val="00C01B9E"/>
    <w:rsid w:val="00C01CE2"/>
    <w:rsid w:val="00C01D02"/>
    <w:rsid w:val="00C01E14"/>
    <w:rsid w:val="00C01E4D"/>
    <w:rsid w:val="00C01EA0"/>
    <w:rsid w:val="00C01F6D"/>
    <w:rsid w:val="00C02095"/>
    <w:rsid w:val="00C020FB"/>
    <w:rsid w:val="00C021AC"/>
    <w:rsid w:val="00C022D0"/>
    <w:rsid w:val="00C02327"/>
    <w:rsid w:val="00C02679"/>
    <w:rsid w:val="00C026AF"/>
    <w:rsid w:val="00C026B0"/>
    <w:rsid w:val="00C027AF"/>
    <w:rsid w:val="00C02881"/>
    <w:rsid w:val="00C02929"/>
    <w:rsid w:val="00C02941"/>
    <w:rsid w:val="00C02B27"/>
    <w:rsid w:val="00C02BEE"/>
    <w:rsid w:val="00C02C9C"/>
    <w:rsid w:val="00C02DBE"/>
    <w:rsid w:val="00C02EAF"/>
    <w:rsid w:val="00C02F9D"/>
    <w:rsid w:val="00C03044"/>
    <w:rsid w:val="00C03161"/>
    <w:rsid w:val="00C032DD"/>
    <w:rsid w:val="00C0331F"/>
    <w:rsid w:val="00C0337F"/>
    <w:rsid w:val="00C035A6"/>
    <w:rsid w:val="00C03615"/>
    <w:rsid w:val="00C0372D"/>
    <w:rsid w:val="00C03777"/>
    <w:rsid w:val="00C03972"/>
    <w:rsid w:val="00C0399A"/>
    <w:rsid w:val="00C039E2"/>
    <w:rsid w:val="00C03A30"/>
    <w:rsid w:val="00C03A43"/>
    <w:rsid w:val="00C03A87"/>
    <w:rsid w:val="00C03B7D"/>
    <w:rsid w:val="00C03BAD"/>
    <w:rsid w:val="00C03BF9"/>
    <w:rsid w:val="00C03C18"/>
    <w:rsid w:val="00C03C61"/>
    <w:rsid w:val="00C03CBB"/>
    <w:rsid w:val="00C03D91"/>
    <w:rsid w:val="00C03DEF"/>
    <w:rsid w:val="00C03E0C"/>
    <w:rsid w:val="00C03E3E"/>
    <w:rsid w:val="00C03F2A"/>
    <w:rsid w:val="00C03F64"/>
    <w:rsid w:val="00C03F78"/>
    <w:rsid w:val="00C03FD7"/>
    <w:rsid w:val="00C03FEE"/>
    <w:rsid w:val="00C04082"/>
    <w:rsid w:val="00C0409F"/>
    <w:rsid w:val="00C041E0"/>
    <w:rsid w:val="00C0421D"/>
    <w:rsid w:val="00C0428C"/>
    <w:rsid w:val="00C0435B"/>
    <w:rsid w:val="00C0438C"/>
    <w:rsid w:val="00C043F7"/>
    <w:rsid w:val="00C04459"/>
    <w:rsid w:val="00C044D9"/>
    <w:rsid w:val="00C04538"/>
    <w:rsid w:val="00C04551"/>
    <w:rsid w:val="00C046B5"/>
    <w:rsid w:val="00C047F6"/>
    <w:rsid w:val="00C0491F"/>
    <w:rsid w:val="00C049FD"/>
    <w:rsid w:val="00C04AB7"/>
    <w:rsid w:val="00C04B17"/>
    <w:rsid w:val="00C04C4B"/>
    <w:rsid w:val="00C04C64"/>
    <w:rsid w:val="00C04D5A"/>
    <w:rsid w:val="00C04D5C"/>
    <w:rsid w:val="00C04D81"/>
    <w:rsid w:val="00C04DCF"/>
    <w:rsid w:val="00C04E15"/>
    <w:rsid w:val="00C04E60"/>
    <w:rsid w:val="00C04E93"/>
    <w:rsid w:val="00C04EEB"/>
    <w:rsid w:val="00C0506D"/>
    <w:rsid w:val="00C05076"/>
    <w:rsid w:val="00C0512C"/>
    <w:rsid w:val="00C05151"/>
    <w:rsid w:val="00C0515E"/>
    <w:rsid w:val="00C05214"/>
    <w:rsid w:val="00C053F2"/>
    <w:rsid w:val="00C054B8"/>
    <w:rsid w:val="00C055CA"/>
    <w:rsid w:val="00C05623"/>
    <w:rsid w:val="00C0567E"/>
    <w:rsid w:val="00C0570D"/>
    <w:rsid w:val="00C05712"/>
    <w:rsid w:val="00C05745"/>
    <w:rsid w:val="00C0588C"/>
    <w:rsid w:val="00C0592F"/>
    <w:rsid w:val="00C05A41"/>
    <w:rsid w:val="00C05A4B"/>
    <w:rsid w:val="00C05A70"/>
    <w:rsid w:val="00C05B35"/>
    <w:rsid w:val="00C05B57"/>
    <w:rsid w:val="00C05BB6"/>
    <w:rsid w:val="00C05BD2"/>
    <w:rsid w:val="00C05C0C"/>
    <w:rsid w:val="00C05C4D"/>
    <w:rsid w:val="00C05CDA"/>
    <w:rsid w:val="00C05D14"/>
    <w:rsid w:val="00C05E91"/>
    <w:rsid w:val="00C060A5"/>
    <w:rsid w:val="00C060D0"/>
    <w:rsid w:val="00C06177"/>
    <w:rsid w:val="00C062D7"/>
    <w:rsid w:val="00C062FF"/>
    <w:rsid w:val="00C063AE"/>
    <w:rsid w:val="00C06418"/>
    <w:rsid w:val="00C06454"/>
    <w:rsid w:val="00C06456"/>
    <w:rsid w:val="00C06489"/>
    <w:rsid w:val="00C0670B"/>
    <w:rsid w:val="00C067F6"/>
    <w:rsid w:val="00C0686B"/>
    <w:rsid w:val="00C069B9"/>
    <w:rsid w:val="00C06A04"/>
    <w:rsid w:val="00C06A72"/>
    <w:rsid w:val="00C06CA3"/>
    <w:rsid w:val="00C06CB5"/>
    <w:rsid w:val="00C06DBB"/>
    <w:rsid w:val="00C06DDF"/>
    <w:rsid w:val="00C06EE9"/>
    <w:rsid w:val="00C06EF2"/>
    <w:rsid w:val="00C06F5C"/>
    <w:rsid w:val="00C07024"/>
    <w:rsid w:val="00C07097"/>
    <w:rsid w:val="00C070C4"/>
    <w:rsid w:val="00C07144"/>
    <w:rsid w:val="00C0728E"/>
    <w:rsid w:val="00C073EC"/>
    <w:rsid w:val="00C07434"/>
    <w:rsid w:val="00C0748D"/>
    <w:rsid w:val="00C07553"/>
    <w:rsid w:val="00C07597"/>
    <w:rsid w:val="00C075B2"/>
    <w:rsid w:val="00C075EA"/>
    <w:rsid w:val="00C075FF"/>
    <w:rsid w:val="00C07657"/>
    <w:rsid w:val="00C07666"/>
    <w:rsid w:val="00C076A9"/>
    <w:rsid w:val="00C076BE"/>
    <w:rsid w:val="00C0771B"/>
    <w:rsid w:val="00C07750"/>
    <w:rsid w:val="00C07765"/>
    <w:rsid w:val="00C077B1"/>
    <w:rsid w:val="00C078A1"/>
    <w:rsid w:val="00C07945"/>
    <w:rsid w:val="00C07A44"/>
    <w:rsid w:val="00C07B0E"/>
    <w:rsid w:val="00C07BF4"/>
    <w:rsid w:val="00C07C22"/>
    <w:rsid w:val="00C07C6B"/>
    <w:rsid w:val="00C07CB1"/>
    <w:rsid w:val="00C07DD4"/>
    <w:rsid w:val="00C07EA1"/>
    <w:rsid w:val="00C07EAF"/>
    <w:rsid w:val="00C100D7"/>
    <w:rsid w:val="00C100ED"/>
    <w:rsid w:val="00C10125"/>
    <w:rsid w:val="00C10149"/>
    <w:rsid w:val="00C10174"/>
    <w:rsid w:val="00C101F6"/>
    <w:rsid w:val="00C102A4"/>
    <w:rsid w:val="00C10351"/>
    <w:rsid w:val="00C103FA"/>
    <w:rsid w:val="00C106F7"/>
    <w:rsid w:val="00C10782"/>
    <w:rsid w:val="00C107EB"/>
    <w:rsid w:val="00C10806"/>
    <w:rsid w:val="00C10832"/>
    <w:rsid w:val="00C10849"/>
    <w:rsid w:val="00C10868"/>
    <w:rsid w:val="00C10957"/>
    <w:rsid w:val="00C109CE"/>
    <w:rsid w:val="00C10A4B"/>
    <w:rsid w:val="00C10A66"/>
    <w:rsid w:val="00C10B9E"/>
    <w:rsid w:val="00C10BF0"/>
    <w:rsid w:val="00C10CD9"/>
    <w:rsid w:val="00C10D69"/>
    <w:rsid w:val="00C10E07"/>
    <w:rsid w:val="00C10EAF"/>
    <w:rsid w:val="00C10F48"/>
    <w:rsid w:val="00C10F5F"/>
    <w:rsid w:val="00C10FBB"/>
    <w:rsid w:val="00C11099"/>
    <w:rsid w:val="00C111C0"/>
    <w:rsid w:val="00C111FC"/>
    <w:rsid w:val="00C1122A"/>
    <w:rsid w:val="00C11234"/>
    <w:rsid w:val="00C112BC"/>
    <w:rsid w:val="00C112FC"/>
    <w:rsid w:val="00C113F0"/>
    <w:rsid w:val="00C11451"/>
    <w:rsid w:val="00C1151F"/>
    <w:rsid w:val="00C1153E"/>
    <w:rsid w:val="00C11597"/>
    <w:rsid w:val="00C115A9"/>
    <w:rsid w:val="00C116A1"/>
    <w:rsid w:val="00C116D7"/>
    <w:rsid w:val="00C1175F"/>
    <w:rsid w:val="00C118B5"/>
    <w:rsid w:val="00C11998"/>
    <w:rsid w:val="00C11AB3"/>
    <w:rsid w:val="00C11B87"/>
    <w:rsid w:val="00C11BA3"/>
    <w:rsid w:val="00C11BCD"/>
    <w:rsid w:val="00C11BFE"/>
    <w:rsid w:val="00C11CEC"/>
    <w:rsid w:val="00C11E47"/>
    <w:rsid w:val="00C11E8C"/>
    <w:rsid w:val="00C120E1"/>
    <w:rsid w:val="00C1219E"/>
    <w:rsid w:val="00C121C0"/>
    <w:rsid w:val="00C1237D"/>
    <w:rsid w:val="00C12523"/>
    <w:rsid w:val="00C12546"/>
    <w:rsid w:val="00C1273C"/>
    <w:rsid w:val="00C12761"/>
    <w:rsid w:val="00C12955"/>
    <w:rsid w:val="00C12A14"/>
    <w:rsid w:val="00C12AC3"/>
    <w:rsid w:val="00C12AF2"/>
    <w:rsid w:val="00C12B91"/>
    <w:rsid w:val="00C12BE8"/>
    <w:rsid w:val="00C12CA4"/>
    <w:rsid w:val="00C12CF2"/>
    <w:rsid w:val="00C12D01"/>
    <w:rsid w:val="00C12D46"/>
    <w:rsid w:val="00C12D95"/>
    <w:rsid w:val="00C12F43"/>
    <w:rsid w:val="00C12F8D"/>
    <w:rsid w:val="00C12FB9"/>
    <w:rsid w:val="00C13055"/>
    <w:rsid w:val="00C130C0"/>
    <w:rsid w:val="00C131CA"/>
    <w:rsid w:val="00C1321D"/>
    <w:rsid w:val="00C13268"/>
    <w:rsid w:val="00C133E2"/>
    <w:rsid w:val="00C1341A"/>
    <w:rsid w:val="00C13484"/>
    <w:rsid w:val="00C135B6"/>
    <w:rsid w:val="00C135EF"/>
    <w:rsid w:val="00C13733"/>
    <w:rsid w:val="00C13843"/>
    <w:rsid w:val="00C1396C"/>
    <w:rsid w:val="00C1397C"/>
    <w:rsid w:val="00C139B0"/>
    <w:rsid w:val="00C139E9"/>
    <w:rsid w:val="00C13A25"/>
    <w:rsid w:val="00C13ABA"/>
    <w:rsid w:val="00C13B7E"/>
    <w:rsid w:val="00C13BE0"/>
    <w:rsid w:val="00C13C96"/>
    <w:rsid w:val="00C13D72"/>
    <w:rsid w:val="00C13E61"/>
    <w:rsid w:val="00C13EAF"/>
    <w:rsid w:val="00C14163"/>
    <w:rsid w:val="00C141C8"/>
    <w:rsid w:val="00C141E6"/>
    <w:rsid w:val="00C141F5"/>
    <w:rsid w:val="00C14306"/>
    <w:rsid w:val="00C143AB"/>
    <w:rsid w:val="00C143C0"/>
    <w:rsid w:val="00C14466"/>
    <w:rsid w:val="00C144CF"/>
    <w:rsid w:val="00C144D7"/>
    <w:rsid w:val="00C144E5"/>
    <w:rsid w:val="00C1465D"/>
    <w:rsid w:val="00C1475D"/>
    <w:rsid w:val="00C14802"/>
    <w:rsid w:val="00C1485A"/>
    <w:rsid w:val="00C1487F"/>
    <w:rsid w:val="00C14933"/>
    <w:rsid w:val="00C1499B"/>
    <w:rsid w:val="00C14A40"/>
    <w:rsid w:val="00C14AE4"/>
    <w:rsid w:val="00C14B4A"/>
    <w:rsid w:val="00C14B90"/>
    <w:rsid w:val="00C14BD2"/>
    <w:rsid w:val="00C14CD7"/>
    <w:rsid w:val="00C14CF5"/>
    <w:rsid w:val="00C14E11"/>
    <w:rsid w:val="00C14F62"/>
    <w:rsid w:val="00C14F96"/>
    <w:rsid w:val="00C15060"/>
    <w:rsid w:val="00C15081"/>
    <w:rsid w:val="00C151AA"/>
    <w:rsid w:val="00C151D1"/>
    <w:rsid w:val="00C151D8"/>
    <w:rsid w:val="00C1523D"/>
    <w:rsid w:val="00C152AC"/>
    <w:rsid w:val="00C152B7"/>
    <w:rsid w:val="00C15328"/>
    <w:rsid w:val="00C1555C"/>
    <w:rsid w:val="00C155F8"/>
    <w:rsid w:val="00C1560D"/>
    <w:rsid w:val="00C15678"/>
    <w:rsid w:val="00C15895"/>
    <w:rsid w:val="00C158A7"/>
    <w:rsid w:val="00C158BC"/>
    <w:rsid w:val="00C158D4"/>
    <w:rsid w:val="00C158DA"/>
    <w:rsid w:val="00C15937"/>
    <w:rsid w:val="00C15942"/>
    <w:rsid w:val="00C15A6A"/>
    <w:rsid w:val="00C15AED"/>
    <w:rsid w:val="00C15B3F"/>
    <w:rsid w:val="00C15BAB"/>
    <w:rsid w:val="00C15D4A"/>
    <w:rsid w:val="00C15DC4"/>
    <w:rsid w:val="00C1603B"/>
    <w:rsid w:val="00C16089"/>
    <w:rsid w:val="00C162B1"/>
    <w:rsid w:val="00C16315"/>
    <w:rsid w:val="00C16379"/>
    <w:rsid w:val="00C16389"/>
    <w:rsid w:val="00C165E8"/>
    <w:rsid w:val="00C16676"/>
    <w:rsid w:val="00C1668D"/>
    <w:rsid w:val="00C16792"/>
    <w:rsid w:val="00C167B1"/>
    <w:rsid w:val="00C168B0"/>
    <w:rsid w:val="00C168F9"/>
    <w:rsid w:val="00C16971"/>
    <w:rsid w:val="00C16A81"/>
    <w:rsid w:val="00C16B1F"/>
    <w:rsid w:val="00C16B59"/>
    <w:rsid w:val="00C16D2F"/>
    <w:rsid w:val="00C16E20"/>
    <w:rsid w:val="00C16EFB"/>
    <w:rsid w:val="00C16F11"/>
    <w:rsid w:val="00C16FA0"/>
    <w:rsid w:val="00C17009"/>
    <w:rsid w:val="00C1709D"/>
    <w:rsid w:val="00C170B1"/>
    <w:rsid w:val="00C17210"/>
    <w:rsid w:val="00C172F3"/>
    <w:rsid w:val="00C17307"/>
    <w:rsid w:val="00C1733C"/>
    <w:rsid w:val="00C17344"/>
    <w:rsid w:val="00C17374"/>
    <w:rsid w:val="00C1737E"/>
    <w:rsid w:val="00C1739E"/>
    <w:rsid w:val="00C173E5"/>
    <w:rsid w:val="00C17409"/>
    <w:rsid w:val="00C1744C"/>
    <w:rsid w:val="00C174CD"/>
    <w:rsid w:val="00C17577"/>
    <w:rsid w:val="00C17592"/>
    <w:rsid w:val="00C1759A"/>
    <w:rsid w:val="00C17781"/>
    <w:rsid w:val="00C17784"/>
    <w:rsid w:val="00C177AA"/>
    <w:rsid w:val="00C1780C"/>
    <w:rsid w:val="00C17866"/>
    <w:rsid w:val="00C17927"/>
    <w:rsid w:val="00C1792D"/>
    <w:rsid w:val="00C17A80"/>
    <w:rsid w:val="00C17AF4"/>
    <w:rsid w:val="00C17B68"/>
    <w:rsid w:val="00C17B98"/>
    <w:rsid w:val="00C17C46"/>
    <w:rsid w:val="00C17C5A"/>
    <w:rsid w:val="00C17CD5"/>
    <w:rsid w:val="00C17D29"/>
    <w:rsid w:val="00C17E3C"/>
    <w:rsid w:val="00C17F30"/>
    <w:rsid w:val="00C17F35"/>
    <w:rsid w:val="00C17FCA"/>
    <w:rsid w:val="00C17FDE"/>
    <w:rsid w:val="00C20035"/>
    <w:rsid w:val="00C20038"/>
    <w:rsid w:val="00C20052"/>
    <w:rsid w:val="00C200A1"/>
    <w:rsid w:val="00C200C5"/>
    <w:rsid w:val="00C201BB"/>
    <w:rsid w:val="00C202B3"/>
    <w:rsid w:val="00C202FE"/>
    <w:rsid w:val="00C20316"/>
    <w:rsid w:val="00C20517"/>
    <w:rsid w:val="00C2052D"/>
    <w:rsid w:val="00C205A0"/>
    <w:rsid w:val="00C20679"/>
    <w:rsid w:val="00C206F4"/>
    <w:rsid w:val="00C20717"/>
    <w:rsid w:val="00C207AD"/>
    <w:rsid w:val="00C207CE"/>
    <w:rsid w:val="00C20811"/>
    <w:rsid w:val="00C2086B"/>
    <w:rsid w:val="00C2087B"/>
    <w:rsid w:val="00C208B0"/>
    <w:rsid w:val="00C208BD"/>
    <w:rsid w:val="00C208D0"/>
    <w:rsid w:val="00C20966"/>
    <w:rsid w:val="00C20AF8"/>
    <w:rsid w:val="00C20BBD"/>
    <w:rsid w:val="00C20BDD"/>
    <w:rsid w:val="00C20C43"/>
    <w:rsid w:val="00C20DA8"/>
    <w:rsid w:val="00C20E03"/>
    <w:rsid w:val="00C20F28"/>
    <w:rsid w:val="00C210C1"/>
    <w:rsid w:val="00C2111D"/>
    <w:rsid w:val="00C21185"/>
    <w:rsid w:val="00C211E1"/>
    <w:rsid w:val="00C212D9"/>
    <w:rsid w:val="00C21437"/>
    <w:rsid w:val="00C214CE"/>
    <w:rsid w:val="00C215BF"/>
    <w:rsid w:val="00C2184E"/>
    <w:rsid w:val="00C2187C"/>
    <w:rsid w:val="00C2195F"/>
    <w:rsid w:val="00C21A3E"/>
    <w:rsid w:val="00C21A80"/>
    <w:rsid w:val="00C21ADD"/>
    <w:rsid w:val="00C21B2A"/>
    <w:rsid w:val="00C21B43"/>
    <w:rsid w:val="00C21B8E"/>
    <w:rsid w:val="00C21BB4"/>
    <w:rsid w:val="00C21BBF"/>
    <w:rsid w:val="00C21C38"/>
    <w:rsid w:val="00C21C72"/>
    <w:rsid w:val="00C21C7E"/>
    <w:rsid w:val="00C21CD6"/>
    <w:rsid w:val="00C21DBA"/>
    <w:rsid w:val="00C21EF7"/>
    <w:rsid w:val="00C21F02"/>
    <w:rsid w:val="00C22233"/>
    <w:rsid w:val="00C222BC"/>
    <w:rsid w:val="00C223BC"/>
    <w:rsid w:val="00C223E6"/>
    <w:rsid w:val="00C225A8"/>
    <w:rsid w:val="00C22710"/>
    <w:rsid w:val="00C2274D"/>
    <w:rsid w:val="00C228A0"/>
    <w:rsid w:val="00C22956"/>
    <w:rsid w:val="00C22957"/>
    <w:rsid w:val="00C2295F"/>
    <w:rsid w:val="00C229FF"/>
    <w:rsid w:val="00C22B34"/>
    <w:rsid w:val="00C22BCB"/>
    <w:rsid w:val="00C22BDD"/>
    <w:rsid w:val="00C22BE9"/>
    <w:rsid w:val="00C22CE8"/>
    <w:rsid w:val="00C22E98"/>
    <w:rsid w:val="00C22F43"/>
    <w:rsid w:val="00C22F53"/>
    <w:rsid w:val="00C22F89"/>
    <w:rsid w:val="00C22FA9"/>
    <w:rsid w:val="00C23025"/>
    <w:rsid w:val="00C2313B"/>
    <w:rsid w:val="00C232BC"/>
    <w:rsid w:val="00C232D1"/>
    <w:rsid w:val="00C232D2"/>
    <w:rsid w:val="00C2335D"/>
    <w:rsid w:val="00C233B8"/>
    <w:rsid w:val="00C2347B"/>
    <w:rsid w:val="00C234A9"/>
    <w:rsid w:val="00C234D8"/>
    <w:rsid w:val="00C23667"/>
    <w:rsid w:val="00C23674"/>
    <w:rsid w:val="00C23793"/>
    <w:rsid w:val="00C237F0"/>
    <w:rsid w:val="00C2391A"/>
    <w:rsid w:val="00C2395F"/>
    <w:rsid w:val="00C23990"/>
    <w:rsid w:val="00C23A08"/>
    <w:rsid w:val="00C23AD2"/>
    <w:rsid w:val="00C23B77"/>
    <w:rsid w:val="00C23D42"/>
    <w:rsid w:val="00C23DAE"/>
    <w:rsid w:val="00C23DFD"/>
    <w:rsid w:val="00C23E84"/>
    <w:rsid w:val="00C23EB7"/>
    <w:rsid w:val="00C23EE0"/>
    <w:rsid w:val="00C23EEF"/>
    <w:rsid w:val="00C23F61"/>
    <w:rsid w:val="00C23FF4"/>
    <w:rsid w:val="00C24018"/>
    <w:rsid w:val="00C24058"/>
    <w:rsid w:val="00C2419D"/>
    <w:rsid w:val="00C24261"/>
    <w:rsid w:val="00C24463"/>
    <w:rsid w:val="00C2447B"/>
    <w:rsid w:val="00C24483"/>
    <w:rsid w:val="00C24A04"/>
    <w:rsid w:val="00C24AA3"/>
    <w:rsid w:val="00C24B42"/>
    <w:rsid w:val="00C24BD6"/>
    <w:rsid w:val="00C24BFD"/>
    <w:rsid w:val="00C24C06"/>
    <w:rsid w:val="00C24C6A"/>
    <w:rsid w:val="00C24CB1"/>
    <w:rsid w:val="00C24CE5"/>
    <w:rsid w:val="00C24DC2"/>
    <w:rsid w:val="00C24DEF"/>
    <w:rsid w:val="00C24E32"/>
    <w:rsid w:val="00C24EC5"/>
    <w:rsid w:val="00C250D3"/>
    <w:rsid w:val="00C2515D"/>
    <w:rsid w:val="00C2519B"/>
    <w:rsid w:val="00C25324"/>
    <w:rsid w:val="00C25343"/>
    <w:rsid w:val="00C254D2"/>
    <w:rsid w:val="00C25530"/>
    <w:rsid w:val="00C2555E"/>
    <w:rsid w:val="00C2558D"/>
    <w:rsid w:val="00C255A5"/>
    <w:rsid w:val="00C255CF"/>
    <w:rsid w:val="00C256DF"/>
    <w:rsid w:val="00C25759"/>
    <w:rsid w:val="00C257D7"/>
    <w:rsid w:val="00C25872"/>
    <w:rsid w:val="00C258A3"/>
    <w:rsid w:val="00C258FA"/>
    <w:rsid w:val="00C2594B"/>
    <w:rsid w:val="00C2596A"/>
    <w:rsid w:val="00C25B99"/>
    <w:rsid w:val="00C25BCE"/>
    <w:rsid w:val="00C25C16"/>
    <w:rsid w:val="00C25DDE"/>
    <w:rsid w:val="00C25EC1"/>
    <w:rsid w:val="00C25ED9"/>
    <w:rsid w:val="00C25F08"/>
    <w:rsid w:val="00C25FB2"/>
    <w:rsid w:val="00C26016"/>
    <w:rsid w:val="00C26087"/>
    <w:rsid w:val="00C260FF"/>
    <w:rsid w:val="00C262A0"/>
    <w:rsid w:val="00C262A3"/>
    <w:rsid w:val="00C2634D"/>
    <w:rsid w:val="00C26499"/>
    <w:rsid w:val="00C264B7"/>
    <w:rsid w:val="00C264C3"/>
    <w:rsid w:val="00C2655D"/>
    <w:rsid w:val="00C26588"/>
    <w:rsid w:val="00C265B2"/>
    <w:rsid w:val="00C265E1"/>
    <w:rsid w:val="00C26654"/>
    <w:rsid w:val="00C2667D"/>
    <w:rsid w:val="00C266BD"/>
    <w:rsid w:val="00C26751"/>
    <w:rsid w:val="00C2678B"/>
    <w:rsid w:val="00C268F1"/>
    <w:rsid w:val="00C26983"/>
    <w:rsid w:val="00C26995"/>
    <w:rsid w:val="00C2699F"/>
    <w:rsid w:val="00C26AEF"/>
    <w:rsid w:val="00C26BF4"/>
    <w:rsid w:val="00C26CD3"/>
    <w:rsid w:val="00C26DD8"/>
    <w:rsid w:val="00C26EB5"/>
    <w:rsid w:val="00C26EE4"/>
    <w:rsid w:val="00C2704D"/>
    <w:rsid w:val="00C27119"/>
    <w:rsid w:val="00C27151"/>
    <w:rsid w:val="00C27191"/>
    <w:rsid w:val="00C271A8"/>
    <w:rsid w:val="00C27244"/>
    <w:rsid w:val="00C272F3"/>
    <w:rsid w:val="00C273ED"/>
    <w:rsid w:val="00C27483"/>
    <w:rsid w:val="00C2751B"/>
    <w:rsid w:val="00C2757B"/>
    <w:rsid w:val="00C27597"/>
    <w:rsid w:val="00C27640"/>
    <w:rsid w:val="00C27652"/>
    <w:rsid w:val="00C2774A"/>
    <w:rsid w:val="00C27765"/>
    <w:rsid w:val="00C27888"/>
    <w:rsid w:val="00C27A2E"/>
    <w:rsid w:val="00C27AF8"/>
    <w:rsid w:val="00C27BE3"/>
    <w:rsid w:val="00C27C53"/>
    <w:rsid w:val="00C27E2A"/>
    <w:rsid w:val="00C27E76"/>
    <w:rsid w:val="00C30014"/>
    <w:rsid w:val="00C3002A"/>
    <w:rsid w:val="00C301B8"/>
    <w:rsid w:val="00C301E6"/>
    <w:rsid w:val="00C30226"/>
    <w:rsid w:val="00C302F5"/>
    <w:rsid w:val="00C30342"/>
    <w:rsid w:val="00C304D2"/>
    <w:rsid w:val="00C3051D"/>
    <w:rsid w:val="00C30525"/>
    <w:rsid w:val="00C3060F"/>
    <w:rsid w:val="00C306E6"/>
    <w:rsid w:val="00C30723"/>
    <w:rsid w:val="00C3084A"/>
    <w:rsid w:val="00C3088F"/>
    <w:rsid w:val="00C308D2"/>
    <w:rsid w:val="00C309A2"/>
    <w:rsid w:val="00C30AA9"/>
    <w:rsid w:val="00C30ADA"/>
    <w:rsid w:val="00C30AE6"/>
    <w:rsid w:val="00C30AE7"/>
    <w:rsid w:val="00C30B0B"/>
    <w:rsid w:val="00C30E9F"/>
    <w:rsid w:val="00C30EC8"/>
    <w:rsid w:val="00C30F19"/>
    <w:rsid w:val="00C30FA1"/>
    <w:rsid w:val="00C30FAA"/>
    <w:rsid w:val="00C310AB"/>
    <w:rsid w:val="00C3114E"/>
    <w:rsid w:val="00C311CB"/>
    <w:rsid w:val="00C31200"/>
    <w:rsid w:val="00C31218"/>
    <w:rsid w:val="00C313E2"/>
    <w:rsid w:val="00C31433"/>
    <w:rsid w:val="00C3143B"/>
    <w:rsid w:val="00C31488"/>
    <w:rsid w:val="00C3152B"/>
    <w:rsid w:val="00C31548"/>
    <w:rsid w:val="00C31577"/>
    <w:rsid w:val="00C31696"/>
    <w:rsid w:val="00C31798"/>
    <w:rsid w:val="00C317F1"/>
    <w:rsid w:val="00C31842"/>
    <w:rsid w:val="00C31875"/>
    <w:rsid w:val="00C31890"/>
    <w:rsid w:val="00C3195A"/>
    <w:rsid w:val="00C319D9"/>
    <w:rsid w:val="00C31A7C"/>
    <w:rsid w:val="00C31AB5"/>
    <w:rsid w:val="00C31D00"/>
    <w:rsid w:val="00C31D46"/>
    <w:rsid w:val="00C31D64"/>
    <w:rsid w:val="00C31D90"/>
    <w:rsid w:val="00C31DA1"/>
    <w:rsid w:val="00C31E8A"/>
    <w:rsid w:val="00C31EB2"/>
    <w:rsid w:val="00C31F55"/>
    <w:rsid w:val="00C32050"/>
    <w:rsid w:val="00C32069"/>
    <w:rsid w:val="00C320B2"/>
    <w:rsid w:val="00C32112"/>
    <w:rsid w:val="00C3225E"/>
    <w:rsid w:val="00C32273"/>
    <w:rsid w:val="00C3233A"/>
    <w:rsid w:val="00C324FC"/>
    <w:rsid w:val="00C3255C"/>
    <w:rsid w:val="00C3256B"/>
    <w:rsid w:val="00C325CB"/>
    <w:rsid w:val="00C32611"/>
    <w:rsid w:val="00C32891"/>
    <w:rsid w:val="00C329D9"/>
    <w:rsid w:val="00C32A1C"/>
    <w:rsid w:val="00C32A26"/>
    <w:rsid w:val="00C32ADC"/>
    <w:rsid w:val="00C32B69"/>
    <w:rsid w:val="00C32BCA"/>
    <w:rsid w:val="00C32BF4"/>
    <w:rsid w:val="00C32C0B"/>
    <w:rsid w:val="00C32C75"/>
    <w:rsid w:val="00C32CCD"/>
    <w:rsid w:val="00C32D12"/>
    <w:rsid w:val="00C32D2D"/>
    <w:rsid w:val="00C32D93"/>
    <w:rsid w:val="00C32DD5"/>
    <w:rsid w:val="00C32DF0"/>
    <w:rsid w:val="00C32E19"/>
    <w:rsid w:val="00C33075"/>
    <w:rsid w:val="00C33188"/>
    <w:rsid w:val="00C331A3"/>
    <w:rsid w:val="00C331F5"/>
    <w:rsid w:val="00C3321C"/>
    <w:rsid w:val="00C332DB"/>
    <w:rsid w:val="00C332E0"/>
    <w:rsid w:val="00C33440"/>
    <w:rsid w:val="00C335D3"/>
    <w:rsid w:val="00C33650"/>
    <w:rsid w:val="00C3378E"/>
    <w:rsid w:val="00C338DE"/>
    <w:rsid w:val="00C33A02"/>
    <w:rsid w:val="00C33A65"/>
    <w:rsid w:val="00C33A79"/>
    <w:rsid w:val="00C33AF7"/>
    <w:rsid w:val="00C33B7E"/>
    <w:rsid w:val="00C33BFA"/>
    <w:rsid w:val="00C33C02"/>
    <w:rsid w:val="00C33C30"/>
    <w:rsid w:val="00C33C8E"/>
    <w:rsid w:val="00C33D1B"/>
    <w:rsid w:val="00C33DF9"/>
    <w:rsid w:val="00C33E61"/>
    <w:rsid w:val="00C33F05"/>
    <w:rsid w:val="00C33F23"/>
    <w:rsid w:val="00C33F56"/>
    <w:rsid w:val="00C34128"/>
    <w:rsid w:val="00C3416F"/>
    <w:rsid w:val="00C341CA"/>
    <w:rsid w:val="00C34255"/>
    <w:rsid w:val="00C34304"/>
    <w:rsid w:val="00C343F3"/>
    <w:rsid w:val="00C34520"/>
    <w:rsid w:val="00C3454C"/>
    <w:rsid w:val="00C3485F"/>
    <w:rsid w:val="00C3493F"/>
    <w:rsid w:val="00C34C43"/>
    <w:rsid w:val="00C34E72"/>
    <w:rsid w:val="00C34F05"/>
    <w:rsid w:val="00C351AE"/>
    <w:rsid w:val="00C351D0"/>
    <w:rsid w:val="00C353B4"/>
    <w:rsid w:val="00C35426"/>
    <w:rsid w:val="00C354E3"/>
    <w:rsid w:val="00C355E4"/>
    <w:rsid w:val="00C355F0"/>
    <w:rsid w:val="00C355FB"/>
    <w:rsid w:val="00C3567B"/>
    <w:rsid w:val="00C35683"/>
    <w:rsid w:val="00C35737"/>
    <w:rsid w:val="00C35764"/>
    <w:rsid w:val="00C35814"/>
    <w:rsid w:val="00C35866"/>
    <w:rsid w:val="00C358A2"/>
    <w:rsid w:val="00C35938"/>
    <w:rsid w:val="00C35973"/>
    <w:rsid w:val="00C359AC"/>
    <w:rsid w:val="00C359EC"/>
    <w:rsid w:val="00C35AAF"/>
    <w:rsid w:val="00C35B7E"/>
    <w:rsid w:val="00C35C91"/>
    <w:rsid w:val="00C35D0C"/>
    <w:rsid w:val="00C35D36"/>
    <w:rsid w:val="00C35DE7"/>
    <w:rsid w:val="00C35F79"/>
    <w:rsid w:val="00C35FAA"/>
    <w:rsid w:val="00C36038"/>
    <w:rsid w:val="00C36063"/>
    <w:rsid w:val="00C360E5"/>
    <w:rsid w:val="00C3614F"/>
    <w:rsid w:val="00C36198"/>
    <w:rsid w:val="00C3619E"/>
    <w:rsid w:val="00C36259"/>
    <w:rsid w:val="00C3635A"/>
    <w:rsid w:val="00C3644B"/>
    <w:rsid w:val="00C364AF"/>
    <w:rsid w:val="00C365EB"/>
    <w:rsid w:val="00C36692"/>
    <w:rsid w:val="00C366F4"/>
    <w:rsid w:val="00C36718"/>
    <w:rsid w:val="00C36886"/>
    <w:rsid w:val="00C368CB"/>
    <w:rsid w:val="00C36972"/>
    <w:rsid w:val="00C36A71"/>
    <w:rsid w:val="00C36AD2"/>
    <w:rsid w:val="00C36AE1"/>
    <w:rsid w:val="00C36B28"/>
    <w:rsid w:val="00C36B36"/>
    <w:rsid w:val="00C36C6C"/>
    <w:rsid w:val="00C36CB5"/>
    <w:rsid w:val="00C36E50"/>
    <w:rsid w:val="00C36F21"/>
    <w:rsid w:val="00C36F38"/>
    <w:rsid w:val="00C3700A"/>
    <w:rsid w:val="00C37017"/>
    <w:rsid w:val="00C37058"/>
    <w:rsid w:val="00C370B6"/>
    <w:rsid w:val="00C3724F"/>
    <w:rsid w:val="00C37257"/>
    <w:rsid w:val="00C3727B"/>
    <w:rsid w:val="00C37285"/>
    <w:rsid w:val="00C37288"/>
    <w:rsid w:val="00C3729C"/>
    <w:rsid w:val="00C372CA"/>
    <w:rsid w:val="00C37477"/>
    <w:rsid w:val="00C3758A"/>
    <w:rsid w:val="00C375E3"/>
    <w:rsid w:val="00C376AD"/>
    <w:rsid w:val="00C376D1"/>
    <w:rsid w:val="00C37705"/>
    <w:rsid w:val="00C37722"/>
    <w:rsid w:val="00C378EE"/>
    <w:rsid w:val="00C37904"/>
    <w:rsid w:val="00C37976"/>
    <w:rsid w:val="00C37A09"/>
    <w:rsid w:val="00C37A7D"/>
    <w:rsid w:val="00C37B82"/>
    <w:rsid w:val="00C37B90"/>
    <w:rsid w:val="00C37BE0"/>
    <w:rsid w:val="00C37C77"/>
    <w:rsid w:val="00C37D12"/>
    <w:rsid w:val="00C37D5E"/>
    <w:rsid w:val="00C40174"/>
    <w:rsid w:val="00C401B2"/>
    <w:rsid w:val="00C402A3"/>
    <w:rsid w:val="00C4031B"/>
    <w:rsid w:val="00C403CA"/>
    <w:rsid w:val="00C40415"/>
    <w:rsid w:val="00C4043D"/>
    <w:rsid w:val="00C4052D"/>
    <w:rsid w:val="00C405F1"/>
    <w:rsid w:val="00C40699"/>
    <w:rsid w:val="00C406A3"/>
    <w:rsid w:val="00C406D3"/>
    <w:rsid w:val="00C4070B"/>
    <w:rsid w:val="00C407C3"/>
    <w:rsid w:val="00C4087D"/>
    <w:rsid w:val="00C408BB"/>
    <w:rsid w:val="00C40985"/>
    <w:rsid w:val="00C409A3"/>
    <w:rsid w:val="00C40A02"/>
    <w:rsid w:val="00C40AE9"/>
    <w:rsid w:val="00C40C91"/>
    <w:rsid w:val="00C40D37"/>
    <w:rsid w:val="00C40D38"/>
    <w:rsid w:val="00C40D39"/>
    <w:rsid w:val="00C40D4D"/>
    <w:rsid w:val="00C40DB2"/>
    <w:rsid w:val="00C40E2E"/>
    <w:rsid w:val="00C40E40"/>
    <w:rsid w:val="00C40E93"/>
    <w:rsid w:val="00C40EE3"/>
    <w:rsid w:val="00C40F26"/>
    <w:rsid w:val="00C40F9A"/>
    <w:rsid w:val="00C40FD1"/>
    <w:rsid w:val="00C4105F"/>
    <w:rsid w:val="00C410A8"/>
    <w:rsid w:val="00C410DA"/>
    <w:rsid w:val="00C41103"/>
    <w:rsid w:val="00C41114"/>
    <w:rsid w:val="00C41274"/>
    <w:rsid w:val="00C41359"/>
    <w:rsid w:val="00C414BA"/>
    <w:rsid w:val="00C41539"/>
    <w:rsid w:val="00C4171F"/>
    <w:rsid w:val="00C417F6"/>
    <w:rsid w:val="00C419C2"/>
    <w:rsid w:val="00C41B9B"/>
    <w:rsid w:val="00C41BEB"/>
    <w:rsid w:val="00C41C08"/>
    <w:rsid w:val="00C41CA0"/>
    <w:rsid w:val="00C41D22"/>
    <w:rsid w:val="00C41DE0"/>
    <w:rsid w:val="00C41E4F"/>
    <w:rsid w:val="00C41E52"/>
    <w:rsid w:val="00C41E8C"/>
    <w:rsid w:val="00C41EE1"/>
    <w:rsid w:val="00C41F20"/>
    <w:rsid w:val="00C41F6A"/>
    <w:rsid w:val="00C41FB6"/>
    <w:rsid w:val="00C4204C"/>
    <w:rsid w:val="00C420FC"/>
    <w:rsid w:val="00C421D6"/>
    <w:rsid w:val="00C422E9"/>
    <w:rsid w:val="00C4236B"/>
    <w:rsid w:val="00C423A6"/>
    <w:rsid w:val="00C42481"/>
    <w:rsid w:val="00C424FE"/>
    <w:rsid w:val="00C425CA"/>
    <w:rsid w:val="00C4265E"/>
    <w:rsid w:val="00C42677"/>
    <w:rsid w:val="00C426E0"/>
    <w:rsid w:val="00C42716"/>
    <w:rsid w:val="00C427D4"/>
    <w:rsid w:val="00C42836"/>
    <w:rsid w:val="00C4288D"/>
    <w:rsid w:val="00C429BB"/>
    <w:rsid w:val="00C429D0"/>
    <w:rsid w:val="00C42A16"/>
    <w:rsid w:val="00C42B83"/>
    <w:rsid w:val="00C42BB2"/>
    <w:rsid w:val="00C42BDB"/>
    <w:rsid w:val="00C42C01"/>
    <w:rsid w:val="00C42C8F"/>
    <w:rsid w:val="00C42C9D"/>
    <w:rsid w:val="00C42CE2"/>
    <w:rsid w:val="00C42DCD"/>
    <w:rsid w:val="00C42EA5"/>
    <w:rsid w:val="00C42FB5"/>
    <w:rsid w:val="00C4303F"/>
    <w:rsid w:val="00C430D8"/>
    <w:rsid w:val="00C43148"/>
    <w:rsid w:val="00C4339A"/>
    <w:rsid w:val="00C4342C"/>
    <w:rsid w:val="00C4350A"/>
    <w:rsid w:val="00C43515"/>
    <w:rsid w:val="00C4357A"/>
    <w:rsid w:val="00C435A2"/>
    <w:rsid w:val="00C435CE"/>
    <w:rsid w:val="00C437B6"/>
    <w:rsid w:val="00C438C1"/>
    <w:rsid w:val="00C438E9"/>
    <w:rsid w:val="00C439FE"/>
    <w:rsid w:val="00C43A76"/>
    <w:rsid w:val="00C43BB6"/>
    <w:rsid w:val="00C43C32"/>
    <w:rsid w:val="00C43D23"/>
    <w:rsid w:val="00C43D62"/>
    <w:rsid w:val="00C43D72"/>
    <w:rsid w:val="00C43EF6"/>
    <w:rsid w:val="00C43F48"/>
    <w:rsid w:val="00C43F8B"/>
    <w:rsid w:val="00C44019"/>
    <w:rsid w:val="00C440AF"/>
    <w:rsid w:val="00C44175"/>
    <w:rsid w:val="00C441F8"/>
    <w:rsid w:val="00C4423E"/>
    <w:rsid w:val="00C442A9"/>
    <w:rsid w:val="00C4436A"/>
    <w:rsid w:val="00C44436"/>
    <w:rsid w:val="00C44474"/>
    <w:rsid w:val="00C44504"/>
    <w:rsid w:val="00C4463E"/>
    <w:rsid w:val="00C44890"/>
    <w:rsid w:val="00C448C8"/>
    <w:rsid w:val="00C44A0C"/>
    <w:rsid w:val="00C44B99"/>
    <w:rsid w:val="00C44BC8"/>
    <w:rsid w:val="00C44BFD"/>
    <w:rsid w:val="00C44C43"/>
    <w:rsid w:val="00C44E34"/>
    <w:rsid w:val="00C44FCC"/>
    <w:rsid w:val="00C44FF0"/>
    <w:rsid w:val="00C4500A"/>
    <w:rsid w:val="00C4505E"/>
    <w:rsid w:val="00C4507C"/>
    <w:rsid w:val="00C450D3"/>
    <w:rsid w:val="00C451EC"/>
    <w:rsid w:val="00C451F6"/>
    <w:rsid w:val="00C45223"/>
    <w:rsid w:val="00C45279"/>
    <w:rsid w:val="00C45285"/>
    <w:rsid w:val="00C45286"/>
    <w:rsid w:val="00C452CC"/>
    <w:rsid w:val="00C45328"/>
    <w:rsid w:val="00C453E2"/>
    <w:rsid w:val="00C4542B"/>
    <w:rsid w:val="00C45436"/>
    <w:rsid w:val="00C45580"/>
    <w:rsid w:val="00C45660"/>
    <w:rsid w:val="00C45708"/>
    <w:rsid w:val="00C4571F"/>
    <w:rsid w:val="00C45768"/>
    <w:rsid w:val="00C4581A"/>
    <w:rsid w:val="00C45842"/>
    <w:rsid w:val="00C4588B"/>
    <w:rsid w:val="00C45938"/>
    <w:rsid w:val="00C45957"/>
    <w:rsid w:val="00C45A69"/>
    <w:rsid w:val="00C45ABE"/>
    <w:rsid w:val="00C45AE0"/>
    <w:rsid w:val="00C45B9A"/>
    <w:rsid w:val="00C45EA2"/>
    <w:rsid w:val="00C45EB7"/>
    <w:rsid w:val="00C45F38"/>
    <w:rsid w:val="00C45F49"/>
    <w:rsid w:val="00C46090"/>
    <w:rsid w:val="00C460A5"/>
    <w:rsid w:val="00C46152"/>
    <w:rsid w:val="00C4626C"/>
    <w:rsid w:val="00C462D0"/>
    <w:rsid w:val="00C462E5"/>
    <w:rsid w:val="00C46351"/>
    <w:rsid w:val="00C46436"/>
    <w:rsid w:val="00C464E3"/>
    <w:rsid w:val="00C465AE"/>
    <w:rsid w:val="00C46871"/>
    <w:rsid w:val="00C46906"/>
    <w:rsid w:val="00C4697E"/>
    <w:rsid w:val="00C469C0"/>
    <w:rsid w:val="00C46BD1"/>
    <w:rsid w:val="00C46C19"/>
    <w:rsid w:val="00C46D4C"/>
    <w:rsid w:val="00C46D61"/>
    <w:rsid w:val="00C46D80"/>
    <w:rsid w:val="00C46FE4"/>
    <w:rsid w:val="00C47060"/>
    <w:rsid w:val="00C4707B"/>
    <w:rsid w:val="00C470B0"/>
    <w:rsid w:val="00C47148"/>
    <w:rsid w:val="00C47160"/>
    <w:rsid w:val="00C47203"/>
    <w:rsid w:val="00C472DE"/>
    <w:rsid w:val="00C47318"/>
    <w:rsid w:val="00C4740B"/>
    <w:rsid w:val="00C47475"/>
    <w:rsid w:val="00C47550"/>
    <w:rsid w:val="00C4758A"/>
    <w:rsid w:val="00C47617"/>
    <w:rsid w:val="00C476DF"/>
    <w:rsid w:val="00C47767"/>
    <w:rsid w:val="00C477E5"/>
    <w:rsid w:val="00C4780B"/>
    <w:rsid w:val="00C4783B"/>
    <w:rsid w:val="00C479D6"/>
    <w:rsid w:val="00C47A11"/>
    <w:rsid w:val="00C47AB4"/>
    <w:rsid w:val="00C47B36"/>
    <w:rsid w:val="00C47B4B"/>
    <w:rsid w:val="00C47B81"/>
    <w:rsid w:val="00C47BB7"/>
    <w:rsid w:val="00C47BE2"/>
    <w:rsid w:val="00C47C27"/>
    <w:rsid w:val="00C47C7A"/>
    <w:rsid w:val="00C47CF2"/>
    <w:rsid w:val="00C47D23"/>
    <w:rsid w:val="00C47D25"/>
    <w:rsid w:val="00C47E28"/>
    <w:rsid w:val="00C47F40"/>
    <w:rsid w:val="00C47FE7"/>
    <w:rsid w:val="00C500D9"/>
    <w:rsid w:val="00C50123"/>
    <w:rsid w:val="00C50205"/>
    <w:rsid w:val="00C5032E"/>
    <w:rsid w:val="00C50447"/>
    <w:rsid w:val="00C50529"/>
    <w:rsid w:val="00C505AC"/>
    <w:rsid w:val="00C506A3"/>
    <w:rsid w:val="00C506AA"/>
    <w:rsid w:val="00C506D6"/>
    <w:rsid w:val="00C5075B"/>
    <w:rsid w:val="00C5076F"/>
    <w:rsid w:val="00C507D5"/>
    <w:rsid w:val="00C50855"/>
    <w:rsid w:val="00C508BB"/>
    <w:rsid w:val="00C509A0"/>
    <w:rsid w:val="00C509E5"/>
    <w:rsid w:val="00C50A26"/>
    <w:rsid w:val="00C50A44"/>
    <w:rsid w:val="00C50AC9"/>
    <w:rsid w:val="00C50B19"/>
    <w:rsid w:val="00C50B9F"/>
    <w:rsid w:val="00C50BD3"/>
    <w:rsid w:val="00C50C54"/>
    <w:rsid w:val="00C50C89"/>
    <w:rsid w:val="00C50D4B"/>
    <w:rsid w:val="00C50D5A"/>
    <w:rsid w:val="00C50D84"/>
    <w:rsid w:val="00C50E70"/>
    <w:rsid w:val="00C50F9E"/>
    <w:rsid w:val="00C5100B"/>
    <w:rsid w:val="00C511BF"/>
    <w:rsid w:val="00C5120E"/>
    <w:rsid w:val="00C512DF"/>
    <w:rsid w:val="00C514D6"/>
    <w:rsid w:val="00C515AA"/>
    <w:rsid w:val="00C5163C"/>
    <w:rsid w:val="00C516D1"/>
    <w:rsid w:val="00C516E4"/>
    <w:rsid w:val="00C5177E"/>
    <w:rsid w:val="00C51894"/>
    <w:rsid w:val="00C51931"/>
    <w:rsid w:val="00C51981"/>
    <w:rsid w:val="00C51997"/>
    <w:rsid w:val="00C519E6"/>
    <w:rsid w:val="00C51A8C"/>
    <w:rsid w:val="00C51A93"/>
    <w:rsid w:val="00C51B40"/>
    <w:rsid w:val="00C51B5F"/>
    <w:rsid w:val="00C51C27"/>
    <w:rsid w:val="00C51C8C"/>
    <w:rsid w:val="00C51D0A"/>
    <w:rsid w:val="00C51D30"/>
    <w:rsid w:val="00C51E2A"/>
    <w:rsid w:val="00C51E32"/>
    <w:rsid w:val="00C51E8E"/>
    <w:rsid w:val="00C51E90"/>
    <w:rsid w:val="00C51F03"/>
    <w:rsid w:val="00C51F78"/>
    <w:rsid w:val="00C51FCF"/>
    <w:rsid w:val="00C5202B"/>
    <w:rsid w:val="00C5206F"/>
    <w:rsid w:val="00C52190"/>
    <w:rsid w:val="00C521AC"/>
    <w:rsid w:val="00C521C5"/>
    <w:rsid w:val="00C5232B"/>
    <w:rsid w:val="00C52332"/>
    <w:rsid w:val="00C5233E"/>
    <w:rsid w:val="00C5238F"/>
    <w:rsid w:val="00C523D5"/>
    <w:rsid w:val="00C52433"/>
    <w:rsid w:val="00C52454"/>
    <w:rsid w:val="00C52466"/>
    <w:rsid w:val="00C5254C"/>
    <w:rsid w:val="00C525A8"/>
    <w:rsid w:val="00C52673"/>
    <w:rsid w:val="00C526E0"/>
    <w:rsid w:val="00C5273D"/>
    <w:rsid w:val="00C52749"/>
    <w:rsid w:val="00C52818"/>
    <w:rsid w:val="00C52888"/>
    <w:rsid w:val="00C528BB"/>
    <w:rsid w:val="00C528FE"/>
    <w:rsid w:val="00C5291A"/>
    <w:rsid w:val="00C529C5"/>
    <w:rsid w:val="00C529DB"/>
    <w:rsid w:val="00C529FF"/>
    <w:rsid w:val="00C52A11"/>
    <w:rsid w:val="00C52A2B"/>
    <w:rsid w:val="00C52A89"/>
    <w:rsid w:val="00C52B4D"/>
    <w:rsid w:val="00C52BCE"/>
    <w:rsid w:val="00C52C0A"/>
    <w:rsid w:val="00C52C5F"/>
    <w:rsid w:val="00C52C86"/>
    <w:rsid w:val="00C52C95"/>
    <w:rsid w:val="00C52CA6"/>
    <w:rsid w:val="00C52DE6"/>
    <w:rsid w:val="00C52E2D"/>
    <w:rsid w:val="00C52E52"/>
    <w:rsid w:val="00C52E6B"/>
    <w:rsid w:val="00C52E82"/>
    <w:rsid w:val="00C52F2F"/>
    <w:rsid w:val="00C52F32"/>
    <w:rsid w:val="00C52F44"/>
    <w:rsid w:val="00C52F58"/>
    <w:rsid w:val="00C52F60"/>
    <w:rsid w:val="00C52F80"/>
    <w:rsid w:val="00C53056"/>
    <w:rsid w:val="00C53058"/>
    <w:rsid w:val="00C530F7"/>
    <w:rsid w:val="00C531E9"/>
    <w:rsid w:val="00C532B0"/>
    <w:rsid w:val="00C532FA"/>
    <w:rsid w:val="00C53356"/>
    <w:rsid w:val="00C53402"/>
    <w:rsid w:val="00C534DA"/>
    <w:rsid w:val="00C53556"/>
    <w:rsid w:val="00C53618"/>
    <w:rsid w:val="00C5362D"/>
    <w:rsid w:val="00C536D4"/>
    <w:rsid w:val="00C53740"/>
    <w:rsid w:val="00C537C7"/>
    <w:rsid w:val="00C539B7"/>
    <w:rsid w:val="00C53A65"/>
    <w:rsid w:val="00C53AFB"/>
    <w:rsid w:val="00C53B5C"/>
    <w:rsid w:val="00C53B64"/>
    <w:rsid w:val="00C53CDD"/>
    <w:rsid w:val="00C53E08"/>
    <w:rsid w:val="00C53E3D"/>
    <w:rsid w:val="00C53F04"/>
    <w:rsid w:val="00C5412F"/>
    <w:rsid w:val="00C54198"/>
    <w:rsid w:val="00C541A4"/>
    <w:rsid w:val="00C541D7"/>
    <w:rsid w:val="00C54262"/>
    <w:rsid w:val="00C5436D"/>
    <w:rsid w:val="00C543FD"/>
    <w:rsid w:val="00C543FF"/>
    <w:rsid w:val="00C5455C"/>
    <w:rsid w:val="00C54598"/>
    <w:rsid w:val="00C545C3"/>
    <w:rsid w:val="00C54611"/>
    <w:rsid w:val="00C547D5"/>
    <w:rsid w:val="00C547E2"/>
    <w:rsid w:val="00C5484D"/>
    <w:rsid w:val="00C54950"/>
    <w:rsid w:val="00C5495D"/>
    <w:rsid w:val="00C54A0B"/>
    <w:rsid w:val="00C54AAA"/>
    <w:rsid w:val="00C54B37"/>
    <w:rsid w:val="00C54B7A"/>
    <w:rsid w:val="00C54BA6"/>
    <w:rsid w:val="00C54BF4"/>
    <w:rsid w:val="00C54C62"/>
    <w:rsid w:val="00C54CBD"/>
    <w:rsid w:val="00C54CFD"/>
    <w:rsid w:val="00C54D88"/>
    <w:rsid w:val="00C54DDA"/>
    <w:rsid w:val="00C54E9F"/>
    <w:rsid w:val="00C54EC8"/>
    <w:rsid w:val="00C54EEC"/>
    <w:rsid w:val="00C54EFE"/>
    <w:rsid w:val="00C54FEA"/>
    <w:rsid w:val="00C54FF5"/>
    <w:rsid w:val="00C55056"/>
    <w:rsid w:val="00C55057"/>
    <w:rsid w:val="00C5507A"/>
    <w:rsid w:val="00C550B7"/>
    <w:rsid w:val="00C550F8"/>
    <w:rsid w:val="00C5512D"/>
    <w:rsid w:val="00C5514F"/>
    <w:rsid w:val="00C55198"/>
    <w:rsid w:val="00C551CC"/>
    <w:rsid w:val="00C5522C"/>
    <w:rsid w:val="00C55250"/>
    <w:rsid w:val="00C55251"/>
    <w:rsid w:val="00C55289"/>
    <w:rsid w:val="00C5528B"/>
    <w:rsid w:val="00C5528E"/>
    <w:rsid w:val="00C552A6"/>
    <w:rsid w:val="00C55364"/>
    <w:rsid w:val="00C55398"/>
    <w:rsid w:val="00C553B8"/>
    <w:rsid w:val="00C55406"/>
    <w:rsid w:val="00C554A6"/>
    <w:rsid w:val="00C554D0"/>
    <w:rsid w:val="00C554ED"/>
    <w:rsid w:val="00C555C1"/>
    <w:rsid w:val="00C555FC"/>
    <w:rsid w:val="00C5579B"/>
    <w:rsid w:val="00C55805"/>
    <w:rsid w:val="00C558FD"/>
    <w:rsid w:val="00C559F1"/>
    <w:rsid w:val="00C55A2B"/>
    <w:rsid w:val="00C55B5C"/>
    <w:rsid w:val="00C55BA6"/>
    <w:rsid w:val="00C55C12"/>
    <w:rsid w:val="00C55CF4"/>
    <w:rsid w:val="00C55CFE"/>
    <w:rsid w:val="00C55E40"/>
    <w:rsid w:val="00C55E54"/>
    <w:rsid w:val="00C55E9C"/>
    <w:rsid w:val="00C55FAD"/>
    <w:rsid w:val="00C56112"/>
    <w:rsid w:val="00C56130"/>
    <w:rsid w:val="00C562C3"/>
    <w:rsid w:val="00C562F3"/>
    <w:rsid w:val="00C56306"/>
    <w:rsid w:val="00C56411"/>
    <w:rsid w:val="00C56499"/>
    <w:rsid w:val="00C564D8"/>
    <w:rsid w:val="00C56547"/>
    <w:rsid w:val="00C565D4"/>
    <w:rsid w:val="00C565E5"/>
    <w:rsid w:val="00C566F8"/>
    <w:rsid w:val="00C56707"/>
    <w:rsid w:val="00C5679B"/>
    <w:rsid w:val="00C567C5"/>
    <w:rsid w:val="00C56869"/>
    <w:rsid w:val="00C5692F"/>
    <w:rsid w:val="00C5698A"/>
    <w:rsid w:val="00C56BA6"/>
    <w:rsid w:val="00C56BE0"/>
    <w:rsid w:val="00C56C43"/>
    <w:rsid w:val="00C56C61"/>
    <w:rsid w:val="00C56D88"/>
    <w:rsid w:val="00C56DF0"/>
    <w:rsid w:val="00C56F0C"/>
    <w:rsid w:val="00C56F7E"/>
    <w:rsid w:val="00C56F82"/>
    <w:rsid w:val="00C5701B"/>
    <w:rsid w:val="00C57049"/>
    <w:rsid w:val="00C57057"/>
    <w:rsid w:val="00C5709F"/>
    <w:rsid w:val="00C571D3"/>
    <w:rsid w:val="00C571ED"/>
    <w:rsid w:val="00C57337"/>
    <w:rsid w:val="00C57369"/>
    <w:rsid w:val="00C573C5"/>
    <w:rsid w:val="00C573C6"/>
    <w:rsid w:val="00C57479"/>
    <w:rsid w:val="00C5748C"/>
    <w:rsid w:val="00C5754F"/>
    <w:rsid w:val="00C575EF"/>
    <w:rsid w:val="00C5773B"/>
    <w:rsid w:val="00C57781"/>
    <w:rsid w:val="00C577E7"/>
    <w:rsid w:val="00C57817"/>
    <w:rsid w:val="00C5784E"/>
    <w:rsid w:val="00C57A89"/>
    <w:rsid w:val="00C57B73"/>
    <w:rsid w:val="00C57B7E"/>
    <w:rsid w:val="00C57C08"/>
    <w:rsid w:val="00C57C3F"/>
    <w:rsid w:val="00C57C92"/>
    <w:rsid w:val="00C57CC9"/>
    <w:rsid w:val="00C57D94"/>
    <w:rsid w:val="00C57DC6"/>
    <w:rsid w:val="00C57F51"/>
    <w:rsid w:val="00C57F9E"/>
    <w:rsid w:val="00C57FCC"/>
    <w:rsid w:val="00C60006"/>
    <w:rsid w:val="00C60023"/>
    <w:rsid w:val="00C600B8"/>
    <w:rsid w:val="00C601EF"/>
    <w:rsid w:val="00C6027E"/>
    <w:rsid w:val="00C60369"/>
    <w:rsid w:val="00C6036C"/>
    <w:rsid w:val="00C603AC"/>
    <w:rsid w:val="00C603E5"/>
    <w:rsid w:val="00C60491"/>
    <w:rsid w:val="00C604FB"/>
    <w:rsid w:val="00C6058C"/>
    <w:rsid w:val="00C605BA"/>
    <w:rsid w:val="00C605D6"/>
    <w:rsid w:val="00C60737"/>
    <w:rsid w:val="00C608DA"/>
    <w:rsid w:val="00C6094A"/>
    <w:rsid w:val="00C609B4"/>
    <w:rsid w:val="00C609B5"/>
    <w:rsid w:val="00C60A8E"/>
    <w:rsid w:val="00C60B50"/>
    <w:rsid w:val="00C60B5E"/>
    <w:rsid w:val="00C60CCC"/>
    <w:rsid w:val="00C60D9B"/>
    <w:rsid w:val="00C60EA2"/>
    <w:rsid w:val="00C60F5B"/>
    <w:rsid w:val="00C60FA2"/>
    <w:rsid w:val="00C60FD6"/>
    <w:rsid w:val="00C61095"/>
    <w:rsid w:val="00C610AA"/>
    <w:rsid w:val="00C6111D"/>
    <w:rsid w:val="00C6113E"/>
    <w:rsid w:val="00C6116F"/>
    <w:rsid w:val="00C611A9"/>
    <w:rsid w:val="00C611D9"/>
    <w:rsid w:val="00C61267"/>
    <w:rsid w:val="00C612A5"/>
    <w:rsid w:val="00C6137E"/>
    <w:rsid w:val="00C6143A"/>
    <w:rsid w:val="00C6147D"/>
    <w:rsid w:val="00C6150D"/>
    <w:rsid w:val="00C61516"/>
    <w:rsid w:val="00C615A0"/>
    <w:rsid w:val="00C6168B"/>
    <w:rsid w:val="00C61778"/>
    <w:rsid w:val="00C6188C"/>
    <w:rsid w:val="00C619BA"/>
    <w:rsid w:val="00C61AC6"/>
    <w:rsid w:val="00C61B05"/>
    <w:rsid w:val="00C61B64"/>
    <w:rsid w:val="00C61B95"/>
    <w:rsid w:val="00C61C90"/>
    <w:rsid w:val="00C61CC7"/>
    <w:rsid w:val="00C61D39"/>
    <w:rsid w:val="00C61D74"/>
    <w:rsid w:val="00C61F35"/>
    <w:rsid w:val="00C61FAA"/>
    <w:rsid w:val="00C62009"/>
    <w:rsid w:val="00C62028"/>
    <w:rsid w:val="00C620A2"/>
    <w:rsid w:val="00C621B2"/>
    <w:rsid w:val="00C62201"/>
    <w:rsid w:val="00C62204"/>
    <w:rsid w:val="00C62217"/>
    <w:rsid w:val="00C62223"/>
    <w:rsid w:val="00C62225"/>
    <w:rsid w:val="00C6228D"/>
    <w:rsid w:val="00C62326"/>
    <w:rsid w:val="00C6232A"/>
    <w:rsid w:val="00C62350"/>
    <w:rsid w:val="00C62510"/>
    <w:rsid w:val="00C62549"/>
    <w:rsid w:val="00C62594"/>
    <w:rsid w:val="00C625FF"/>
    <w:rsid w:val="00C62620"/>
    <w:rsid w:val="00C62625"/>
    <w:rsid w:val="00C6263E"/>
    <w:rsid w:val="00C62651"/>
    <w:rsid w:val="00C626FA"/>
    <w:rsid w:val="00C6270D"/>
    <w:rsid w:val="00C62815"/>
    <w:rsid w:val="00C628CC"/>
    <w:rsid w:val="00C628DE"/>
    <w:rsid w:val="00C62966"/>
    <w:rsid w:val="00C62B18"/>
    <w:rsid w:val="00C62BBA"/>
    <w:rsid w:val="00C62C61"/>
    <w:rsid w:val="00C62D26"/>
    <w:rsid w:val="00C62EC4"/>
    <w:rsid w:val="00C62EC8"/>
    <w:rsid w:val="00C63080"/>
    <w:rsid w:val="00C6308F"/>
    <w:rsid w:val="00C6320C"/>
    <w:rsid w:val="00C63229"/>
    <w:rsid w:val="00C633D4"/>
    <w:rsid w:val="00C634C8"/>
    <w:rsid w:val="00C634DA"/>
    <w:rsid w:val="00C63597"/>
    <w:rsid w:val="00C63638"/>
    <w:rsid w:val="00C63644"/>
    <w:rsid w:val="00C636A2"/>
    <w:rsid w:val="00C63757"/>
    <w:rsid w:val="00C6377D"/>
    <w:rsid w:val="00C63869"/>
    <w:rsid w:val="00C638AB"/>
    <w:rsid w:val="00C638B4"/>
    <w:rsid w:val="00C638FE"/>
    <w:rsid w:val="00C63944"/>
    <w:rsid w:val="00C639C7"/>
    <w:rsid w:val="00C639CB"/>
    <w:rsid w:val="00C63A0D"/>
    <w:rsid w:val="00C63A72"/>
    <w:rsid w:val="00C63A98"/>
    <w:rsid w:val="00C63B5D"/>
    <w:rsid w:val="00C63B7B"/>
    <w:rsid w:val="00C63C9B"/>
    <w:rsid w:val="00C63E5F"/>
    <w:rsid w:val="00C63EC2"/>
    <w:rsid w:val="00C63F47"/>
    <w:rsid w:val="00C63FE5"/>
    <w:rsid w:val="00C6409B"/>
    <w:rsid w:val="00C640D6"/>
    <w:rsid w:val="00C64248"/>
    <w:rsid w:val="00C642F3"/>
    <w:rsid w:val="00C6439B"/>
    <w:rsid w:val="00C64463"/>
    <w:rsid w:val="00C644C9"/>
    <w:rsid w:val="00C6450C"/>
    <w:rsid w:val="00C645BC"/>
    <w:rsid w:val="00C64659"/>
    <w:rsid w:val="00C6480B"/>
    <w:rsid w:val="00C64844"/>
    <w:rsid w:val="00C64962"/>
    <w:rsid w:val="00C64C04"/>
    <w:rsid w:val="00C64DAE"/>
    <w:rsid w:val="00C64EC7"/>
    <w:rsid w:val="00C64F41"/>
    <w:rsid w:val="00C6522A"/>
    <w:rsid w:val="00C652F5"/>
    <w:rsid w:val="00C65376"/>
    <w:rsid w:val="00C65389"/>
    <w:rsid w:val="00C653FC"/>
    <w:rsid w:val="00C654C1"/>
    <w:rsid w:val="00C65566"/>
    <w:rsid w:val="00C6556E"/>
    <w:rsid w:val="00C65642"/>
    <w:rsid w:val="00C6569E"/>
    <w:rsid w:val="00C656C7"/>
    <w:rsid w:val="00C656EF"/>
    <w:rsid w:val="00C65798"/>
    <w:rsid w:val="00C657FE"/>
    <w:rsid w:val="00C658BB"/>
    <w:rsid w:val="00C658CE"/>
    <w:rsid w:val="00C65905"/>
    <w:rsid w:val="00C65937"/>
    <w:rsid w:val="00C659A3"/>
    <w:rsid w:val="00C65B90"/>
    <w:rsid w:val="00C65C14"/>
    <w:rsid w:val="00C65D08"/>
    <w:rsid w:val="00C65D38"/>
    <w:rsid w:val="00C65E54"/>
    <w:rsid w:val="00C65E6C"/>
    <w:rsid w:val="00C65E6D"/>
    <w:rsid w:val="00C65ED3"/>
    <w:rsid w:val="00C65F4D"/>
    <w:rsid w:val="00C65F99"/>
    <w:rsid w:val="00C66071"/>
    <w:rsid w:val="00C660E2"/>
    <w:rsid w:val="00C661A4"/>
    <w:rsid w:val="00C66202"/>
    <w:rsid w:val="00C66204"/>
    <w:rsid w:val="00C6620E"/>
    <w:rsid w:val="00C6626E"/>
    <w:rsid w:val="00C66287"/>
    <w:rsid w:val="00C6632A"/>
    <w:rsid w:val="00C66373"/>
    <w:rsid w:val="00C66649"/>
    <w:rsid w:val="00C6669C"/>
    <w:rsid w:val="00C668BF"/>
    <w:rsid w:val="00C668F3"/>
    <w:rsid w:val="00C66955"/>
    <w:rsid w:val="00C669CB"/>
    <w:rsid w:val="00C669CE"/>
    <w:rsid w:val="00C669DA"/>
    <w:rsid w:val="00C669F2"/>
    <w:rsid w:val="00C66B87"/>
    <w:rsid w:val="00C66BA1"/>
    <w:rsid w:val="00C66C2B"/>
    <w:rsid w:val="00C66C9B"/>
    <w:rsid w:val="00C66DFD"/>
    <w:rsid w:val="00C66EC2"/>
    <w:rsid w:val="00C66EFB"/>
    <w:rsid w:val="00C66FF3"/>
    <w:rsid w:val="00C67227"/>
    <w:rsid w:val="00C67283"/>
    <w:rsid w:val="00C672E5"/>
    <w:rsid w:val="00C67384"/>
    <w:rsid w:val="00C67478"/>
    <w:rsid w:val="00C674AB"/>
    <w:rsid w:val="00C67512"/>
    <w:rsid w:val="00C67615"/>
    <w:rsid w:val="00C6768B"/>
    <w:rsid w:val="00C677C8"/>
    <w:rsid w:val="00C67A5E"/>
    <w:rsid w:val="00C67C8A"/>
    <w:rsid w:val="00C67CD3"/>
    <w:rsid w:val="00C67CD8"/>
    <w:rsid w:val="00C67CEE"/>
    <w:rsid w:val="00C67D22"/>
    <w:rsid w:val="00C67E3D"/>
    <w:rsid w:val="00C67F21"/>
    <w:rsid w:val="00C67F42"/>
    <w:rsid w:val="00C7004F"/>
    <w:rsid w:val="00C70051"/>
    <w:rsid w:val="00C70124"/>
    <w:rsid w:val="00C70168"/>
    <w:rsid w:val="00C7020E"/>
    <w:rsid w:val="00C702C7"/>
    <w:rsid w:val="00C702FC"/>
    <w:rsid w:val="00C7033E"/>
    <w:rsid w:val="00C7033F"/>
    <w:rsid w:val="00C7037D"/>
    <w:rsid w:val="00C7039C"/>
    <w:rsid w:val="00C70488"/>
    <w:rsid w:val="00C704DC"/>
    <w:rsid w:val="00C704F6"/>
    <w:rsid w:val="00C7067B"/>
    <w:rsid w:val="00C707E3"/>
    <w:rsid w:val="00C70845"/>
    <w:rsid w:val="00C7095B"/>
    <w:rsid w:val="00C70A08"/>
    <w:rsid w:val="00C70A0B"/>
    <w:rsid w:val="00C70A40"/>
    <w:rsid w:val="00C70B46"/>
    <w:rsid w:val="00C70B4C"/>
    <w:rsid w:val="00C70C82"/>
    <w:rsid w:val="00C70D1B"/>
    <w:rsid w:val="00C70F58"/>
    <w:rsid w:val="00C71062"/>
    <w:rsid w:val="00C71251"/>
    <w:rsid w:val="00C71279"/>
    <w:rsid w:val="00C71291"/>
    <w:rsid w:val="00C712AE"/>
    <w:rsid w:val="00C712B1"/>
    <w:rsid w:val="00C712B8"/>
    <w:rsid w:val="00C71303"/>
    <w:rsid w:val="00C7130E"/>
    <w:rsid w:val="00C71652"/>
    <w:rsid w:val="00C71674"/>
    <w:rsid w:val="00C71678"/>
    <w:rsid w:val="00C7168E"/>
    <w:rsid w:val="00C716B3"/>
    <w:rsid w:val="00C716E0"/>
    <w:rsid w:val="00C717EF"/>
    <w:rsid w:val="00C71921"/>
    <w:rsid w:val="00C71B3B"/>
    <w:rsid w:val="00C71C00"/>
    <w:rsid w:val="00C71C50"/>
    <w:rsid w:val="00C71D4A"/>
    <w:rsid w:val="00C71F3D"/>
    <w:rsid w:val="00C71F7B"/>
    <w:rsid w:val="00C72012"/>
    <w:rsid w:val="00C72026"/>
    <w:rsid w:val="00C7202A"/>
    <w:rsid w:val="00C72122"/>
    <w:rsid w:val="00C72147"/>
    <w:rsid w:val="00C7223B"/>
    <w:rsid w:val="00C72367"/>
    <w:rsid w:val="00C724B8"/>
    <w:rsid w:val="00C725B9"/>
    <w:rsid w:val="00C725D4"/>
    <w:rsid w:val="00C7268B"/>
    <w:rsid w:val="00C726FA"/>
    <w:rsid w:val="00C72840"/>
    <w:rsid w:val="00C729FA"/>
    <w:rsid w:val="00C72AA5"/>
    <w:rsid w:val="00C72B21"/>
    <w:rsid w:val="00C72C85"/>
    <w:rsid w:val="00C72DA4"/>
    <w:rsid w:val="00C72E5A"/>
    <w:rsid w:val="00C72EC4"/>
    <w:rsid w:val="00C72F8B"/>
    <w:rsid w:val="00C730F9"/>
    <w:rsid w:val="00C7314A"/>
    <w:rsid w:val="00C7319F"/>
    <w:rsid w:val="00C731E9"/>
    <w:rsid w:val="00C7322A"/>
    <w:rsid w:val="00C732A0"/>
    <w:rsid w:val="00C7334C"/>
    <w:rsid w:val="00C73373"/>
    <w:rsid w:val="00C73456"/>
    <w:rsid w:val="00C73526"/>
    <w:rsid w:val="00C7355C"/>
    <w:rsid w:val="00C73628"/>
    <w:rsid w:val="00C73731"/>
    <w:rsid w:val="00C73784"/>
    <w:rsid w:val="00C73789"/>
    <w:rsid w:val="00C738BF"/>
    <w:rsid w:val="00C738CA"/>
    <w:rsid w:val="00C73A4B"/>
    <w:rsid w:val="00C73BAA"/>
    <w:rsid w:val="00C73BAE"/>
    <w:rsid w:val="00C73C62"/>
    <w:rsid w:val="00C73D6A"/>
    <w:rsid w:val="00C73EA0"/>
    <w:rsid w:val="00C73EC5"/>
    <w:rsid w:val="00C73EE8"/>
    <w:rsid w:val="00C73F0D"/>
    <w:rsid w:val="00C73F9D"/>
    <w:rsid w:val="00C73FDE"/>
    <w:rsid w:val="00C74049"/>
    <w:rsid w:val="00C74077"/>
    <w:rsid w:val="00C74109"/>
    <w:rsid w:val="00C74157"/>
    <w:rsid w:val="00C74199"/>
    <w:rsid w:val="00C74206"/>
    <w:rsid w:val="00C7429C"/>
    <w:rsid w:val="00C74336"/>
    <w:rsid w:val="00C74349"/>
    <w:rsid w:val="00C7437A"/>
    <w:rsid w:val="00C74416"/>
    <w:rsid w:val="00C744C2"/>
    <w:rsid w:val="00C74571"/>
    <w:rsid w:val="00C7459C"/>
    <w:rsid w:val="00C74696"/>
    <w:rsid w:val="00C7491B"/>
    <w:rsid w:val="00C74989"/>
    <w:rsid w:val="00C749CE"/>
    <w:rsid w:val="00C749F1"/>
    <w:rsid w:val="00C749FA"/>
    <w:rsid w:val="00C74A53"/>
    <w:rsid w:val="00C74ADC"/>
    <w:rsid w:val="00C74D8D"/>
    <w:rsid w:val="00C74ED0"/>
    <w:rsid w:val="00C74EF6"/>
    <w:rsid w:val="00C74FE2"/>
    <w:rsid w:val="00C7527B"/>
    <w:rsid w:val="00C75341"/>
    <w:rsid w:val="00C754F7"/>
    <w:rsid w:val="00C75515"/>
    <w:rsid w:val="00C755C6"/>
    <w:rsid w:val="00C7576E"/>
    <w:rsid w:val="00C75836"/>
    <w:rsid w:val="00C758F5"/>
    <w:rsid w:val="00C75959"/>
    <w:rsid w:val="00C759D6"/>
    <w:rsid w:val="00C759F6"/>
    <w:rsid w:val="00C75A0E"/>
    <w:rsid w:val="00C75B0D"/>
    <w:rsid w:val="00C75B7D"/>
    <w:rsid w:val="00C75BA5"/>
    <w:rsid w:val="00C75E64"/>
    <w:rsid w:val="00C75EC4"/>
    <w:rsid w:val="00C76024"/>
    <w:rsid w:val="00C760F7"/>
    <w:rsid w:val="00C76215"/>
    <w:rsid w:val="00C762EB"/>
    <w:rsid w:val="00C76301"/>
    <w:rsid w:val="00C7630C"/>
    <w:rsid w:val="00C76387"/>
    <w:rsid w:val="00C7640F"/>
    <w:rsid w:val="00C76411"/>
    <w:rsid w:val="00C765A0"/>
    <w:rsid w:val="00C7660C"/>
    <w:rsid w:val="00C7661B"/>
    <w:rsid w:val="00C76696"/>
    <w:rsid w:val="00C766F3"/>
    <w:rsid w:val="00C769F4"/>
    <w:rsid w:val="00C76ABC"/>
    <w:rsid w:val="00C76AD3"/>
    <w:rsid w:val="00C76B44"/>
    <w:rsid w:val="00C76BF4"/>
    <w:rsid w:val="00C76CA1"/>
    <w:rsid w:val="00C76D42"/>
    <w:rsid w:val="00C76EA1"/>
    <w:rsid w:val="00C76EB0"/>
    <w:rsid w:val="00C76ED3"/>
    <w:rsid w:val="00C76F0D"/>
    <w:rsid w:val="00C76F38"/>
    <w:rsid w:val="00C7702D"/>
    <w:rsid w:val="00C7705B"/>
    <w:rsid w:val="00C7709F"/>
    <w:rsid w:val="00C77267"/>
    <w:rsid w:val="00C772AF"/>
    <w:rsid w:val="00C773E9"/>
    <w:rsid w:val="00C774EA"/>
    <w:rsid w:val="00C775AB"/>
    <w:rsid w:val="00C775B2"/>
    <w:rsid w:val="00C775F3"/>
    <w:rsid w:val="00C777FF"/>
    <w:rsid w:val="00C77819"/>
    <w:rsid w:val="00C77863"/>
    <w:rsid w:val="00C779B1"/>
    <w:rsid w:val="00C77A18"/>
    <w:rsid w:val="00C77A4E"/>
    <w:rsid w:val="00C77AFF"/>
    <w:rsid w:val="00C77B1E"/>
    <w:rsid w:val="00C77B88"/>
    <w:rsid w:val="00C77BA1"/>
    <w:rsid w:val="00C77C3E"/>
    <w:rsid w:val="00C77D62"/>
    <w:rsid w:val="00C77DA2"/>
    <w:rsid w:val="00C77E32"/>
    <w:rsid w:val="00C77E57"/>
    <w:rsid w:val="00C77EE1"/>
    <w:rsid w:val="00C77F3B"/>
    <w:rsid w:val="00C77F6E"/>
    <w:rsid w:val="00C77F90"/>
    <w:rsid w:val="00C77FC2"/>
    <w:rsid w:val="00C77FF3"/>
    <w:rsid w:val="00C8001A"/>
    <w:rsid w:val="00C80405"/>
    <w:rsid w:val="00C80409"/>
    <w:rsid w:val="00C8046D"/>
    <w:rsid w:val="00C80598"/>
    <w:rsid w:val="00C80685"/>
    <w:rsid w:val="00C80826"/>
    <w:rsid w:val="00C80851"/>
    <w:rsid w:val="00C808E0"/>
    <w:rsid w:val="00C809C2"/>
    <w:rsid w:val="00C809DB"/>
    <w:rsid w:val="00C80B66"/>
    <w:rsid w:val="00C80C4D"/>
    <w:rsid w:val="00C80CBB"/>
    <w:rsid w:val="00C80D1C"/>
    <w:rsid w:val="00C80EC4"/>
    <w:rsid w:val="00C80FE7"/>
    <w:rsid w:val="00C8100B"/>
    <w:rsid w:val="00C8113B"/>
    <w:rsid w:val="00C811AD"/>
    <w:rsid w:val="00C8122F"/>
    <w:rsid w:val="00C813C0"/>
    <w:rsid w:val="00C81404"/>
    <w:rsid w:val="00C81436"/>
    <w:rsid w:val="00C81479"/>
    <w:rsid w:val="00C8151A"/>
    <w:rsid w:val="00C81576"/>
    <w:rsid w:val="00C81602"/>
    <w:rsid w:val="00C81707"/>
    <w:rsid w:val="00C817E0"/>
    <w:rsid w:val="00C819E4"/>
    <w:rsid w:val="00C819F8"/>
    <w:rsid w:val="00C81A02"/>
    <w:rsid w:val="00C81A23"/>
    <w:rsid w:val="00C81A2F"/>
    <w:rsid w:val="00C81A7C"/>
    <w:rsid w:val="00C81ABD"/>
    <w:rsid w:val="00C81B91"/>
    <w:rsid w:val="00C81CE9"/>
    <w:rsid w:val="00C81D1F"/>
    <w:rsid w:val="00C81DDD"/>
    <w:rsid w:val="00C81DE2"/>
    <w:rsid w:val="00C81E8C"/>
    <w:rsid w:val="00C81F9B"/>
    <w:rsid w:val="00C820D7"/>
    <w:rsid w:val="00C820F9"/>
    <w:rsid w:val="00C82100"/>
    <w:rsid w:val="00C821DA"/>
    <w:rsid w:val="00C8220E"/>
    <w:rsid w:val="00C82276"/>
    <w:rsid w:val="00C8234A"/>
    <w:rsid w:val="00C82393"/>
    <w:rsid w:val="00C823A3"/>
    <w:rsid w:val="00C823B8"/>
    <w:rsid w:val="00C82439"/>
    <w:rsid w:val="00C82494"/>
    <w:rsid w:val="00C82535"/>
    <w:rsid w:val="00C82563"/>
    <w:rsid w:val="00C826E9"/>
    <w:rsid w:val="00C82753"/>
    <w:rsid w:val="00C82788"/>
    <w:rsid w:val="00C8278A"/>
    <w:rsid w:val="00C82793"/>
    <w:rsid w:val="00C82795"/>
    <w:rsid w:val="00C827C4"/>
    <w:rsid w:val="00C82848"/>
    <w:rsid w:val="00C82870"/>
    <w:rsid w:val="00C828CF"/>
    <w:rsid w:val="00C829CC"/>
    <w:rsid w:val="00C82AAF"/>
    <w:rsid w:val="00C82B2A"/>
    <w:rsid w:val="00C82B2F"/>
    <w:rsid w:val="00C82BA0"/>
    <w:rsid w:val="00C82EC2"/>
    <w:rsid w:val="00C82F51"/>
    <w:rsid w:val="00C83141"/>
    <w:rsid w:val="00C8323B"/>
    <w:rsid w:val="00C83291"/>
    <w:rsid w:val="00C83321"/>
    <w:rsid w:val="00C8348F"/>
    <w:rsid w:val="00C834C9"/>
    <w:rsid w:val="00C835D0"/>
    <w:rsid w:val="00C835F4"/>
    <w:rsid w:val="00C83668"/>
    <w:rsid w:val="00C83693"/>
    <w:rsid w:val="00C836CB"/>
    <w:rsid w:val="00C83900"/>
    <w:rsid w:val="00C83937"/>
    <w:rsid w:val="00C839B3"/>
    <w:rsid w:val="00C83A6D"/>
    <w:rsid w:val="00C83B4D"/>
    <w:rsid w:val="00C83C5F"/>
    <w:rsid w:val="00C83CD2"/>
    <w:rsid w:val="00C83DB0"/>
    <w:rsid w:val="00C83DFE"/>
    <w:rsid w:val="00C83E8A"/>
    <w:rsid w:val="00C83F0C"/>
    <w:rsid w:val="00C83F2C"/>
    <w:rsid w:val="00C83F3E"/>
    <w:rsid w:val="00C83F90"/>
    <w:rsid w:val="00C8402B"/>
    <w:rsid w:val="00C841DB"/>
    <w:rsid w:val="00C8420A"/>
    <w:rsid w:val="00C84218"/>
    <w:rsid w:val="00C842EE"/>
    <w:rsid w:val="00C843B2"/>
    <w:rsid w:val="00C84476"/>
    <w:rsid w:val="00C8449F"/>
    <w:rsid w:val="00C844BA"/>
    <w:rsid w:val="00C84510"/>
    <w:rsid w:val="00C847CA"/>
    <w:rsid w:val="00C84801"/>
    <w:rsid w:val="00C8489F"/>
    <w:rsid w:val="00C848E5"/>
    <w:rsid w:val="00C8492B"/>
    <w:rsid w:val="00C8493C"/>
    <w:rsid w:val="00C84942"/>
    <w:rsid w:val="00C849B8"/>
    <w:rsid w:val="00C84AE5"/>
    <w:rsid w:val="00C84B02"/>
    <w:rsid w:val="00C84B1A"/>
    <w:rsid w:val="00C84B31"/>
    <w:rsid w:val="00C84BE2"/>
    <w:rsid w:val="00C84C90"/>
    <w:rsid w:val="00C84E79"/>
    <w:rsid w:val="00C84F63"/>
    <w:rsid w:val="00C84F71"/>
    <w:rsid w:val="00C84FE6"/>
    <w:rsid w:val="00C850D9"/>
    <w:rsid w:val="00C85100"/>
    <w:rsid w:val="00C85115"/>
    <w:rsid w:val="00C8523F"/>
    <w:rsid w:val="00C85369"/>
    <w:rsid w:val="00C85408"/>
    <w:rsid w:val="00C8545F"/>
    <w:rsid w:val="00C854F2"/>
    <w:rsid w:val="00C85521"/>
    <w:rsid w:val="00C85591"/>
    <w:rsid w:val="00C855BE"/>
    <w:rsid w:val="00C855E2"/>
    <w:rsid w:val="00C8570D"/>
    <w:rsid w:val="00C858CA"/>
    <w:rsid w:val="00C85914"/>
    <w:rsid w:val="00C8594E"/>
    <w:rsid w:val="00C859D3"/>
    <w:rsid w:val="00C85B07"/>
    <w:rsid w:val="00C85BAB"/>
    <w:rsid w:val="00C85C65"/>
    <w:rsid w:val="00C85CAD"/>
    <w:rsid w:val="00C85CC8"/>
    <w:rsid w:val="00C85CEA"/>
    <w:rsid w:val="00C85D0A"/>
    <w:rsid w:val="00C85D20"/>
    <w:rsid w:val="00C85D98"/>
    <w:rsid w:val="00C85DC1"/>
    <w:rsid w:val="00C85E2F"/>
    <w:rsid w:val="00C85E7E"/>
    <w:rsid w:val="00C85EE2"/>
    <w:rsid w:val="00C85F03"/>
    <w:rsid w:val="00C85F76"/>
    <w:rsid w:val="00C860E1"/>
    <w:rsid w:val="00C86140"/>
    <w:rsid w:val="00C86170"/>
    <w:rsid w:val="00C86196"/>
    <w:rsid w:val="00C8629A"/>
    <w:rsid w:val="00C863C0"/>
    <w:rsid w:val="00C86491"/>
    <w:rsid w:val="00C864FE"/>
    <w:rsid w:val="00C86522"/>
    <w:rsid w:val="00C86592"/>
    <w:rsid w:val="00C8659E"/>
    <w:rsid w:val="00C865C1"/>
    <w:rsid w:val="00C865F3"/>
    <w:rsid w:val="00C86632"/>
    <w:rsid w:val="00C86650"/>
    <w:rsid w:val="00C8669F"/>
    <w:rsid w:val="00C866C6"/>
    <w:rsid w:val="00C8673C"/>
    <w:rsid w:val="00C867C1"/>
    <w:rsid w:val="00C86832"/>
    <w:rsid w:val="00C868BE"/>
    <w:rsid w:val="00C8691D"/>
    <w:rsid w:val="00C8699A"/>
    <w:rsid w:val="00C869BE"/>
    <w:rsid w:val="00C869E3"/>
    <w:rsid w:val="00C86A6B"/>
    <w:rsid w:val="00C86C45"/>
    <w:rsid w:val="00C86D75"/>
    <w:rsid w:val="00C86DDF"/>
    <w:rsid w:val="00C86E26"/>
    <w:rsid w:val="00C86FC2"/>
    <w:rsid w:val="00C87011"/>
    <w:rsid w:val="00C8703B"/>
    <w:rsid w:val="00C871CA"/>
    <w:rsid w:val="00C871F7"/>
    <w:rsid w:val="00C87361"/>
    <w:rsid w:val="00C8737D"/>
    <w:rsid w:val="00C873E4"/>
    <w:rsid w:val="00C874A5"/>
    <w:rsid w:val="00C874BF"/>
    <w:rsid w:val="00C874F8"/>
    <w:rsid w:val="00C87529"/>
    <w:rsid w:val="00C8787A"/>
    <w:rsid w:val="00C87919"/>
    <w:rsid w:val="00C87977"/>
    <w:rsid w:val="00C879E6"/>
    <w:rsid w:val="00C87AC7"/>
    <w:rsid w:val="00C87C26"/>
    <w:rsid w:val="00C87CC1"/>
    <w:rsid w:val="00C87E28"/>
    <w:rsid w:val="00C87F17"/>
    <w:rsid w:val="00C87F21"/>
    <w:rsid w:val="00C87F7B"/>
    <w:rsid w:val="00C9000E"/>
    <w:rsid w:val="00C901A2"/>
    <w:rsid w:val="00C90386"/>
    <w:rsid w:val="00C9040D"/>
    <w:rsid w:val="00C90418"/>
    <w:rsid w:val="00C90479"/>
    <w:rsid w:val="00C90615"/>
    <w:rsid w:val="00C90662"/>
    <w:rsid w:val="00C906C7"/>
    <w:rsid w:val="00C906F8"/>
    <w:rsid w:val="00C908E3"/>
    <w:rsid w:val="00C90947"/>
    <w:rsid w:val="00C909E6"/>
    <w:rsid w:val="00C90A24"/>
    <w:rsid w:val="00C90A25"/>
    <w:rsid w:val="00C90A62"/>
    <w:rsid w:val="00C90A95"/>
    <w:rsid w:val="00C90BF9"/>
    <w:rsid w:val="00C90C1A"/>
    <w:rsid w:val="00C90CED"/>
    <w:rsid w:val="00C90D1D"/>
    <w:rsid w:val="00C90E21"/>
    <w:rsid w:val="00C90E26"/>
    <w:rsid w:val="00C90E49"/>
    <w:rsid w:val="00C90F1B"/>
    <w:rsid w:val="00C90F60"/>
    <w:rsid w:val="00C91035"/>
    <w:rsid w:val="00C910FB"/>
    <w:rsid w:val="00C91175"/>
    <w:rsid w:val="00C91181"/>
    <w:rsid w:val="00C911CF"/>
    <w:rsid w:val="00C912A5"/>
    <w:rsid w:val="00C912CC"/>
    <w:rsid w:val="00C9131A"/>
    <w:rsid w:val="00C91452"/>
    <w:rsid w:val="00C91494"/>
    <w:rsid w:val="00C91511"/>
    <w:rsid w:val="00C91747"/>
    <w:rsid w:val="00C917CD"/>
    <w:rsid w:val="00C9182D"/>
    <w:rsid w:val="00C918A1"/>
    <w:rsid w:val="00C91B63"/>
    <w:rsid w:val="00C91C13"/>
    <w:rsid w:val="00C91C94"/>
    <w:rsid w:val="00C91D87"/>
    <w:rsid w:val="00C91E57"/>
    <w:rsid w:val="00C92000"/>
    <w:rsid w:val="00C92023"/>
    <w:rsid w:val="00C92155"/>
    <w:rsid w:val="00C92175"/>
    <w:rsid w:val="00C921D4"/>
    <w:rsid w:val="00C92339"/>
    <w:rsid w:val="00C924FA"/>
    <w:rsid w:val="00C9254B"/>
    <w:rsid w:val="00C92566"/>
    <w:rsid w:val="00C926C1"/>
    <w:rsid w:val="00C9270D"/>
    <w:rsid w:val="00C928D6"/>
    <w:rsid w:val="00C929B5"/>
    <w:rsid w:val="00C92A1A"/>
    <w:rsid w:val="00C92A59"/>
    <w:rsid w:val="00C92C48"/>
    <w:rsid w:val="00C92DFD"/>
    <w:rsid w:val="00C92E01"/>
    <w:rsid w:val="00C92E1C"/>
    <w:rsid w:val="00C92EAA"/>
    <w:rsid w:val="00C92F21"/>
    <w:rsid w:val="00C92F22"/>
    <w:rsid w:val="00C9303F"/>
    <w:rsid w:val="00C930AE"/>
    <w:rsid w:val="00C930DE"/>
    <w:rsid w:val="00C930E2"/>
    <w:rsid w:val="00C93100"/>
    <w:rsid w:val="00C93148"/>
    <w:rsid w:val="00C9314E"/>
    <w:rsid w:val="00C9316F"/>
    <w:rsid w:val="00C93268"/>
    <w:rsid w:val="00C9329F"/>
    <w:rsid w:val="00C932A2"/>
    <w:rsid w:val="00C933B9"/>
    <w:rsid w:val="00C9351E"/>
    <w:rsid w:val="00C9353C"/>
    <w:rsid w:val="00C935D2"/>
    <w:rsid w:val="00C936FF"/>
    <w:rsid w:val="00C937B0"/>
    <w:rsid w:val="00C937D8"/>
    <w:rsid w:val="00C9383E"/>
    <w:rsid w:val="00C9386D"/>
    <w:rsid w:val="00C93936"/>
    <w:rsid w:val="00C9394C"/>
    <w:rsid w:val="00C939BF"/>
    <w:rsid w:val="00C93A31"/>
    <w:rsid w:val="00C93A39"/>
    <w:rsid w:val="00C93B9D"/>
    <w:rsid w:val="00C93D2D"/>
    <w:rsid w:val="00C93DF6"/>
    <w:rsid w:val="00C93E07"/>
    <w:rsid w:val="00C93E6E"/>
    <w:rsid w:val="00C93ED1"/>
    <w:rsid w:val="00C93F49"/>
    <w:rsid w:val="00C93FEB"/>
    <w:rsid w:val="00C9401F"/>
    <w:rsid w:val="00C940B2"/>
    <w:rsid w:val="00C94129"/>
    <w:rsid w:val="00C94150"/>
    <w:rsid w:val="00C94461"/>
    <w:rsid w:val="00C9451E"/>
    <w:rsid w:val="00C94592"/>
    <w:rsid w:val="00C94639"/>
    <w:rsid w:val="00C946EF"/>
    <w:rsid w:val="00C9470B"/>
    <w:rsid w:val="00C94722"/>
    <w:rsid w:val="00C9483B"/>
    <w:rsid w:val="00C9489F"/>
    <w:rsid w:val="00C948E2"/>
    <w:rsid w:val="00C948F5"/>
    <w:rsid w:val="00C94919"/>
    <w:rsid w:val="00C94929"/>
    <w:rsid w:val="00C949AF"/>
    <w:rsid w:val="00C94A08"/>
    <w:rsid w:val="00C94AEB"/>
    <w:rsid w:val="00C94B92"/>
    <w:rsid w:val="00C94C1C"/>
    <w:rsid w:val="00C94CD1"/>
    <w:rsid w:val="00C95000"/>
    <w:rsid w:val="00C95043"/>
    <w:rsid w:val="00C950EE"/>
    <w:rsid w:val="00C95181"/>
    <w:rsid w:val="00C953D2"/>
    <w:rsid w:val="00C954B9"/>
    <w:rsid w:val="00C954E8"/>
    <w:rsid w:val="00C956B2"/>
    <w:rsid w:val="00C957C8"/>
    <w:rsid w:val="00C958D1"/>
    <w:rsid w:val="00C958F1"/>
    <w:rsid w:val="00C9594A"/>
    <w:rsid w:val="00C95D6E"/>
    <w:rsid w:val="00C95ECC"/>
    <w:rsid w:val="00C9621A"/>
    <w:rsid w:val="00C96293"/>
    <w:rsid w:val="00C962AE"/>
    <w:rsid w:val="00C96310"/>
    <w:rsid w:val="00C96381"/>
    <w:rsid w:val="00C9645C"/>
    <w:rsid w:val="00C96544"/>
    <w:rsid w:val="00C96558"/>
    <w:rsid w:val="00C96596"/>
    <w:rsid w:val="00C965C3"/>
    <w:rsid w:val="00C9661F"/>
    <w:rsid w:val="00C966B9"/>
    <w:rsid w:val="00C966BE"/>
    <w:rsid w:val="00C9681D"/>
    <w:rsid w:val="00C96860"/>
    <w:rsid w:val="00C969B5"/>
    <w:rsid w:val="00C969D1"/>
    <w:rsid w:val="00C96A46"/>
    <w:rsid w:val="00C96A73"/>
    <w:rsid w:val="00C96AE9"/>
    <w:rsid w:val="00C96C19"/>
    <w:rsid w:val="00C96CBC"/>
    <w:rsid w:val="00C96CED"/>
    <w:rsid w:val="00C96F7C"/>
    <w:rsid w:val="00C97076"/>
    <w:rsid w:val="00C970BD"/>
    <w:rsid w:val="00C97102"/>
    <w:rsid w:val="00C971F0"/>
    <w:rsid w:val="00C97230"/>
    <w:rsid w:val="00C97244"/>
    <w:rsid w:val="00C9724E"/>
    <w:rsid w:val="00C9735B"/>
    <w:rsid w:val="00C973B8"/>
    <w:rsid w:val="00C97429"/>
    <w:rsid w:val="00C97444"/>
    <w:rsid w:val="00C9759D"/>
    <w:rsid w:val="00C975AE"/>
    <w:rsid w:val="00C97709"/>
    <w:rsid w:val="00C97728"/>
    <w:rsid w:val="00C97764"/>
    <w:rsid w:val="00C97799"/>
    <w:rsid w:val="00C97856"/>
    <w:rsid w:val="00C978CF"/>
    <w:rsid w:val="00C9799F"/>
    <w:rsid w:val="00C97C6B"/>
    <w:rsid w:val="00C97CD3"/>
    <w:rsid w:val="00C97DDF"/>
    <w:rsid w:val="00C97DF5"/>
    <w:rsid w:val="00C97E33"/>
    <w:rsid w:val="00C97E48"/>
    <w:rsid w:val="00C97E73"/>
    <w:rsid w:val="00C97F23"/>
    <w:rsid w:val="00CA0150"/>
    <w:rsid w:val="00CA0481"/>
    <w:rsid w:val="00CA0559"/>
    <w:rsid w:val="00CA0756"/>
    <w:rsid w:val="00CA0A0C"/>
    <w:rsid w:val="00CA0A71"/>
    <w:rsid w:val="00CA0B21"/>
    <w:rsid w:val="00CA0CD7"/>
    <w:rsid w:val="00CA0CF7"/>
    <w:rsid w:val="00CA0D9D"/>
    <w:rsid w:val="00CA0E4E"/>
    <w:rsid w:val="00CA0EE5"/>
    <w:rsid w:val="00CA0F60"/>
    <w:rsid w:val="00CA0FB4"/>
    <w:rsid w:val="00CA1033"/>
    <w:rsid w:val="00CA105B"/>
    <w:rsid w:val="00CA106F"/>
    <w:rsid w:val="00CA1204"/>
    <w:rsid w:val="00CA125C"/>
    <w:rsid w:val="00CA1403"/>
    <w:rsid w:val="00CA1434"/>
    <w:rsid w:val="00CA1445"/>
    <w:rsid w:val="00CA14F4"/>
    <w:rsid w:val="00CA15D6"/>
    <w:rsid w:val="00CA15DB"/>
    <w:rsid w:val="00CA1795"/>
    <w:rsid w:val="00CA17AD"/>
    <w:rsid w:val="00CA17B2"/>
    <w:rsid w:val="00CA18DE"/>
    <w:rsid w:val="00CA18F6"/>
    <w:rsid w:val="00CA19E9"/>
    <w:rsid w:val="00CA1A7A"/>
    <w:rsid w:val="00CA1ABD"/>
    <w:rsid w:val="00CA1AE8"/>
    <w:rsid w:val="00CA1B5C"/>
    <w:rsid w:val="00CA1B64"/>
    <w:rsid w:val="00CA1B81"/>
    <w:rsid w:val="00CA1EA2"/>
    <w:rsid w:val="00CA1EF0"/>
    <w:rsid w:val="00CA1EFF"/>
    <w:rsid w:val="00CA1F82"/>
    <w:rsid w:val="00CA1FB1"/>
    <w:rsid w:val="00CA1FD8"/>
    <w:rsid w:val="00CA202D"/>
    <w:rsid w:val="00CA207A"/>
    <w:rsid w:val="00CA2138"/>
    <w:rsid w:val="00CA2173"/>
    <w:rsid w:val="00CA273D"/>
    <w:rsid w:val="00CA289F"/>
    <w:rsid w:val="00CA29CC"/>
    <w:rsid w:val="00CA29D2"/>
    <w:rsid w:val="00CA2A9B"/>
    <w:rsid w:val="00CA2AC2"/>
    <w:rsid w:val="00CA2AE8"/>
    <w:rsid w:val="00CA2B21"/>
    <w:rsid w:val="00CA2B62"/>
    <w:rsid w:val="00CA2C69"/>
    <w:rsid w:val="00CA2C80"/>
    <w:rsid w:val="00CA2D4E"/>
    <w:rsid w:val="00CA2D9A"/>
    <w:rsid w:val="00CA2DA8"/>
    <w:rsid w:val="00CA2E02"/>
    <w:rsid w:val="00CA2EF3"/>
    <w:rsid w:val="00CA2F77"/>
    <w:rsid w:val="00CA2F98"/>
    <w:rsid w:val="00CA2FE5"/>
    <w:rsid w:val="00CA304A"/>
    <w:rsid w:val="00CA30D7"/>
    <w:rsid w:val="00CA30D8"/>
    <w:rsid w:val="00CA30F0"/>
    <w:rsid w:val="00CA3131"/>
    <w:rsid w:val="00CA31E4"/>
    <w:rsid w:val="00CA31FE"/>
    <w:rsid w:val="00CA3234"/>
    <w:rsid w:val="00CA32B2"/>
    <w:rsid w:val="00CA33EF"/>
    <w:rsid w:val="00CA33F1"/>
    <w:rsid w:val="00CA34F6"/>
    <w:rsid w:val="00CA3521"/>
    <w:rsid w:val="00CA356E"/>
    <w:rsid w:val="00CA36D1"/>
    <w:rsid w:val="00CA3725"/>
    <w:rsid w:val="00CA381F"/>
    <w:rsid w:val="00CA38AE"/>
    <w:rsid w:val="00CA3927"/>
    <w:rsid w:val="00CA3984"/>
    <w:rsid w:val="00CA3B5C"/>
    <w:rsid w:val="00CA3CC8"/>
    <w:rsid w:val="00CA3CD8"/>
    <w:rsid w:val="00CA3CE5"/>
    <w:rsid w:val="00CA3D07"/>
    <w:rsid w:val="00CA3D98"/>
    <w:rsid w:val="00CA3DB4"/>
    <w:rsid w:val="00CA3E6F"/>
    <w:rsid w:val="00CA3E82"/>
    <w:rsid w:val="00CA3F0A"/>
    <w:rsid w:val="00CA3F38"/>
    <w:rsid w:val="00CA3FAB"/>
    <w:rsid w:val="00CA4020"/>
    <w:rsid w:val="00CA4057"/>
    <w:rsid w:val="00CA40F0"/>
    <w:rsid w:val="00CA40FD"/>
    <w:rsid w:val="00CA413C"/>
    <w:rsid w:val="00CA42D3"/>
    <w:rsid w:val="00CA4393"/>
    <w:rsid w:val="00CA43A8"/>
    <w:rsid w:val="00CA43D5"/>
    <w:rsid w:val="00CA4408"/>
    <w:rsid w:val="00CA4457"/>
    <w:rsid w:val="00CA4486"/>
    <w:rsid w:val="00CA4502"/>
    <w:rsid w:val="00CA4790"/>
    <w:rsid w:val="00CA47DB"/>
    <w:rsid w:val="00CA49EE"/>
    <w:rsid w:val="00CA4DA8"/>
    <w:rsid w:val="00CA4E11"/>
    <w:rsid w:val="00CA4E56"/>
    <w:rsid w:val="00CA4E63"/>
    <w:rsid w:val="00CA4E71"/>
    <w:rsid w:val="00CA4F67"/>
    <w:rsid w:val="00CA4FE7"/>
    <w:rsid w:val="00CA5023"/>
    <w:rsid w:val="00CA5464"/>
    <w:rsid w:val="00CA552C"/>
    <w:rsid w:val="00CA55C2"/>
    <w:rsid w:val="00CA569E"/>
    <w:rsid w:val="00CA571C"/>
    <w:rsid w:val="00CA574F"/>
    <w:rsid w:val="00CA583F"/>
    <w:rsid w:val="00CA5845"/>
    <w:rsid w:val="00CA59F5"/>
    <w:rsid w:val="00CA5A49"/>
    <w:rsid w:val="00CA5B05"/>
    <w:rsid w:val="00CA5BA2"/>
    <w:rsid w:val="00CA5BBE"/>
    <w:rsid w:val="00CA5C8F"/>
    <w:rsid w:val="00CA5CB1"/>
    <w:rsid w:val="00CA5D84"/>
    <w:rsid w:val="00CA5D9A"/>
    <w:rsid w:val="00CA5FC7"/>
    <w:rsid w:val="00CA606E"/>
    <w:rsid w:val="00CA6072"/>
    <w:rsid w:val="00CA60A4"/>
    <w:rsid w:val="00CA60E1"/>
    <w:rsid w:val="00CA612D"/>
    <w:rsid w:val="00CA61BC"/>
    <w:rsid w:val="00CA61EE"/>
    <w:rsid w:val="00CA630F"/>
    <w:rsid w:val="00CA6315"/>
    <w:rsid w:val="00CA6332"/>
    <w:rsid w:val="00CA6342"/>
    <w:rsid w:val="00CA654C"/>
    <w:rsid w:val="00CA6594"/>
    <w:rsid w:val="00CA65CB"/>
    <w:rsid w:val="00CA6732"/>
    <w:rsid w:val="00CA69DE"/>
    <w:rsid w:val="00CA6A09"/>
    <w:rsid w:val="00CA6BDB"/>
    <w:rsid w:val="00CA6C02"/>
    <w:rsid w:val="00CA6C05"/>
    <w:rsid w:val="00CA6C89"/>
    <w:rsid w:val="00CA6D28"/>
    <w:rsid w:val="00CA6D32"/>
    <w:rsid w:val="00CA6D5B"/>
    <w:rsid w:val="00CA6D73"/>
    <w:rsid w:val="00CA6E38"/>
    <w:rsid w:val="00CA6FAD"/>
    <w:rsid w:val="00CA6FAE"/>
    <w:rsid w:val="00CA7174"/>
    <w:rsid w:val="00CA718A"/>
    <w:rsid w:val="00CA7235"/>
    <w:rsid w:val="00CA72F2"/>
    <w:rsid w:val="00CA741C"/>
    <w:rsid w:val="00CA7512"/>
    <w:rsid w:val="00CA75A9"/>
    <w:rsid w:val="00CA76B5"/>
    <w:rsid w:val="00CA76EC"/>
    <w:rsid w:val="00CA76FE"/>
    <w:rsid w:val="00CA771A"/>
    <w:rsid w:val="00CA77FD"/>
    <w:rsid w:val="00CA7811"/>
    <w:rsid w:val="00CA7882"/>
    <w:rsid w:val="00CA78DD"/>
    <w:rsid w:val="00CA78F0"/>
    <w:rsid w:val="00CA793D"/>
    <w:rsid w:val="00CA7958"/>
    <w:rsid w:val="00CA7962"/>
    <w:rsid w:val="00CA79B7"/>
    <w:rsid w:val="00CA7A44"/>
    <w:rsid w:val="00CA7D3A"/>
    <w:rsid w:val="00CA7D45"/>
    <w:rsid w:val="00CA7D6A"/>
    <w:rsid w:val="00CA7D85"/>
    <w:rsid w:val="00CA7E42"/>
    <w:rsid w:val="00CA7ECB"/>
    <w:rsid w:val="00CB00A9"/>
    <w:rsid w:val="00CB00C3"/>
    <w:rsid w:val="00CB0176"/>
    <w:rsid w:val="00CB0312"/>
    <w:rsid w:val="00CB03A8"/>
    <w:rsid w:val="00CB03B6"/>
    <w:rsid w:val="00CB03D4"/>
    <w:rsid w:val="00CB0524"/>
    <w:rsid w:val="00CB0666"/>
    <w:rsid w:val="00CB06EF"/>
    <w:rsid w:val="00CB0776"/>
    <w:rsid w:val="00CB07BA"/>
    <w:rsid w:val="00CB0817"/>
    <w:rsid w:val="00CB08B9"/>
    <w:rsid w:val="00CB094C"/>
    <w:rsid w:val="00CB0A91"/>
    <w:rsid w:val="00CB0CA7"/>
    <w:rsid w:val="00CB0CD4"/>
    <w:rsid w:val="00CB0D13"/>
    <w:rsid w:val="00CB0D87"/>
    <w:rsid w:val="00CB0E22"/>
    <w:rsid w:val="00CB10F1"/>
    <w:rsid w:val="00CB111B"/>
    <w:rsid w:val="00CB11D0"/>
    <w:rsid w:val="00CB11E8"/>
    <w:rsid w:val="00CB12BE"/>
    <w:rsid w:val="00CB142F"/>
    <w:rsid w:val="00CB143A"/>
    <w:rsid w:val="00CB1465"/>
    <w:rsid w:val="00CB14A9"/>
    <w:rsid w:val="00CB150F"/>
    <w:rsid w:val="00CB1654"/>
    <w:rsid w:val="00CB167C"/>
    <w:rsid w:val="00CB16A6"/>
    <w:rsid w:val="00CB177A"/>
    <w:rsid w:val="00CB18B6"/>
    <w:rsid w:val="00CB1956"/>
    <w:rsid w:val="00CB1989"/>
    <w:rsid w:val="00CB19ED"/>
    <w:rsid w:val="00CB1AAE"/>
    <w:rsid w:val="00CB1B88"/>
    <w:rsid w:val="00CB1BFA"/>
    <w:rsid w:val="00CB1C7D"/>
    <w:rsid w:val="00CB1D9F"/>
    <w:rsid w:val="00CB21BF"/>
    <w:rsid w:val="00CB2301"/>
    <w:rsid w:val="00CB23B8"/>
    <w:rsid w:val="00CB2438"/>
    <w:rsid w:val="00CB2442"/>
    <w:rsid w:val="00CB2485"/>
    <w:rsid w:val="00CB24AC"/>
    <w:rsid w:val="00CB24CE"/>
    <w:rsid w:val="00CB24FE"/>
    <w:rsid w:val="00CB2584"/>
    <w:rsid w:val="00CB2634"/>
    <w:rsid w:val="00CB2693"/>
    <w:rsid w:val="00CB26A7"/>
    <w:rsid w:val="00CB26F0"/>
    <w:rsid w:val="00CB26FB"/>
    <w:rsid w:val="00CB2726"/>
    <w:rsid w:val="00CB273D"/>
    <w:rsid w:val="00CB27BD"/>
    <w:rsid w:val="00CB28AB"/>
    <w:rsid w:val="00CB28EA"/>
    <w:rsid w:val="00CB29A2"/>
    <w:rsid w:val="00CB2AD3"/>
    <w:rsid w:val="00CB2D64"/>
    <w:rsid w:val="00CB2D6C"/>
    <w:rsid w:val="00CB2DF8"/>
    <w:rsid w:val="00CB2EB6"/>
    <w:rsid w:val="00CB2F46"/>
    <w:rsid w:val="00CB3013"/>
    <w:rsid w:val="00CB3032"/>
    <w:rsid w:val="00CB3040"/>
    <w:rsid w:val="00CB30C0"/>
    <w:rsid w:val="00CB3117"/>
    <w:rsid w:val="00CB313F"/>
    <w:rsid w:val="00CB3193"/>
    <w:rsid w:val="00CB31FB"/>
    <w:rsid w:val="00CB3213"/>
    <w:rsid w:val="00CB3270"/>
    <w:rsid w:val="00CB3279"/>
    <w:rsid w:val="00CB32CF"/>
    <w:rsid w:val="00CB34B6"/>
    <w:rsid w:val="00CB3520"/>
    <w:rsid w:val="00CB3568"/>
    <w:rsid w:val="00CB36B0"/>
    <w:rsid w:val="00CB3752"/>
    <w:rsid w:val="00CB3767"/>
    <w:rsid w:val="00CB3775"/>
    <w:rsid w:val="00CB386C"/>
    <w:rsid w:val="00CB3873"/>
    <w:rsid w:val="00CB3886"/>
    <w:rsid w:val="00CB3958"/>
    <w:rsid w:val="00CB3A39"/>
    <w:rsid w:val="00CB3A8E"/>
    <w:rsid w:val="00CB3B41"/>
    <w:rsid w:val="00CB3BDA"/>
    <w:rsid w:val="00CB3CB1"/>
    <w:rsid w:val="00CB3CF9"/>
    <w:rsid w:val="00CB3D1F"/>
    <w:rsid w:val="00CB3D7B"/>
    <w:rsid w:val="00CB3DBF"/>
    <w:rsid w:val="00CB3EEB"/>
    <w:rsid w:val="00CB3EF5"/>
    <w:rsid w:val="00CB3EF8"/>
    <w:rsid w:val="00CB4084"/>
    <w:rsid w:val="00CB409F"/>
    <w:rsid w:val="00CB40D3"/>
    <w:rsid w:val="00CB411B"/>
    <w:rsid w:val="00CB4127"/>
    <w:rsid w:val="00CB41B5"/>
    <w:rsid w:val="00CB4242"/>
    <w:rsid w:val="00CB42A3"/>
    <w:rsid w:val="00CB43C9"/>
    <w:rsid w:val="00CB448E"/>
    <w:rsid w:val="00CB45EB"/>
    <w:rsid w:val="00CB4988"/>
    <w:rsid w:val="00CB49C3"/>
    <w:rsid w:val="00CB49D2"/>
    <w:rsid w:val="00CB4B25"/>
    <w:rsid w:val="00CB4C1B"/>
    <w:rsid w:val="00CB4C1C"/>
    <w:rsid w:val="00CB4CDB"/>
    <w:rsid w:val="00CB4CFA"/>
    <w:rsid w:val="00CB4D48"/>
    <w:rsid w:val="00CB4D4B"/>
    <w:rsid w:val="00CB4DA0"/>
    <w:rsid w:val="00CB4E20"/>
    <w:rsid w:val="00CB4E9D"/>
    <w:rsid w:val="00CB4EEB"/>
    <w:rsid w:val="00CB50D5"/>
    <w:rsid w:val="00CB50F5"/>
    <w:rsid w:val="00CB528F"/>
    <w:rsid w:val="00CB52AD"/>
    <w:rsid w:val="00CB5307"/>
    <w:rsid w:val="00CB54D0"/>
    <w:rsid w:val="00CB5509"/>
    <w:rsid w:val="00CB5583"/>
    <w:rsid w:val="00CB564A"/>
    <w:rsid w:val="00CB56B0"/>
    <w:rsid w:val="00CB577F"/>
    <w:rsid w:val="00CB582B"/>
    <w:rsid w:val="00CB585B"/>
    <w:rsid w:val="00CB58DB"/>
    <w:rsid w:val="00CB59EE"/>
    <w:rsid w:val="00CB5A05"/>
    <w:rsid w:val="00CB5AE9"/>
    <w:rsid w:val="00CB5BDF"/>
    <w:rsid w:val="00CB5BE3"/>
    <w:rsid w:val="00CB5BEB"/>
    <w:rsid w:val="00CB5E03"/>
    <w:rsid w:val="00CB5E17"/>
    <w:rsid w:val="00CB5E40"/>
    <w:rsid w:val="00CB5E67"/>
    <w:rsid w:val="00CB5F5E"/>
    <w:rsid w:val="00CB6147"/>
    <w:rsid w:val="00CB6294"/>
    <w:rsid w:val="00CB6338"/>
    <w:rsid w:val="00CB63D9"/>
    <w:rsid w:val="00CB63FB"/>
    <w:rsid w:val="00CB6415"/>
    <w:rsid w:val="00CB6504"/>
    <w:rsid w:val="00CB6534"/>
    <w:rsid w:val="00CB6579"/>
    <w:rsid w:val="00CB6681"/>
    <w:rsid w:val="00CB668E"/>
    <w:rsid w:val="00CB66A5"/>
    <w:rsid w:val="00CB678B"/>
    <w:rsid w:val="00CB67CD"/>
    <w:rsid w:val="00CB6869"/>
    <w:rsid w:val="00CB687B"/>
    <w:rsid w:val="00CB687D"/>
    <w:rsid w:val="00CB6889"/>
    <w:rsid w:val="00CB688F"/>
    <w:rsid w:val="00CB69D1"/>
    <w:rsid w:val="00CB69DC"/>
    <w:rsid w:val="00CB6AED"/>
    <w:rsid w:val="00CB6BD1"/>
    <w:rsid w:val="00CB6C5C"/>
    <w:rsid w:val="00CB6CF5"/>
    <w:rsid w:val="00CB6DF5"/>
    <w:rsid w:val="00CB6E07"/>
    <w:rsid w:val="00CB6E0C"/>
    <w:rsid w:val="00CB6F14"/>
    <w:rsid w:val="00CB70E2"/>
    <w:rsid w:val="00CB7182"/>
    <w:rsid w:val="00CB73CD"/>
    <w:rsid w:val="00CB7510"/>
    <w:rsid w:val="00CB7595"/>
    <w:rsid w:val="00CB7692"/>
    <w:rsid w:val="00CB76B8"/>
    <w:rsid w:val="00CB76E0"/>
    <w:rsid w:val="00CB775D"/>
    <w:rsid w:val="00CB7772"/>
    <w:rsid w:val="00CB777D"/>
    <w:rsid w:val="00CB779D"/>
    <w:rsid w:val="00CB77AD"/>
    <w:rsid w:val="00CB77AF"/>
    <w:rsid w:val="00CB77CE"/>
    <w:rsid w:val="00CB77E7"/>
    <w:rsid w:val="00CB789E"/>
    <w:rsid w:val="00CB7902"/>
    <w:rsid w:val="00CB791C"/>
    <w:rsid w:val="00CB797F"/>
    <w:rsid w:val="00CB79E2"/>
    <w:rsid w:val="00CB7CF6"/>
    <w:rsid w:val="00CB7E44"/>
    <w:rsid w:val="00CB7EE7"/>
    <w:rsid w:val="00CB7EF2"/>
    <w:rsid w:val="00CB7EF4"/>
    <w:rsid w:val="00CB7EFC"/>
    <w:rsid w:val="00CB7F21"/>
    <w:rsid w:val="00CB7F49"/>
    <w:rsid w:val="00CB7F84"/>
    <w:rsid w:val="00CB7FA3"/>
    <w:rsid w:val="00CB7FFC"/>
    <w:rsid w:val="00CC00EA"/>
    <w:rsid w:val="00CC00F4"/>
    <w:rsid w:val="00CC0110"/>
    <w:rsid w:val="00CC0193"/>
    <w:rsid w:val="00CC01CF"/>
    <w:rsid w:val="00CC038D"/>
    <w:rsid w:val="00CC03E0"/>
    <w:rsid w:val="00CC04F1"/>
    <w:rsid w:val="00CC0689"/>
    <w:rsid w:val="00CC068C"/>
    <w:rsid w:val="00CC0707"/>
    <w:rsid w:val="00CC0797"/>
    <w:rsid w:val="00CC07B7"/>
    <w:rsid w:val="00CC07C3"/>
    <w:rsid w:val="00CC091B"/>
    <w:rsid w:val="00CC099E"/>
    <w:rsid w:val="00CC09E6"/>
    <w:rsid w:val="00CC0C73"/>
    <w:rsid w:val="00CC0D0A"/>
    <w:rsid w:val="00CC0F6E"/>
    <w:rsid w:val="00CC0F75"/>
    <w:rsid w:val="00CC10D0"/>
    <w:rsid w:val="00CC12F8"/>
    <w:rsid w:val="00CC13DD"/>
    <w:rsid w:val="00CC16CA"/>
    <w:rsid w:val="00CC1861"/>
    <w:rsid w:val="00CC18DE"/>
    <w:rsid w:val="00CC191C"/>
    <w:rsid w:val="00CC19E9"/>
    <w:rsid w:val="00CC1BAF"/>
    <w:rsid w:val="00CC1CEB"/>
    <w:rsid w:val="00CC1D41"/>
    <w:rsid w:val="00CC1D4D"/>
    <w:rsid w:val="00CC1E15"/>
    <w:rsid w:val="00CC1E64"/>
    <w:rsid w:val="00CC1EF9"/>
    <w:rsid w:val="00CC231E"/>
    <w:rsid w:val="00CC232A"/>
    <w:rsid w:val="00CC238B"/>
    <w:rsid w:val="00CC2571"/>
    <w:rsid w:val="00CC25B1"/>
    <w:rsid w:val="00CC2650"/>
    <w:rsid w:val="00CC26C2"/>
    <w:rsid w:val="00CC270C"/>
    <w:rsid w:val="00CC2809"/>
    <w:rsid w:val="00CC286C"/>
    <w:rsid w:val="00CC2894"/>
    <w:rsid w:val="00CC28D5"/>
    <w:rsid w:val="00CC28F1"/>
    <w:rsid w:val="00CC28FF"/>
    <w:rsid w:val="00CC2935"/>
    <w:rsid w:val="00CC2996"/>
    <w:rsid w:val="00CC29B3"/>
    <w:rsid w:val="00CC2A1A"/>
    <w:rsid w:val="00CC2AC1"/>
    <w:rsid w:val="00CC2C14"/>
    <w:rsid w:val="00CC2C7E"/>
    <w:rsid w:val="00CC2CB4"/>
    <w:rsid w:val="00CC2E1B"/>
    <w:rsid w:val="00CC2EA3"/>
    <w:rsid w:val="00CC2ED4"/>
    <w:rsid w:val="00CC2EF3"/>
    <w:rsid w:val="00CC2FB6"/>
    <w:rsid w:val="00CC2FC7"/>
    <w:rsid w:val="00CC2FCD"/>
    <w:rsid w:val="00CC3047"/>
    <w:rsid w:val="00CC30AB"/>
    <w:rsid w:val="00CC30EF"/>
    <w:rsid w:val="00CC310E"/>
    <w:rsid w:val="00CC317E"/>
    <w:rsid w:val="00CC3184"/>
    <w:rsid w:val="00CC31DE"/>
    <w:rsid w:val="00CC31EF"/>
    <w:rsid w:val="00CC354D"/>
    <w:rsid w:val="00CC358B"/>
    <w:rsid w:val="00CC35BF"/>
    <w:rsid w:val="00CC3660"/>
    <w:rsid w:val="00CC3665"/>
    <w:rsid w:val="00CC36D3"/>
    <w:rsid w:val="00CC37A4"/>
    <w:rsid w:val="00CC37FE"/>
    <w:rsid w:val="00CC38ED"/>
    <w:rsid w:val="00CC3B50"/>
    <w:rsid w:val="00CC3B5C"/>
    <w:rsid w:val="00CC3B7F"/>
    <w:rsid w:val="00CC3C13"/>
    <w:rsid w:val="00CC3C75"/>
    <w:rsid w:val="00CC3CF9"/>
    <w:rsid w:val="00CC3D53"/>
    <w:rsid w:val="00CC3D78"/>
    <w:rsid w:val="00CC3DD2"/>
    <w:rsid w:val="00CC3E06"/>
    <w:rsid w:val="00CC3E2E"/>
    <w:rsid w:val="00CC3E8B"/>
    <w:rsid w:val="00CC3EFD"/>
    <w:rsid w:val="00CC3F44"/>
    <w:rsid w:val="00CC3F7C"/>
    <w:rsid w:val="00CC4089"/>
    <w:rsid w:val="00CC409E"/>
    <w:rsid w:val="00CC40BD"/>
    <w:rsid w:val="00CC40E9"/>
    <w:rsid w:val="00CC4107"/>
    <w:rsid w:val="00CC4179"/>
    <w:rsid w:val="00CC41B3"/>
    <w:rsid w:val="00CC4202"/>
    <w:rsid w:val="00CC4242"/>
    <w:rsid w:val="00CC4290"/>
    <w:rsid w:val="00CC4297"/>
    <w:rsid w:val="00CC42FA"/>
    <w:rsid w:val="00CC430F"/>
    <w:rsid w:val="00CC434C"/>
    <w:rsid w:val="00CC446D"/>
    <w:rsid w:val="00CC4546"/>
    <w:rsid w:val="00CC45DD"/>
    <w:rsid w:val="00CC46E9"/>
    <w:rsid w:val="00CC46FE"/>
    <w:rsid w:val="00CC4964"/>
    <w:rsid w:val="00CC49EE"/>
    <w:rsid w:val="00CC4B15"/>
    <w:rsid w:val="00CC4B24"/>
    <w:rsid w:val="00CC4B8C"/>
    <w:rsid w:val="00CC4BA6"/>
    <w:rsid w:val="00CC4C0B"/>
    <w:rsid w:val="00CC4C55"/>
    <w:rsid w:val="00CC4E3C"/>
    <w:rsid w:val="00CC4EFA"/>
    <w:rsid w:val="00CC4F07"/>
    <w:rsid w:val="00CC4F36"/>
    <w:rsid w:val="00CC4F68"/>
    <w:rsid w:val="00CC4FCB"/>
    <w:rsid w:val="00CC505E"/>
    <w:rsid w:val="00CC512C"/>
    <w:rsid w:val="00CC5186"/>
    <w:rsid w:val="00CC51DC"/>
    <w:rsid w:val="00CC51EB"/>
    <w:rsid w:val="00CC52CC"/>
    <w:rsid w:val="00CC5301"/>
    <w:rsid w:val="00CC530D"/>
    <w:rsid w:val="00CC5320"/>
    <w:rsid w:val="00CC5448"/>
    <w:rsid w:val="00CC56AB"/>
    <w:rsid w:val="00CC57D6"/>
    <w:rsid w:val="00CC5868"/>
    <w:rsid w:val="00CC5917"/>
    <w:rsid w:val="00CC5962"/>
    <w:rsid w:val="00CC59A9"/>
    <w:rsid w:val="00CC59B3"/>
    <w:rsid w:val="00CC59B6"/>
    <w:rsid w:val="00CC59F8"/>
    <w:rsid w:val="00CC5A38"/>
    <w:rsid w:val="00CC5A9A"/>
    <w:rsid w:val="00CC5AA3"/>
    <w:rsid w:val="00CC5AF6"/>
    <w:rsid w:val="00CC5AFF"/>
    <w:rsid w:val="00CC5B2A"/>
    <w:rsid w:val="00CC5B9A"/>
    <w:rsid w:val="00CC5C14"/>
    <w:rsid w:val="00CC5C8D"/>
    <w:rsid w:val="00CC5CAA"/>
    <w:rsid w:val="00CC5CC8"/>
    <w:rsid w:val="00CC5E8F"/>
    <w:rsid w:val="00CC5EF7"/>
    <w:rsid w:val="00CC5F5E"/>
    <w:rsid w:val="00CC6098"/>
    <w:rsid w:val="00CC60EA"/>
    <w:rsid w:val="00CC6138"/>
    <w:rsid w:val="00CC61B7"/>
    <w:rsid w:val="00CC61D9"/>
    <w:rsid w:val="00CC625C"/>
    <w:rsid w:val="00CC62F4"/>
    <w:rsid w:val="00CC6387"/>
    <w:rsid w:val="00CC6416"/>
    <w:rsid w:val="00CC64C5"/>
    <w:rsid w:val="00CC650E"/>
    <w:rsid w:val="00CC65B7"/>
    <w:rsid w:val="00CC65F7"/>
    <w:rsid w:val="00CC6625"/>
    <w:rsid w:val="00CC6652"/>
    <w:rsid w:val="00CC67BA"/>
    <w:rsid w:val="00CC6864"/>
    <w:rsid w:val="00CC68A9"/>
    <w:rsid w:val="00CC68D6"/>
    <w:rsid w:val="00CC6969"/>
    <w:rsid w:val="00CC6980"/>
    <w:rsid w:val="00CC698A"/>
    <w:rsid w:val="00CC69EC"/>
    <w:rsid w:val="00CC69F4"/>
    <w:rsid w:val="00CC6A02"/>
    <w:rsid w:val="00CC6A98"/>
    <w:rsid w:val="00CC6B01"/>
    <w:rsid w:val="00CC6B45"/>
    <w:rsid w:val="00CC6B7F"/>
    <w:rsid w:val="00CC6BC4"/>
    <w:rsid w:val="00CC6C2A"/>
    <w:rsid w:val="00CC6C87"/>
    <w:rsid w:val="00CC6D5A"/>
    <w:rsid w:val="00CC6E34"/>
    <w:rsid w:val="00CC6F79"/>
    <w:rsid w:val="00CC6FBF"/>
    <w:rsid w:val="00CC702D"/>
    <w:rsid w:val="00CC709C"/>
    <w:rsid w:val="00CC709D"/>
    <w:rsid w:val="00CC7178"/>
    <w:rsid w:val="00CC7333"/>
    <w:rsid w:val="00CC737C"/>
    <w:rsid w:val="00CC73B2"/>
    <w:rsid w:val="00CC7525"/>
    <w:rsid w:val="00CC75C4"/>
    <w:rsid w:val="00CC75FD"/>
    <w:rsid w:val="00CC7603"/>
    <w:rsid w:val="00CC7683"/>
    <w:rsid w:val="00CC7707"/>
    <w:rsid w:val="00CC7746"/>
    <w:rsid w:val="00CC7990"/>
    <w:rsid w:val="00CC799B"/>
    <w:rsid w:val="00CC79C4"/>
    <w:rsid w:val="00CC79C8"/>
    <w:rsid w:val="00CC79EB"/>
    <w:rsid w:val="00CC7AB2"/>
    <w:rsid w:val="00CC7ABB"/>
    <w:rsid w:val="00CC7B1C"/>
    <w:rsid w:val="00CC7C3E"/>
    <w:rsid w:val="00CC7C89"/>
    <w:rsid w:val="00CC7C8A"/>
    <w:rsid w:val="00CC7D66"/>
    <w:rsid w:val="00CC7E38"/>
    <w:rsid w:val="00CC7ECA"/>
    <w:rsid w:val="00CD0035"/>
    <w:rsid w:val="00CD0072"/>
    <w:rsid w:val="00CD00ED"/>
    <w:rsid w:val="00CD019F"/>
    <w:rsid w:val="00CD0298"/>
    <w:rsid w:val="00CD0355"/>
    <w:rsid w:val="00CD048E"/>
    <w:rsid w:val="00CD054F"/>
    <w:rsid w:val="00CD0631"/>
    <w:rsid w:val="00CD06F2"/>
    <w:rsid w:val="00CD07EA"/>
    <w:rsid w:val="00CD0854"/>
    <w:rsid w:val="00CD08FB"/>
    <w:rsid w:val="00CD0918"/>
    <w:rsid w:val="00CD0A47"/>
    <w:rsid w:val="00CD0B70"/>
    <w:rsid w:val="00CD0B8C"/>
    <w:rsid w:val="00CD0C44"/>
    <w:rsid w:val="00CD0C6B"/>
    <w:rsid w:val="00CD0CDE"/>
    <w:rsid w:val="00CD0DA4"/>
    <w:rsid w:val="00CD0E3D"/>
    <w:rsid w:val="00CD0E4F"/>
    <w:rsid w:val="00CD0E79"/>
    <w:rsid w:val="00CD0E82"/>
    <w:rsid w:val="00CD0EED"/>
    <w:rsid w:val="00CD0F55"/>
    <w:rsid w:val="00CD1046"/>
    <w:rsid w:val="00CD113F"/>
    <w:rsid w:val="00CD11E7"/>
    <w:rsid w:val="00CD1279"/>
    <w:rsid w:val="00CD12B6"/>
    <w:rsid w:val="00CD144C"/>
    <w:rsid w:val="00CD14AD"/>
    <w:rsid w:val="00CD14CE"/>
    <w:rsid w:val="00CD15B5"/>
    <w:rsid w:val="00CD16D3"/>
    <w:rsid w:val="00CD1891"/>
    <w:rsid w:val="00CD1899"/>
    <w:rsid w:val="00CD19E2"/>
    <w:rsid w:val="00CD1A63"/>
    <w:rsid w:val="00CD1ADE"/>
    <w:rsid w:val="00CD1C5A"/>
    <w:rsid w:val="00CD1D52"/>
    <w:rsid w:val="00CD1DC7"/>
    <w:rsid w:val="00CD1E29"/>
    <w:rsid w:val="00CD1E65"/>
    <w:rsid w:val="00CD1F08"/>
    <w:rsid w:val="00CD1F53"/>
    <w:rsid w:val="00CD1FFE"/>
    <w:rsid w:val="00CD200F"/>
    <w:rsid w:val="00CD2022"/>
    <w:rsid w:val="00CD209F"/>
    <w:rsid w:val="00CD214A"/>
    <w:rsid w:val="00CD223F"/>
    <w:rsid w:val="00CD2338"/>
    <w:rsid w:val="00CD2348"/>
    <w:rsid w:val="00CD23A7"/>
    <w:rsid w:val="00CD23E7"/>
    <w:rsid w:val="00CD24EB"/>
    <w:rsid w:val="00CD257F"/>
    <w:rsid w:val="00CD259B"/>
    <w:rsid w:val="00CD25DB"/>
    <w:rsid w:val="00CD26A8"/>
    <w:rsid w:val="00CD26D0"/>
    <w:rsid w:val="00CD273B"/>
    <w:rsid w:val="00CD2749"/>
    <w:rsid w:val="00CD28A0"/>
    <w:rsid w:val="00CD28B5"/>
    <w:rsid w:val="00CD28E2"/>
    <w:rsid w:val="00CD28F0"/>
    <w:rsid w:val="00CD2973"/>
    <w:rsid w:val="00CD2976"/>
    <w:rsid w:val="00CD2A75"/>
    <w:rsid w:val="00CD2A95"/>
    <w:rsid w:val="00CD2C26"/>
    <w:rsid w:val="00CD2C43"/>
    <w:rsid w:val="00CD2D35"/>
    <w:rsid w:val="00CD2DDD"/>
    <w:rsid w:val="00CD2E27"/>
    <w:rsid w:val="00CD2E30"/>
    <w:rsid w:val="00CD2E6A"/>
    <w:rsid w:val="00CD3009"/>
    <w:rsid w:val="00CD3092"/>
    <w:rsid w:val="00CD309F"/>
    <w:rsid w:val="00CD310A"/>
    <w:rsid w:val="00CD314F"/>
    <w:rsid w:val="00CD3196"/>
    <w:rsid w:val="00CD32E2"/>
    <w:rsid w:val="00CD3376"/>
    <w:rsid w:val="00CD338D"/>
    <w:rsid w:val="00CD33AD"/>
    <w:rsid w:val="00CD3480"/>
    <w:rsid w:val="00CD34CD"/>
    <w:rsid w:val="00CD34F9"/>
    <w:rsid w:val="00CD3510"/>
    <w:rsid w:val="00CD3622"/>
    <w:rsid w:val="00CD36E2"/>
    <w:rsid w:val="00CD37CF"/>
    <w:rsid w:val="00CD37DC"/>
    <w:rsid w:val="00CD382A"/>
    <w:rsid w:val="00CD387D"/>
    <w:rsid w:val="00CD3894"/>
    <w:rsid w:val="00CD38E3"/>
    <w:rsid w:val="00CD3929"/>
    <w:rsid w:val="00CD3966"/>
    <w:rsid w:val="00CD3A33"/>
    <w:rsid w:val="00CD3A91"/>
    <w:rsid w:val="00CD3AC3"/>
    <w:rsid w:val="00CD3E6D"/>
    <w:rsid w:val="00CD3EB3"/>
    <w:rsid w:val="00CD3FAE"/>
    <w:rsid w:val="00CD401C"/>
    <w:rsid w:val="00CD4097"/>
    <w:rsid w:val="00CD40EC"/>
    <w:rsid w:val="00CD4100"/>
    <w:rsid w:val="00CD4107"/>
    <w:rsid w:val="00CD425C"/>
    <w:rsid w:val="00CD4489"/>
    <w:rsid w:val="00CD44C8"/>
    <w:rsid w:val="00CD450F"/>
    <w:rsid w:val="00CD45C9"/>
    <w:rsid w:val="00CD460D"/>
    <w:rsid w:val="00CD4646"/>
    <w:rsid w:val="00CD4711"/>
    <w:rsid w:val="00CD4773"/>
    <w:rsid w:val="00CD47C8"/>
    <w:rsid w:val="00CD4854"/>
    <w:rsid w:val="00CD49A4"/>
    <w:rsid w:val="00CD4A91"/>
    <w:rsid w:val="00CD4AD4"/>
    <w:rsid w:val="00CD4AE7"/>
    <w:rsid w:val="00CD4BDC"/>
    <w:rsid w:val="00CD4C82"/>
    <w:rsid w:val="00CD4D1C"/>
    <w:rsid w:val="00CD4D6F"/>
    <w:rsid w:val="00CD4D72"/>
    <w:rsid w:val="00CD4E02"/>
    <w:rsid w:val="00CD4E7C"/>
    <w:rsid w:val="00CD4ED2"/>
    <w:rsid w:val="00CD4FB5"/>
    <w:rsid w:val="00CD5272"/>
    <w:rsid w:val="00CD52AD"/>
    <w:rsid w:val="00CD52EF"/>
    <w:rsid w:val="00CD52FB"/>
    <w:rsid w:val="00CD5327"/>
    <w:rsid w:val="00CD5480"/>
    <w:rsid w:val="00CD54D5"/>
    <w:rsid w:val="00CD5512"/>
    <w:rsid w:val="00CD5532"/>
    <w:rsid w:val="00CD55DB"/>
    <w:rsid w:val="00CD5603"/>
    <w:rsid w:val="00CD56F3"/>
    <w:rsid w:val="00CD57B3"/>
    <w:rsid w:val="00CD5837"/>
    <w:rsid w:val="00CD589B"/>
    <w:rsid w:val="00CD59F1"/>
    <w:rsid w:val="00CD5D8B"/>
    <w:rsid w:val="00CD5ED9"/>
    <w:rsid w:val="00CD605B"/>
    <w:rsid w:val="00CD6134"/>
    <w:rsid w:val="00CD63FF"/>
    <w:rsid w:val="00CD6480"/>
    <w:rsid w:val="00CD649A"/>
    <w:rsid w:val="00CD65B5"/>
    <w:rsid w:val="00CD6642"/>
    <w:rsid w:val="00CD6652"/>
    <w:rsid w:val="00CD66CB"/>
    <w:rsid w:val="00CD66FE"/>
    <w:rsid w:val="00CD6767"/>
    <w:rsid w:val="00CD67A8"/>
    <w:rsid w:val="00CD682E"/>
    <w:rsid w:val="00CD6874"/>
    <w:rsid w:val="00CD6875"/>
    <w:rsid w:val="00CD68F4"/>
    <w:rsid w:val="00CD695A"/>
    <w:rsid w:val="00CD697C"/>
    <w:rsid w:val="00CD69B2"/>
    <w:rsid w:val="00CD6A3C"/>
    <w:rsid w:val="00CD6A7F"/>
    <w:rsid w:val="00CD6B55"/>
    <w:rsid w:val="00CD6BA7"/>
    <w:rsid w:val="00CD6BE5"/>
    <w:rsid w:val="00CD6D49"/>
    <w:rsid w:val="00CD6D82"/>
    <w:rsid w:val="00CD6D8C"/>
    <w:rsid w:val="00CD6E04"/>
    <w:rsid w:val="00CD6E8D"/>
    <w:rsid w:val="00CD6EA2"/>
    <w:rsid w:val="00CD6EA4"/>
    <w:rsid w:val="00CD700B"/>
    <w:rsid w:val="00CD704E"/>
    <w:rsid w:val="00CD709A"/>
    <w:rsid w:val="00CD70C9"/>
    <w:rsid w:val="00CD72D2"/>
    <w:rsid w:val="00CD72EC"/>
    <w:rsid w:val="00CD731C"/>
    <w:rsid w:val="00CD7330"/>
    <w:rsid w:val="00CD7334"/>
    <w:rsid w:val="00CD73AA"/>
    <w:rsid w:val="00CD73C6"/>
    <w:rsid w:val="00CD743F"/>
    <w:rsid w:val="00CD749B"/>
    <w:rsid w:val="00CD757C"/>
    <w:rsid w:val="00CD75EA"/>
    <w:rsid w:val="00CD76B4"/>
    <w:rsid w:val="00CD76C6"/>
    <w:rsid w:val="00CD788E"/>
    <w:rsid w:val="00CD78D0"/>
    <w:rsid w:val="00CD791E"/>
    <w:rsid w:val="00CD7C58"/>
    <w:rsid w:val="00CD7C93"/>
    <w:rsid w:val="00CD7D2A"/>
    <w:rsid w:val="00CD7DC6"/>
    <w:rsid w:val="00CD7E15"/>
    <w:rsid w:val="00CD7EAF"/>
    <w:rsid w:val="00CD7ECB"/>
    <w:rsid w:val="00CD7EEC"/>
    <w:rsid w:val="00CD7F29"/>
    <w:rsid w:val="00CD7FDE"/>
    <w:rsid w:val="00CE0320"/>
    <w:rsid w:val="00CE03F9"/>
    <w:rsid w:val="00CE04A8"/>
    <w:rsid w:val="00CE04AF"/>
    <w:rsid w:val="00CE0523"/>
    <w:rsid w:val="00CE05BE"/>
    <w:rsid w:val="00CE0676"/>
    <w:rsid w:val="00CE06C1"/>
    <w:rsid w:val="00CE06D2"/>
    <w:rsid w:val="00CE06E7"/>
    <w:rsid w:val="00CE0723"/>
    <w:rsid w:val="00CE075A"/>
    <w:rsid w:val="00CE0782"/>
    <w:rsid w:val="00CE07A3"/>
    <w:rsid w:val="00CE07A6"/>
    <w:rsid w:val="00CE07C0"/>
    <w:rsid w:val="00CE08A3"/>
    <w:rsid w:val="00CE0AAE"/>
    <w:rsid w:val="00CE0B29"/>
    <w:rsid w:val="00CE0BDE"/>
    <w:rsid w:val="00CE0C07"/>
    <w:rsid w:val="00CE0D88"/>
    <w:rsid w:val="00CE0ED3"/>
    <w:rsid w:val="00CE0ED9"/>
    <w:rsid w:val="00CE1034"/>
    <w:rsid w:val="00CE1082"/>
    <w:rsid w:val="00CE1247"/>
    <w:rsid w:val="00CE1298"/>
    <w:rsid w:val="00CE12E4"/>
    <w:rsid w:val="00CE13A8"/>
    <w:rsid w:val="00CE13B4"/>
    <w:rsid w:val="00CE140C"/>
    <w:rsid w:val="00CE1445"/>
    <w:rsid w:val="00CE147F"/>
    <w:rsid w:val="00CE14E0"/>
    <w:rsid w:val="00CE14E5"/>
    <w:rsid w:val="00CE1598"/>
    <w:rsid w:val="00CE162E"/>
    <w:rsid w:val="00CE19BB"/>
    <w:rsid w:val="00CE19D1"/>
    <w:rsid w:val="00CE1B69"/>
    <w:rsid w:val="00CE1BF6"/>
    <w:rsid w:val="00CE1C0E"/>
    <w:rsid w:val="00CE1C27"/>
    <w:rsid w:val="00CE1C35"/>
    <w:rsid w:val="00CE1CD4"/>
    <w:rsid w:val="00CE1CEE"/>
    <w:rsid w:val="00CE1D9D"/>
    <w:rsid w:val="00CE1D9F"/>
    <w:rsid w:val="00CE1EE5"/>
    <w:rsid w:val="00CE1F5D"/>
    <w:rsid w:val="00CE1FCC"/>
    <w:rsid w:val="00CE207E"/>
    <w:rsid w:val="00CE20EC"/>
    <w:rsid w:val="00CE21F6"/>
    <w:rsid w:val="00CE236D"/>
    <w:rsid w:val="00CE23D9"/>
    <w:rsid w:val="00CE2530"/>
    <w:rsid w:val="00CE2686"/>
    <w:rsid w:val="00CE2822"/>
    <w:rsid w:val="00CE28C8"/>
    <w:rsid w:val="00CE2C99"/>
    <w:rsid w:val="00CE2CA9"/>
    <w:rsid w:val="00CE2CD9"/>
    <w:rsid w:val="00CE2CE1"/>
    <w:rsid w:val="00CE2DD2"/>
    <w:rsid w:val="00CE2DF1"/>
    <w:rsid w:val="00CE2E37"/>
    <w:rsid w:val="00CE2E42"/>
    <w:rsid w:val="00CE2FE6"/>
    <w:rsid w:val="00CE3036"/>
    <w:rsid w:val="00CE3077"/>
    <w:rsid w:val="00CE32DE"/>
    <w:rsid w:val="00CE330F"/>
    <w:rsid w:val="00CE34AE"/>
    <w:rsid w:val="00CE3653"/>
    <w:rsid w:val="00CE3733"/>
    <w:rsid w:val="00CE3835"/>
    <w:rsid w:val="00CE397F"/>
    <w:rsid w:val="00CE39EB"/>
    <w:rsid w:val="00CE3AE5"/>
    <w:rsid w:val="00CE3B3B"/>
    <w:rsid w:val="00CE3BBA"/>
    <w:rsid w:val="00CE3BF7"/>
    <w:rsid w:val="00CE3CD2"/>
    <w:rsid w:val="00CE3D4C"/>
    <w:rsid w:val="00CE3EB2"/>
    <w:rsid w:val="00CE3ECD"/>
    <w:rsid w:val="00CE3F16"/>
    <w:rsid w:val="00CE403A"/>
    <w:rsid w:val="00CE415F"/>
    <w:rsid w:val="00CE41B3"/>
    <w:rsid w:val="00CE41CD"/>
    <w:rsid w:val="00CE4278"/>
    <w:rsid w:val="00CE42C2"/>
    <w:rsid w:val="00CE42D0"/>
    <w:rsid w:val="00CE4349"/>
    <w:rsid w:val="00CE4363"/>
    <w:rsid w:val="00CE4402"/>
    <w:rsid w:val="00CE4478"/>
    <w:rsid w:val="00CE44D4"/>
    <w:rsid w:val="00CE450E"/>
    <w:rsid w:val="00CE451D"/>
    <w:rsid w:val="00CE4537"/>
    <w:rsid w:val="00CE4555"/>
    <w:rsid w:val="00CE45C9"/>
    <w:rsid w:val="00CE465B"/>
    <w:rsid w:val="00CE46E0"/>
    <w:rsid w:val="00CE46F8"/>
    <w:rsid w:val="00CE48D1"/>
    <w:rsid w:val="00CE49AC"/>
    <w:rsid w:val="00CE4ADF"/>
    <w:rsid w:val="00CE4B74"/>
    <w:rsid w:val="00CE4B9E"/>
    <w:rsid w:val="00CE4BA3"/>
    <w:rsid w:val="00CE4BC7"/>
    <w:rsid w:val="00CE4C4E"/>
    <w:rsid w:val="00CE4C9B"/>
    <w:rsid w:val="00CE4D05"/>
    <w:rsid w:val="00CE4D8A"/>
    <w:rsid w:val="00CE4F05"/>
    <w:rsid w:val="00CE4F1E"/>
    <w:rsid w:val="00CE4F2E"/>
    <w:rsid w:val="00CE4F45"/>
    <w:rsid w:val="00CE4F7D"/>
    <w:rsid w:val="00CE4F95"/>
    <w:rsid w:val="00CE4FB3"/>
    <w:rsid w:val="00CE4FC9"/>
    <w:rsid w:val="00CE503D"/>
    <w:rsid w:val="00CE5045"/>
    <w:rsid w:val="00CE507A"/>
    <w:rsid w:val="00CE50D6"/>
    <w:rsid w:val="00CE5184"/>
    <w:rsid w:val="00CE51EF"/>
    <w:rsid w:val="00CE51F7"/>
    <w:rsid w:val="00CE5226"/>
    <w:rsid w:val="00CE52A5"/>
    <w:rsid w:val="00CE52B8"/>
    <w:rsid w:val="00CE5360"/>
    <w:rsid w:val="00CE536B"/>
    <w:rsid w:val="00CE5470"/>
    <w:rsid w:val="00CE5540"/>
    <w:rsid w:val="00CE57F5"/>
    <w:rsid w:val="00CE5808"/>
    <w:rsid w:val="00CE5873"/>
    <w:rsid w:val="00CE5B7F"/>
    <w:rsid w:val="00CE5BA0"/>
    <w:rsid w:val="00CE5C1F"/>
    <w:rsid w:val="00CE5C91"/>
    <w:rsid w:val="00CE5C9A"/>
    <w:rsid w:val="00CE5CEF"/>
    <w:rsid w:val="00CE5D2E"/>
    <w:rsid w:val="00CE5D3A"/>
    <w:rsid w:val="00CE5D3E"/>
    <w:rsid w:val="00CE5DEC"/>
    <w:rsid w:val="00CE5EB8"/>
    <w:rsid w:val="00CE6073"/>
    <w:rsid w:val="00CE6095"/>
    <w:rsid w:val="00CE60C6"/>
    <w:rsid w:val="00CE60E9"/>
    <w:rsid w:val="00CE614F"/>
    <w:rsid w:val="00CE61C4"/>
    <w:rsid w:val="00CE629E"/>
    <w:rsid w:val="00CE62A4"/>
    <w:rsid w:val="00CE6337"/>
    <w:rsid w:val="00CE640E"/>
    <w:rsid w:val="00CE644D"/>
    <w:rsid w:val="00CE6480"/>
    <w:rsid w:val="00CE6558"/>
    <w:rsid w:val="00CE6568"/>
    <w:rsid w:val="00CE6606"/>
    <w:rsid w:val="00CE6706"/>
    <w:rsid w:val="00CE67E4"/>
    <w:rsid w:val="00CE68D2"/>
    <w:rsid w:val="00CE69E0"/>
    <w:rsid w:val="00CE6A66"/>
    <w:rsid w:val="00CE6ACF"/>
    <w:rsid w:val="00CE6B53"/>
    <w:rsid w:val="00CE6C68"/>
    <w:rsid w:val="00CE6D06"/>
    <w:rsid w:val="00CE6D6D"/>
    <w:rsid w:val="00CE6DCE"/>
    <w:rsid w:val="00CE6E7B"/>
    <w:rsid w:val="00CE6EE9"/>
    <w:rsid w:val="00CE6F03"/>
    <w:rsid w:val="00CE704C"/>
    <w:rsid w:val="00CE7300"/>
    <w:rsid w:val="00CE7332"/>
    <w:rsid w:val="00CE7356"/>
    <w:rsid w:val="00CE73A2"/>
    <w:rsid w:val="00CE74CB"/>
    <w:rsid w:val="00CE755D"/>
    <w:rsid w:val="00CE75F9"/>
    <w:rsid w:val="00CE7631"/>
    <w:rsid w:val="00CE7676"/>
    <w:rsid w:val="00CE76D6"/>
    <w:rsid w:val="00CE772D"/>
    <w:rsid w:val="00CE77BC"/>
    <w:rsid w:val="00CE7851"/>
    <w:rsid w:val="00CE79BC"/>
    <w:rsid w:val="00CE7A53"/>
    <w:rsid w:val="00CE7B39"/>
    <w:rsid w:val="00CE7B71"/>
    <w:rsid w:val="00CE7C3B"/>
    <w:rsid w:val="00CE7C53"/>
    <w:rsid w:val="00CE7CEB"/>
    <w:rsid w:val="00CE7D71"/>
    <w:rsid w:val="00CE7EA2"/>
    <w:rsid w:val="00CE7F83"/>
    <w:rsid w:val="00CF0003"/>
    <w:rsid w:val="00CF015B"/>
    <w:rsid w:val="00CF01F4"/>
    <w:rsid w:val="00CF01FE"/>
    <w:rsid w:val="00CF023E"/>
    <w:rsid w:val="00CF046F"/>
    <w:rsid w:val="00CF04F2"/>
    <w:rsid w:val="00CF0542"/>
    <w:rsid w:val="00CF057D"/>
    <w:rsid w:val="00CF0588"/>
    <w:rsid w:val="00CF0675"/>
    <w:rsid w:val="00CF06BB"/>
    <w:rsid w:val="00CF0727"/>
    <w:rsid w:val="00CF0758"/>
    <w:rsid w:val="00CF07B5"/>
    <w:rsid w:val="00CF08B6"/>
    <w:rsid w:val="00CF08EB"/>
    <w:rsid w:val="00CF092F"/>
    <w:rsid w:val="00CF0996"/>
    <w:rsid w:val="00CF09CA"/>
    <w:rsid w:val="00CF0A7E"/>
    <w:rsid w:val="00CF0B39"/>
    <w:rsid w:val="00CF0BAC"/>
    <w:rsid w:val="00CF0BB1"/>
    <w:rsid w:val="00CF0BC4"/>
    <w:rsid w:val="00CF0C35"/>
    <w:rsid w:val="00CF0D9C"/>
    <w:rsid w:val="00CF0DBE"/>
    <w:rsid w:val="00CF0EFA"/>
    <w:rsid w:val="00CF0F7F"/>
    <w:rsid w:val="00CF1030"/>
    <w:rsid w:val="00CF1058"/>
    <w:rsid w:val="00CF10CC"/>
    <w:rsid w:val="00CF1151"/>
    <w:rsid w:val="00CF11FC"/>
    <w:rsid w:val="00CF1226"/>
    <w:rsid w:val="00CF12CE"/>
    <w:rsid w:val="00CF131C"/>
    <w:rsid w:val="00CF13E4"/>
    <w:rsid w:val="00CF13EB"/>
    <w:rsid w:val="00CF140B"/>
    <w:rsid w:val="00CF141F"/>
    <w:rsid w:val="00CF14CA"/>
    <w:rsid w:val="00CF1609"/>
    <w:rsid w:val="00CF16F8"/>
    <w:rsid w:val="00CF17ED"/>
    <w:rsid w:val="00CF1888"/>
    <w:rsid w:val="00CF18E8"/>
    <w:rsid w:val="00CF1992"/>
    <w:rsid w:val="00CF19BA"/>
    <w:rsid w:val="00CF19CC"/>
    <w:rsid w:val="00CF1B85"/>
    <w:rsid w:val="00CF1B9F"/>
    <w:rsid w:val="00CF1BE3"/>
    <w:rsid w:val="00CF1C3B"/>
    <w:rsid w:val="00CF1C67"/>
    <w:rsid w:val="00CF1E6F"/>
    <w:rsid w:val="00CF1EE2"/>
    <w:rsid w:val="00CF1EE4"/>
    <w:rsid w:val="00CF1EED"/>
    <w:rsid w:val="00CF1EF2"/>
    <w:rsid w:val="00CF1EF4"/>
    <w:rsid w:val="00CF1F57"/>
    <w:rsid w:val="00CF1FFD"/>
    <w:rsid w:val="00CF201E"/>
    <w:rsid w:val="00CF20BC"/>
    <w:rsid w:val="00CF236C"/>
    <w:rsid w:val="00CF23CD"/>
    <w:rsid w:val="00CF23EC"/>
    <w:rsid w:val="00CF2461"/>
    <w:rsid w:val="00CF2525"/>
    <w:rsid w:val="00CF257C"/>
    <w:rsid w:val="00CF26B8"/>
    <w:rsid w:val="00CF2741"/>
    <w:rsid w:val="00CF2786"/>
    <w:rsid w:val="00CF28E6"/>
    <w:rsid w:val="00CF293A"/>
    <w:rsid w:val="00CF2951"/>
    <w:rsid w:val="00CF297A"/>
    <w:rsid w:val="00CF2A0F"/>
    <w:rsid w:val="00CF2A29"/>
    <w:rsid w:val="00CF2A63"/>
    <w:rsid w:val="00CF2A65"/>
    <w:rsid w:val="00CF2A76"/>
    <w:rsid w:val="00CF2ABF"/>
    <w:rsid w:val="00CF2ADA"/>
    <w:rsid w:val="00CF2D3F"/>
    <w:rsid w:val="00CF2D8A"/>
    <w:rsid w:val="00CF2D8D"/>
    <w:rsid w:val="00CF2DD8"/>
    <w:rsid w:val="00CF2E1E"/>
    <w:rsid w:val="00CF2E5D"/>
    <w:rsid w:val="00CF2E76"/>
    <w:rsid w:val="00CF2F6D"/>
    <w:rsid w:val="00CF304D"/>
    <w:rsid w:val="00CF3075"/>
    <w:rsid w:val="00CF30F3"/>
    <w:rsid w:val="00CF3144"/>
    <w:rsid w:val="00CF3148"/>
    <w:rsid w:val="00CF3237"/>
    <w:rsid w:val="00CF3256"/>
    <w:rsid w:val="00CF3301"/>
    <w:rsid w:val="00CF3371"/>
    <w:rsid w:val="00CF33A1"/>
    <w:rsid w:val="00CF33CA"/>
    <w:rsid w:val="00CF33F5"/>
    <w:rsid w:val="00CF33FE"/>
    <w:rsid w:val="00CF3412"/>
    <w:rsid w:val="00CF3422"/>
    <w:rsid w:val="00CF349C"/>
    <w:rsid w:val="00CF34E5"/>
    <w:rsid w:val="00CF3506"/>
    <w:rsid w:val="00CF3592"/>
    <w:rsid w:val="00CF36BB"/>
    <w:rsid w:val="00CF36EE"/>
    <w:rsid w:val="00CF36F4"/>
    <w:rsid w:val="00CF37A2"/>
    <w:rsid w:val="00CF38F3"/>
    <w:rsid w:val="00CF3977"/>
    <w:rsid w:val="00CF3A38"/>
    <w:rsid w:val="00CF3B99"/>
    <w:rsid w:val="00CF3BBB"/>
    <w:rsid w:val="00CF3BFD"/>
    <w:rsid w:val="00CF3CA4"/>
    <w:rsid w:val="00CF3D53"/>
    <w:rsid w:val="00CF3D5C"/>
    <w:rsid w:val="00CF3D81"/>
    <w:rsid w:val="00CF3ECF"/>
    <w:rsid w:val="00CF3F76"/>
    <w:rsid w:val="00CF4147"/>
    <w:rsid w:val="00CF41BD"/>
    <w:rsid w:val="00CF4230"/>
    <w:rsid w:val="00CF423A"/>
    <w:rsid w:val="00CF435D"/>
    <w:rsid w:val="00CF4379"/>
    <w:rsid w:val="00CF43B7"/>
    <w:rsid w:val="00CF4660"/>
    <w:rsid w:val="00CF476B"/>
    <w:rsid w:val="00CF480E"/>
    <w:rsid w:val="00CF487A"/>
    <w:rsid w:val="00CF4881"/>
    <w:rsid w:val="00CF48A4"/>
    <w:rsid w:val="00CF4922"/>
    <w:rsid w:val="00CF4923"/>
    <w:rsid w:val="00CF4933"/>
    <w:rsid w:val="00CF4949"/>
    <w:rsid w:val="00CF49B4"/>
    <w:rsid w:val="00CF49BB"/>
    <w:rsid w:val="00CF4ADF"/>
    <w:rsid w:val="00CF4AE9"/>
    <w:rsid w:val="00CF4AF8"/>
    <w:rsid w:val="00CF4B5A"/>
    <w:rsid w:val="00CF4B79"/>
    <w:rsid w:val="00CF4BE2"/>
    <w:rsid w:val="00CF4D25"/>
    <w:rsid w:val="00CF4D67"/>
    <w:rsid w:val="00CF4E12"/>
    <w:rsid w:val="00CF4EA6"/>
    <w:rsid w:val="00CF4EA7"/>
    <w:rsid w:val="00CF4EE7"/>
    <w:rsid w:val="00CF4F1A"/>
    <w:rsid w:val="00CF4F56"/>
    <w:rsid w:val="00CF506C"/>
    <w:rsid w:val="00CF5098"/>
    <w:rsid w:val="00CF518D"/>
    <w:rsid w:val="00CF5210"/>
    <w:rsid w:val="00CF530B"/>
    <w:rsid w:val="00CF5352"/>
    <w:rsid w:val="00CF546E"/>
    <w:rsid w:val="00CF556C"/>
    <w:rsid w:val="00CF5608"/>
    <w:rsid w:val="00CF56C2"/>
    <w:rsid w:val="00CF58AC"/>
    <w:rsid w:val="00CF5910"/>
    <w:rsid w:val="00CF59A1"/>
    <w:rsid w:val="00CF5B26"/>
    <w:rsid w:val="00CF5BBA"/>
    <w:rsid w:val="00CF5DAA"/>
    <w:rsid w:val="00CF5DF8"/>
    <w:rsid w:val="00CF5E9F"/>
    <w:rsid w:val="00CF5EB9"/>
    <w:rsid w:val="00CF5F6E"/>
    <w:rsid w:val="00CF5F88"/>
    <w:rsid w:val="00CF6135"/>
    <w:rsid w:val="00CF6174"/>
    <w:rsid w:val="00CF6254"/>
    <w:rsid w:val="00CF62DC"/>
    <w:rsid w:val="00CF62F7"/>
    <w:rsid w:val="00CF6311"/>
    <w:rsid w:val="00CF63A5"/>
    <w:rsid w:val="00CF64BA"/>
    <w:rsid w:val="00CF657E"/>
    <w:rsid w:val="00CF65DA"/>
    <w:rsid w:val="00CF6658"/>
    <w:rsid w:val="00CF66BC"/>
    <w:rsid w:val="00CF66C3"/>
    <w:rsid w:val="00CF6725"/>
    <w:rsid w:val="00CF6839"/>
    <w:rsid w:val="00CF685C"/>
    <w:rsid w:val="00CF688F"/>
    <w:rsid w:val="00CF68BA"/>
    <w:rsid w:val="00CF69DF"/>
    <w:rsid w:val="00CF6A36"/>
    <w:rsid w:val="00CF6B77"/>
    <w:rsid w:val="00CF6C51"/>
    <w:rsid w:val="00CF6CDF"/>
    <w:rsid w:val="00CF6CFA"/>
    <w:rsid w:val="00CF6DF3"/>
    <w:rsid w:val="00CF6F13"/>
    <w:rsid w:val="00CF6F7E"/>
    <w:rsid w:val="00CF710F"/>
    <w:rsid w:val="00CF7243"/>
    <w:rsid w:val="00CF73D5"/>
    <w:rsid w:val="00CF73E9"/>
    <w:rsid w:val="00CF7477"/>
    <w:rsid w:val="00CF7503"/>
    <w:rsid w:val="00CF75EF"/>
    <w:rsid w:val="00CF7610"/>
    <w:rsid w:val="00CF762C"/>
    <w:rsid w:val="00CF7658"/>
    <w:rsid w:val="00CF767F"/>
    <w:rsid w:val="00CF76C6"/>
    <w:rsid w:val="00CF76D4"/>
    <w:rsid w:val="00CF76E2"/>
    <w:rsid w:val="00CF7865"/>
    <w:rsid w:val="00CF7867"/>
    <w:rsid w:val="00CF7925"/>
    <w:rsid w:val="00CF7B0F"/>
    <w:rsid w:val="00CF7B56"/>
    <w:rsid w:val="00CF7B5D"/>
    <w:rsid w:val="00CF7B8E"/>
    <w:rsid w:val="00CF7BB2"/>
    <w:rsid w:val="00CF7BB9"/>
    <w:rsid w:val="00CF7BE5"/>
    <w:rsid w:val="00CF7C52"/>
    <w:rsid w:val="00CF7C6F"/>
    <w:rsid w:val="00CF7C7C"/>
    <w:rsid w:val="00CF7F7C"/>
    <w:rsid w:val="00CF7F7F"/>
    <w:rsid w:val="00D0002E"/>
    <w:rsid w:val="00D0012E"/>
    <w:rsid w:val="00D00199"/>
    <w:rsid w:val="00D0023B"/>
    <w:rsid w:val="00D00319"/>
    <w:rsid w:val="00D004A7"/>
    <w:rsid w:val="00D004B9"/>
    <w:rsid w:val="00D0062F"/>
    <w:rsid w:val="00D00689"/>
    <w:rsid w:val="00D006F5"/>
    <w:rsid w:val="00D0075D"/>
    <w:rsid w:val="00D00771"/>
    <w:rsid w:val="00D00830"/>
    <w:rsid w:val="00D008A2"/>
    <w:rsid w:val="00D009FC"/>
    <w:rsid w:val="00D00B1C"/>
    <w:rsid w:val="00D00B26"/>
    <w:rsid w:val="00D00BA7"/>
    <w:rsid w:val="00D00C6B"/>
    <w:rsid w:val="00D00C8C"/>
    <w:rsid w:val="00D00CC7"/>
    <w:rsid w:val="00D00D1C"/>
    <w:rsid w:val="00D00D54"/>
    <w:rsid w:val="00D00EE8"/>
    <w:rsid w:val="00D00F6B"/>
    <w:rsid w:val="00D011B6"/>
    <w:rsid w:val="00D011C2"/>
    <w:rsid w:val="00D01239"/>
    <w:rsid w:val="00D01396"/>
    <w:rsid w:val="00D0142D"/>
    <w:rsid w:val="00D01446"/>
    <w:rsid w:val="00D01537"/>
    <w:rsid w:val="00D01631"/>
    <w:rsid w:val="00D01679"/>
    <w:rsid w:val="00D01761"/>
    <w:rsid w:val="00D017D5"/>
    <w:rsid w:val="00D01847"/>
    <w:rsid w:val="00D01854"/>
    <w:rsid w:val="00D01893"/>
    <w:rsid w:val="00D01927"/>
    <w:rsid w:val="00D0194D"/>
    <w:rsid w:val="00D019BD"/>
    <w:rsid w:val="00D019C7"/>
    <w:rsid w:val="00D019F5"/>
    <w:rsid w:val="00D01A8A"/>
    <w:rsid w:val="00D01C2B"/>
    <w:rsid w:val="00D01DCB"/>
    <w:rsid w:val="00D01E48"/>
    <w:rsid w:val="00D01E7F"/>
    <w:rsid w:val="00D01EB2"/>
    <w:rsid w:val="00D01EF7"/>
    <w:rsid w:val="00D01FB8"/>
    <w:rsid w:val="00D01FF6"/>
    <w:rsid w:val="00D020E0"/>
    <w:rsid w:val="00D02171"/>
    <w:rsid w:val="00D021D2"/>
    <w:rsid w:val="00D021EE"/>
    <w:rsid w:val="00D02259"/>
    <w:rsid w:val="00D0227F"/>
    <w:rsid w:val="00D023A2"/>
    <w:rsid w:val="00D0240B"/>
    <w:rsid w:val="00D02479"/>
    <w:rsid w:val="00D02589"/>
    <w:rsid w:val="00D0262A"/>
    <w:rsid w:val="00D02798"/>
    <w:rsid w:val="00D027F9"/>
    <w:rsid w:val="00D027FD"/>
    <w:rsid w:val="00D0295F"/>
    <w:rsid w:val="00D02A73"/>
    <w:rsid w:val="00D02A94"/>
    <w:rsid w:val="00D02AC2"/>
    <w:rsid w:val="00D02BA0"/>
    <w:rsid w:val="00D02BDC"/>
    <w:rsid w:val="00D03145"/>
    <w:rsid w:val="00D03152"/>
    <w:rsid w:val="00D0318C"/>
    <w:rsid w:val="00D03204"/>
    <w:rsid w:val="00D033E4"/>
    <w:rsid w:val="00D033EB"/>
    <w:rsid w:val="00D033EE"/>
    <w:rsid w:val="00D034D6"/>
    <w:rsid w:val="00D035B6"/>
    <w:rsid w:val="00D03613"/>
    <w:rsid w:val="00D03668"/>
    <w:rsid w:val="00D036C3"/>
    <w:rsid w:val="00D0374F"/>
    <w:rsid w:val="00D037C3"/>
    <w:rsid w:val="00D0381E"/>
    <w:rsid w:val="00D0387B"/>
    <w:rsid w:val="00D038CC"/>
    <w:rsid w:val="00D038CD"/>
    <w:rsid w:val="00D038D6"/>
    <w:rsid w:val="00D03C4C"/>
    <w:rsid w:val="00D03C8D"/>
    <w:rsid w:val="00D03D93"/>
    <w:rsid w:val="00D03EA9"/>
    <w:rsid w:val="00D03FDE"/>
    <w:rsid w:val="00D0413B"/>
    <w:rsid w:val="00D0417D"/>
    <w:rsid w:val="00D041F3"/>
    <w:rsid w:val="00D0423B"/>
    <w:rsid w:val="00D0424B"/>
    <w:rsid w:val="00D0427C"/>
    <w:rsid w:val="00D0440A"/>
    <w:rsid w:val="00D04459"/>
    <w:rsid w:val="00D044A4"/>
    <w:rsid w:val="00D044FE"/>
    <w:rsid w:val="00D04535"/>
    <w:rsid w:val="00D047C8"/>
    <w:rsid w:val="00D04863"/>
    <w:rsid w:val="00D04958"/>
    <w:rsid w:val="00D04965"/>
    <w:rsid w:val="00D04A31"/>
    <w:rsid w:val="00D04A7F"/>
    <w:rsid w:val="00D04AC2"/>
    <w:rsid w:val="00D04C39"/>
    <w:rsid w:val="00D04CA0"/>
    <w:rsid w:val="00D04CE2"/>
    <w:rsid w:val="00D04D80"/>
    <w:rsid w:val="00D04D8E"/>
    <w:rsid w:val="00D04E35"/>
    <w:rsid w:val="00D04EDF"/>
    <w:rsid w:val="00D04F3F"/>
    <w:rsid w:val="00D04F4C"/>
    <w:rsid w:val="00D04F77"/>
    <w:rsid w:val="00D04FA4"/>
    <w:rsid w:val="00D04FA6"/>
    <w:rsid w:val="00D052E0"/>
    <w:rsid w:val="00D053B4"/>
    <w:rsid w:val="00D05458"/>
    <w:rsid w:val="00D054D6"/>
    <w:rsid w:val="00D0550F"/>
    <w:rsid w:val="00D05595"/>
    <w:rsid w:val="00D05632"/>
    <w:rsid w:val="00D05945"/>
    <w:rsid w:val="00D05A0A"/>
    <w:rsid w:val="00D05A1E"/>
    <w:rsid w:val="00D05A39"/>
    <w:rsid w:val="00D05AA0"/>
    <w:rsid w:val="00D05ACC"/>
    <w:rsid w:val="00D05B1A"/>
    <w:rsid w:val="00D05B75"/>
    <w:rsid w:val="00D05C77"/>
    <w:rsid w:val="00D05D0A"/>
    <w:rsid w:val="00D05D2D"/>
    <w:rsid w:val="00D05D93"/>
    <w:rsid w:val="00D05DFD"/>
    <w:rsid w:val="00D05E3D"/>
    <w:rsid w:val="00D05EF9"/>
    <w:rsid w:val="00D05F85"/>
    <w:rsid w:val="00D0617B"/>
    <w:rsid w:val="00D0627A"/>
    <w:rsid w:val="00D063E3"/>
    <w:rsid w:val="00D064D6"/>
    <w:rsid w:val="00D06555"/>
    <w:rsid w:val="00D066DE"/>
    <w:rsid w:val="00D0677D"/>
    <w:rsid w:val="00D06794"/>
    <w:rsid w:val="00D067A6"/>
    <w:rsid w:val="00D067C1"/>
    <w:rsid w:val="00D06812"/>
    <w:rsid w:val="00D068D4"/>
    <w:rsid w:val="00D0695A"/>
    <w:rsid w:val="00D069C1"/>
    <w:rsid w:val="00D06AAF"/>
    <w:rsid w:val="00D06AE4"/>
    <w:rsid w:val="00D06B5D"/>
    <w:rsid w:val="00D06BDD"/>
    <w:rsid w:val="00D06C3B"/>
    <w:rsid w:val="00D06C47"/>
    <w:rsid w:val="00D06D7A"/>
    <w:rsid w:val="00D06DE9"/>
    <w:rsid w:val="00D06F33"/>
    <w:rsid w:val="00D06FD8"/>
    <w:rsid w:val="00D072CD"/>
    <w:rsid w:val="00D073EB"/>
    <w:rsid w:val="00D074FA"/>
    <w:rsid w:val="00D075C1"/>
    <w:rsid w:val="00D076B0"/>
    <w:rsid w:val="00D07700"/>
    <w:rsid w:val="00D07722"/>
    <w:rsid w:val="00D077B0"/>
    <w:rsid w:val="00D0782F"/>
    <w:rsid w:val="00D07927"/>
    <w:rsid w:val="00D07A3C"/>
    <w:rsid w:val="00D07A88"/>
    <w:rsid w:val="00D07B05"/>
    <w:rsid w:val="00D07B3A"/>
    <w:rsid w:val="00D07B65"/>
    <w:rsid w:val="00D07B6F"/>
    <w:rsid w:val="00D07BB7"/>
    <w:rsid w:val="00D07BF5"/>
    <w:rsid w:val="00D07C1D"/>
    <w:rsid w:val="00D07C59"/>
    <w:rsid w:val="00D07C60"/>
    <w:rsid w:val="00D07D66"/>
    <w:rsid w:val="00D07E9F"/>
    <w:rsid w:val="00D07EB6"/>
    <w:rsid w:val="00D07F82"/>
    <w:rsid w:val="00D10081"/>
    <w:rsid w:val="00D100B3"/>
    <w:rsid w:val="00D101D1"/>
    <w:rsid w:val="00D101E7"/>
    <w:rsid w:val="00D1026E"/>
    <w:rsid w:val="00D10304"/>
    <w:rsid w:val="00D10332"/>
    <w:rsid w:val="00D10384"/>
    <w:rsid w:val="00D103B5"/>
    <w:rsid w:val="00D105A3"/>
    <w:rsid w:val="00D105F4"/>
    <w:rsid w:val="00D1075E"/>
    <w:rsid w:val="00D10763"/>
    <w:rsid w:val="00D107D2"/>
    <w:rsid w:val="00D10844"/>
    <w:rsid w:val="00D108D2"/>
    <w:rsid w:val="00D10C29"/>
    <w:rsid w:val="00D10D87"/>
    <w:rsid w:val="00D10DC8"/>
    <w:rsid w:val="00D10F70"/>
    <w:rsid w:val="00D10FFD"/>
    <w:rsid w:val="00D11086"/>
    <w:rsid w:val="00D11120"/>
    <w:rsid w:val="00D1112D"/>
    <w:rsid w:val="00D11301"/>
    <w:rsid w:val="00D11314"/>
    <w:rsid w:val="00D113E8"/>
    <w:rsid w:val="00D11420"/>
    <w:rsid w:val="00D11432"/>
    <w:rsid w:val="00D11490"/>
    <w:rsid w:val="00D115DA"/>
    <w:rsid w:val="00D119EA"/>
    <w:rsid w:val="00D11A30"/>
    <w:rsid w:val="00D11B17"/>
    <w:rsid w:val="00D11C16"/>
    <w:rsid w:val="00D11DBC"/>
    <w:rsid w:val="00D11FF1"/>
    <w:rsid w:val="00D12025"/>
    <w:rsid w:val="00D12094"/>
    <w:rsid w:val="00D12189"/>
    <w:rsid w:val="00D122C7"/>
    <w:rsid w:val="00D122D0"/>
    <w:rsid w:val="00D123E4"/>
    <w:rsid w:val="00D12687"/>
    <w:rsid w:val="00D12715"/>
    <w:rsid w:val="00D1271C"/>
    <w:rsid w:val="00D128CE"/>
    <w:rsid w:val="00D128F9"/>
    <w:rsid w:val="00D12ADA"/>
    <w:rsid w:val="00D12B1B"/>
    <w:rsid w:val="00D12B76"/>
    <w:rsid w:val="00D12C26"/>
    <w:rsid w:val="00D12CF7"/>
    <w:rsid w:val="00D12D1E"/>
    <w:rsid w:val="00D12E0D"/>
    <w:rsid w:val="00D12E6D"/>
    <w:rsid w:val="00D12EF2"/>
    <w:rsid w:val="00D13054"/>
    <w:rsid w:val="00D13084"/>
    <w:rsid w:val="00D1317E"/>
    <w:rsid w:val="00D131B4"/>
    <w:rsid w:val="00D132B8"/>
    <w:rsid w:val="00D132DD"/>
    <w:rsid w:val="00D13314"/>
    <w:rsid w:val="00D1334D"/>
    <w:rsid w:val="00D13394"/>
    <w:rsid w:val="00D13396"/>
    <w:rsid w:val="00D133E8"/>
    <w:rsid w:val="00D13600"/>
    <w:rsid w:val="00D1360B"/>
    <w:rsid w:val="00D13650"/>
    <w:rsid w:val="00D137AE"/>
    <w:rsid w:val="00D137F5"/>
    <w:rsid w:val="00D139DA"/>
    <w:rsid w:val="00D13A78"/>
    <w:rsid w:val="00D13AA4"/>
    <w:rsid w:val="00D13AD2"/>
    <w:rsid w:val="00D13C0E"/>
    <w:rsid w:val="00D13C7B"/>
    <w:rsid w:val="00D13D9E"/>
    <w:rsid w:val="00D13F29"/>
    <w:rsid w:val="00D14081"/>
    <w:rsid w:val="00D140C1"/>
    <w:rsid w:val="00D140D7"/>
    <w:rsid w:val="00D141DF"/>
    <w:rsid w:val="00D14219"/>
    <w:rsid w:val="00D14227"/>
    <w:rsid w:val="00D143CF"/>
    <w:rsid w:val="00D14454"/>
    <w:rsid w:val="00D14535"/>
    <w:rsid w:val="00D145FC"/>
    <w:rsid w:val="00D1467B"/>
    <w:rsid w:val="00D146D8"/>
    <w:rsid w:val="00D146D9"/>
    <w:rsid w:val="00D1474E"/>
    <w:rsid w:val="00D147E7"/>
    <w:rsid w:val="00D14830"/>
    <w:rsid w:val="00D14970"/>
    <w:rsid w:val="00D149EC"/>
    <w:rsid w:val="00D14AC1"/>
    <w:rsid w:val="00D14AE5"/>
    <w:rsid w:val="00D14B15"/>
    <w:rsid w:val="00D14C2C"/>
    <w:rsid w:val="00D14CB4"/>
    <w:rsid w:val="00D14DF0"/>
    <w:rsid w:val="00D14E28"/>
    <w:rsid w:val="00D14E84"/>
    <w:rsid w:val="00D14EB1"/>
    <w:rsid w:val="00D14F04"/>
    <w:rsid w:val="00D150DA"/>
    <w:rsid w:val="00D15265"/>
    <w:rsid w:val="00D1526D"/>
    <w:rsid w:val="00D15420"/>
    <w:rsid w:val="00D1561E"/>
    <w:rsid w:val="00D1564A"/>
    <w:rsid w:val="00D156DA"/>
    <w:rsid w:val="00D15704"/>
    <w:rsid w:val="00D15822"/>
    <w:rsid w:val="00D1586B"/>
    <w:rsid w:val="00D158F0"/>
    <w:rsid w:val="00D15990"/>
    <w:rsid w:val="00D1599E"/>
    <w:rsid w:val="00D159F4"/>
    <w:rsid w:val="00D15A22"/>
    <w:rsid w:val="00D15B2C"/>
    <w:rsid w:val="00D15B61"/>
    <w:rsid w:val="00D15C6E"/>
    <w:rsid w:val="00D15CFC"/>
    <w:rsid w:val="00D15E07"/>
    <w:rsid w:val="00D15E82"/>
    <w:rsid w:val="00D1602B"/>
    <w:rsid w:val="00D160CC"/>
    <w:rsid w:val="00D1616A"/>
    <w:rsid w:val="00D1622D"/>
    <w:rsid w:val="00D16236"/>
    <w:rsid w:val="00D1623C"/>
    <w:rsid w:val="00D1629D"/>
    <w:rsid w:val="00D162B6"/>
    <w:rsid w:val="00D1637B"/>
    <w:rsid w:val="00D163C9"/>
    <w:rsid w:val="00D16432"/>
    <w:rsid w:val="00D16536"/>
    <w:rsid w:val="00D16588"/>
    <w:rsid w:val="00D165E1"/>
    <w:rsid w:val="00D16800"/>
    <w:rsid w:val="00D16802"/>
    <w:rsid w:val="00D16939"/>
    <w:rsid w:val="00D169DC"/>
    <w:rsid w:val="00D16A4C"/>
    <w:rsid w:val="00D16A7E"/>
    <w:rsid w:val="00D16AD4"/>
    <w:rsid w:val="00D16B3E"/>
    <w:rsid w:val="00D16D09"/>
    <w:rsid w:val="00D16D10"/>
    <w:rsid w:val="00D16DA6"/>
    <w:rsid w:val="00D16EEC"/>
    <w:rsid w:val="00D16F1C"/>
    <w:rsid w:val="00D16F93"/>
    <w:rsid w:val="00D16FA8"/>
    <w:rsid w:val="00D16FEA"/>
    <w:rsid w:val="00D17059"/>
    <w:rsid w:val="00D170C2"/>
    <w:rsid w:val="00D1714A"/>
    <w:rsid w:val="00D171DB"/>
    <w:rsid w:val="00D17282"/>
    <w:rsid w:val="00D172CA"/>
    <w:rsid w:val="00D17330"/>
    <w:rsid w:val="00D173C3"/>
    <w:rsid w:val="00D17438"/>
    <w:rsid w:val="00D174BB"/>
    <w:rsid w:val="00D175C3"/>
    <w:rsid w:val="00D175F3"/>
    <w:rsid w:val="00D176EA"/>
    <w:rsid w:val="00D1770F"/>
    <w:rsid w:val="00D177B3"/>
    <w:rsid w:val="00D178BD"/>
    <w:rsid w:val="00D178D4"/>
    <w:rsid w:val="00D17A7C"/>
    <w:rsid w:val="00D17ACD"/>
    <w:rsid w:val="00D17AE3"/>
    <w:rsid w:val="00D17B75"/>
    <w:rsid w:val="00D17B78"/>
    <w:rsid w:val="00D17C3E"/>
    <w:rsid w:val="00D17C6A"/>
    <w:rsid w:val="00D17C8E"/>
    <w:rsid w:val="00D17D21"/>
    <w:rsid w:val="00D17FD4"/>
    <w:rsid w:val="00D17FEF"/>
    <w:rsid w:val="00D200E2"/>
    <w:rsid w:val="00D2011C"/>
    <w:rsid w:val="00D20169"/>
    <w:rsid w:val="00D201E6"/>
    <w:rsid w:val="00D20292"/>
    <w:rsid w:val="00D202FD"/>
    <w:rsid w:val="00D20337"/>
    <w:rsid w:val="00D2036A"/>
    <w:rsid w:val="00D20431"/>
    <w:rsid w:val="00D204B1"/>
    <w:rsid w:val="00D20582"/>
    <w:rsid w:val="00D206E1"/>
    <w:rsid w:val="00D20766"/>
    <w:rsid w:val="00D207BD"/>
    <w:rsid w:val="00D20874"/>
    <w:rsid w:val="00D20904"/>
    <w:rsid w:val="00D2091F"/>
    <w:rsid w:val="00D209D2"/>
    <w:rsid w:val="00D20CE7"/>
    <w:rsid w:val="00D20E56"/>
    <w:rsid w:val="00D20ECC"/>
    <w:rsid w:val="00D20EE3"/>
    <w:rsid w:val="00D20FCF"/>
    <w:rsid w:val="00D20FD8"/>
    <w:rsid w:val="00D210C0"/>
    <w:rsid w:val="00D210C9"/>
    <w:rsid w:val="00D210F3"/>
    <w:rsid w:val="00D2110C"/>
    <w:rsid w:val="00D212F0"/>
    <w:rsid w:val="00D2137D"/>
    <w:rsid w:val="00D213B8"/>
    <w:rsid w:val="00D21615"/>
    <w:rsid w:val="00D216D1"/>
    <w:rsid w:val="00D216EF"/>
    <w:rsid w:val="00D217FF"/>
    <w:rsid w:val="00D21851"/>
    <w:rsid w:val="00D218F1"/>
    <w:rsid w:val="00D21909"/>
    <w:rsid w:val="00D219B0"/>
    <w:rsid w:val="00D21A42"/>
    <w:rsid w:val="00D21B2D"/>
    <w:rsid w:val="00D21DDB"/>
    <w:rsid w:val="00D21F01"/>
    <w:rsid w:val="00D21F0E"/>
    <w:rsid w:val="00D21F3E"/>
    <w:rsid w:val="00D21FC4"/>
    <w:rsid w:val="00D2216D"/>
    <w:rsid w:val="00D221B4"/>
    <w:rsid w:val="00D221E8"/>
    <w:rsid w:val="00D22259"/>
    <w:rsid w:val="00D2236F"/>
    <w:rsid w:val="00D2237F"/>
    <w:rsid w:val="00D2249A"/>
    <w:rsid w:val="00D225B1"/>
    <w:rsid w:val="00D2261E"/>
    <w:rsid w:val="00D22620"/>
    <w:rsid w:val="00D2262A"/>
    <w:rsid w:val="00D2264C"/>
    <w:rsid w:val="00D2268D"/>
    <w:rsid w:val="00D228B0"/>
    <w:rsid w:val="00D2297B"/>
    <w:rsid w:val="00D22993"/>
    <w:rsid w:val="00D22A44"/>
    <w:rsid w:val="00D22A9D"/>
    <w:rsid w:val="00D22CE3"/>
    <w:rsid w:val="00D22DC1"/>
    <w:rsid w:val="00D22E3A"/>
    <w:rsid w:val="00D22F0A"/>
    <w:rsid w:val="00D22F2E"/>
    <w:rsid w:val="00D22F59"/>
    <w:rsid w:val="00D22FEA"/>
    <w:rsid w:val="00D2307C"/>
    <w:rsid w:val="00D2308C"/>
    <w:rsid w:val="00D230FD"/>
    <w:rsid w:val="00D2313F"/>
    <w:rsid w:val="00D2322F"/>
    <w:rsid w:val="00D23261"/>
    <w:rsid w:val="00D232B9"/>
    <w:rsid w:val="00D23320"/>
    <w:rsid w:val="00D23345"/>
    <w:rsid w:val="00D2339B"/>
    <w:rsid w:val="00D233AB"/>
    <w:rsid w:val="00D2348F"/>
    <w:rsid w:val="00D234DA"/>
    <w:rsid w:val="00D236E8"/>
    <w:rsid w:val="00D2371F"/>
    <w:rsid w:val="00D237AE"/>
    <w:rsid w:val="00D23841"/>
    <w:rsid w:val="00D238F7"/>
    <w:rsid w:val="00D23914"/>
    <w:rsid w:val="00D23935"/>
    <w:rsid w:val="00D23962"/>
    <w:rsid w:val="00D23A5E"/>
    <w:rsid w:val="00D23BE8"/>
    <w:rsid w:val="00D23C39"/>
    <w:rsid w:val="00D23C6E"/>
    <w:rsid w:val="00D23D38"/>
    <w:rsid w:val="00D23D9C"/>
    <w:rsid w:val="00D23E0E"/>
    <w:rsid w:val="00D23EA4"/>
    <w:rsid w:val="00D23EDA"/>
    <w:rsid w:val="00D23FFC"/>
    <w:rsid w:val="00D240B6"/>
    <w:rsid w:val="00D241F3"/>
    <w:rsid w:val="00D2432A"/>
    <w:rsid w:val="00D24337"/>
    <w:rsid w:val="00D2434C"/>
    <w:rsid w:val="00D243ED"/>
    <w:rsid w:val="00D2443F"/>
    <w:rsid w:val="00D24456"/>
    <w:rsid w:val="00D2446F"/>
    <w:rsid w:val="00D245C0"/>
    <w:rsid w:val="00D24609"/>
    <w:rsid w:val="00D24631"/>
    <w:rsid w:val="00D24684"/>
    <w:rsid w:val="00D24756"/>
    <w:rsid w:val="00D24795"/>
    <w:rsid w:val="00D247B1"/>
    <w:rsid w:val="00D247D1"/>
    <w:rsid w:val="00D24811"/>
    <w:rsid w:val="00D24870"/>
    <w:rsid w:val="00D24959"/>
    <w:rsid w:val="00D249CE"/>
    <w:rsid w:val="00D24AA9"/>
    <w:rsid w:val="00D24D24"/>
    <w:rsid w:val="00D24D6D"/>
    <w:rsid w:val="00D24DAC"/>
    <w:rsid w:val="00D24DCC"/>
    <w:rsid w:val="00D24E79"/>
    <w:rsid w:val="00D250B3"/>
    <w:rsid w:val="00D250C7"/>
    <w:rsid w:val="00D251A4"/>
    <w:rsid w:val="00D251B9"/>
    <w:rsid w:val="00D25456"/>
    <w:rsid w:val="00D25490"/>
    <w:rsid w:val="00D25554"/>
    <w:rsid w:val="00D25555"/>
    <w:rsid w:val="00D255FC"/>
    <w:rsid w:val="00D25602"/>
    <w:rsid w:val="00D256E4"/>
    <w:rsid w:val="00D25735"/>
    <w:rsid w:val="00D2582F"/>
    <w:rsid w:val="00D25930"/>
    <w:rsid w:val="00D25961"/>
    <w:rsid w:val="00D25989"/>
    <w:rsid w:val="00D25A08"/>
    <w:rsid w:val="00D25B38"/>
    <w:rsid w:val="00D25B87"/>
    <w:rsid w:val="00D25B99"/>
    <w:rsid w:val="00D25C55"/>
    <w:rsid w:val="00D25D78"/>
    <w:rsid w:val="00D25EF3"/>
    <w:rsid w:val="00D25F2F"/>
    <w:rsid w:val="00D25FBD"/>
    <w:rsid w:val="00D26103"/>
    <w:rsid w:val="00D26196"/>
    <w:rsid w:val="00D261C4"/>
    <w:rsid w:val="00D2621C"/>
    <w:rsid w:val="00D2625B"/>
    <w:rsid w:val="00D26291"/>
    <w:rsid w:val="00D26390"/>
    <w:rsid w:val="00D2642C"/>
    <w:rsid w:val="00D26434"/>
    <w:rsid w:val="00D266AA"/>
    <w:rsid w:val="00D26750"/>
    <w:rsid w:val="00D26798"/>
    <w:rsid w:val="00D267BB"/>
    <w:rsid w:val="00D267CD"/>
    <w:rsid w:val="00D2688E"/>
    <w:rsid w:val="00D268AD"/>
    <w:rsid w:val="00D26977"/>
    <w:rsid w:val="00D269F0"/>
    <w:rsid w:val="00D26A1C"/>
    <w:rsid w:val="00D26AEB"/>
    <w:rsid w:val="00D26AF4"/>
    <w:rsid w:val="00D26CE6"/>
    <w:rsid w:val="00D26D38"/>
    <w:rsid w:val="00D26D85"/>
    <w:rsid w:val="00D26E37"/>
    <w:rsid w:val="00D26E4B"/>
    <w:rsid w:val="00D26EC4"/>
    <w:rsid w:val="00D26F23"/>
    <w:rsid w:val="00D26F24"/>
    <w:rsid w:val="00D27121"/>
    <w:rsid w:val="00D271E1"/>
    <w:rsid w:val="00D27274"/>
    <w:rsid w:val="00D272AD"/>
    <w:rsid w:val="00D272CD"/>
    <w:rsid w:val="00D2739C"/>
    <w:rsid w:val="00D2740A"/>
    <w:rsid w:val="00D27412"/>
    <w:rsid w:val="00D27486"/>
    <w:rsid w:val="00D2755E"/>
    <w:rsid w:val="00D2759C"/>
    <w:rsid w:val="00D2760A"/>
    <w:rsid w:val="00D27626"/>
    <w:rsid w:val="00D27661"/>
    <w:rsid w:val="00D2769E"/>
    <w:rsid w:val="00D2790C"/>
    <w:rsid w:val="00D27991"/>
    <w:rsid w:val="00D27AEB"/>
    <w:rsid w:val="00D27B44"/>
    <w:rsid w:val="00D27B4C"/>
    <w:rsid w:val="00D27B73"/>
    <w:rsid w:val="00D27B9A"/>
    <w:rsid w:val="00D27BF8"/>
    <w:rsid w:val="00D27D9F"/>
    <w:rsid w:val="00D27E33"/>
    <w:rsid w:val="00D27E45"/>
    <w:rsid w:val="00D27EE3"/>
    <w:rsid w:val="00D30032"/>
    <w:rsid w:val="00D30044"/>
    <w:rsid w:val="00D300DC"/>
    <w:rsid w:val="00D300E5"/>
    <w:rsid w:val="00D300F8"/>
    <w:rsid w:val="00D30211"/>
    <w:rsid w:val="00D30288"/>
    <w:rsid w:val="00D302C8"/>
    <w:rsid w:val="00D30319"/>
    <w:rsid w:val="00D30361"/>
    <w:rsid w:val="00D30407"/>
    <w:rsid w:val="00D30445"/>
    <w:rsid w:val="00D3054C"/>
    <w:rsid w:val="00D307A5"/>
    <w:rsid w:val="00D307E7"/>
    <w:rsid w:val="00D3084D"/>
    <w:rsid w:val="00D30862"/>
    <w:rsid w:val="00D3088C"/>
    <w:rsid w:val="00D30960"/>
    <w:rsid w:val="00D30B0F"/>
    <w:rsid w:val="00D30BA8"/>
    <w:rsid w:val="00D30BC8"/>
    <w:rsid w:val="00D30C0F"/>
    <w:rsid w:val="00D30C33"/>
    <w:rsid w:val="00D30CED"/>
    <w:rsid w:val="00D30D37"/>
    <w:rsid w:val="00D30EEE"/>
    <w:rsid w:val="00D310C6"/>
    <w:rsid w:val="00D310C9"/>
    <w:rsid w:val="00D31122"/>
    <w:rsid w:val="00D31201"/>
    <w:rsid w:val="00D312C5"/>
    <w:rsid w:val="00D31404"/>
    <w:rsid w:val="00D31476"/>
    <w:rsid w:val="00D314DA"/>
    <w:rsid w:val="00D31629"/>
    <w:rsid w:val="00D316C4"/>
    <w:rsid w:val="00D3175F"/>
    <w:rsid w:val="00D317E7"/>
    <w:rsid w:val="00D318D7"/>
    <w:rsid w:val="00D31906"/>
    <w:rsid w:val="00D31916"/>
    <w:rsid w:val="00D31A0A"/>
    <w:rsid w:val="00D31A39"/>
    <w:rsid w:val="00D31A3F"/>
    <w:rsid w:val="00D31BB8"/>
    <w:rsid w:val="00D31BCE"/>
    <w:rsid w:val="00D31D87"/>
    <w:rsid w:val="00D31FED"/>
    <w:rsid w:val="00D31FF3"/>
    <w:rsid w:val="00D3201A"/>
    <w:rsid w:val="00D32257"/>
    <w:rsid w:val="00D32393"/>
    <w:rsid w:val="00D323EF"/>
    <w:rsid w:val="00D3247D"/>
    <w:rsid w:val="00D324AE"/>
    <w:rsid w:val="00D324E2"/>
    <w:rsid w:val="00D3253A"/>
    <w:rsid w:val="00D3253E"/>
    <w:rsid w:val="00D32666"/>
    <w:rsid w:val="00D326FC"/>
    <w:rsid w:val="00D3278D"/>
    <w:rsid w:val="00D327CC"/>
    <w:rsid w:val="00D32844"/>
    <w:rsid w:val="00D32980"/>
    <w:rsid w:val="00D329DF"/>
    <w:rsid w:val="00D32A56"/>
    <w:rsid w:val="00D32B07"/>
    <w:rsid w:val="00D32BCE"/>
    <w:rsid w:val="00D32CA9"/>
    <w:rsid w:val="00D32D05"/>
    <w:rsid w:val="00D32DCA"/>
    <w:rsid w:val="00D32EE7"/>
    <w:rsid w:val="00D32F5F"/>
    <w:rsid w:val="00D32F6B"/>
    <w:rsid w:val="00D32F90"/>
    <w:rsid w:val="00D33097"/>
    <w:rsid w:val="00D3324B"/>
    <w:rsid w:val="00D332BB"/>
    <w:rsid w:val="00D3338B"/>
    <w:rsid w:val="00D333D3"/>
    <w:rsid w:val="00D3359C"/>
    <w:rsid w:val="00D335AB"/>
    <w:rsid w:val="00D335E2"/>
    <w:rsid w:val="00D339DB"/>
    <w:rsid w:val="00D33A0E"/>
    <w:rsid w:val="00D33A2B"/>
    <w:rsid w:val="00D33A9F"/>
    <w:rsid w:val="00D33AF8"/>
    <w:rsid w:val="00D33CB3"/>
    <w:rsid w:val="00D33D28"/>
    <w:rsid w:val="00D33D95"/>
    <w:rsid w:val="00D33DB2"/>
    <w:rsid w:val="00D33DDB"/>
    <w:rsid w:val="00D33E59"/>
    <w:rsid w:val="00D33ED1"/>
    <w:rsid w:val="00D33ED3"/>
    <w:rsid w:val="00D33EDE"/>
    <w:rsid w:val="00D33F83"/>
    <w:rsid w:val="00D33F8F"/>
    <w:rsid w:val="00D33FBB"/>
    <w:rsid w:val="00D33FC0"/>
    <w:rsid w:val="00D34077"/>
    <w:rsid w:val="00D3407A"/>
    <w:rsid w:val="00D34104"/>
    <w:rsid w:val="00D34147"/>
    <w:rsid w:val="00D3419E"/>
    <w:rsid w:val="00D341A8"/>
    <w:rsid w:val="00D34268"/>
    <w:rsid w:val="00D34285"/>
    <w:rsid w:val="00D3430A"/>
    <w:rsid w:val="00D343F0"/>
    <w:rsid w:val="00D3441B"/>
    <w:rsid w:val="00D34487"/>
    <w:rsid w:val="00D345F1"/>
    <w:rsid w:val="00D3470F"/>
    <w:rsid w:val="00D3473E"/>
    <w:rsid w:val="00D3475E"/>
    <w:rsid w:val="00D349B9"/>
    <w:rsid w:val="00D34AAD"/>
    <w:rsid w:val="00D34B50"/>
    <w:rsid w:val="00D34BB9"/>
    <w:rsid w:val="00D34C92"/>
    <w:rsid w:val="00D34D1F"/>
    <w:rsid w:val="00D34DC8"/>
    <w:rsid w:val="00D34E95"/>
    <w:rsid w:val="00D34EFD"/>
    <w:rsid w:val="00D3505A"/>
    <w:rsid w:val="00D35065"/>
    <w:rsid w:val="00D35074"/>
    <w:rsid w:val="00D35082"/>
    <w:rsid w:val="00D350A1"/>
    <w:rsid w:val="00D35180"/>
    <w:rsid w:val="00D3521E"/>
    <w:rsid w:val="00D35306"/>
    <w:rsid w:val="00D353B8"/>
    <w:rsid w:val="00D3544F"/>
    <w:rsid w:val="00D354EB"/>
    <w:rsid w:val="00D355DA"/>
    <w:rsid w:val="00D3563B"/>
    <w:rsid w:val="00D35801"/>
    <w:rsid w:val="00D358D7"/>
    <w:rsid w:val="00D35957"/>
    <w:rsid w:val="00D35992"/>
    <w:rsid w:val="00D359A9"/>
    <w:rsid w:val="00D359EA"/>
    <w:rsid w:val="00D35A39"/>
    <w:rsid w:val="00D35CE7"/>
    <w:rsid w:val="00D35D51"/>
    <w:rsid w:val="00D35E01"/>
    <w:rsid w:val="00D35FC1"/>
    <w:rsid w:val="00D35FE6"/>
    <w:rsid w:val="00D36076"/>
    <w:rsid w:val="00D3608E"/>
    <w:rsid w:val="00D3612D"/>
    <w:rsid w:val="00D36281"/>
    <w:rsid w:val="00D362A5"/>
    <w:rsid w:val="00D362A8"/>
    <w:rsid w:val="00D36398"/>
    <w:rsid w:val="00D363D0"/>
    <w:rsid w:val="00D364B7"/>
    <w:rsid w:val="00D3663F"/>
    <w:rsid w:val="00D3665F"/>
    <w:rsid w:val="00D36680"/>
    <w:rsid w:val="00D36790"/>
    <w:rsid w:val="00D367ED"/>
    <w:rsid w:val="00D36864"/>
    <w:rsid w:val="00D369BD"/>
    <w:rsid w:val="00D36A09"/>
    <w:rsid w:val="00D36A59"/>
    <w:rsid w:val="00D36B52"/>
    <w:rsid w:val="00D36D0A"/>
    <w:rsid w:val="00D36D4B"/>
    <w:rsid w:val="00D36DA2"/>
    <w:rsid w:val="00D36DFD"/>
    <w:rsid w:val="00D36E73"/>
    <w:rsid w:val="00D36EAD"/>
    <w:rsid w:val="00D36F3F"/>
    <w:rsid w:val="00D3702E"/>
    <w:rsid w:val="00D3709D"/>
    <w:rsid w:val="00D370A2"/>
    <w:rsid w:val="00D370B7"/>
    <w:rsid w:val="00D370D0"/>
    <w:rsid w:val="00D37100"/>
    <w:rsid w:val="00D37120"/>
    <w:rsid w:val="00D373A7"/>
    <w:rsid w:val="00D3740B"/>
    <w:rsid w:val="00D374A0"/>
    <w:rsid w:val="00D374C9"/>
    <w:rsid w:val="00D374CB"/>
    <w:rsid w:val="00D37539"/>
    <w:rsid w:val="00D3767D"/>
    <w:rsid w:val="00D37683"/>
    <w:rsid w:val="00D376D9"/>
    <w:rsid w:val="00D3771A"/>
    <w:rsid w:val="00D37722"/>
    <w:rsid w:val="00D37776"/>
    <w:rsid w:val="00D378B6"/>
    <w:rsid w:val="00D37950"/>
    <w:rsid w:val="00D37961"/>
    <w:rsid w:val="00D37A84"/>
    <w:rsid w:val="00D37C45"/>
    <w:rsid w:val="00D37DFA"/>
    <w:rsid w:val="00D37E79"/>
    <w:rsid w:val="00D37E87"/>
    <w:rsid w:val="00D37E8C"/>
    <w:rsid w:val="00D37F03"/>
    <w:rsid w:val="00D37F7C"/>
    <w:rsid w:val="00D40083"/>
    <w:rsid w:val="00D40246"/>
    <w:rsid w:val="00D4029D"/>
    <w:rsid w:val="00D403C1"/>
    <w:rsid w:val="00D403DF"/>
    <w:rsid w:val="00D403E7"/>
    <w:rsid w:val="00D4043D"/>
    <w:rsid w:val="00D4046D"/>
    <w:rsid w:val="00D404D8"/>
    <w:rsid w:val="00D404DE"/>
    <w:rsid w:val="00D405DB"/>
    <w:rsid w:val="00D407A0"/>
    <w:rsid w:val="00D409F1"/>
    <w:rsid w:val="00D409F7"/>
    <w:rsid w:val="00D40C26"/>
    <w:rsid w:val="00D40CB8"/>
    <w:rsid w:val="00D40CE7"/>
    <w:rsid w:val="00D40E0D"/>
    <w:rsid w:val="00D40E44"/>
    <w:rsid w:val="00D40E96"/>
    <w:rsid w:val="00D40FA7"/>
    <w:rsid w:val="00D4100E"/>
    <w:rsid w:val="00D41251"/>
    <w:rsid w:val="00D412A0"/>
    <w:rsid w:val="00D412CB"/>
    <w:rsid w:val="00D414D4"/>
    <w:rsid w:val="00D414E2"/>
    <w:rsid w:val="00D414F0"/>
    <w:rsid w:val="00D414F6"/>
    <w:rsid w:val="00D4195A"/>
    <w:rsid w:val="00D419B0"/>
    <w:rsid w:val="00D419B6"/>
    <w:rsid w:val="00D41B66"/>
    <w:rsid w:val="00D41C30"/>
    <w:rsid w:val="00D41E6C"/>
    <w:rsid w:val="00D41E90"/>
    <w:rsid w:val="00D41E93"/>
    <w:rsid w:val="00D41EB8"/>
    <w:rsid w:val="00D41F6A"/>
    <w:rsid w:val="00D420E4"/>
    <w:rsid w:val="00D42198"/>
    <w:rsid w:val="00D4223B"/>
    <w:rsid w:val="00D42280"/>
    <w:rsid w:val="00D42495"/>
    <w:rsid w:val="00D424E8"/>
    <w:rsid w:val="00D42603"/>
    <w:rsid w:val="00D426EA"/>
    <w:rsid w:val="00D426FB"/>
    <w:rsid w:val="00D427D5"/>
    <w:rsid w:val="00D4280C"/>
    <w:rsid w:val="00D4285B"/>
    <w:rsid w:val="00D42899"/>
    <w:rsid w:val="00D42983"/>
    <w:rsid w:val="00D42999"/>
    <w:rsid w:val="00D42A93"/>
    <w:rsid w:val="00D42B02"/>
    <w:rsid w:val="00D42B36"/>
    <w:rsid w:val="00D42B80"/>
    <w:rsid w:val="00D42C38"/>
    <w:rsid w:val="00D42E42"/>
    <w:rsid w:val="00D42F72"/>
    <w:rsid w:val="00D42F82"/>
    <w:rsid w:val="00D42FC6"/>
    <w:rsid w:val="00D43042"/>
    <w:rsid w:val="00D431EF"/>
    <w:rsid w:val="00D4324B"/>
    <w:rsid w:val="00D4328B"/>
    <w:rsid w:val="00D432BE"/>
    <w:rsid w:val="00D43304"/>
    <w:rsid w:val="00D43350"/>
    <w:rsid w:val="00D433C2"/>
    <w:rsid w:val="00D43520"/>
    <w:rsid w:val="00D43594"/>
    <w:rsid w:val="00D4359E"/>
    <w:rsid w:val="00D435FF"/>
    <w:rsid w:val="00D4363E"/>
    <w:rsid w:val="00D436C6"/>
    <w:rsid w:val="00D436D1"/>
    <w:rsid w:val="00D4375A"/>
    <w:rsid w:val="00D438C4"/>
    <w:rsid w:val="00D43913"/>
    <w:rsid w:val="00D439BA"/>
    <w:rsid w:val="00D43A2B"/>
    <w:rsid w:val="00D43A8B"/>
    <w:rsid w:val="00D43B88"/>
    <w:rsid w:val="00D43C2A"/>
    <w:rsid w:val="00D43CC7"/>
    <w:rsid w:val="00D43D40"/>
    <w:rsid w:val="00D43D4B"/>
    <w:rsid w:val="00D43DA6"/>
    <w:rsid w:val="00D43DE6"/>
    <w:rsid w:val="00D43E56"/>
    <w:rsid w:val="00D43F55"/>
    <w:rsid w:val="00D43FEB"/>
    <w:rsid w:val="00D44033"/>
    <w:rsid w:val="00D44072"/>
    <w:rsid w:val="00D4417D"/>
    <w:rsid w:val="00D4419E"/>
    <w:rsid w:val="00D441E4"/>
    <w:rsid w:val="00D442C0"/>
    <w:rsid w:val="00D44363"/>
    <w:rsid w:val="00D4436E"/>
    <w:rsid w:val="00D443A6"/>
    <w:rsid w:val="00D44441"/>
    <w:rsid w:val="00D44642"/>
    <w:rsid w:val="00D44736"/>
    <w:rsid w:val="00D4474D"/>
    <w:rsid w:val="00D4476B"/>
    <w:rsid w:val="00D447AB"/>
    <w:rsid w:val="00D448F1"/>
    <w:rsid w:val="00D4490D"/>
    <w:rsid w:val="00D44A22"/>
    <w:rsid w:val="00D44A48"/>
    <w:rsid w:val="00D44A4C"/>
    <w:rsid w:val="00D44A5E"/>
    <w:rsid w:val="00D44AC0"/>
    <w:rsid w:val="00D44AD5"/>
    <w:rsid w:val="00D44C65"/>
    <w:rsid w:val="00D44D11"/>
    <w:rsid w:val="00D44D75"/>
    <w:rsid w:val="00D44DDF"/>
    <w:rsid w:val="00D44E4C"/>
    <w:rsid w:val="00D45014"/>
    <w:rsid w:val="00D4516D"/>
    <w:rsid w:val="00D451A4"/>
    <w:rsid w:val="00D45265"/>
    <w:rsid w:val="00D45281"/>
    <w:rsid w:val="00D452C8"/>
    <w:rsid w:val="00D452F2"/>
    <w:rsid w:val="00D45349"/>
    <w:rsid w:val="00D45381"/>
    <w:rsid w:val="00D4539C"/>
    <w:rsid w:val="00D45415"/>
    <w:rsid w:val="00D454B7"/>
    <w:rsid w:val="00D454CD"/>
    <w:rsid w:val="00D45507"/>
    <w:rsid w:val="00D45570"/>
    <w:rsid w:val="00D456FD"/>
    <w:rsid w:val="00D45746"/>
    <w:rsid w:val="00D457E0"/>
    <w:rsid w:val="00D4583A"/>
    <w:rsid w:val="00D4588C"/>
    <w:rsid w:val="00D458C6"/>
    <w:rsid w:val="00D459BF"/>
    <w:rsid w:val="00D45A54"/>
    <w:rsid w:val="00D45CD1"/>
    <w:rsid w:val="00D45CE2"/>
    <w:rsid w:val="00D45CF5"/>
    <w:rsid w:val="00D45E80"/>
    <w:rsid w:val="00D45EB9"/>
    <w:rsid w:val="00D45EEE"/>
    <w:rsid w:val="00D45F88"/>
    <w:rsid w:val="00D45FFF"/>
    <w:rsid w:val="00D461B3"/>
    <w:rsid w:val="00D461BC"/>
    <w:rsid w:val="00D462AB"/>
    <w:rsid w:val="00D46320"/>
    <w:rsid w:val="00D4634D"/>
    <w:rsid w:val="00D4644C"/>
    <w:rsid w:val="00D46502"/>
    <w:rsid w:val="00D46544"/>
    <w:rsid w:val="00D46557"/>
    <w:rsid w:val="00D465F8"/>
    <w:rsid w:val="00D46816"/>
    <w:rsid w:val="00D46869"/>
    <w:rsid w:val="00D468E4"/>
    <w:rsid w:val="00D4695A"/>
    <w:rsid w:val="00D469F1"/>
    <w:rsid w:val="00D46C98"/>
    <w:rsid w:val="00D46CC2"/>
    <w:rsid w:val="00D46D01"/>
    <w:rsid w:val="00D46D45"/>
    <w:rsid w:val="00D46D6E"/>
    <w:rsid w:val="00D46ED6"/>
    <w:rsid w:val="00D46EFC"/>
    <w:rsid w:val="00D46F45"/>
    <w:rsid w:val="00D46F7C"/>
    <w:rsid w:val="00D47000"/>
    <w:rsid w:val="00D47074"/>
    <w:rsid w:val="00D47178"/>
    <w:rsid w:val="00D4719C"/>
    <w:rsid w:val="00D472F5"/>
    <w:rsid w:val="00D473F6"/>
    <w:rsid w:val="00D47467"/>
    <w:rsid w:val="00D47508"/>
    <w:rsid w:val="00D47538"/>
    <w:rsid w:val="00D4759D"/>
    <w:rsid w:val="00D4767F"/>
    <w:rsid w:val="00D476A4"/>
    <w:rsid w:val="00D476C3"/>
    <w:rsid w:val="00D47783"/>
    <w:rsid w:val="00D4786D"/>
    <w:rsid w:val="00D47874"/>
    <w:rsid w:val="00D4788C"/>
    <w:rsid w:val="00D47A18"/>
    <w:rsid w:val="00D47A21"/>
    <w:rsid w:val="00D47F49"/>
    <w:rsid w:val="00D50088"/>
    <w:rsid w:val="00D500C0"/>
    <w:rsid w:val="00D500D4"/>
    <w:rsid w:val="00D50197"/>
    <w:rsid w:val="00D501A5"/>
    <w:rsid w:val="00D501B9"/>
    <w:rsid w:val="00D50300"/>
    <w:rsid w:val="00D503C6"/>
    <w:rsid w:val="00D50442"/>
    <w:rsid w:val="00D5057B"/>
    <w:rsid w:val="00D506B4"/>
    <w:rsid w:val="00D50733"/>
    <w:rsid w:val="00D507CC"/>
    <w:rsid w:val="00D507FB"/>
    <w:rsid w:val="00D50853"/>
    <w:rsid w:val="00D50922"/>
    <w:rsid w:val="00D50986"/>
    <w:rsid w:val="00D509A3"/>
    <w:rsid w:val="00D509C2"/>
    <w:rsid w:val="00D509CD"/>
    <w:rsid w:val="00D50A09"/>
    <w:rsid w:val="00D50A7E"/>
    <w:rsid w:val="00D50BA0"/>
    <w:rsid w:val="00D50BD7"/>
    <w:rsid w:val="00D50CD4"/>
    <w:rsid w:val="00D50D41"/>
    <w:rsid w:val="00D50D69"/>
    <w:rsid w:val="00D50E0A"/>
    <w:rsid w:val="00D50E87"/>
    <w:rsid w:val="00D50EED"/>
    <w:rsid w:val="00D50FDA"/>
    <w:rsid w:val="00D513A3"/>
    <w:rsid w:val="00D513F0"/>
    <w:rsid w:val="00D5143D"/>
    <w:rsid w:val="00D51480"/>
    <w:rsid w:val="00D51575"/>
    <w:rsid w:val="00D51598"/>
    <w:rsid w:val="00D515A4"/>
    <w:rsid w:val="00D517AE"/>
    <w:rsid w:val="00D51B48"/>
    <w:rsid w:val="00D51BF4"/>
    <w:rsid w:val="00D51C13"/>
    <w:rsid w:val="00D51D42"/>
    <w:rsid w:val="00D51E20"/>
    <w:rsid w:val="00D5200F"/>
    <w:rsid w:val="00D521BD"/>
    <w:rsid w:val="00D521D0"/>
    <w:rsid w:val="00D5228B"/>
    <w:rsid w:val="00D5229E"/>
    <w:rsid w:val="00D5243C"/>
    <w:rsid w:val="00D5254B"/>
    <w:rsid w:val="00D52700"/>
    <w:rsid w:val="00D52719"/>
    <w:rsid w:val="00D52828"/>
    <w:rsid w:val="00D52846"/>
    <w:rsid w:val="00D528BD"/>
    <w:rsid w:val="00D5297D"/>
    <w:rsid w:val="00D52A48"/>
    <w:rsid w:val="00D52A6A"/>
    <w:rsid w:val="00D52A92"/>
    <w:rsid w:val="00D52B28"/>
    <w:rsid w:val="00D52B86"/>
    <w:rsid w:val="00D52BDC"/>
    <w:rsid w:val="00D52C2D"/>
    <w:rsid w:val="00D52C31"/>
    <w:rsid w:val="00D52D2B"/>
    <w:rsid w:val="00D52D34"/>
    <w:rsid w:val="00D52D3C"/>
    <w:rsid w:val="00D52D59"/>
    <w:rsid w:val="00D52D6B"/>
    <w:rsid w:val="00D52DDE"/>
    <w:rsid w:val="00D530D1"/>
    <w:rsid w:val="00D530D6"/>
    <w:rsid w:val="00D53270"/>
    <w:rsid w:val="00D532D3"/>
    <w:rsid w:val="00D53377"/>
    <w:rsid w:val="00D533E4"/>
    <w:rsid w:val="00D53482"/>
    <w:rsid w:val="00D53506"/>
    <w:rsid w:val="00D53567"/>
    <w:rsid w:val="00D535C1"/>
    <w:rsid w:val="00D536D3"/>
    <w:rsid w:val="00D53783"/>
    <w:rsid w:val="00D537BB"/>
    <w:rsid w:val="00D53842"/>
    <w:rsid w:val="00D538D4"/>
    <w:rsid w:val="00D53929"/>
    <w:rsid w:val="00D539B4"/>
    <w:rsid w:val="00D539F8"/>
    <w:rsid w:val="00D53A29"/>
    <w:rsid w:val="00D53BB8"/>
    <w:rsid w:val="00D53CCE"/>
    <w:rsid w:val="00D53D2E"/>
    <w:rsid w:val="00D53E5B"/>
    <w:rsid w:val="00D54020"/>
    <w:rsid w:val="00D5405E"/>
    <w:rsid w:val="00D540E9"/>
    <w:rsid w:val="00D540EB"/>
    <w:rsid w:val="00D541E8"/>
    <w:rsid w:val="00D5423F"/>
    <w:rsid w:val="00D542BA"/>
    <w:rsid w:val="00D542E1"/>
    <w:rsid w:val="00D542F2"/>
    <w:rsid w:val="00D5432F"/>
    <w:rsid w:val="00D54394"/>
    <w:rsid w:val="00D543A4"/>
    <w:rsid w:val="00D543B0"/>
    <w:rsid w:val="00D544F5"/>
    <w:rsid w:val="00D54592"/>
    <w:rsid w:val="00D54599"/>
    <w:rsid w:val="00D54687"/>
    <w:rsid w:val="00D546D4"/>
    <w:rsid w:val="00D54725"/>
    <w:rsid w:val="00D547E6"/>
    <w:rsid w:val="00D54823"/>
    <w:rsid w:val="00D5494E"/>
    <w:rsid w:val="00D549D7"/>
    <w:rsid w:val="00D549EC"/>
    <w:rsid w:val="00D54A07"/>
    <w:rsid w:val="00D54A2D"/>
    <w:rsid w:val="00D54AA4"/>
    <w:rsid w:val="00D54BCD"/>
    <w:rsid w:val="00D54BED"/>
    <w:rsid w:val="00D54CAE"/>
    <w:rsid w:val="00D54DE7"/>
    <w:rsid w:val="00D54E18"/>
    <w:rsid w:val="00D54E28"/>
    <w:rsid w:val="00D54E36"/>
    <w:rsid w:val="00D54F3C"/>
    <w:rsid w:val="00D54F85"/>
    <w:rsid w:val="00D54FAA"/>
    <w:rsid w:val="00D55049"/>
    <w:rsid w:val="00D5515B"/>
    <w:rsid w:val="00D551E7"/>
    <w:rsid w:val="00D5526A"/>
    <w:rsid w:val="00D5526E"/>
    <w:rsid w:val="00D55460"/>
    <w:rsid w:val="00D554BA"/>
    <w:rsid w:val="00D5557F"/>
    <w:rsid w:val="00D556E9"/>
    <w:rsid w:val="00D55714"/>
    <w:rsid w:val="00D557D1"/>
    <w:rsid w:val="00D55944"/>
    <w:rsid w:val="00D55A4E"/>
    <w:rsid w:val="00D55AEE"/>
    <w:rsid w:val="00D55B47"/>
    <w:rsid w:val="00D55CDE"/>
    <w:rsid w:val="00D55D86"/>
    <w:rsid w:val="00D55FC8"/>
    <w:rsid w:val="00D55FDF"/>
    <w:rsid w:val="00D55FF2"/>
    <w:rsid w:val="00D5600D"/>
    <w:rsid w:val="00D560E2"/>
    <w:rsid w:val="00D56103"/>
    <w:rsid w:val="00D5622C"/>
    <w:rsid w:val="00D562C2"/>
    <w:rsid w:val="00D56324"/>
    <w:rsid w:val="00D56446"/>
    <w:rsid w:val="00D56453"/>
    <w:rsid w:val="00D56497"/>
    <w:rsid w:val="00D56551"/>
    <w:rsid w:val="00D56636"/>
    <w:rsid w:val="00D5680F"/>
    <w:rsid w:val="00D5683A"/>
    <w:rsid w:val="00D56889"/>
    <w:rsid w:val="00D5689A"/>
    <w:rsid w:val="00D5689D"/>
    <w:rsid w:val="00D5693E"/>
    <w:rsid w:val="00D56969"/>
    <w:rsid w:val="00D5698C"/>
    <w:rsid w:val="00D56ACC"/>
    <w:rsid w:val="00D56B20"/>
    <w:rsid w:val="00D56B45"/>
    <w:rsid w:val="00D56B95"/>
    <w:rsid w:val="00D56CA2"/>
    <w:rsid w:val="00D56CF9"/>
    <w:rsid w:val="00D56D18"/>
    <w:rsid w:val="00D56EEE"/>
    <w:rsid w:val="00D56F1F"/>
    <w:rsid w:val="00D56F4D"/>
    <w:rsid w:val="00D56FB5"/>
    <w:rsid w:val="00D56FD0"/>
    <w:rsid w:val="00D57065"/>
    <w:rsid w:val="00D5727A"/>
    <w:rsid w:val="00D572AF"/>
    <w:rsid w:val="00D574C8"/>
    <w:rsid w:val="00D575EC"/>
    <w:rsid w:val="00D57684"/>
    <w:rsid w:val="00D57757"/>
    <w:rsid w:val="00D577E2"/>
    <w:rsid w:val="00D577ED"/>
    <w:rsid w:val="00D57932"/>
    <w:rsid w:val="00D5798A"/>
    <w:rsid w:val="00D5798D"/>
    <w:rsid w:val="00D579EF"/>
    <w:rsid w:val="00D57A99"/>
    <w:rsid w:val="00D57B97"/>
    <w:rsid w:val="00D57B9F"/>
    <w:rsid w:val="00D57C56"/>
    <w:rsid w:val="00D57C83"/>
    <w:rsid w:val="00D57D88"/>
    <w:rsid w:val="00D57DB8"/>
    <w:rsid w:val="00D57E57"/>
    <w:rsid w:val="00D6005D"/>
    <w:rsid w:val="00D60070"/>
    <w:rsid w:val="00D601AD"/>
    <w:rsid w:val="00D6020B"/>
    <w:rsid w:val="00D60353"/>
    <w:rsid w:val="00D603CC"/>
    <w:rsid w:val="00D603CD"/>
    <w:rsid w:val="00D604BB"/>
    <w:rsid w:val="00D60631"/>
    <w:rsid w:val="00D606AC"/>
    <w:rsid w:val="00D6070A"/>
    <w:rsid w:val="00D60741"/>
    <w:rsid w:val="00D607B2"/>
    <w:rsid w:val="00D607F3"/>
    <w:rsid w:val="00D607F7"/>
    <w:rsid w:val="00D6080C"/>
    <w:rsid w:val="00D60870"/>
    <w:rsid w:val="00D60916"/>
    <w:rsid w:val="00D609E7"/>
    <w:rsid w:val="00D609FE"/>
    <w:rsid w:val="00D60A64"/>
    <w:rsid w:val="00D60B39"/>
    <w:rsid w:val="00D60B57"/>
    <w:rsid w:val="00D60B63"/>
    <w:rsid w:val="00D60B65"/>
    <w:rsid w:val="00D60C6A"/>
    <w:rsid w:val="00D60C7A"/>
    <w:rsid w:val="00D60CE5"/>
    <w:rsid w:val="00D60D09"/>
    <w:rsid w:val="00D60F56"/>
    <w:rsid w:val="00D61024"/>
    <w:rsid w:val="00D6102D"/>
    <w:rsid w:val="00D6118A"/>
    <w:rsid w:val="00D61198"/>
    <w:rsid w:val="00D611D0"/>
    <w:rsid w:val="00D61403"/>
    <w:rsid w:val="00D61494"/>
    <w:rsid w:val="00D6160F"/>
    <w:rsid w:val="00D6164D"/>
    <w:rsid w:val="00D61654"/>
    <w:rsid w:val="00D61834"/>
    <w:rsid w:val="00D6183C"/>
    <w:rsid w:val="00D61918"/>
    <w:rsid w:val="00D61946"/>
    <w:rsid w:val="00D61BA1"/>
    <w:rsid w:val="00D61BDE"/>
    <w:rsid w:val="00D61DAF"/>
    <w:rsid w:val="00D61DF4"/>
    <w:rsid w:val="00D61DFC"/>
    <w:rsid w:val="00D61E64"/>
    <w:rsid w:val="00D61F26"/>
    <w:rsid w:val="00D61FB7"/>
    <w:rsid w:val="00D62029"/>
    <w:rsid w:val="00D621B2"/>
    <w:rsid w:val="00D62429"/>
    <w:rsid w:val="00D624CC"/>
    <w:rsid w:val="00D626D3"/>
    <w:rsid w:val="00D62790"/>
    <w:rsid w:val="00D6285F"/>
    <w:rsid w:val="00D628F8"/>
    <w:rsid w:val="00D62917"/>
    <w:rsid w:val="00D62928"/>
    <w:rsid w:val="00D62C1D"/>
    <w:rsid w:val="00D62C35"/>
    <w:rsid w:val="00D62D73"/>
    <w:rsid w:val="00D62EE2"/>
    <w:rsid w:val="00D62F8D"/>
    <w:rsid w:val="00D63013"/>
    <w:rsid w:val="00D630DB"/>
    <w:rsid w:val="00D6311F"/>
    <w:rsid w:val="00D63192"/>
    <w:rsid w:val="00D63217"/>
    <w:rsid w:val="00D6343D"/>
    <w:rsid w:val="00D6346A"/>
    <w:rsid w:val="00D6347B"/>
    <w:rsid w:val="00D6364C"/>
    <w:rsid w:val="00D63685"/>
    <w:rsid w:val="00D63761"/>
    <w:rsid w:val="00D637E6"/>
    <w:rsid w:val="00D638AA"/>
    <w:rsid w:val="00D639B8"/>
    <w:rsid w:val="00D639F0"/>
    <w:rsid w:val="00D63A14"/>
    <w:rsid w:val="00D63B9D"/>
    <w:rsid w:val="00D63B9F"/>
    <w:rsid w:val="00D63BEC"/>
    <w:rsid w:val="00D63CB6"/>
    <w:rsid w:val="00D63CF1"/>
    <w:rsid w:val="00D63D00"/>
    <w:rsid w:val="00D63DB9"/>
    <w:rsid w:val="00D63E5F"/>
    <w:rsid w:val="00D63FB1"/>
    <w:rsid w:val="00D64189"/>
    <w:rsid w:val="00D641EE"/>
    <w:rsid w:val="00D64226"/>
    <w:rsid w:val="00D6424E"/>
    <w:rsid w:val="00D64296"/>
    <w:rsid w:val="00D642BD"/>
    <w:rsid w:val="00D642C0"/>
    <w:rsid w:val="00D642EC"/>
    <w:rsid w:val="00D64303"/>
    <w:rsid w:val="00D6441D"/>
    <w:rsid w:val="00D645A1"/>
    <w:rsid w:val="00D645A2"/>
    <w:rsid w:val="00D6471D"/>
    <w:rsid w:val="00D6487C"/>
    <w:rsid w:val="00D648E4"/>
    <w:rsid w:val="00D648F8"/>
    <w:rsid w:val="00D649B0"/>
    <w:rsid w:val="00D64A08"/>
    <w:rsid w:val="00D64A75"/>
    <w:rsid w:val="00D64AC3"/>
    <w:rsid w:val="00D64B7D"/>
    <w:rsid w:val="00D64BC7"/>
    <w:rsid w:val="00D64CD3"/>
    <w:rsid w:val="00D64CD6"/>
    <w:rsid w:val="00D64DC3"/>
    <w:rsid w:val="00D64E1D"/>
    <w:rsid w:val="00D64F75"/>
    <w:rsid w:val="00D64FBB"/>
    <w:rsid w:val="00D65056"/>
    <w:rsid w:val="00D6510C"/>
    <w:rsid w:val="00D6514A"/>
    <w:rsid w:val="00D65164"/>
    <w:rsid w:val="00D65207"/>
    <w:rsid w:val="00D653FA"/>
    <w:rsid w:val="00D6558E"/>
    <w:rsid w:val="00D65706"/>
    <w:rsid w:val="00D658A9"/>
    <w:rsid w:val="00D65959"/>
    <w:rsid w:val="00D65D27"/>
    <w:rsid w:val="00D65D38"/>
    <w:rsid w:val="00D65D4F"/>
    <w:rsid w:val="00D65D85"/>
    <w:rsid w:val="00D65EBB"/>
    <w:rsid w:val="00D65F12"/>
    <w:rsid w:val="00D65FC3"/>
    <w:rsid w:val="00D65FDE"/>
    <w:rsid w:val="00D65FEC"/>
    <w:rsid w:val="00D6606B"/>
    <w:rsid w:val="00D66161"/>
    <w:rsid w:val="00D66417"/>
    <w:rsid w:val="00D66534"/>
    <w:rsid w:val="00D665AD"/>
    <w:rsid w:val="00D66605"/>
    <w:rsid w:val="00D666E2"/>
    <w:rsid w:val="00D667D1"/>
    <w:rsid w:val="00D66831"/>
    <w:rsid w:val="00D669FA"/>
    <w:rsid w:val="00D66ACC"/>
    <w:rsid w:val="00D66B25"/>
    <w:rsid w:val="00D66BA8"/>
    <w:rsid w:val="00D66C48"/>
    <w:rsid w:val="00D66CC6"/>
    <w:rsid w:val="00D66E46"/>
    <w:rsid w:val="00D66E4C"/>
    <w:rsid w:val="00D66E6B"/>
    <w:rsid w:val="00D66E71"/>
    <w:rsid w:val="00D66FF2"/>
    <w:rsid w:val="00D6706D"/>
    <w:rsid w:val="00D67183"/>
    <w:rsid w:val="00D672AD"/>
    <w:rsid w:val="00D672BF"/>
    <w:rsid w:val="00D67333"/>
    <w:rsid w:val="00D673D1"/>
    <w:rsid w:val="00D67475"/>
    <w:rsid w:val="00D674A9"/>
    <w:rsid w:val="00D6751A"/>
    <w:rsid w:val="00D67839"/>
    <w:rsid w:val="00D678D4"/>
    <w:rsid w:val="00D679F6"/>
    <w:rsid w:val="00D67A58"/>
    <w:rsid w:val="00D67A89"/>
    <w:rsid w:val="00D67AA4"/>
    <w:rsid w:val="00D67AE1"/>
    <w:rsid w:val="00D67BEF"/>
    <w:rsid w:val="00D67BFC"/>
    <w:rsid w:val="00D67C3D"/>
    <w:rsid w:val="00D67C50"/>
    <w:rsid w:val="00D67C72"/>
    <w:rsid w:val="00D67E84"/>
    <w:rsid w:val="00D67FB3"/>
    <w:rsid w:val="00D67FE0"/>
    <w:rsid w:val="00D7021B"/>
    <w:rsid w:val="00D702D1"/>
    <w:rsid w:val="00D7049D"/>
    <w:rsid w:val="00D70515"/>
    <w:rsid w:val="00D70521"/>
    <w:rsid w:val="00D70571"/>
    <w:rsid w:val="00D70647"/>
    <w:rsid w:val="00D7079B"/>
    <w:rsid w:val="00D70825"/>
    <w:rsid w:val="00D7087D"/>
    <w:rsid w:val="00D70A38"/>
    <w:rsid w:val="00D70BC8"/>
    <w:rsid w:val="00D70D69"/>
    <w:rsid w:val="00D70E7C"/>
    <w:rsid w:val="00D70EDE"/>
    <w:rsid w:val="00D70F6E"/>
    <w:rsid w:val="00D70FA9"/>
    <w:rsid w:val="00D71083"/>
    <w:rsid w:val="00D710C6"/>
    <w:rsid w:val="00D71111"/>
    <w:rsid w:val="00D71117"/>
    <w:rsid w:val="00D71220"/>
    <w:rsid w:val="00D712A1"/>
    <w:rsid w:val="00D712CA"/>
    <w:rsid w:val="00D71322"/>
    <w:rsid w:val="00D71324"/>
    <w:rsid w:val="00D71335"/>
    <w:rsid w:val="00D71503"/>
    <w:rsid w:val="00D715C7"/>
    <w:rsid w:val="00D716BE"/>
    <w:rsid w:val="00D7179F"/>
    <w:rsid w:val="00D717CC"/>
    <w:rsid w:val="00D717CD"/>
    <w:rsid w:val="00D717F3"/>
    <w:rsid w:val="00D718EE"/>
    <w:rsid w:val="00D71900"/>
    <w:rsid w:val="00D719D6"/>
    <w:rsid w:val="00D71BA2"/>
    <w:rsid w:val="00D71BA5"/>
    <w:rsid w:val="00D71BBA"/>
    <w:rsid w:val="00D71BDA"/>
    <w:rsid w:val="00D71C3F"/>
    <w:rsid w:val="00D71D28"/>
    <w:rsid w:val="00D71DEC"/>
    <w:rsid w:val="00D71DFE"/>
    <w:rsid w:val="00D71E5A"/>
    <w:rsid w:val="00D71E8F"/>
    <w:rsid w:val="00D720E0"/>
    <w:rsid w:val="00D7229F"/>
    <w:rsid w:val="00D722B6"/>
    <w:rsid w:val="00D7232D"/>
    <w:rsid w:val="00D7241D"/>
    <w:rsid w:val="00D7246B"/>
    <w:rsid w:val="00D724C2"/>
    <w:rsid w:val="00D72594"/>
    <w:rsid w:val="00D726C5"/>
    <w:rsid w:val="00D72750"/>
    <w:rsid w:val="00D727C8"/>
    <w:rsid w:val="00D72BD7"/>
    <w:rsid w:val="00D72C22"/>
    <w:rsid w:val="00D72D73"/>
    <w:rsid w:val="00D72DFD"/>
    <w:rsid w:val="00D72E9B"/>
    <w:rsid w:val="00D72F5E"/>
    <w:rsid w:val="00D73125"/>
    <w:rsid w:val="00D73167"/>
    <w:rsid w:val="00D73226"/>
    <w:rsid w:val="00D732A1"/>
    <w:rsid w:val="00D733A9"/>
    <w:rsid w:val="00D73458"/>
    <w:rsid w:val="00D73463"/>
    <w:rsid w:val="00D734AE"/>
    <w:rsid w:val="00D73601"/>
    <w:rsid w:val="00D73634"/>
    <w:rsid w:val="00D736E7"/>
    <w:rsid w:val="00D73703"/>
    <w:rsid w:val="00D73748"/>
    <w:rsid w:val="00D73749"/>
    <w:rsid w:val="00D73764"/>
    <w:rsid w:val="00D738AC"/>
    <w:rsid w:val="00D73A1F"/>
    <w:rsid w:val="00D73A5D"/>
    <w:rsid w:val="00D73D7E"/>
    <w:rsid w:val="00D73D99"/>
    <w:rsid w:val="00D73DB6"/>
    <w:rsid w:val="00D73DEA"/>
    <w:rsid w:val="00D73ED5"/>
    <w:rsid w:val="00D73EF6"/>
    <w:rsid w:val="00D73F61"/>
    <w:rsid w:val="00D73F7E"/>
    <w:rsid w:val="00D73F96"/>
    <w:rsid w:val="00D74124"/>
    <w:rsid w:val="00D74149"/>
    <w:rsid w:val="00D74284"/>
    <w:rsid w:val="00D742F1"/>
    <w:rsid w:val="00D74338"/>
    <w:rsid w:val="00D743D1"/>
    <w:rsid w:val="00D74589"/>
    <w:rsid w:val="00D745CE"/>
    <w:rsid w:val="00D74747"/>
    <w:rsid w:val="00D74788"/>
    <w:rsid w:val="00D747C1"/>
    <w:rsid w:val="00D74818"/>
    <w:rsid w:val="00D749CA"/>
    <w:rsid w:val="00D74A81"/>
    <w:rsid w:val="00D74B34"/>
    <w:rsid w:val="00D74C08"/>
    <w:rsid w:val="00D74C50"/>
    <w:rsid w:val="00D74D73"/>
    <w:rsid w:val="00D74D81"/>
    <w:rsid w:val="00D74DDF"/>
    <w:rsid w:val="00D74ED6"/>
    <w:rsid w:val="00D74F89"/>
    <w:rsid w:val="00D74F95"/>
    <w:rsid w:val="00D74FFA"/>
    <w:rsid w:val="00D750B6"/>
    <w:rsid w:val="00D75105"/>
    <w:rsid w:val="00D7519C"/>
    <w:rsid w:val="00D753DA"/>
    <w:rsid w:val="00D75404"/>
    <w:rsid w:val="00D7545D"/>
    <w:rsid w:val="00D7547B"/>
    <w:rsid w:val="00D75485"/>
    <w:rsid w:val="00D754B7"/>
    <w:rsid w:val="00D75550"/>
    <w:rsid w:val="00D755F8"/>
    <w:rsid w:val="00D75616"/>
    <w:rsid w:val="00D7565D"/>
    <w:rsid w:val="00D75700"/>
    <w:rsid w:val="00D75841"/>
    <w:rsid w:val="00D758F3"/>
    <w:rsid w:val="00D75AB5"/>
    <w:rsid w:val="00D75ADD"/>
    <w:rsid w:val="00D75B08"/>
    <w:rsid w:val="00D75B15"/>
    <w:rsid w:val="00D75B57"/>
    <w:rsid w:val="00D75C7C"/>
    <w:rsid w:val="00D75D02"/>
    <w:rsid w:val="00D75D75"/>
    <w:rsid w:val="00D75EB6"/>
    <w:rsid w:val="00D75F06"/>
    <w:rsid w:val="00D75F0B"/>
    <w:rsid w:val="00D75F20"/>
    <w:rsid w:val="00D76083"/>
    <w:rsid w:val="00D7613C"/>
    <w:rsid w:val="00D761A1"/>
    <w:rsid w:val="00D761F9"/>
    <w:rsid w:val="00D76212"/>
    <w:rsid w:val="00D7624C"/>
    <w:rsid w:val="00D762E0"/>
    <w:rsid w:val="00D76497"/>
    <w:rsid w:val="00D76505"/>
    <w:rsid w:val="00D766DD"/>
    <w:rsid w:val="00D766E0"/>
    <w:rsid w:val="00D767A6"/>
    <w:rsid w:val="00D767CF"/>
    <w:rsid w:val="00D76868"/>
    <w:rsid w:val="00D768FD"/>
    <w:rsid w:val="00D769CB"/>
    <w:rsid w:val="00D769D7"/>
    <w:rsid w:val="00D76A67"/>
    <w:rsid w:val="00D76A9F"/>
    <w:rsid w:val="00D76B18"/>
    <w:rsid w:val="00D76CBA"/>
    <w:rsid w:val="00D76DFB"/>
    <w:rsid w:val="00D76E2D"/>
    <w:rsid w:val="00D76EF6"/>
    <w:rsid w:val="00D76FA6"/>
    <w:rsid w:val="00D771BF"/>
    <w:rsid w:val="00D7724F"/>
    <w:rsid w:val="00D77253"/>
    <w:rsid w:val="00D7728E"/>
    <w:rsid w:val="00D772BB"/>
    <w:rsid w:val="00D7732D"/>
    <w:rsid w:val="00D77339"/>
    <w:rsid w:val="00D77401"/>
    <w:rsid w:val="00D774AB"/>
    <w:rsid w:val="00D774F0"/>
    <w:rsid w:val="00D7755E"/>
    <w:rsid w:val="00D7768F"/>
    <w:rsid w:val="00D776C0"/>
    <w:rsid w:val="00D776E5"/>
    <w:rsid w:val="00D77746"/>
    <w:rsid w:val="00D777B1"/>
    <w:rsid w:val="00D7784B"/>
    <w:rsid w:val="00D778AA"/>
    <w:rsid w:val="00D779C7"/>
    <w:rsid w:val="00D77A08"/>
    <w:rsid w:val="00D77A93"/>
    <w:rsid w:val="00D77BC4"/>
    <w:rsid w:val="00D77C59"/>
    <w:rsid w:val="00D77C7D"/>
    <w:rsid w:val="00D77CE5"/>
    <w:rsid w:val="00D77CF5"/>
    <w:rsid w:val="00D77D01"/>
    <w:rsid w:val="00D77D69"/>
    <w:rsid w:val="00D77DC2"/>
    <w:rsid w:val="00D77DE7"/>
    <w:rsid w:val="00D77F5A"/>
    <w:rsid w:val="00D77F9A"/>
    <w:rsid w:val="00D77FAE"/>
    <w:rsid w:val="00D8000C"/>
    <w:rsid w:val="00D80088"/>
    <w:rsid w:val="00D800BC"/>
    <w:rsid w:val="00D800C8"/>
    <w:rsid w:val="00D802EE"/>
    <w:rsid w:val="00D8037E"/>
    <w:rsid w:val="00D803A8"/>
    <w:rsid w:val="00D80519"/>
    <w:rsid w:val="00D80554"/>
    <w:rsid w:val="00D80566"/>
    <w:rsid w:val="00D807A8"/>
    <w:rsid w:val="00D8086C"/>
    <w:rsid w:val="00D80884"/>
    <w:rsid w:val="00D809A8"/>
    <w:rsid w:val="00D809C9"/>
    <w:rsid w:val="00D80A55"/>
    <w:rsid w:val="00D80A9F"/>
    <w:rsid w:val="00D80B5B"/>
    <w:rsid w:val="00D80CCB"/>
    <w:rsid w:val="00D80D57"/>
    <w:rsid w:val="00D80E0A"/>
    <w:rsid w:val="00D80E28"/>
    <w:rsid w:val="00D80E45"/>
    <w:rsid w:val="00D80F39"/>
    <w:rsid w:val="00D80F61"/>
    <w:rsid w:val="00D81190"/>
    <w:rsid w:val="00D812ED"/>
    <w:rsid w:val="00D8146C"/>
    <w:rsid w:val="00D815D0"/>
    <w:rsid w:val="00D8161C"/>
    <w:rsid w:val="00D8169F"/>
    <w:rsid w:val="00D816FB"/>
    <w:rsid w:val="00D81769"/>
    <w:rsid w:val="00D81961"/>
    <w:rsid w:val="00D81AEA"/>
    <w:rsid w:val="00D81B3C"/>
    <w:rsid w:val="00D81D9E"/>
    <w:rsid w:val="00D81DB0"/>
    <w:rsid w:val="00D81F69"/>
    <w:rsid w:val="00D82037"/>
    <w:rsid w:val="00D821A0"/>
    <w:rsid w:val="00D82246"/>
    <w:rsid w:val="00D8226D"/>
    <w:rsid w:val="00D82279"/>
    <w:rsid w:val="00D822F0"/>
    <w:rsid w:val="00D82323"/>
    <w:rsid w:val="00D8232A"/>
    <w:rsid w:val="00D82363"/>
    <w:rsid w:val="00D82412"/>
    <w:rsid w:val="00D82425"/>
    <w:rsid w:val="00D82492"/>
    <w:rsid w:val="00D82515"/>
    <w:rsid w:val="00D8252D"/>
    <w:rsid w:val="00D82555"/>
    <w:rsid w:val="00D82558"/>
    <w:rsid w:val="00D827AF"/>
    <w:rsid w:val="00D827C2"/>
    <w:rsid w:val="00D82832"/>
    <w:rsid w:val="00D8284A"/>
    <w:rsid w:val="00D82A35"/>
    <w:rsid w:val="00D82AD2"/>
    <w:rsid w:val="00D82B07"/>
    <w:rsid w:val="00D82B3F"/>
    <w:rsid w:val="00D82BD3"/>
    <w:rsid w:val="00D82D83"/>
    <w:rsid w:val="00D82ED1"/>
    <w:rsid w:val="00D82EED"/>
    <w:rsid w:val="00D82F27"/>
    <w:rsid w:val="00D82FDF"/>
    <w:rsid w:val="00D83129"/>
    <w:rsid w:val="00D8322D"/>
    <w:rsid w:val="00D832D3"/>
    <w:rsid w:val="00D833D4"/>
    <w:rsid w:val="00D833E6"/>
    <w:rsid w:val="00D8358F"/>
    <w:rsid w:val="00D835C0"/>
    <w:rsid w:val="00D836A0"/>
    <w:rsid w:val="00D836CF"/>
    <w:rsid w:val="00D837CB"/>
    <w:rsid w:val="00D837D2"/>
    <w:rsid w:val="00D83863"/>
    <w:rsid w:val="00D83874"/>
    <w:rsid w:val="00D83929"/>
    <w:rsid w:val="00D839E0"/>
    <w:rsid w:val="00D83A60"/>
    <w:rsid w:val="00D83A88"/>
    <w:rsid w:val="00D83A8A"/>
    <w:rsid w:val="00D83BE6"/>
    <w:rsid w:val="00D83D3F"/>
    <w:rsid w:val="00D84063"/>
    <w:rsid w:val="00D8416E"/>
    <w:rsid w:val="00D84185"/>
    <w:rsid w:val="00D841AE"/>
    <w:rsid w:val="00D84236"/>
    <w:rsid w:val="00D84260"/>
    <w:rsid w:val="00D84287"/>
    <w:rsid w:val="00D8435F"/>
    <w:rsid w:val="00D8447A"/>
    <w:rsid w:val="00D8457C"/>
    <w:rsid w:val="00D8468C"/>
    <w:rsid w:val="00D846FE"/>
    <w:rsid w:val="00D8490C"/>
    <w:rsid w:val="00D8492C"/>
    <w:rsid w:val="00D84A32"/>
    <w:rsid w:val="00D84A74"/>
    <w:rsid w:val="00D84BD0"/>
    <w:rsid w:val="00D84C17"/>
    <w:rsid w:val="00D84C3E"/>
    <w:rsid w:val="00D84C86"/>
    <w:rsid w:val="00D84DFF"/>
    <w:rsid w:val="00D84EAA"/>
    <w:rsid w:val="00D84F1C"/>
    <w:rsid w:val="00D85087"/>
    <w:rsid w:val="00D8508D"/>
    <w:rsid w:val="00D851C9"/>
    <w:rsid w:val="00D851DB"/>
    <w:rsid w:val="00D8523A"/>
    <w:rsid w:val="00D852C4"/>
    <w:rsid w:val="00D852F8"/>
    <w:rsid w:val="00D853BF"/>
    <w:rsid w:val="00D853FB"/>
    <w:rsid w:val="00D85505"/>
    <w:rsid w:val="00D8557A"/>
    <w:rsid w:val="00D85715"/>
    <w:rsid w:val="00D857C2"/>
    <w:rsid w:val="00D85878"/>
    <w:rsid w:val="00D858ED"/>
    <w:rsid w:val="00D85B50"/>
    <w:rsid w:val="00D85BFA"/>
    <w:rsid w:val="00D85C63"/>
    <w:rsid w:val="00D85CD7"/>
    <w:rsid w:val="00D85D2E"/>
    <w:rsid w:val="00D85D4E"/>
    <w:rsid w:val="00D85E3D"/>
    <w:rsid w:val="00D85E42"/>
    <w:rsid w:val="00D85E69"/>
    <w:rsid w:val="00D85EAC"/>
    <w:rsid w:val="00D85EC1"/>
    <w:rsid w:val="00D85FAE"/>
    <w:rsid w:val="00D8601A"/>
    <w:rsid w:val="00D8604E"/>
    <w:rsid w:val="00D86057"/>
    <w:rsid w:val="00D86058"/>
    <w:rsid w:val="00D860C5"/>
    <w:rsid w:val="00D8616A"/>
    <w:rsid w:val="00D861FB"/>
    <w:rsid w:val="00D862D7"/>
    <w:rsid w:val="00D86368"/>
    <w:rsid w:val="00D863E2"/>
    <w:rsid w:val="00D86436"/>
    <w:rsid w:val="00D86630"/>
    <w:rsid w:val="00D866C0"/>
    <w:rsid w:val="00D8677A"/>
    <w:rsid w:val="00D86857"/>
    <w:rsid w:val="00D8691E"/>
    <w:rsid w:val="00D86B01"/>
    <w:rsid w:val="00D86BCA"/>
    <w:rsid w:val="00D86BD6"/>
    <w:rsid w:val="00D86C2A"/>
    <w:rsid w:val="00D86D74"/>
    <w:rsid w:val="00D86E30"/>
    <w:rsid w:val="00D86F0C"/>
    <w:rsid w:val="00D86FFA"/>
    <w:rsid w:val="00D87096"/>
    <w:rsid w:val="00D870C5"/>
    <w:rsid w:val="00D87100"/>
    <w:rsid w:val="00D8710A"/>
    <w:rsid w:val="00D8713E"/>
    <w:rsid w:val="00D87230"/>
    <w:rsid w:val="00D872F0"/>
    <w:rsid w:val="00D87375"/>
    <w:rsid w:val="00D87380"/>
    <w:rsid w:val="00D87404"/>
    <w:rsid w:val="00D87426"/>
    <w:rsid w:val="00D87471"/>
    <w:rsid w:val="00D87544"/>
    <w:rsid w:val="00D87795"/>
    <w:rsid w:val="00D878BB"/>
    <w:rsid w:val="00D87ABE"/>
    <w:rsid w:val="00D87C91"/>
    <w:rsid w:val="00D87CF5"/>
    <w:rsid w:val="00D87D3D"/>
    <w:rsid w:val="00D87F42"/>
    <w:rsid w:val="00D87F7C"/>
    <w:rsid w:val="00D87FEA"/>
    <w:rsid w:val="00D9003D"/>
    <w:rsid w:val="00D900B1"/>
    <w:rsid w:val="00D900B5"/>
    <w:rsid w:val="00D9035E"/>
    <w:rsid w:val="00D903D3"/>
    <w:rsid w:val="00D9040B"/>
    <w:rsid w:val="00D90541"/>
    <w:rsid w:val="00D9056B"/>
    <w:rsid w:val="00D9068F"/>
    <w:rsid w:val="00D907DC"/>
    <w:rsid w:val="00D9099F"/>
    <w:rsid w:val="00D909A8"/>
    <w:rsid w:val="00D90A8A"/>
    <w:rsid w:val="00D90AE7"/>
    <w:rsid w:val="00D90B1D"/>
    <w:rsid w:val="00D90B24"/>
    <w:rsid w:val="00D90B54"/>
    <w:rsid w:val="00D90BDB"/>
    <w:rsid w:val="00D90C14"/>
    <w:rsid w:val="00D90CE9"/>
    <w:rsid w:val="00D90D4E"/>
    <w:rsid w:val="00D90F28"/>
    <w:rsid w:val="00D910A9"/>
    <w:rsid w:val="00D91150"/>
    <w:rsid w:val="00D911C5"/>
    <w:rsid w:val="00D9126B"/>
    <w:rsid w:val="00D912A4"/>
    <w:rsid w:val="00D91543"/>
    <w:rsid w:val="00D9154D"/>
    <w:rsid w:val="00D915B9"/>
    <w:rsid w:val="00D916BC"/>
    <w:rsid w:val="00D9174E"/>
    <w:rsid w:val="00D91834"/>
    <w:rsid w:val="00D91881"/>
    <w:rsid w:val="00D918C0"/>
    <w:rsid w:val="00D91972"/>
    <w:rsid w:val="00D9199F"/>
    <w:rsid w:val="00D919CF"/>
    <w:rsid w:val="00D91A46"/>
    <w:rsid w:val="00D91A78"/>
    <w:rsid w:val="00D91B0C"/>
    <w:rsid w:val="00D91B86"/>
    <w:rsid w:val="00D91C60"/>
    <w:rsid w:val="00D91D6A"/>
    <w:rsid w:val="00D91DED"/>
    <w:rsid w:val="00D91F13"/>
    <w:rsid w:val="00D920D5"/>
    <w:rsid w:val="00D9215E"/>
    <w:rsid w:val="00D92239"/>
    <w:rsid w:val="00D92354"/>
    <w:rsid w:val="00D9246C"/>
    <w:rsid w:val="00D92596"/>
    <w:rsid w:val="00D9259C"/>
    <w:rsid w:val="00D92626"/>
    <w:rsid w:val="00D92675"/>
    <w:rsid w:val="00D9271F"/>
    <w:rsid w:val="00D927B0"/>
    <w:rsid w:val="00D9293A"/>
    <w:rsid w:val="00D9293B"/>
    <w:rsid w:val="00D929EF"/>
    <w:rsid w:val="00D929F9"/>
    <w:rsid w:val="00D92AA9"/>
    <w:rsid w:val="00D92BB9"/>
    <w:rsid w:val="00D92C7B"/>
    <w:rsid w:val="00D92CA0"/>
    <w:rsid w:val="00D92CCC"/>
    <w:rsid w:val="00D92EBA"/>
    <w:rsid w:val="00D92EE4"/>
    <w:rsid w:val="00D92F57"/>
    <w:rsid w:val="00D93028"/>
    <w:rsid w:val="00D930FD"/>
    <w:rsid w:val="00D9313D"/>
    <w:rsid w:val="00D93284"/>
    <w:rsid w:val="00D93310"/>
    <w:rsid w:val="00D93370"/>
    <w:rsid w:val="00D93469"/>
    <w:rsid w:val="00D9347D"/>
    <w:rsid w:val="00D934FD"/>
    <w:rsid w:val="00D935C5"/>
    <w:rsid w:val="00D935EA"/>
    <w:rsid w:val="00D93702"/>
    <w:rsid w:val="00D93703"/>
    <w:rsid w:val="00D937CA"/>
    <w:rsid w:val="00D93802"/>
    <w:rsid w:val="00D93859"/>
    <w:rsid w:val="00D9387C"/>
    <w:rsid w:val="00D93888"/>
    <w:rsid w:val="00D938D1"/>
    <w:rsid w:val="00D938D3"/>
    <w:rsid w:val="00D93941"/>
    <w:rsid w:val="00D939D5"/>
    <w:rsid w:val="00D93A26"/>
    <w:rsid w:val="00D93A6D"/>
    <w:rsid w:val="00D93AC0"/>
    <w:rsid w:val="00D93B36"/>
    <w:rsid w:val="00D93B68"/>
    <w:rsid w:val="00D93C19"/>
    <w:rsid w:val="00D93C55"/>
    <w:rsid w:val="00D93CA0"/>
    <w:rsid w:val="00D93F5A"/>
    <w:rsid w:val="00D93FD5"/>
    <w:rsid w:val="00D93FF0"/>
    <w:rsid w:val="00D9401D"/>
    <w:rsid w:val="00D941E9"/>
    <w:rsid w:val="00D9422F"/>
    <w:rsid w:val="00D94462"/>
    <w:rsid w:val="00D945A8"/>
    <w:rsid w:val="00D9461A"/>
    <w:rsid w:val="00D9466E"/>
    <w:rsid w:val="00D946BB"/>
    <w:rsid w:val="00D947E3"/>
    <w:rsid w:val="00D9480E"/>
    <w:rsid w:val="00D948E8"/>
    <w:rsid w:val="00D94929"/>
    <w:rsid w:val="00D94956"/>
    <w:rsid w:val="00D94A26"/>
    <w:rsid w:val="00D94AE0"/>
    <w:rsid w:val="00D94BA0"/>
    <w:rsid w:val="00D94BCB"/>
    <w:rsid w:val="00D94D95"/>
    <w:rsid w:val="00D94E0F"/>
    <w:rsid w:val="00D94EDA"/>
    <w:rsid w:val="00D9517C"/>
    <w:rsid w:val="00D9518B"/>
    <w:rsid w:val="00D9519E"/>
    <w:rsid w:val="00D952A8"/>
    <w:rsid w:val="00D9533B"/>
    <w:rsid w:val="00D9538B"/>
    <w:rsid w:val="00D953D1"/>
    <w:rsid w:val="00D95428"/>
    <w:rsid w:val="00D95496"/>
    <w:rsid w:val="00D954E8"/>
    <w:rsid w:val="00D9556D"/>
    <w:rsid w:val="00D95607"/>
    <w:rsid w:val="00D959CD"/>
    <w:rsid w:val="00D95A69"/>
    <w:rsid w:val="00D95A8F"/>
    <w:rsid w:val="00D95BCE"/>
    <w:rsid w:val="00D95D44"/>
    <w:rsid w:val="00D95E3E"/>
    <w:rsid w:val="00D95E43"/>
    <w:rsid w:val="00D95E68"/>
    <w:rsid w:val="00D95E72"/>
    <w:rsid w:val="00D9603A"/>
    <w:rsid w:val="00D9605E"/>
    <w:rsid w:val="00D9607F"/>
    <w:rsid w:val="00D960E4"/>
    <w:rsid w:val="00D96102"/>
    <w:rsid w:val="00D9613B"/>
    <w:rsid w:val="00D96150"/>
    <w:rsid w:val="00D96254"/>
    <w:rsid w:val="00D96296"/>
    <w:rsid w:val="00D962C8"/>
    <w:rsid w:val="00D963A7"/>
    <w:rsid w:val="00D963CD"/>
    <w:rsid w:val="00D9649E"/>
    <w:rsid w:val="00D964EB"/>
    <w:rsid w:val="00D96702"/>
    <w:rsid w:val="00D9670C"/>
    <w:rsid w:val="00D967C6"/>
    <w:rsid w:val="00D96823"/>
    <w:rsid w:val="00D96843"/>
    <w:rsid w:val="00D968E9"/>
    <w:rsid w:val="00D96965"/>
    <w:rsid w:val="00D969C5"/>
    <w:rsid w:val="00D969D5"/>
    <w:rsid w:val="00D96A37"/>
    <w:rsid w:val="00D96AE0"/>
    <w:rsid w:val="00D96CDF"/>
    <w:rsid w:val="00D96D44"/>
    <w:rsid w:val="00D96D92"/>
    <w:rsid w:val="00D96EF0"/>
    <w:rsid w:val="00D96F0E"/>
    <w:rsid w:val="00D96FC4"/>
    <w:rsid w:val="00D970C0"/>
    <w:rsid w:val="00D970E9"/>
    <w:rsid w:val="00D970EC"/>
    <w:rsid w:val="00D97107"/>
    <w:rsid w:val="00D971DC"/>
    <w:rsid w:val="00D972A6"/>
    <w:rsid w:val="00D972B9"/>
    <w:rsid w:val="00D972C3"/>
    <w:rsid w:val="00D97303"/>
    <w:rsid w:val="00D97360"/>
    <w:rsid w:val="00D97409"/>
    <w:rsid w:val="00D97423"/>
    <w:rsid w:val="00D974A9"/>
    <w:rsid w:val="00D974DB"/>
    <w:rsid w:val="00D974E8"/>
    <w:rsid w:val="00D9757A"/>
    <w:rsid w:val="00D97580"/>
    <w:rsid w:val="00D975B3"/>
    <w:rsid w:val="00D97601"/>
    <w:rsid w:val="00D97763"/>
    <w:rsid w:val="00D977FB"/>
    <w:rsid w:val="00D9785F"/>
    <w:rsid w:val="00D978E4"/>
    <w:rsid w:val="00D97917"/>
    <w:rsid w:val="00D97997"/>
    <w:rsid w:val="00D97A1E"/>
    <w:rsid w:val="00D97A6E"/>
    <w:rsid w:val="00D97B4B"/>
    <w:rsid w:val="00D97BBB"/>
    <w:rsid w:val="00D97BEE"/>
    <w:rsid w:val="00D97C3B"/>
    <w:rsid w:val="00D97CDE"/>
    <w:rsid w:val="00D97D7B"/>
    <w:rsid w:val="00D97D96"/>
    <w:rsid w:val="00D97DA0"/>
    <w:rsid w:val="00D97DA7"/>
    <w:rsid w:val="00D97E50"/>
    <w:rsid w:val="00D97FE5"/>
    <w:rsid w:val="00D97FF9"/>
    <w:rsid w:val="00DA0189"/>
    <w:rsid w:val="00DA0355"/>
    <w:rsid w:val="00DA0391"/>
    <w:rsid w:val="00DA0418"/>
    <w:rsid w:val="00DA04B3"/>
    <w:rsid w:val="00DA04F1"/>
    <w:rsid w:val="00DA0520"/>
    <w:rsid w:val="00DA0521"/>
    <w:rsid w:val="00DA06AA"/>
    <w:rsid w:val="00DA06D0"/>
    <w:rsid w:val="00DA0845"/>
    <w:rsid w:val="00DA0A27"/>
    <w:rsid w:val="00DA0A6E"/>
    <w:rsid w:val="00DA0BAA"/>
    <w:rsid w:val="00DA0C6A"/>
    <w:rsid w:val="00DA0D57"/>
    <w:rsid w:val="00DA0DBF"/>
    <w:rsid w:val="00DA0E18"/>
    <w:rsid w:val="00DA0E7C"/>
    <w:rsid w:val="00DA0E9C"/>
    <w:rsid w:val="00DA0F4F"/>
    <w:rsid w:val="00DA0F52"/>
    <w:rsid w:val="00DA1035"/>
    <w:rsid w:val="00DA111F"/>
    <w:rsid w:val="00DA1163"/>
    <w:rsid w:val="00DA117B"/>
    <w:rsid w:val="00DA119D"/>
    <w:rsid w:val="00DA11D5"/>
    <w:rsid w:val="00DA12FE"/>
    <w:rsid w:val="00DA1488"/>
    <w:rsid w:val="00DA14FB"/>
    <w:rsid w:val="00DA151E"/>
    <w:rsid w:val="00DA15A8"/>
    <w:rsid w:val="00DA15C7"/>
    <w:rsid w:val="00DA15E7"/>
    <w:rsid w:val="00DA166C"/>
    <w:rsid w:val="00DA1786"/>
    <w:rsid w:val="00DA18B6"/>
    <w:rsid w:val="00DA1920"/>
    <w:rsid w:val="00DA1962"/>
    <w:rsid w:val="00DA19B5"/>
    <w:rsid w:val="00DA19C2"/>
    <w:rsid w:val="00DA1A6B"/>
    <w:rsid w:val="00DA1AB1"/>
    <w:rsid w:val="00DA1AD4"/>
    <w:rsid w:val="00DA1CD3"/>
    <w:rsid w:val="00DA1D11"/>
    <w:rsid w:val="00DA1D82"/>
    <w:rsid w:val="00DA1F09"/>
    <w:rsid w:val="00DA1F8F"/>
    <w:rsid w:val="00DA1FC8"/>
    <w:rsid w:val="00DA1FE2"/>
    <w:rsid w:val="00DA1FFC"/>
    <w:rsid w:val="00DA2129"/>
    <w:rsid w:val="00DA21B3"/>
    <w:rsid w:val="00DA229A"/>
    <w:rsid w:val="00DA2372"/>
    <w:rsid w:val="00DA25B8"/>
    <w:rsid w:val="00DA2626"/>
    <w:rsid w:val="00DA262B"/>
    <w:rsid w:val="00DA266F"/>
    <w:rsid w:val="00DA26A3"/>
    <w:rsid w:val="00DA27B8"/>
    <w:rsid w:val="00DA27DE"/>
    <w:rsid w:val="00DA27F6"/>
    <w:rsid w:val="00DA2915"/>
    <w:rsid w:val="00DA291A"/>
    <w:rsid w:val="00DA2989"/>
    <w:rsid w:val="00DA2B3F"/>
    <w:rsid w:val="00DA2BFC"/>
    <w:rsid w:val="00DA2CA2"/>
    <w:rsid w:val="00DA2F91"/>
    <w:rsid w:val="00DA30BF"/>
    <w:rsid w:val="00DA3150"/>
    <w:rsid w:val="00DA31C7"/>
    <w:rsid w:val="00DA3236"/>
    <w:rsid w:val="00DA3344"/>
    <w:rsid w:val="00DA33C3"/>
    <w:rsid w:val="00DA3462"/>
    <w:rsid w:val="00DA34A3"/>
    <w:rsid w:val="00DA37D2"/>
    <w:rsid w:val="00DA37F2"/>
    <w:rsid w:val="00DA3829"/>
    <w:rsid w:val="00DA38E6"/>
    <w:rsid w:val="00DA38EE"/>
    <w:rsid w:val="00DA3969"/>
    <w:rsid w:val="00DA39F6"/>
    <w:rsid w:val="00DA3C3E"/>
    <w:rsid w:val="00DA3C61"/>
    <w:rsid w:val="00DA3C74"/>
    <w:rsid w:val="00DA3D0E"/>
    <w:rsid w:val="00DA3D21"/>
    <w:rsid w:val="00DA3D7D"/>
    <w:rsid w:val="00DA3DA3"/>
    <w:rsid w:val="00DA3DD2"/>
    <w:rsid w:val="00DA3E93"/>
    <w:rsid w:val="00DA3F19"/>
    <w:rsid w:val="00DA3F86"/>
    <w:rsid w:val="00DA4044"/>
    <w:rsid w:val="00DA41B0"/>
    <w:rsid w:val="00DA4261"/>
    <w:rsid w:val="00DA4284"/>
    <w:rsid w:val="00DA433D"/>
    <w:rsid w:val="00DA4369"/>
    <w:rsid w:val="00DA4423"/>
    <w:rsid w:val="00DA4683"/>
    <w:rsid w:val="00DA4705"/>
    <w:rsid w:val="00DA48F1"/>
    <w:rsid w:val="00DA499A"/>
    <w:rsid w:val="00DA49E4"/>
    <w:rsid w:val="00DA4A7D"/>
    <w:rsid w:val="00DA4B30"/>
    <w:rsid w:val="00DA4B5A"/>
    <w:rsid w:val="00DA4E1A"/>
    <w:rsid w:val="00DA4E4A"/>
    <w:rsid w:val="00DA5064"/>
    <w:rsid w:val="00DA5074"/>
    <w:rsid w:val="00DA50CA"/>
    <w:rsid w:val="00DA5192"/>
    <w:rsid w:val="00DA5322"/>
    <w:rsid w:val="00DA5375"/>
    <w:rsid w:val="00DA53AE"/>
    <w:rsid w:val="00DA551A"/>
    <w:rsid w:val="00DA554B"/>
    <w:rsid w:val="00DA5677"/>
    <w:rsid w:val="00DA57A0"/>
    <w:rsid w:val="00DA57DC"/>
    <w:rsid w:val="00DA57EF"/>
    <w:rsid w:val="00DA5884"/>
    <w:rsid w:val="00DA594A"/>
    <w:rsid w:val="00DA596D"/>
    <w:rsid w:val="00DA5A51"/>
    <w:rsid w:val="00DA5AFD"/>
    <w:rsid w:val="00DA5B95"/>
    <w:rsid w:val="00DA5BC8"/>
    <w:rsid w:val="00DA5C08"/>
    <w:rsid w:val="00DA5C25"/>
    <w:rsid w:val="00DA5D04"/>
    <w:rsid w:val="00DA5FA4"/>
    <w:rsid w:val="00DA6056"/>
    <w:rsid w:val="00DA6083"/>
    <w:rsid w:val="00DA6120"/>
    <w:rsid w:val="00DA61A5"/>
    <w:rsid w:val="00DA6219"/>
    <w:rsid w:val="00DA6587"/>
    <w:rsid w:val="00DA665C"/>
    <w:rsid w:val="00DA66E3"/>
    <w:rsid w:val="00DA66EA"/>
    <w:rsid w:val="00DA67BE"/>
    <w:rsid w:val="00DA6897"/>
    <w:rsid w:val="00DA69E5"/>
    <w:rsid w:val="00DA6BFF"/>
    <w:rsid w:val="00DA6CA6"/>
    <w:rsid w:val="00DA6D69"/>
    <w:rsid w:val="00DA6DE4"/>
    <w:rsid w:val="00DA6DF9"/>
    <w:rsid w:val="00DA6F38"/>
    <w:rsid w:val="00DA7098"/>
    <w:rsid w:val="00DA710E"/>
    <w:rsid w:val="00DA71DD"/>
    <w:rsid w:val="00DA7258"/>
    <w:rsid w:val="00DA72CF"/>
    <w:rsid w:val="00DA736C"/>
    <w:rsid w:val="00DA737F"/>
    <w:rsid w:val="00DA73C1"/>
    <w:rsid w:val="00DA73C2"/>
    <w:rsid w:val="00DA73D6"/>
    <w:rsid w:val="00DA7440"/>
    <w:rsid w:val="00DA74C2"/>
    <w:rsid w:val="00DA76BC"/>
    <w:rsid w:val="00DA7707"/>
    <w:rsid w:val="00DA78DF"/>
    <w:rsid w:val="00DA78EB"/>
    <w:rsid w:val="00DA7B04"/>
    <w:rsid w:val="00DA7BB7"/>
    <w:rsid w:val="00DA7BCE"/>
    <w:rsid w:val="00DA7C17"/>
    <w:rsid w:val="00DA7C7E"/>
    <w:rsid w:val="00DA7C90"/>
    <w:rsid w:val="00DA7C92"/>
    <w:rsid w:val="00DA7D0B"/>
    <w:rsid w:val="00DA7E4A"/>
    <w:rsid w:val="00DA7EB3"/>
    <w:rsid w:val="00DA7FAC"/>
    <w:rsid w:val="00DA7FC0"/>
    <w:rsid w:val="00DB0045"/>
    <w:rsid w:val="00DB004B"/>
    <w:rsid w:val="00DB00E2"/>
    <w:rsid w:val="00DB021E"/>
    <w:rsid w:val="00DB02F7"/>
    <w:rsid w:val="00DB0458"/>
    <w:rsid w:val="00DB0469"/>
    <w:rsid w:val="00DB04A0"/>
    <w:rsid w:val="00DB054D"/>
    <w:rsid w:val="00DB058C"/>
    <w:rsid w:val="00DB05B6"/>
    <w:rsid w:val="00DB05E1"/>
    <w:rsid w:val="00DB05FA"/>
    <w:rsid w:val="00DB06F7"/>
    <w:rsid w:val="00DB0728"/>
    <w:rsid w:val="00DB0747"/>
    <w:rsid w:val="00DB0831"/>
    <w:rsid w:val="00DB0879"/>
    <w:rsid w:val="00DB087B"/>
    <w:rsid w:val="00DB0910"/>
    <w:rsid w:val="00DB0925"/>
    <w:rsid w:val="00DB093C"/>
    <w:rsid w:val="00DB09AB"/>
    <w:rsid w:val="00DB0A9E"/>
    <w:rsid w:val="00DB0B43"/>
    <w:rsid w:val="00DB0BCA"/>
    <w:rsid w:val="00DB0CB1"/>
    <w:rsid w:val="00DB0D41"/>
    <w:rsid w:val="00DB0D5A"/>
    <w:rsid w:val="00DB0E05"/>
    <w:rsid w:val="00DB0E87"/>
    <w:rsid w:val="00DB0FBF"/>
    <w:rsid w:val="00DB1094"/>
    <w:rsid w:val="00DB10A8"/>
    <w:rsid w:val="00DB117A"/>
    <w:rsid w:val="00DB12B0"/>
    <w:rsid w:val="00DB12B2"/>
    <w:rsid w:val="00DB130A"/>
    <w:rsid w:val="00DB13D3"/>
    <w:rsid w:val="00DB1402"/>
    <w:rsid w:val="00DB146E"/>
    <w:rsid w:val="00DB1520"/>
    <w:rsid w:val="00DB15F1"/>
    <w:rsid w:val="00DB1615"/>
    <w:rsid w:val="00DB169B"/>
    <w:rsid w:val="00DB1777"/>
    <w:rsid w:val="00DB1783"/>
    <w:rsid w:val="00DB1796"/>
    <w:rsid w:val="00DB17C3"/>
    <w:rsid w:val="00DB17EF"/>
    <w:rsid w:val="00DB1851"/>
    <w:rsid w:val="00DB1888"/>
    <w:rsid w:val="00DB1949"/>
    <w:rsid w:val="00DB1A05"/>
    <w:rsid w:val="00DB1A87"/>
    <w:rsid w:val="00DB1C1D"/>
    <w:rsid w:val="00DB1C29"/>
    <w:rsid w:val="00DB1CDB"/>
    <w:rsid w:val="00DB1D9A"/>
    <w:rsid w:val="00DB1F1F"/>
    <w:rsid w:val="00DB204E"/>
    <w:rsid w:val="00DB2064"/>
    <w:rsid w:val="00DB2134"/>
    <w:rsid w:val="00DB21E3"/>
    <w:rsid w:val="00DB21FB"/>
    <w:rsid w:val="00DB2202"/>
    <w:rsid w:val="00DB2271"/>
    <w:rsid w:val="00DB2364"/>
    <w:rsid w:val="00DB239B"/>
    <w:rsid w:val="00DB249B"/>
    <w:rsid w:val="00DB258C"/>
    <w:rsid w:val="00DB2596"/>
    <w:rsid w:val="00DB25D1"/>
    <w:rsid w:val="00DB25F6"/>
    <w:rsid w:val="00DB268D"/>
    <w:rsid w:val="00DB27E7"/>
    <w:rsid w:val="00DB28FC"/>
    <w:rsid w:val="00DB299D"/>
    <w:rsid w:val="00DB29C7"/>
    <w:rsid w:val="00DB2AEB"/>
    <w:rsid w:val="00DB2B17"/>
    <w:rsid w:val="00DB2C26"/>
    <w:rsid w:val="00DB2CA8"/>
    <w:rsid w:val="00DB2D48"/>
    <w:rsid w:val="00DB2D50"/>
    <w:rsid w:val="00DB2E21"/>
    <w:rsid w:val="00DB30A4"/>
    <w:rsid w:val="00DB3271"/>
    <w:rsid w:val="00DB3296"/>
    <w:rsid w:val="00DB33AC"/>
    <w:rsid w:val="00DB33B2"/>
    <w:rsid w:val="00DB3422"/>
    <w:rsid w:val="00DB3534"/>
    <w:rsid w:val="00DB361A"/>
    <w:rsid w:val="00DB365F"/>
    <w:rsid w:val="00DB376B"/>
    <w:rsid w:val="00DB37BD"/>
    <w:rsid w:val="00DB3870"/>
    <w:rsid w:val="00DB38A8"/>
    <w:rsid w:val="00DB38AF"/>
    <w:rsid w:val="00DB38B4"/>
    <w:rsid w:val="00DB395E"/>
    <w:rsid w:val="00DB39CF"/>
    <w:rsid w:val="00DB3A55"/>
    <w:rsid w:val="00DB3AB0"/>
    <w:rsid w:val="00DB3B37"/>
    <w:rsid w:val="00DB3B3A"/>
    <w:rsid w:val="00DB3B9F"/>
    <w:rsid w:val="00DB3C24"/>
    <w:rsid w:val="00DB3CFF"/>
    <w:rsid w:val="00DB3D71"/>
    <w:rsid w:val="00DB3EA7"/>
    <w:rsid w:val="00DB400D"/>
    <w:rsid w:val="00DB4087"/>
    <w:rsid w:val="00DB411D"/>
    <w:rsid w:val="00DB4248"/>
    <w:rsid w:val="00DB42C1"/>
    <w:rsid w:val="00DB43BF"/>
    <w:rsid w:val="00DB4410"/>
    <w:rsid w:val="00DB4579"/>
    <w:rsid w:val="00DB4752"/>
    <w:rsid w:val="00DB47AB"/>
    <w:rsid w:val="00DB4848"/>
    <w:rsid w:val="00DB498A"/>
    <w:rsid w:val="00DB49B7"/>
    <w:rsid w:val="00DB49D6"/>
    <w:rsid w:val="00DB4AB1"/>
    <w:rsid w:val="00DB4CED"/>
    <w:rsid w:val="00DB4DE2"/>
    <w:rsid w:val="00DB4E6E"/>
    <w:rsid w:val="00DB4E90"/>
    <w:rsid w:val="00DB4F0A"/>
    <w:rsid w:val="00DB4FC2"/>
    <w:rsid w:val="00DB5023"/>
    <w:rsid w:val="00DB50E9"/>
    <w:rsid w:val="00DB510D"/>
    <w:rsid w:val="00DB517A"/>
    <w:rsid w:val="00DB5184"/>
    <w:rsid w:val="00DB52D4"/>
    <w:rsid w:val="00DB52F9"/>
    <w:rsid w:val="00DB5302"/>
    <w:rsid w:val="00DB53BB"/>
    <w:rsid w:val="00DB53E9"/>
    <w:rsid w:val="00DB5500"/>
    <w:rsid w:val="00DB5662"/>
    <w:rsid w:val="00DB572C"/>
    <w:rsid w:val="00DB572E"/>
    <w:rsid w:val="00DB57E7"/>
    <w:rsid w:val="00DB5831"/>
    <w:rsid w:val="00DB586A"/>
    <w:rsid w:val="00DB586D"/>
    <w:rsid w:val="00DB5976"/>
    <w:rsid w:val="00DB5999"/>
    <w:rsid w:val="00DB5A0D"/>
    <w:rsid w:val="00DB5A91"/>
    <w:rsid w:val="00DB5B7F"/>
    <w:rsid w:val="00DB5B8B"/>
    <w:rsid w:val="00DB5C35"/>
    <w:rsid w:val="00DB5D3D"/>
    <w:rsid w:val="00DB5D79"/>
    <w:rsid w:val="00DB5F0F"/>
    <w:rsid w:val="00DB611B"/>
    <w:rsid w:val="00DB6143"/>
    <w:rsid w:val="00DB61D8"/>
    <w:rsid w:val="00DB624E"/>
    <w:rsid w:val="00DB6312"/>
    <w:rsid w:val="00DB639B"/>
    <w:rsid w:val="00DB6488"/>
    <w:rsid w:val="00DB64C7"/>
    <w:rsid w:val="00DB6549"/>
    <w:rsid w:val="00DB65E3"/>
    <w:rsid w:val="00DB6698"/>
    <w:rsid w:val="00DB6736"/>
    <w:rsid w:val="00DB6754"/>
    <w:rsid w:val="00DB67D2"/>
    <w:rsid w:val="00DB6833"/>
    <w:rsid w:val="00DB68CB"/>
    <w:rsid w:val="00DB6908"/>
    <w:rsid w:val="00DB6ABA"/>
    <w:rsid w:val="00DB6B96"/>
    <w:rsid w:val="00DB6C1F"/>
    <w:rsid w:val="00DB6EE8"/>
    <w:rsid w:val="00DB6F26"/>
    <w:rsid w:val="00DB6FF3"/>
    <w:rsid w:val="00DB7004"/>
    <w:rsid w:val="00DB7255"/>
    <w:rsid w:val="00DB72DB"/>
    <w:rsid w:val="00DB73B2"/>
    <w:rsid w:val="00DB74AE"/>
    <w:rsid w:val="00DB7789"/>
    <w:rsid w:val="00DB7807"/>
    <w:rsid w:val="00DB7914"/>
    <w:rsid w:val="00DB7979"/>
    <w:rsid w:val="00DB7984"/>
    <w:rsid w:val="00DB79F4"/>
    <w:rsid w:val="00DB7A31"/>
    <w:rsid w:val="00DB7B95"/>
    <w:rsid w:val="00DB7BAB"/>
    <w:rsid w:val="00DB7BC2"/>
    <w:rsid w:val="00DB7C06"/>
    <w:rsid w:val="00DB7D6D"/>
    <w:rsid w:val="00DB7E18"/>
    <w:rsid w:val="00DB7EA7"/>
    <w:rsid w:val="00DC000E"/>
    <w:rsid w:val="00DC00AC"/>
    <w:rsid w:val="00DC00EA"/>
    <w:rsid w:val="00DC0113"/>
    <w:rsid w:val="00DC013E"/>
    <w:rsid w:val="00DC0192"/>
    <w:rsid w:val="00DC0225"/>
    <w:rsid w:val="00DC023D"/>
    <w:rsid w:val="00DC028D"/>
    <w:rsid w:val="00DC02FF"/>
    <w:rsid w:val="00DC0519"/>
    <w:rsid w:val="00DC0553"/>
    <w:rsid w:val="00DC055C"/>
    <w:rsid w:val="00DC057F"/>
    <w:rsid w:val="00DC05A4"/>
    <w:rsid w:val="00DC0722"/>
    <w:rsid w:val="00DC0812"/>
    <w:rsid w:val="00DC08CB"/>
    <w:rsid w:val="00DC08D0"/>
    <w:rsid w:val="00DC0A29"/>
    <w:rsid w:val="00DC0AB8"/>
    <w:rsid w:val="00DC0BA3"/>
    <w:rsid w:val="00DC0BE0"/>
    <w:rsid w:val="00DC0BEF"/>
    <w:rsid w:val="00DC0CD1"/>
    <w:rsid w:val="00DC0DB2"/>
    <w:rsid w:val="00DC0F8C"/>
    <w:rsid w:val="00DC0F99"/>
    <w:rsid w:val="00DC10DA"/>
    <w:rsid w:val="00DC1366"/>
    <w:rsid w:val="00DC137D"/>
    <w:rsid w:val="00DC141C"/>
    <w:rsid w:val="00DC1465"/>
    <w:rsid w:val="00DC1515"/>
    <w:rsid w:val="00DC1617"/>
    <w:rsid w:val="00DC1624"/>
    <w:rsid w:val="00DC16D4"/>
    <w:rsid w:val="00DC18DE"/>
    <w:rsid w:val="00DC192E"/>
    <w:rsid w:val="00DC1967"/>
    <w:rsid w:val="00DC1A38"/>
    <w:rsid w:val="00DC1A73"/>
    <w:rsid w:val="00DC1A7D"/>
    <w:rsid w:val="00DC1ABE"/>
    <w:rsid w:val="00DC1AE9"/>
    <w:rsid w:val="00DC1B16"/>
    <w:rsid w:val="00DC1B73"/>
    <w:rsid w:val="00DC1B7D"/>
    <w:rsid w:val="00DC1C44"/>
    <w:rsid w:val="00DC1D39"/>
    <w:rsid w:val="00DC1D6B"/>
    <w:rsid w:val="00DC1F36"/>
    <w:rsid w:val="00DC1F8E"/>
    <w:rsid w:val="00DC2085"/>
    <w:rsid w:val="00DC232E"/>
    <w:rsid w:val="00DC2476"/>
    <w:rsid w:val="00DC2519"/>
    <w:rsid w:val="00DC2573"/>
    <w:rsid w:val="00DC25E0"/>
    <w:rsid w:val="00DC26FD"/>
    <w:rsid w:val="00DC2725"/>
    <w:rsid w:val="00DC276E"/>
    <w:rsid w:val="00DC2A38"/>
    <w:rsid w:val="00DC2A97"/>
    <w:rsid w:val="00DC2AFF"/>
    <w:rsid w:val="00DC2B10"/>
    <w:rsid w:val="00DC2C1A"/>
    <w:rsid w:val="00DC2C33"/>
    <w:rsid w:val="00DC2C64"/>
    <w:rsid w:val="00DC2C7F"/>
    <w:rsid w:val="00DC2CD2"/>
    <w:rsid w:val="00DC2D07"/>
    <w:rsid w:val="00DC2E20"/>
    <w:rsid w:val="00DC2F46"/>
    <w:rsid w:val="00DC2FB4"/>
    <w:rsid w:val="00DC305D"/>
    <w:rsid w:val="00DC309A"/>
    <w:rsid w:val="00DC30A6"/>
    <w:rsid w:val="00DC30B8"/>
    <w:rsid w:val="00DC30E6"/>
    <w:rsid w:val="00DC32AC"/>
    <w:rsid w:val="00DC3324"/>
    <w:rsid w:val="00DC34E1"/>
    <w:rsid w:val="00DC352E"/>
    <w:rsid w:val="00DC3594"/>
    <w:rsid w:val="00DC35C5"/>
    <w:rsid w:val="00DC35CA"/>
    <w:rsid w:val="00DC3616"/>
    <w:rsid w:val="00DC3692"/>
    <w:rsid w:val="00DC36EB"/>
    <w:rsid w:val="00DC3738"/>
    <w:rsid w:val="00DC3824"/>
    <w:rsid w:val="00DC387B"/>
    <w:rsid w:val="00DC387D"/>
    <w:rsid w:val="00DC38A1"/>
    <w:rsid w:val="00DC38D9"/>
    <w:rsid w:val="00DC3AAB"/>
    <w:rsid w:val="00DC3AB5"/>
    <w:rsid w:val="00DC3ABA"/>
    <w:rsid w:val="00DC3B5C"/>
    <w:rsid w:val="00DC3C0E"/>
    <w:rsid w:val="00DC3C18"/>
    <w:rsid w:val="00DC3CD2"/>
    <w:rsid w:val="00DC3D50"/>
    <w:rsid w:val="00DC3D9B"/>
    <w:rsid w:val="00DC3D9E"/>
    <w:rsid w:val="00DC3E0A"/>
    <w:rsid w:val="00DC3E96"/>
    <w:rsid w:val="00DC3EDA"/>
    <w:rsid w:val="00DC3F57"/>
    <w:rsid w:val="00DC3F83"/>
    <w:rsid w:val="00DC4008"/>
    <w:rsid w:val="00DC400D"/>
    <w:rsid w:val="00DC4061"/>
    <w:rsid w:val="00DC41A7"/>
    <w:rsid w:val="00DC41DA"/>
    <w:rsid w:val="00DC4288"/>
    <w:rsid w:val="00DC42AB"/>
    <w:rsid w:val="00DC42C3"/>
    <w:rsid w:val="00DC4307"/>
    <w:rsid w:val="00DC433D"/>
    <w:rsid w:val="00DC4386"/>
    <w:rsid w:val="00DC43BF"/>
    <w:rsid w:val="00DC43DD"/>
    <w:rsid w:val="00DC4408"/>
    <w:rsid w:val="00DC456C"/>
    <w:rsid w:val="00DC4697"/>
    <w:rsid w:val="00DC4815"/>
    <w:rsid w:val="00DC4936"/>
    <w:rsid w:val="00DC4996"/>
    <w:rsid w:val="00DC49D5"/>
    <w:rsid w:val="00DC49FD"/>
    <w:rsid w:val="00DC4A38"/>
    <w:rsid w:val="00DC4B49"/>
    <w:rsid w:val="00DC4BE1"/>
    <w:rsid w:val="00DC4BE8"/>
    <w:rsid w:val="00DC4C25"/>
    <w:rsid w:val="00DC4C37"/>
    <w:rsid w:val="00DC4CF4"/>
    <w:rsid w:val="00DC4D8F"/>
    <w:rsid w:val="00DC4D91"/>
    <w:rsid w:val="00DC4E5E"/>
    <w:rsid w:val="00DC4F91"/>
    <w:rsid w:val="00DC4F96"/>
    <w:rsid w:val="00DC4FA5"/>
    <w:rsid w:val="00DC4FD6"/>
    <w:rsid w:val="00DC50D5"/>
    <w:rsid w:val="00DC5149"/>
    <w:rsid w:val="00DC52D6"/>
    <w:rsid w:val="00DC5322"/>
    <w:rsid w:val="00DC53D6"/>
    <w:rsid w:val="00DC54B3"/>
    <w:rsid w:val="00DC54C8"/>
    <w:rsid w:val="00DC556F"/>
    <w:rsid w:val="00DC55D9"/>
    <w:rsid w:val="00DC56DB"/>
    <w:rsid w:val="00DC5724"/>
    <w:rsid w:val="00DC573D"/>
    <w:rsid w:val="00DC58AF"/>
    <w:rsid w:val="00DC5A6B"/>
    <w:rsid w:val="00DC5B64"/>
    <w:rsid w:val="00DC5CB7"/>
    <w:rsid w:val="00DC5DBE"/>
    <w:rsid w:val="00DC5E21"/>
    <w:rsid w:val="00DC5E6C"/>
    <w:rsid w:val="00DC5FF5"/>
    <w:rsid w:val="00DC609A"/>
    <w:rsid w:val="00DC614C"/>
    <w:rsid w:val="00DC6155"/>
    <w:rsid w:val="00DC617E"/>
    <w:rsid w:val="00DC61AD"/>
    <w:rsid w:val="00DC61C8"/>
    <w:rsid w:val="00DC61CD"/>
    <w:rsid w:val="00DC6227"/>
    <w:rsid w:val="00DC6245"/>
    <w:rsid w:val="00DC6396"/>
    <w:rsid w:val="00DC63C2"/>
    <w:rsid w:val="00DC641D"/>
    <w:rsid w:val="00DC6457"/>
    <w:rsid w:val="00DC6477"/>
    <w:rsid w:val="00DC64D1"/>
    <w:rsid w:val="00DC65D0"/>
    <w:rsid w:val="00DC6602"/>
    <w:rsid w:val="00DC663C"/>
    <w:rsid w:val="00DC6689"/>
    <w:rsid w:val="00DC672B"/>
    <w:rsid w:val="00DC6771"/>
    <w:rsid w:val="00DC683A"/>
    <w:rsid w:val="00DC685C"/>
    <w:rsid w:val="00DC688D"/>
    <w:rsid w:val="00DC690D"/>
    <w:rsid w:val="00DC6939"/>
    <w:rsid w:val="00DC697B"/>
    <w:rsid w:val="00DC6A03"/>
    <w:rsid w:val="00DC6C72"/>
    <w:rsid w:val="00DC6D5D"/>
    <w:rsid w:val="00DC6F39"/>
    <w:rsid w:val="00DC6FDA"/>
    <w:rsid w:val="00DC6FDD"/>
    <w:rsid w:val="00DC70A4"/>
    <w:rsid w:val="00DC725E"/>
    <w:rsid w:val="00DC732C"/>
    <w:rsid w:val="00DC749B"/>
    <w:rsid w:val="00DC7756"/>
    <w:rsid w:val="00DC775A"/>
    <w:rsid w:val="00DC7949"/>
    <w:rsid w:val="00DC79A0"/>
    <w:rsid w:val="00DC7A0D"/>
    <w:rsid w:val="00DC7A55"/>
    <w:rsid w:val="00DC7A67"/>
    <w:rsid w:val="00DC7C3D"/>
    <w:rsid w:val="00DC7C9D"/>
    <w:rsid w:val="00DC7E7B"/>
    <w:rsid w:val="00DC7EC2"/>
    <w:rsid w:val="00DC7F46"/>
    <w:rsid w:val="00DD0015"/>
    <w:rsid w:val="00DD00AE"/>
    <w:rsid w:val="00DD011D"/>
    <w:rsid w:val="00DD012D"/>
    <w:rsid w:val="00DD0151"/>
    <w:rsid w:val="00DD025A"/>
    <w:rsid w:val="00DD03B7"/>
    <w:rsid w:val="00DD04A0"/>
    <w:rsid w:val="00DD04C4"/>
    <w:rsid w:val="00DD0600"/>
    <w:rsid w:val="00DD0729"/>
    <w:rsid w:val="00DD07A2"/>
    <w:rsid w:val="00DD07EB"/>
    <w:rsid w:val="00DD084B"/>
    <w:rsid w:val="00DD087D"/>
    <w:rsid w:val="00DD08B7"/>
    <w:rsid w:val="00DD08F2"/>
    <w:rsid w:val="00DD095F"/>
    <w:rsid w:val="00DD09A4"/>
    <w:rsid w:val="00DD09DD"/>
    <w:rsid w:val="00DD0A61"/>
    <w:rsid w:val="00DD0ADC"/>
    <w:rsid w:val="00DD0B4A"/>
    <w:rsid w:val="00DD0BCA"/>
    <w:rsid w:val="00DD0C82"/>
    <w:rsid w:val="00DD0C94"/>
    <w:rsid w:val="00DD0CED"/>
    <w:rsid w:val="00DD0D14"/>
    <w:rsid w:val="00DD0D36"/>
    <w:rsid w:val="00DD0D43"/>
    <w:rsid w:val="00DD0DC1"/>
    <w:rsid w:val="00DD0DCC"/>
    <w:rsid w:val="00DD0DF1"/>
    <w:rsid w:val="00DD0E59"/>
    <w:rsid w:val="00DD0E5A"/>
    <w:rsid w:val="00DD0E71"/>
    <w:rsid w:val="00DD10FD"/>
    <w:rsid w:val="00DD1111"/>
    <w:rsid w:val="00DD11F1"/>
    <w:rsid w:val="00DD1296"/>
    <w:rsid w:val="00DD1303"/>
    <w:rsid w:val="00DD1363"/>
    <w:rsid w:val="00DD1365"/>
    <w:rsid w:val="00DD1443"/>
    <w:rsid w:val="00DD1531"/>
    <w:rsid w:val="00DD154D"/>
    <w:rsid w:val="00DD1595"/>
    <w:rsid w:val="00DD1599"/>
    <w:rsid w:val="00DD16BC"/>
    <w:rsid w:val="00DD172B"/>
    <w:rsid w:val="00DD18D1"/>
    <w:rsid w:val="00DD19C2"/>
    <w:rsid w:val="00DD1A35"/>
    <w:rsid w:val="00DD1AA0"/>
    <w:rsid w:val="00DD1BF0"/>
    <w:rsid w:val="00DD1BFD"/>
    <w:rsid w:val="00DD1CC1"/>
    <w:rsid w:val="00DD1D61"/>
    <w:rsid w:val="00DD1D7F"/>
    <w:rsid w:val="00DD1E03"/>
    <w:rsid w:val="00DD1E0D"/>
    <w:rsid w:val="00DD1E61"/>
    <w:rsid w:val="00DD1EE5"/>
    <w:rsid w:val="00DD1EFB"/>
    <w:rsid w:val="00DD2177"/>
    <w:rsid w:val="00DD2205"/>
    <w:rsid w:val="00DD2245"/>
    <w:rsid w:val="00DD225F"/>
    <w:rsid w:val="00DD22AA"/>
    <w:rsid w:val="00DD22FF"/>
    <w:rsid w:val="00DD233F"/>
    <w:rsid w:val="00DD2397"/>
    <w:rsid w:val="00DD2437"/>
    <w:rsid w:val="00DD2503"/>
    <w:rsid w:val="00DD2524"/>
    <w:rsid w:val="00DD25D8"/>
    <w:rsid w:val="00DD2676"/>
    <w:rsid w:val="00DD26AA"/>
    <w:rsid w:val="00DD2779"/>
    <w:rsid w:val="00DD27FE"/>
    <w:rsid w:val="00DD2826"/>
    <w:rsid w:val="00DD2848"/>
    <w:rsid w:val="00DD28FB"/>
    <w:rsid w:val="00DD2AEC"/>
    <w:rsid w:val="00DD2B21"/>
    <w:rsid w:val="00DD2D50"/>
    <w:rsid w:val="00DD2D73"/>
    <w:rsid w:val="00DD2D82"/>
    <w:rsid w:val="00DD2D98"/>
    <w:rsid w:val="00DD2E0F"/>
    <w:rsid w:val="00DD2EB2"/>
    <w:rsid w:val="00DD2EBE"/>
    <w:rsid w:val="00DD3038"/>
    <w:rsid w:val="00DD30FA"/>
    <w:rsid w:val="00DD31DB"/>
    <w:rsid w:val="00DD3223"/>
    <w:rsid w:val="00DD326E"/>
    <w:rsid w:val="00DD327D"/>
    <w:rsid w:val="00DD332B"/>
    <w:rsid w:val="00DD345C"/>
    <w:rsid w:val="00DD353C"/>
    <w:rsid w:val="00DD35CE"/>
    <w:rsid w:val="00DD3623"/>
    <w:rsid w:val="00DD362D"/>
    <w:rsid w:val="00DD37D6"/>
    <w:rsid w:val="00DD39A8"/>
    <w:rsid w:val="00DD3A88"/>
    <w:rsid w:val="00DD3C04"/>
    <w:rsid w:val="00DD3C0B"/>
    <w:rsid w:val="00DD3E80"/>
    <w:rsid w:val="00DD3F64"/>
    <w:rsid w:val="00DD4064"/>
    <w:rsid w:val="00DD40E7"/>
    <w:rsid w:val="00DD4102"/>
    <w:rsid w:val="00DD4132"/>
    <w:rsid w:val="00DD4138"/>
    <w:rsid w:val="00DD41F8"/>
    <w:rsid w:val="00DD4269"/>
    <w:rsid w:val="00DD432B"/>
    <w:rsid w:val="00DD4394"/>
    <w:rsid w:val="00DD43E8"/>
    <w:rsid w:val="00DD4414"/>
    <w:rsid w:val="00DD4461"/>
    <w:rsid w:val="00DD4597"/>
    <w:rsid w:val="00DD45DF"/>
    <w:rsid w:val="00DD472F"/>
    <w:rsid w:val="00DD4802"/>
    <w:rsid w:val="00DD4834"/>
    <w:rsid w:val="00DD48A8"/>
    <w:rsid w:val="00DD4991"/>
    <w:rsid w:val="00DD4A89"/>
    <w:rsid w:val="00DD4AFF"/>
    <w:rsid w:val="00DD4B6D"/>
    <w:rsid w:val="00DD4E1B"/>
    <w:rsid w:val="00DD501C"/>
    <w:rsid w:val="00DD507C"/>
    <w:rsid w:val="00DD514D"/>
    <w:rsid w:val="00DD5168"/>
    <w:rsid w:val="00DD51AC"/>
    <w:rsid w:val="00DD51B9"/>
    <w:rsid w:val="00DD51E1"/>
    <w:rsid w:val="00DD51F1"/>
    <w:rsid w:val="00DD520C"/>
    <w:rsid w:val="00DD5367"/>
    <w:rsid w:val="00DD546F"/>
    <w:rsid w:val="00DD5472"/>
    <w:rsid w:val="00DD54F7"/>
    <w:rsid w:val="00DD55B6"/>
    <w:rsid w:val="00DD55E9"/>
    <w:rsid w:val="00DD5668"/>
    <w:rsid w:val="00DD56AB"/>
    <w:rsid w:val="00DD5A1B"/>
    <w:rsid w:val="00DD5B0D"/>
    <w:rsid w:val="00DD5B74"/>
    <w:rsid w:val="00DD5BC2"/>
    <w:rsid w:val="00DD5E3B"/>
    <w:rsid w:val="00DD5EAA"/>
    <w:rsid w:val="00DD5EF4"/>
    <w:rsid w:val="00DD5F48"/>
    <w:rsid w:val="00DD5F95"/>
    <w:rsid w:val="00DD618B"/>
    <w:rsid w:val="00DD6243"/>
    <w:rsid w:val="00DD6282"/>
    <w:rsid w:val="00DD62DF"/>
    <w:rsid w:val="00DD634F"/>
    <w:rsid w:val="00DD6457"/>
    <w:rsid w:val="00DD657C"/>
    <w:rsid w:val="00DD65F4"/>
    <w:rsid w:val="00DD660F"/>
    <w:rsid w:val="00DD6771"/>
    <w:rsid w:val="00DD67E4"/>
    <w:rsid w:val="00DD685D"/>
    <w:rsid w:val="00DD68B6"/>
    <w:rsid w:val="00DD691E"/>
    <w:rsid w:val="00DD694A"/>
    <w:rsid w:val="00DD69A3"/>
    <w:rsid w:val="00DD69C3"/>
    <w:rsid w:val="00DD6ADE"/>
    <w:rsid w:val="00DD6B9D"/>
    <w:rsid w:val="00DD6BDC"/>
    <w:rsid w:val="00DD6D8C"/>
    <w:rsid w:val="00DD6DD9"/>
    <w:rsid w:val="00DD6E77"/>
    <w:rsid w:val="00DD6E8B"/>
    <w:rsid w:val="00DD6EF7"/>
    <w:rsid w:val="00DD715C"/>
    <w:rsid w:val="00DD71B6"/>
    <w:rsid w:val="00DD7236"/>
    <w:rsid w:val="00DD72E4"/>
    <w:rsid w:val="00DD72F6"/>
    <w:rsid w:val="00DD7301"/>
    <w:rsid w:val="00DD7348"/>
    <w:rsid w:val="00DD7468"/>
    <w:rsid w:val="00DD7689"/>
    <w:rsid w:val="00DD770E"/>
    <w:rsid w:val="00DD772B"/>
    <w:rsid w:val="00DD776E"/>
    <w:rsid w:val="00DD7885"/>
    <w:rsid w:val="00DD7A0B"/>
    <w:rsid w:val="00DD7A85"/>
    <w:rsid w:val="00DD7AF7"/>
    <w:rsid w:val="00DD7B07"/>
    <w:rsid w:val="00DD7BE9"/>
    <w:rsid w:val="00DD7CFB"/>
    <w:rsid w:val="00DD7D08"/>
    <w:rsid w:val="00DD7D50"/>
    <w:rsid w:val="00DD7E66"/>
    <w:rsid w:val="00DD7FDE"/>
    <w:rsid w:val="00DE0060"/>
    <w:rsid w:val="00DE00E0"/>
    <w:rsid w:val="00DE010A"/>
    <w:rsid w:val="00DE014C"/>
    <w:rsid w:val="00DE0194"/>
    <w:rsid w:val="00DE02BC"/>
    <w:rsid w:val="00DE0383"/>
    <w:rsid w:val="00DE03BB"/>
    <w:rsid w:val="00DE03F1"/>
    <w:rsid w:val="00DE04E3"/>
    <w:rsid w:val="00DE05D9"/>
    <w:rsid w:val="00DE05E9"/>
    <w:rsid w:val="00DE068C"/>
    <w:rsid w:val="00DE069E"/>
    <w:rsid w:val="00DE0719"/>
    <w:rsid w:val="00DE07BF"/>
    <w:rsid w:val="00DE09DD"/>
    <w:rsid w:val="00DE09F8"/>
    <w:rsid w:val="00DE0A9E"/>
    <w:rsid w:val="00DE0BA6"/>
    <w:rsid w:val="00DE0BEF"/>
    <w:rsid w:val="00DE0CD3"/>
    <w:rsid w:val="00DE0DE2"/>
    <w:rsid w:val="00DE0E91"/>
    <w:rsid w:val="00DE0E98"/>
    <w:rsid w:val="00DE1020"/>
    <w:rsid w:val="00DE1026"/>
    <w:rsid w:val="00DE10DC"/>
    <w:rsid w:val="00DE113A"/>
    <w:rsid w:val="00DE1196"/>
    <w:rsid w:val="00DE11AB"/>
    <w:rsid w:val="00DE123E"/>
    <w:rsid w:val="00DE1245"/>
    <w:rsid w:val="00DE12ED"/>
    <w:rsid w:val="00DE1334"/>
    <w:rsid w:val="00DE1389"/>
    <w:rsid w:val="00DE146E"/>
    <w:rsid w:val="00DE14F5"/>
    <w:rsid w:val="00DE166A"/>
    <w:rsid w:val="00DE1754"/>
    <w:rsid w:val="00DE1777"/>
    <w:rsid w:val="00DE17A7"/>
    <w:rsid w:val="00DE1870"/>
    <w:rsid w:val="00DE18BC"/>
    <w:rsid w:val="00DE19AC"/>
    <w:rsid w:val="00DE1A63"/>
    <w:rsid w:val="00DE1B2A"/>
    <w:rsid w:val="00DE1B54"/>
    <w:rsid w:val="00DE1B6E"/>
    <w:rsid w:val="00DE1C56"/>
    <w:rsid w:val="00DE1EEB"/>
    <w:rsid w:val="00DE1F94"/>
    <w:rsid w:val="00DE20AB"/>
    <w:rsid w:val="00DE20FE"/>
    <w:rsid w:val="00DE2162"/>
    <w:rsid w:val="00DE21BB"/>
    <w:rsid w:val="00DE2251"/>
    <w:rsid w:val="00DE23E1"/>
    <w:rsid w:val="00DE243F"/>
    <w:rsid w:val="00DE248A"/>
    <w:rsid w:val="00DE24CA"/>
    <w:rsid w:val="00DE269C"/>
    <w:rsid w:val="00DE27CE"/>
    <w:rsid w:val="00DE2891"/>
    <w:rsid w:val="00DE2899"/>
    <w:rsid w:val="00DE28AF"/>
    <w:rsid w:val="00DE2A57"/>
    <w:rsid w:val="00DE2AE7"/>
    <w:rsid w:val="00DE2B38"/>
    <w:rsid w:val="00DE2BFF"/>
    <w:rsid w:val="00DE2C7E"/>
    <w:rsid w:val="00DE2CA0"/>
    <w:rsid w:val="00DE2D17"/>
    <w:rsid w:val="00DE2DBD"/>
    <w:rsid w:val="00DE2DF8"/>
    <w:rsid w:val="00DE2E07"/>
    <w:rsid w:val="00DE2EBD"/>
    <w:rsid w:val="00DE2F95"/>
    <w:rsid w:val="00DE301B"/>
    <w:rsid w:val="00DE311C"/>
    <w:rsid w:val="00DE3244"/>
    <w:rsid w:val="00DE3328"/>
    <w:rsid w:val="00DE3345"/>
    <w:rsid w:val="00DE336E"/>
    <w:rsid w:val="00DE33A3"/>
    <w:rsid w:val="00DE33DB"/>
    <w:rsid w:val="00DE35B5"/>
    <w:rsid w:val="00DE3602"/>
    <w:rsid w:val="00DE3634"/>
    <w:rsid w:val="00DE367B"/>
    <w:rsid w:val="00DE3725"/>
    <w:rsid w:val="00DE37C3"/>
    <w:rsid w:val="00DE389B"/>
    <w:rsid w:val="00DE3928"/>
    <w:rsid w:val="00DE397C"/>
    <w:rsid w:val="00DE3A8A"/>
    <w:rsid w:val="00DE3AF6"/>
    <w:rsid w:val="00DE3C0F"/>
    <w:rsid w:val="00DE3C37"/>
    <w:rsid w:val="00DE3C8D"/>
    <w:rsid w:val="00DE3DB3"/>
    <w:rsid w:val="00DE3E0A"/>
    <w:rsid w:val="00DE3E34"/>
    <w:rsid w:val="00DE3EF7"/>
    <w:rsid w:val="00DE3F07"/>
    <w:rsid w:val="00DE3F0A"/>
    <w:rsid w:val="00DE4043"/>
    <w:rsid w:val="00DE4263"/>
    <w:rsid w:val="00DE437F"/>
    <w:rsid w:val="00DE439D"/>
    <w:rsid w:val="00DE4482"/>
    <w:rsid w:val="00DE4696"/>
    <w:rsid w:val="00DE4790"/>
    <w:rsid w:val="00DE47D9"/>
    <w:rsid w:val="00DE47F1"/>
    <w:rsid w:val="00DE480B"/>
    <w:rsid w:val="00DE4847"/>
    <w:rsid w:val="00DE48BB"/>
    <w:rsid w:val="00DE4970"/>
    <w:rsid w:val="00DE49AC"/>
    <w:rsid w:val="00DE4A4E"/>
    <w:rsid w:val="00DE4B8E"/>
    <w:rsid w:val="00DE4BEC"/>
    <w:rsid w:val="00DE4C01"/>
    <w:rsid w:val="00DE4CDD"/>
    <w:rsid w:val="00DE4DC4"/>
    <w:rsid w:val="00DE4DE7"/>
    <w:rsid w:val="00DE4F7A"/>
    <w:rsid w:val="00DE5032"/>
    <w:rsid w:val="00DE50C1"/>
    <w:rsid w:val="00DE50C5"/>
    <w:rsid w:val="00DE51C7"/>
    <w:rsid w:val="00DE5368"/>
    <w:rsid w:val="00DE53B7"/>
    <w:rsid w:val="00DE5413"/>
    <w:rsid w:val="00DE545B"/>
    <w:rsid w:val="00DE54E3"/>
    <w:rsid w:val="00DE550E"/>
    <w:rsid w:val="00DE5535"/>
    <w:rsid w:val="00DE5647"/>
    <w:rsid w:val="00DE56FE"/>
    <w:rsid w:val="00DE5736"/>
    <w:rsid w:val="00DE57F7"/>
    <w:rsid w:val="00DE5890"/>
    <w:rsid w:val="00DE5920"/>
    <w:rsid w:val="00DE592E"/>
    <w:rsid w:val="00DE59EE"/>
    <w:rsid w:val="00DE5A34"/>
    <w:rsid w:val="00DE5A93"/>
    <w:rsid w:val="00DE5AFB"/>
    <w:rsid w:val="00DE5B2B"/>
    <w:rsid w:val="00DE5C34"/>
    <w:rsid w:val="00DE5CFD"/>
    <w:rsid w:val="00DE5D18"/>
    <w:rsid w:val="00DE5D95"/>
    <w:rsid w:val="00DE5EE1"/>
    <w:rsid w:val="00DE5EEF"/>
    <w:rsid w:val="00DE6009"/>
    <w:rsid w:val="00DE607B"/>
    <w:rsid w:val="00DE608B"/>
    <w:rsid w:val="00DE60FE"/>
    <w:rsid w:val="00DE6230"/>
    <w:rsid w:val="00DE62C3"/>
    <w:rsid w:val="00DE631B"/>
    <w:rsid w:val="00DE6390"/>
    <w:rsid w:val="00DE64FC"/>
    <w:rsid w:val="00DE65C3"/>
    <w:rsid w:val="00DE6718"/>
    <w:rsid w:val="00DE67AD"/>
    <w:rsid w:val="00DE67BF"/>
    <w:rsid w:val="00DE67DF"/>
    <w:rsid w:val="00DE68AC"/>
    <w:rsid w:val="00DE68C7"/>
    <w:rsid w:val="00DE6955"/>
    <w:rsid w:val="00DE6AB1"/>
    <w:rsid w:val="00DE6C1F"/>
    <w:rsid w:val="00DE6C38"/>
    <w:rsid w:val="00DE6C3A"/>
    <w:rsid w:val="00DE6C54"/>
    <w:rsid w:val="00DE6CDA"/>
    <w:rsid w:val="00DE6D0E"/>
    <w:rsid w:val="00DE6D47"/>
    <w:rsid w:val="00DE6D79"/>
    <w:rsid w:val="00DE6E41"/>
    <w:rsid w:val="00DE6EC9"/>
    <w:rsid w:val="00DE6F30"/>
    <w:rsid w:val="00DE6F72"/>
    <w:rsid w:val="00DE6FBA"/>
    <w:rsid w:val="00DE6FC9"/>
    <w:rsid w:val="00DE70B0"/>
    <w:rsid w:val="00DE70F8"/>
    <w:rsid w:val="00DE7142"/>
    <w:rsid w:val="00DE735F"/>
    <w:rsid w:val="00DE74AE"/>
    <w:rsid w:val="00DE7505"/>
    <w:rsid w:val="00DE754F"/>
    <w:rsid w:val="00DE75EC"/>
    <w:rsid w:val="00DE7612"/>
    <w:rsid w:val="00DE761D"/>
    <w:rsid w:val="00DE7644"/>
    <w:rsid w:val="00DE7704"/>
    <w:rsid w:val="00DE776C"/>
    <w:rsid w:val="00DE78DA"/>
    <w:rsid w:val="00DE78F8"/>
    <w:rsid w:val="00DE7950"/>
    <w:rsid w:val="00DE7977"/>
    <w:rsid w:val="00DE7B20"/>
    <w:rsid w:val="00DE7B3B"/>
    <w:rsid w:val="00DE7B40"/>
    <w:rsid w:val="00DE7C84"/>
    <w:rsid w:val="00DE7D0D"/>
    <w:rsid w:val="00DE7DED"/>
    <w:rsid w:val="00DE7E19"/>
    <w:rsid w:val="00DE7EB4"/>
    <w:rsid w:val="00DE7F14"/>
    <w:rsid w:val="00DF002F"/>
    <w:rsid w:val="00DF0062"/>
    <w:rsid w:val="00DF01DB"/>
    <w:rsid w:val="00DF02D1"/>
    <w:rsid w:val="00DF036E"/>
    <w:rsid w:val="00DF03FA"/>
    <w:rsid w:val="00DF051F"/>
    <w:rsid w:val="00DF0594"/>
    <w:rsid w:val="00DF05BB"/>
    <w:rsid w:val="00DF05D6"/>
    <w:rsid w:val="00DF0651"/>
    <w:rsid w:val="00DF069D"/>
    <w:rsid w:val="00DF06E9"/>
    <w:rsid w:val="00DF074F"/>
    <w:rsid w:val="00DF07B0"/>
    <w:rsid w:val="00DF0888"/>
    <w:rsid w:val="00DF0895"/>
    <w:rsid w:val="00DF09AA"/>
    <w:rsid w:val="00DF09C5"/>
    <w:rsid w:val="00DF09F8"/>
    <w:rsid w:val="00DF09FB"/>
    <w:rsid w:val="00DF09FC"/>
    <w:rsid w:val="00DF0A78"/>
    <w:rsid w:val="00DF0A97"/>
    <w:rsid w:val="00DF0D00"/>
    <w:rsid w:val="00DF0D4B"/>
    <w:rsid w:val="00DF0E8E"/>
    <w:rsid w:val="00DF0F4B"/>
    <w:rsid w:val="00DF1000"/>
    <w:rsid w:val="00DF109C"/>
    <w:rsid w:val="00DF10DB"/>
    <w:rsid w:val="00DF1283"/>
    <w:rsid w:val="00DF128B"/>
    <w:rsid w:val="00DF1371"/>
    <w:rsid w:val="00DF140B"/>
    <w:rsid w:val="00DF1451"/>
    <w:rsid w:val="00DF1564"/>
    <w:rsid w:val="00DF171A"/>
    <w:rsid w:val="00DF1721"/>
    <w:rsid w:val="00DF1829"/>
    <w:rsid w:val="00DF1835"/>
    <w:rsid w:val="00DF18B7"/>
    <w:rsid w:val="00DF191C"/>
    <w:rsid w:val="00DF1973"/>
    <w:rsid w:val="00DF19BA"/>
    <w:rsid w:val="00DF1BAE"/>
    <w:rsid w:val="00DF1CD8"/>
    <w:rsid w:val="00DF1D23"/>
    <w:rsid w:val="00DF1EBD"/>
    <w:rsid w:val="00DF1EBF"/>
    <w:rsid w:val="00DF1F16"/>
    <w:rsid w:val="00DF1FA0"/>
    <w:rsid w:val="00DF20FF"/>
    <w:rsid w:val="00DF2249"/>
    <w:rsid w:val="00DF224D"/>
    <w:rsid w:val="00DF2364"/>
    <w:rsid w:val="00DF238A"/>
    <w:rsid w:val="00DF23B7"/>
    <w:rsid w:val="00DF23C2"/>
    <w:rsid w:val="00DF259E"/>
    <w:rsid w:val="00DF2633"/>
    <w:rsid w:val="00DF266E"/>
    <w:rsid w:val="00DF2775"/>
    <w:rsid w:val="00DF27BA"/>
    <w:rsid w:val="00DF27E4"/>
    <w:rsid w:val="00DF2800"/>
    <w:rsid w:val="00DF28FC"/>
    <w:rsid w:val="00DF28FD"/>
    <w:rsid w:val="00DF2934"/>
    <w:rsid w:val="00DF295C"/>
    <w:rsid w:val="00DF2A06"/>
    <w:rsid w:val="00DF2A9D"/>
    <w:rsid w:val="00DF2ABA"/>
    <w:rsid w:val="00DF2B2D"/>
    <w:rsid w:val="00DF2B57"/>
    <w:rsid w:val="00DF2BCB"/>
    <w:rsid w:val="00DF2BDC"/>
    <w:rsid w:val="00DF2D6B"/>
    <w:rsid w:val="00DF2F20"/>
    <w:rsid w:val="00DF2F4B"/>
    <w:rsid w:val="00DF2FF3"/>
    <w:rsid w:val="00DF3043"/>
    <w:rsid w:val="00DF3066"/>
    <w:rsid w:val="00DF3181"/>
    <w:rsid w:val="00DF32E2"/>
    <w:rsid w:val="00DF32E8"/>
    <w:rsid w:val="00DF32F7"/>
    <w:rsid w:val="00DF3384"/>
    <w:rsid w:val="00DF351D"/>
    <w:rsid w:val="00DF3676"/>
    <w:rsid w:val="00DF37BF"/>
    <w:rsid w:val="00DF37F3"/>
    <w:rsid w:val="00DF38EA"/>
    <w:rsid w:val="00DF38F6"/>
    <w:rsid w:val="00DF3944"/>
    <w:rsid w:val="00DF39A6"/>
    <w:rsid w:val="00DF3AFB"/>
    <w:rsid w:val="00DF3BD2"/>
    <w:rsid w:val="00DF3BE6"/>
    <w:rsid w:val="00DF3D29"/>
    <w:rsid w:val="00DF3D2F"/>
    <w:rsid w:val="00DF3DB4"/>
    <w:rsid w:val="00DF3DBC"/>
    <w:rsid w:val="00DF3E14"/>
    <w:rsid w:val="00DF3E65"/>
    <w:rsid w:val="00DF3FA6"/>
    <w:rsid w:val="00DF4005"/>
    <w:rsid w:val="00DF4210"/>
    <w:rsid w:val="00DF4253"/>
    <w:rsid w:val="00DF426D"/>
    <w:rsid w:val="00DF42CF"/>
    <w:rsid w:val="00DF43A1"/>
    <w:rsid w:val="00DF459E"/>
    <w:rsid w:val="00DF4614"/>
    <w:rsid w:val="00DF461B"/>
    <w:rsid w:val="00DF461D"/>
    <w:rsid w:val="00DF46D0"/>
    <w:rsid w:val="00DF46D7"/>
    <w:rsid w:val="00DF483F"/>
    <w:rsid w:val="00DF4883"/>
    <w:rsid w:val="00DF4A68"/>
    <w:rsid w:val="00DF4AC6"/>
    <w:rsid w:val="00DF4AD4"/>
    <w:rsid w:val="00DF4B4D"/>
    <w:rsid w:val="00DF4B62"/>
    <w:rsid w:val="00DF4B69"/>
    <w:rsid w:val="00DF4B91"/>
    <w:rsid w:val="00DF4C22"/>
    <w:rsid w:val="00DF4C71"/>
    <w:rsid w:val="00DF4DC0"/>
    <w:rsid w:val="00DF4DED"/>
    <w:rsid w:val="00DF4EEA"/>
    <w:rsid w:val="00DF4F72"/>
    <w:rsid w:val="00DF5106"/>
    <w:rsid w:val="00DF5154"/>
    <w:rsid w:val="00DF5198"/>
    <w:rsid w:val="00DF51B4"/>
    <w:rsid w:val="00DF51C6"/>
    <w:rsid w:val="00DF51CB"/>
    <w:rsid w:val="00DF5278"/>
    <w:rsid w:val="00DF52DA"/>
    <w:rsid w:val="00DF530C"/>
    <w:rsid w:val="00DF533C"/>
    <w:rsid w:val="00DF5366"/>
    <w:rsid w:val="00DF53D6"/>
    <w:rsid w:val="00DF5448"/>
    <w:rsid w:val="00DF5520"/>
    <w:rsid w:val="00DF5541"/>
    <w:rsid w:val="00DF55DF"/>
    <w:rsid w:val="00DF55F0"/>
    <w:rsid w:val="00DF5686"/>
    <w:rsid w:val="00DF56E7"/>
    <w:rsid w:val="00DF5763"/>
    <w:rsid w:val="00DF577F"/>
    <w:rsid w:val="00DF580F"/>
    <w:rsid w:val="00DF5818"/>
    <w:rsid w:val="00DF58D5"/>
    <w:rsid w:val="00DF5923"/>
    <w:rsid w:val="00DF59E7"/>
    <w:rsid w:val="00DF59ED"/>
    <w:rsid w:val="00DF5A0B"/>
    <w:rsid w:val="00DF5A9B"/>
    <w:rsid w:val="00DF5B01"/>
    <w:rsid w:val="00DF5B4A"/>
    <w:rsid w:val="00DF5B5D"/>
    <w:rsid w:val="00DF5B79"/>
    <w:rsid w:val="00DF5BA8"/>
    <w:rsid w:val="00DF5C2E"/>
    <w:rsid w:val="00DF5C6F"/>
    <w:rsid w:val="00DF5C91"/>
    <w:rsid w:val="00DF5CDD"/>
    <w:rsid w:val="00DF5EA1"/>
    <w:rsid w:val="00DF5EA3"/>
    <w:rsid w:val="00DF5F1D"/>
    <w:rsid w:val="00DF5F20"/>
    <w:rsid w:val="00DF615B"/>
    <w:rsid w:val="00DF61B9"/>
    <w:rsid w:val="00DF621C"/>
    <w:rsid w:val="00DF6247"/>
    <w:rsid w:val="00DF6339"/>
    <w:rsid w:val="00DF63B3"/>
    <w:rsid w:val="00DF6485"/>
    <w:rsid w:val="00DF654D"/>
    <w:rsid w:val="00DF655D"/>
    <w:rsid w:val="00DF6678"/>
    <w:rsid w:val="00DF6686"/>
    <w:rsid w:val="00DF67D3"/>
    <w:rsid w:val="00DF684F"/>
    <w:rsid w:val="00DF6860"/>
    <w:rsid w:val="00DF68BF"/>
    <w:rsid w:val="00DF6918"/>
    <w:rsid w:val="00DF696E"/>
    <w:rsid w:val="00DF6A9D"/>
    <w:rsid w:val="00DF6B07"/>
    <w:rsid w:val="00DF6BB2"/>
    <w:rsid w:val="00DF6C85"/>
    <w:rsid w:val="00DF6CB3"/>
    <w:rsid w:val="00DF6D9A"/>
    <w:rsid w:val="00DF6DA6"/>
    <w:rsid w:val="00DF6DE9"/>
    <w:rsid w:val="00DF6E43"/>
    <w:rsid w:val="00DF6EC9"/>
    <w:rsid w:val="00DF6FA6"/>
    <w:rsid w:val="00DF6FD9"/>
    <w:rsid w:val="00DF6FFF"/>
    <w:rsid w:val="00DF7003"/>
    <w:rsid w:val="00DF7096"/>
    <w:rsid w:val="00DF720C"/>
    <w:rsid w:val="00DF7280"/>
    <w:rsid w:val="00DF7360"/>
    <w:rsid w:val="00DF740C"/>
    <w:rsid w:val="00DF74AE"/>
    <w:rsid w:val="00DF750B"/>
    <w:rsid w:val="00DF75F7"/>
    <w:rsid w:val="00DF7620"/>
    <w:rsid w:val="00DF769F"/>
    <w:rsid w:val="00DF76FD"/>
    <w:rsid w:val="00DF7809"/>
    <w:rsid w:val="00DF7819"/>
    <w:rsid w:val="00DF7AFB"/>
    <w:rsid w:val="00DF7B46"/>
    <w:rsid w:val="00DF7CA0"/>
    <w:rsid w:val="00DF7D1F"/>
    <w:rsid w:val="00DF7DCB"/>
    <w:rsid w:val="00DF7DD6"/>
    <w:rsid w:val="00DF7E5C"/>
    <w:rsid w:val="00DF7E7F"/>
    <w:rsid w:val="00DF7FF2"/>
    <w:rsid w:val="00DF7FF3"/>
    <w:rsid w:val="00E00052"/>
    <w:rsid w:val="00E000A1"/>
    <w:rsid w:val="00E000C6"/>
    <w:rsid w:val="00E000D0"/>
    <w:rsid w:val="00E000F7"/>
    <w:rsid w:val="00E0011D"/>
    <w:rsid w:val="00E001AD"/>
    <w:rsid w:val="00E001BF"/>
    <w:rsid w:val="00E00280"/>
    <w:rsid w:val="00E002A9"/>
    <w:rsid w:val="00E0031D"/>
    <w:rsid w:val="00E00421"/>
    <w:rsid w:val="00E0042F"/>
    <w:rsid w:val="00E0045B"/>
    <w:rsid w:val="00E005DD"/>
    <w:rsid w:val="00E00666"/>
    <w:rsid w:val="00E007C4"/>
    <w:rsid w:val="00E007E6"/>
    <w:rsid w:val="00E0080A"/>
    <w:rsid w:val="00E009D3"/>
    <w:rsid w:val="00E00A05"/>
    <w:rsid w:val="00E00A8B"/>
    <w:rsid w:val="00E00AB2"/>
    <w:rsid w:val="00E00B52"/>
    <w:rsid w:val="00E00BB0"/>
    <w:rsid w:val="00E00CDD"/>
    <w:rsid w:val="00E00E62"/>
    <w:rsid w:val="00E00E91"/>
    <w:rsid w:val="00E00EB3"/>
    <w:rsid w:val="00E01025"/>
    <w:rsid w:val="00E011B6"/>
    <w:rsid w:val="00E01305"/>
    <w:rsid w:val="00E013E8"/>
    <w:rsid w:val="00E013F3"/>
    <w:rsid w:val="00E01457"/>
    <w:rsid w:val="00E014B6"/>
    <w:rsid w:val="00E014FA"/>
    <w:rsid w:val="00E01641"/>
    <w:rsid w:val="00E01670"/>
    <w:rsid w:val="00E016DC"/>
    <w:rsid w:val="00E0171D"/>
    <w:rsid w:val="00E017B1"/>
    <w:rsid w:val="00E017D1"/>
    <w:rsid w:val="00E018B3"/>
    <w:rsid w:val="00E0192B"/>
    <w:rsid w:val="00E01AFE"/>
    <w:rsid w:val="00E01B06"/>
    <w:rsid w:val="00E01C4A"/>
    <w:rsid w:val="00E01D1F"/>
    <w:rsid w:val="00E01D4B"/>
    <w:rsid w:val="00E01D88"/>
    <w:rsid w:val="00E01DA7"/>
    <w:rsid w:val="00E01DFD"/>
    <w:rsid w:val="00E01E15"/>
    <w:rsid w:val="00E01F6E"/>
    <w:rsid w:val="00E01F70"/>
    <w:rsid w:val="00E01FBD"/>
    <w:rsid w:val="00E02052"/>
    <w:rsid w:val="00E02089"/>
    <w:rsid w:val="00E020C7"/>
    <w:rsid w:val="00E020CE"/>
    <w:rsid w:val="00E02102"/>
    <w:rsid w:val="00E02165"/>
    <w:rsid w:val="00E02226"/>
    <w:rsid w:val="00E02288"/>
    <w:rsid w:val="00E022C4"/>
    <w:rsid w:val="00E02302"/>
    <w:rsid w:val="00E02355"/>
    <w:rsid w:val="00E0244F"/>
    <w:rsid w:val="00E02466"/>
    <w:rsid w:val="00E02614"/>
    <w:rsid w:val="00E02635"/>
    <w:rsid w:val="00E02648"/>
    <w:rsid w:val="00E0275D"/>
    <w:rsid w:val="00E027A9"/>
    <w:rsid w:val="00E028D5"/>
    <w:rsid w:val="00E02904"/>
    <w:rsid w:val="00E02990"/>
    <w:rsid w:val="00E029D3"/>
    <w:rsid w:val="00E029EC"/>
    <w:rsid w:val="00E02A7F"/>
    <w:rsid w:val="00E02B79"/>
    <w:rsid w:val="00E02BE9"/>
    <w:rsid w:val="00E02C4A"/>
    <w:rsid w:val="00E02CFF"/>
    <w:rsid w:val="00E02D1F"/>
    <w:rsid w:val="00E02EAC"/>
    <w:rsid w:val="00E02F6A"/>
    <w:rsid w:val="00E02FF4"/>
    <w:rsid w:val="00E0302B"/>
    <w:rsid w:val="00E030D8"/>
    <w:rsid w:val="00E030DA"/>
    <w:rsid w:val="00E03139"/>
    <w:rsid w:val="00E03207"/>
    <w:rsid w:val="00E03279"/>
    <w:rsid w:val="00E03361"/>
    <w:rsid w:val="00E0344F"/>
    <w:rsid w:val="00E03463"/>
    <w:rsid w:val="00E0363B"/>
    <w:rsid w:val="00E0381B"/>
    <w:rsid w:val="00E039BE"/>
    <w:rsid w:val="00E039F7"/>
    <w:rsid w:val="00E03A91"/>
    <w:rsid w:val="00E03B25"/>
    <w:rsid w:val="00E03D28"/>
    <w:rsid w:val="00E03DF4"/>
    <w:rsid w:val="00E03F6B"/>
    <w:rsid w:val="00E03F8F"/>
    <w:rsid w:val="00E041D0"/>
    <w:rsid w:val="00E041DE"/>
    <w:rsid w:val="00E042A6"/>
    <w:rsid w:val="00E042C1"/>
    <w:rsid w:val="00E042CD"/>
    <w:rsid w:val="00E04319"/>
    <w:rsid w:val="00E04357"/>
    <w:rsid w:val="00E04471"/>
    <w:rsid w:val="00E046A4"/>
    <w:rsid w:val="00E048A0"/>
    <w:rsid w:val="00E048E8"/>
    <w:rsid w:val="00E048F9"/>
    <w:rsid w:val="00E0497B"/>
    <w:rsid w:val="00E049A7"/>
    <w:rsid w:val="00E04A86"/>
    <w:rsid w:val="00E04AAA"/>
    <w:rsid w:val="00E04BA9"/>
    <w:rsid w:val="00E04C06"/>
    <w:rsid w:val="00E04C34"/>
    <w:rsid w:val="00E04E28"/>
    <w:rsid w:val="00E04F4D"/>
    <w:rsid w:val="00E04F89"/>
    <w:rsid w:val="00E05041"/>
    <w:rsid w:val="00E0517E"/>
    <w:rsid w:val="00E05292"/>
    <w:rsid w:val="00E05309"/>
    <w:rsid w:val="00E05380"/>
    <w:rsid w:val="00E05420"/>
    <w:rsid w:val="00E0543B"/>
    <w:rsid w:val="00E054A6"/>
    <w:rsid w:val="00E054AA"/>
    <w:rsid w:val="00E054B5"/>
    <w:rsid w:val="00E05690"/>
    <w:rsid w:val="00E05702"/>
    <w:rsid w:val="00E057FE"/>
    <w:rsid w:val="00E05838"/>
    <w:rsid w:val="00E0594B"/>
    <w:rsid w:val="00E059DB"/>
    <w:rsid w:val="00E05AF7"/>
    <w:rsid w:val="00E05B3C"/>
    <w:rsid w:val="00E05B55"/>
    <w:rsid w:val="00E05CB9"/>
    <w:rsid w:val="00E05D2F"/>
    <w:rsid w:val="00E05E13"/>
    <w:rsid w:val="00E05F7D"/>
    <w:rsid w:val="00E06021"/>
    <w:rsid w:val="00E06065"/>
    <w:rsid w:val="00E06069"/>
    <w:rsid w:val="00E060D1"/>
    <w:rsid w:val="00E06218"/>
    <w:rsid w:val="00E06230"/>
    <w:rsid w:val="00E062CE"/>
    <w:rsid w:val="00E0645B"/>
    <w:rsid w:val="00E06477"/>
    <w:rsid w:val="00E065F8"/>
    <w:rsid w:val="00E066D7"/>
    <w:rsid w:val="00E066F2"/>
    <w:rsid w:val="00E06778"/>
    <w:rsid w:val="00E067D7"/>
    <w:rsid w:val="00E0687B"/>
    <w:rsid w:val="00E068C2"/>
    <w:rsid w:val="00E06A83"/>
    <w:rsid w:val="00E06BA9"/>
    <w:rsid w:val="00E06C01"/>
    <w:rsid w:val="00E06E0B"/>
    <w:rsid w:val="00E06F2E"/>
    <w:rsid w:val="00E07173"/>
    <w:rsid w:val="00E07217"/>
    <w:rsid w:val="00E07290"/>
    <w:rsid w:val="00E072E2"/>
    <w:rsid w:val="00E073A4"/>
    <w:rsid w:val="00E07464"/>
    <w:rsid w:val="00E07676"/>
    <w:rsid w:val="00E07805"/>
    <w:rsid w:val="00E07A0C"/>
    <w:rsid w:val="00E07AAE"/>
    <w:rsid w:val="00E07B23"/>
    <w:rsid w:val="00E07B99"/>
    <w:rsid w:val="00E07D19"/>
    <w:rsid w:val="00E07D31"/>
    <w:rsid w:val="00E07D7F"/>
    <w:rsid w:val="00E07D87"/>
    <w:rsid w:val="00E07E10"/>
    <w:rsid w:val="00E07FA2"/>
    <w:rsid w:val="00E10035"/>
    <w:rsid w:val="00E10134"/>
    <w:rsid w:val="00E1028C"/>
    <w:rsid w:val="00E102B2"/>
    <w:rsid w:val="00E10375"/>
    <w:rsid w:val="00E10492"/>
    <w:rsid w:val="00E104AB"/>
    <w:rsid w:val="00E10539"/>
    <w:rsid w:val="00E1056B"/>
    <w:rsid w:val="00E105F4"/>
    <w:rsid w:val="00E10649"/>
    <w:rsid w:val="00E1072E"/>
    <w:rsid w:val="00E107E9"/>
    <w:rsid w:val="00E10924"/>
    <w:rsid w:val="00E10943"/>
    <w:rsid w:val="00E10BD9"/>
    <w:rsid w:val="00E10C1A"/>
    <w:rsid w:val="00E10CBA"/>
    <w:rsid w:val="00E10E42"/>
    <w:rsid w:val="00E10E5B"/>
    <w:rsid w:val="00E10E76"/>
    <w:rsid w:val="00E1110D"/>
    <w:rsid w:val="00E1115C"/>
    <w:rsid w:val="00E1120F"/>
    <w:rsid w:val="00E112E4"/>
    <w:rsid w:val="00E113B6"/>
    <w:rsid w:val="00E113B9"/>
    <w:rsid w:val="00E1158B"/>
    <w:rsid w:val="00E11732"/>
    <w:rsid w:val="00E117B2"/>
    <w:rsid w:val="00E117E6"/>
    <w:rsid w:val="00E11865"/>
    <w:rsid w:val="00E1189E"/>
    <w:rsid w:val="00E118F6"/>
    <w:rsid w:val="00E11961"/>
    <w:rsid w:val="00E11997"/>
    <w:rsid w:val="00E119B2"/>
    <w:rsid w:val="00E11A5C"/>
    <w:rsid w:val="00E11A95"/>
    <w:rsid w:val="00E11B90"/>
    <w:rsid w:val="00E11BB0"/>
    <w:rsid w:val="00E11D1F"/>
    <w:rsid w:val="00E11D27"/>
    <w:rsid w:val="00E11D31"/>
    <w:rsid w:val="00E11E14"/>
    <w:rsid w:val="00E11E1D"/>
    <w:rsid w:val="00E11E53"/>
    <w:rsid w:val="00E11FF0"/>
    <w:rsid w:val="00E12012"/>
    <w:rsid w:val="00E12110"/>
    <w:rsid w:val="00E12127"/>
    <w:rsid w:val="00E121B8"/>
    <w:rsid w:val="00E1221E"/>
    <w:rsid w:val="00E1226E"/>
    <w:rsid w:val="00E12362"/>
    <w:rsid w:val="00E1236C"/>
    <w:rsid w:val="00E123C0"/>
    <w:rsid w:val="00E12422"/>
    <w:rsid w:val="00E12475"/>
    <w:rsid w:val="00E124CC"/>
    <w:rsid w:val="00E124FD"/>
    <w:rsid w:val="00E1253B"/>
    <w:rsid w:val="00E1255B"/>
    <w:rsid w:val="00E12583"/>
    <w:rsid w:val="00E125DE"/>
    <w:rsid w:val="00E12647"/>
    <w:rsid w:val="00E12690"/>
    <w:rsid w:val="00E12737"/>
    <w:rsid w:val="00E12761"/>
    <w:rsid w:val="00E1281D"/>
    <w:rsid w:val="00E128F4"/>
    <w:rsid w:val="00E129BE"/>
    <w:rsid w:val="00E12ABE"/>
    <w:rsid w:val="00E12AEF"/>
    <w:rsid w:val="00E12B09"/>
    <w:rsid w:val="00E12B9E"/>
    <w:rsid w:val="00E12BC9"/>
    <w:rsid w:val="00E12C3D"/>
    <w:rsid w:val="00E12CCD"/>
    <w:rsid w:val="00E12D52"/>
    <w:rsid w:val="00E12E84"/>
    <w:rsid w:val="00E12EF6"/>
    <w:rsid w:val="00E13004"/>
    <w:rsid w:val="00E1305E"/>
    <w:rsid w:val="00E130CF"/>
    <w:rsid w:val="00E130D9"/>
    <w:rsid w:val="00E1312B"/>
    <w:rsid w:val="00E13145"/>
    <w:rsid w:val="00E13237"/>
    <w:rsid w:val="00E132A9"/>
    <w:rsid w:val="00E133F2"/>
    <w:rsid w:val="00E13414"/>
    <w:rsid w:val="00E13435"/>
    <w:rsid w:val="00E13441"/>
    <w:rsid w:val="00E13458"/>
    <w:rsid w:val="00E13790"/>
    <w:rsid w:val="00E138EB"/>
    <w:rsid w:val="00E13996"/>
    <w:rsid w:val="00E1399E"/>
    <w:rsid w:val="00E13A40"/>
    <w:rsid w:val="00E13AF3"/>
    <w:rsid w:val="00E13AF7"/>
    <w:rsid w:val="00E13B5C"/>
    <w:rsid w:val="00E13BC3"/>
    <w:rsid w:val="00E13C55"/>
    <w:rsid w:val="00E13D82"/>
    <w:rsid w:val="00E13F48"/>
    <w:rsid w:val="00E13FD2"/>
    <w:rsid w:val="00E13FE6"/>
    <w:rsid w:val="00E1407B"/>
    <w:rsid w:val="00E14132"/>
    <w:rsid w:val="00E1413B"/>
    <w:rsid w:val="00E141C8"/>
    <w:rsid w:val="00E142BC"/>
    <w:rsid w:val="00E14355"/>
    <w:rsid w:val="00E14362"/>
    <w:rsid w:val="00E14381"/>
    <w:rsid w:val="00E14426"/>
    <w:rsid w:val="00E144F2"/>
    <w:rsid w:val="00E1453B"/>
    <w:rsid w:val="00E14562"/>
    <w:rsid w:val="00E14568"/>
    <w:rsid w:val="00E1457F"/>
    <w:rsid w:val="00E145F8"/>
    <w:rsid w:val="00E1466A"/>
    <w:rsid w:val="00E1477C"/>
    <w:rsid w:val="00E147B7"/>
    <w:rsid w:val="00E147FF"/>
    <w:rsid w:val="00E148C9"/>
    <w:rsid w:val="00E148D7"/>
    <w:rsid w:val="00E148E9"/>
    <w:rsid w:val="00E1494A"/>
    <w:rsid w:val="00E14A92"/>
    <w:rsid w:val="00E14BF8"/>
    <w:rsid w:val="00E14D17"/>
    <w:rsid w:val="00E14E87"/>
    <w:rsid w:val="00E14FD7"/>
    <w:rsid w:val="00E14FFE"/>
    <w:rsid w:val="00E150A1"/>
    <w:rsid w:val="00E15172"/>
    <w:rsid w:val="00E152C3"/>
    <w:rsid w:val="00E15503"/>
    <w:rsid w:val="00E155E3"/>
    <w:rsid w:val="00E15729"/>
    <w:rsid w:val="00E15741"/>
    <w:rsid w:val="00E1576B"/>
    <w:rsid w:val="00E1578F"/>
    <w:rsid w:val="00E1579F"/>
    <w:rsid w:val="00E157CE"/>
    <w:rsid w:val="00E157E0"/>
    <w:rsid w:val="00E15851"/>
    <w:rsid w:val="00E15872"/>
    <w:rsid w:val="00E15927"/>
    <w:rsid w:val="00E15965"/>
    <w:rsid w:val="00E15A68"/>
    <w:rsid w:val="00E15B99"/>
    <w:rsid w:val="00E15C77"/>
    <w:rsid w:val="00E15D0D"/>
    <w:rsid w:val="00E15D83"/>
    <w:rsid w:val="00E15DEF"/>
    <w:rsid w:val="00E15E5B"/>
    <w:rsid w:val="00E15E9E"/>
    <w:rsid w:val="00E16014"/>
    <w:rsid w:val="00E16048"/>
    <w:rsid w:val="00E160B3"/>
    <w:rsid w:val="00E160BA"/>
    <w:rsid w:val="00E160DD"/>
    <w:rsid w:val="00E16220"/>
    <w:rsid w:val="00E162F7"/>
    <w:rsid w:val="00E16362"/>
    <w:rsid w:val="00E1638C"/>
    <w:rsid w:val="00E1643B"/>
    <w:rsid w:val="00E1666B"/>
    <w:rsid w:val="00E16770"/>
    <w:rsid w:val="00E167F8"/>
    <w:rsid w:val="00E16849"/>
    <w:rsid w:val="00E16AAF"/>
    <w:rsid w:val="00E16B41"/>
    <w:rsid w:val="00E16BEC"/>
    <w:rsid w:val="00E16CCA"/>
    <w:rsid w:val="00E16E64"/>
    <w:rsid w:val="00E16E98"/>
    <w:rsid w:val="00E16ED8"/>
    <w:rsid w:val="00E16FB7"/>
    <w:rsid w:val="00E16FC8"/>
    <w:rsid w:val="00E16FF0"/>
    <w:rsid w:val="00E17023"/>
    <w:rsid w:val="00E170A9"/>
    <w:rsid w:val="00E17153"/>
    <w:rsid w:val="00E17182"/>
    <w:rsid w:val="00E171AC"/>
    <w:rsid w:val="00E172D3"/>
    <w:rsid w:val="00E17399"/>
    <w:rsid w:val="00E173C7"/>
    <w:rsid w:val="00E17484"/>
    <w:rsid w:val="00E174C4"/>
    <w:rsid w:val="00E17587"/>
    <w:rsid w:val="00E1759B"/>
    <w:rsid w:val="00E175A1"/>
    <w:rsid w:val="00E176F1"/>
    <w:rsid w:val="00E17778"/>
    <w:rsid w:val="00E177F9"/>
    <w:rsid w:val="00E1785C"/>
    <w:rsid w:val="00E179BC"/>
    <w:rsid w:val="00E17A4A"/>
    <w:rsid w:val="00E17A6A"/>
    <w:rsid w:val="00E17B57"/>
    <w:rsid w:val="00E17C25"/>
    <w:rsid w:val="00E17D1C"/>
    <w:rsid w:val="00E17D35"/>
    <w:rsid w:val="00E17DCE"/>
    <w:rsid w:val="00E17DDC"/>
    <w:rsid w:val="00E17E15"/>
    <w:rsid w:val="00E17E68"/>
    <w:rsid w:val="00E17F64"/>
    <w:rsid w:val="00E17F70"/>
    <w:rsid w:val="00E20016"/>
    <w:rsid w:val="00E20069"/>
    <w:rsid w:val="00E20198"/>
    <w:rsid w:val="00E201E6"/>
    <w:rsid w:val="00E20236"/>
    <w:rsid w:val="00E20271"/>
    <w:rsid w:val="00E202B4"/>
    <w:rsid w:val="00E20313"/>
    <w:rsid w:val="00E2032A"/>
    <w:rsid w:val="00E203F9"/>
    <w:rsid w:val="00E20405"/>
    <w:rsid w:val="00E20495"/>
    <w:rsid w:val="00E2049B"/>
    <w:rsid w:val="00E2058B"/>
    <w:rsid w:val="00E20603"/>
    <w:rsid w:val="00E20634"/>
    <w:rsid w:val="00E206D9"/>
    <w:rsid w:val="00E20806"/>
    <w:rsid w:val="00E2085C"/>
    <w:rsid w:val="00E208AA"/>
    <w:rsid w:val="00E208B4"/>
    <w:rsid w:val="00E208F2"/>
    <w:rsid w:val="00E2094C"/>
    <w:rsid w:val="00E20A1C"/>
    <w:rsid w:val="00E20A7E"/>
    <w:rsid w:val="00E20AAE"/>
    <w:rsid w:val="00E20ABF"/>
    <w:rsid w:val="00E20E15"/>
    <w:rsid w:val="00E20E8B"/>
    <w:rsid w:val="00E2102F"/>
    <w:rsid w:val="00E2109C"/>
    <w:rsid w:val="00E212A4"/>
    <w:rsid w:val="00E212D2"/>
    <w:rsid w:val="00E213B4"/>
    <w:rsid w:val="00E213E8"/>
    <w:rsid w:val="00E215C9"/>
    <w:rsid w:val="00E215DC"/>
    <w:rsid w:val="00E21689"/>
    <w:rsid w:val="00E216D1"/>
    <w:rsid w:val="00E21771"/>
    <w:rsid w:val="00E217D5"/>
    <w:rsid w:val="00E21851"/>
    <w:rsid w:val="00E218EC"/>
    <w:rsid w:val="00E219B3"/>
    <w:rsid w:val="00E21A70"/>
    <w:rsid w:val="00E21B26"/>
    <w:rsid w:val="00E21B4C"/>
    <w:rsid w:val="00E21B96"/>
    <w:rsid w:val="00E21BE6"/>
    <w:rsid w:val="00E21D07"/>
    <w:rsid w:val="00E21D08"/>
    <w:rsid w:val="00E21DC4"/>
    <w:rsid w:val="00E21DE1"/>
    <w:rsid w:val="00E22001"/>
    <w:rsid w:val="00E22044"/>
    <w:rsid w:val="00E221A8"/>
    <w:rsid w:val="00E223A6"/>
    <w:rsid w:val="00E2245F"/>
    <w:rsid w:val="00E22568"/>
    <w:rsid w:val="00E2259B"/>
    <w:rsid w:val="00E2260D"/>
    <w:rsid w:val="00E2275B"/>
    <w:rsid w:val="00E22795"/>
    <w:rsid w:val="00E227B5"/>
    <w:rsid w:val="00E2285B"/>
    <w:rsid w:val="00E228B8"/>
    <w:rsid w:val="00E228FE"/>
    <w:rsid w:val="00E22916"/>
    <w:rsid w:val="00E2298C"/>
    <w:rsid w:val="00E22A9D"/>
    <w:rsid w:val="00E22ABD"/>
    <w:rsid w:val="00E22AE0"/>
    <w:rsid w:val="00E22BE6"/>
    <w:rsid w:val="00E22C41"/>
    <w:rsid w:val="00E22CA8"/>
    <w:rsid w:val="00E22DE0"/>
    <w:rsid w:val="00E22E65"/>
    <w:rsid w:val="00E22EE1"/>
    <w:rsid w:val="00E22F18"/>
    <w:rsid w:val="00E22FAD"/>
    <w:rsid w:val="00E22FB4"/>
    <w:rsid w:val="00E2341F"/>
    <w:rsid w:val="00E2358C"/>
    <w:rsid w:val="00E23695"/>
    <w:rsid w:val="00E23857"/>
    <w:rsid w:val="00E238D4"/>
    <w:rsid w:val="00E23AA9"/>
    <w:rsid w:val="00E23ABB"/>
    <w:rsid w:val="00E23ACA"/>
    <w:rsid w:val="00E23B51"/>
    <w:rsid w:val="00E23CEF"/>
    <w:rsid w:val="00E23CFA"/>
    <w:rsid w:val="00E23D52"/>
    <w:rsid w:val="00E23E40"/>
    <w:rsid w:val="00E23EE0"/>
    <w:rsid w:val="00E24031"/>
    <w:rsid w:val="00E24227"/>
    <w:rsid w:val="00E2447A"/>
    <w:rsid w:val="00E24533"/>
    <w:rsid w:val="00E2458C"/>
    <w:rsid w:val="00E245AB"/>
    <w:rsid w:val="00E245DE"/>
    <w:rsid w:val="00E24649"/>
    <w:rsid w:val="00E246B8"/>
    <w:rsid w:val="00E246D0"/>
    <w:rsid w:val="00E2472F"/>
    <w:rsid w:val="00E247C2"/>
    <w:rsid w:val="00E24875"/>
    <w:rsid w:val="00E2487B"/>
    <w:rsid w:val="00E248B0"/>
    <w:rsid w:val="00E249BB"/>
    <w:rsid w:val="00E249F9"/>
    <w:rsid w:val="00E24D30"/>
    <w:rsid w:val="00E24E8E"/>
    <w:rsid w:val="00E24EB0"/>
    <w:rsid w:val="00E24EC4"/>
    <w:rsid w:val="00E24F3A"/>
    <w:rsid w:val="00E24F5D"/>
    <w:rsid w:val="00E250BE"/>
    <w:rsid w:val="00E25185"/>
    <w:rsid w:val="00E251CB"/>
    <w:rsid w:val="00E251E3"/>
    <w:rsid w:val="00E252C3"/>
    <w:rsid w:val="00E25301"/>
    <w:rsid w:val="00E25390"/>
    <w:rsid w:val="00E253AA"/>
    <w:rsid w:val="00E2546A"/>
    <w:rsid w:val="00E2556C"/>
    <w:rsid w:val="00E255D2"/>
    <w:rsid w:val="00E25720"/>
    <w:rsid w:val="00E25727"/>
    <w:rsid w:val="00E2574A"/>
    <w:rsid w:val="00E257D2"/>
    <w:rsid w:val="00E257FB"/>
    <w:rsid w:val="00E258B7"/>
    <w:rsid w:val="00E2591F"/>
    <w:rsid w:val="00E25A04"/>
    <w:rsid w:val="00E25B37"/>
    <w:rsid w:val="00E25CF0"/>
    <w:rsid w:val="00E25D53"/>
    <w:rsid w:val="00E25DC3"/>
    <w:rsid w:val="00E25DF4"/>
    <w:rsid w:val="00E25E93"/>
    <w:rsid w:val="00E25F42"/>
    <w:rsid w:val="00E260A8"/>
    <w:rsid w:val="00E26113"/>
    <w:rsid w:val="00E26160"/>
    <w:rsid w:val="00E26201"/>
    <w:rsid w:val="00E2634F"/>
    <w:rsid w:val="00E26398"/>
    <w:rsid w:val="00E26416"/>
    <w:rsid w:val="00E264E6"/>
    <w:rsid w:val="00E26524"/>
    <w:rsid w:val="00E26567"/>
    <w:rsid w:val="00E26587"/>
    <w:rsid w:val="00E265B0"/>
    <w:rsid w:val="00E265C1"/>
    <w:rsid w:val="00E265D6"/>
    <w:rsid w:val="00E26610"/>
    <w:rsid w:val="00E266A4"/>
    <w:rsid w:val="00E26812"/>
    <w:rsid w:val="00E268FE"/>
    <w:rsid w:val="00E26A22"/>
    <w:rsid w:val="00E26A72"/>
    <w:rsid w:val="00E26B0D"/>
    <w:rsid w:val="00E26B27"/>
    <w:rsid w:val="00E26C72"/>
    <w:rsid w:val="00E26E9A"/>
    <w:rsid w:val="00E26EAB"/>
    <w:rsid w:val="00E26FAE"/>
    <w:rsid w:val="00E270DB"/>
    <w:rsid w:val="00E27151"/>
    <w:rsid w:val="00E271D1"/>
    <w:rsid w:val="00E271D5"/>
    <w:rsid w:val="00E27230"/>
    <w:rsid w:val="00E2729C"/>
    <w:rsid w:val="00E272C0"/>
    <w:rsid w:val="00E27320"/>
    <w:rsid w:val="00E2732B"/>
    <w:rsid w:val="00E274DD"/>
    <w:rsid w:val="00E275AF"/>
    <w:rsid w:val="00E275E8"/>
    <w:rsid w:val="00E27609"/>
    <w:rsid w:val="00E27664"/>
    <w:rsid w:val="00E276A1"/>
    <w:rsid w:val="00E27850"/>
    <w:rsid w:val="00E2787F"/>
    <w:rsid w:val="00E2788E"/>
    <w:rsid w:val="00E2788F"/>
    <w:rsid w:val="00E27AB2"/>
    <w:rsid w:val="00E27B76"/>
    <w:rsid w:val="00E27BC5"/>
    <w:rsid w:val="00E27C95"/>
    <w:rsid w:val="00E27D34"/>
    <w:rsid w:val="00E27D56"/>
    <w:rsid w:val="00E27D67"/>
    <w:rsid w:val="00E27DB0"/>
    <w:rsid w:val="00E27E69"/>
    <w:rsid w:val="00E300C6"/>
    <w:rsid w:val="00E301D1"/>
    <w:rsid w:val="00E3021C"/>
    <w:rsid w:val="00E302C7"/>
    <w:rsid w:val="00E302DF"/>
    <w:rsid w:val="00E303A1"/>
    <w:rsid w:val="00E3042A"/>
    <w:rsid w:val="00E30471"/>
    <w:rsid w:val="00E30490"/>
    <w:rsid w:val="00E30548"/>
    <w:rsid w:val="00E30663"/>
    <w:rsid w:val="00E30691"/>
    <w:rsid w:val="00E3072E"/>
    <w:rsid w:val="00E307E6"/>
    <w:rsid w:val="00E307EB"/>
    <w:rsid w:val="00E3080E"/>
    <w:rsid w:val="00E3087E"/>
    <w:rsid w:val="00E30A2D"/>
    <w:rsid w:val="00E30A69"/>
    <w:rsid w:val="00E30AF0"/>
    <w:rsid w:val="00E30B82"/>
    <w:rsid w:val="00E30BD4"/>
    <w:rsid w:val="00E30BEF"/>
    <w:rsid w:val="00E30D4D"/>
    <w:rsid w:val="00E30DE5"/>
    <w:rsid w:val="00E30E1A"/>
    <w:rsid w:val="00E30E76"/>
    <w:rsid w:val="00E30FB6"/>
    <w:rsid w:val="00E31004"/>
    <w:rsid w:val="00E3108C"/>
    <w:rsid w:val="00E31093"/>
    <w:rsid w:val="00E311A2"/>
    <w:rsid w:val="00E3120A"/>
    <w:rsid w:val="00E312B2"/>
    <w:rsid w:val="00E3138B"/>
    <w:rsid w:val="00E313A3"/>
    <w:rsid w:val="00E313E4"/>
    <w:rsid w:val="00E3146A"/>
    <w:rsid w:val="00E31484"/>
    <w:rsid w:val="00E314A2"/>
    <w:rsid w:val="00E314A3"/>
    <w:rsid w:val="00E314B3"/>
    <w:rsid w:val="00E314CB"/>
    <w:rsid w:val="00E31550"/>
    <w:rsid w:val="00E317A5"/>
    <w:rsid w:val="00E317C6"/>
    <w:rsid w:val="00E31817"/>
    <w:rsid w:val="00E318C8"/>
    <w:rsid w:val="00E31AD7"/>
    <w:rsid w:val="00E31B6E"/>
    <w:rsid w:val="00E31BC3"/>
    <w:rsid w:val="00E31CDC"/>
    <w:rsid w:val="00E31D28"/>
    <w:rsid w:val="00E31E93"/>
    <w:rsid w:val="00E31F00"/>
    <w:rsid w:val="00E31F38"/>
    <w:rsid w:val="00E31F9A"/>
    <w:rsid w:val="00E32023"/>
    <w:rsid w:val="00E3203B"/>
    <w:rsid w:val="00E3215B"/>
    <w:rsid w:val="00E321BB"/>
    <w:rsid w:val="00E32241"/>
    <w:rsid w:val="00E32304"/>
    <w:rsid w:val="00E3239E"/>
    <w:rsid w:val="00E324F4"/>
    <w:rsid w:val="00E327BD"/>
    <w:rsid w:val="00E32984"/>
    <w:rsid w:val="00E329B3"/>
    <w:rsid w:val="00E32C29"/>
    <w:rsid w:val="00E32C53"/>
    <w:rsid w:val="00E32C62"/>
    <w:rsid w:val="00E32CFA"/>
    <w:rsid w:val="00E32CFB"/>
    <w:rsid w:val="00E32D06"/>
    <w:rsid w:val="00E32D1B"/>
    <w:rsid w:val="00E32D66"/>
    <w:rsid w:val="00E32DBA"/>
    <w:rsid w:val="00E32E3A"/>
    <w:rsid w:val="00E32E71"/>
    <w:rsid w:val="00E32F09"/>
    <w:rsid w:val="00E32F6D"/>
    <w:rsid w:val="00E32F7D"/>
    <w:rsid w:val="00E32F9B"/>
    <w:rsid w:val="00E32FB4"/>
    <w:rsid w:val="00E3308A"/>
    <w:rsid w:val="00E33397"/>
    <w:rsid w:val="00E333B5"/>
    <w:rsid w:val="00E33424"/>
    <w:rsid w:val="00E33432"/>
    <w:rsid w:val="00E33442"/>
    <w:rsid w:val="00E33510"/>
    <w:rsid w:val="00E3352D"/>
    <w:rsid w:val="00E3353C"/>
    <w:rsid w:val="00E3356B"/>
    <w:rsid w:val="00E335AB"/>
    <w:rsid w:val="00E335B6"/>
    <w:rsid w:val="00E33807"/>
    <w:rsid w:val="00E3385D"/>
    <w:rsid w:val="00E338FD"/>
    <w:rsid w:val="00E33906"/>
    <w:rsid w:val="00E339F5"/>
    <w:rsid w:val="00E33AAB"/>
    <w:rsid w:val="00E33B5F"/>
    <w:rsid w:val="00E33C8E"/>
    <w:rsid w:val="00E33D19"/>
    <w:rsid w:val="00E33D35"/>
    <w:rsid w:val="00E33E35"/>
    <w:rsid w:val="00E33E8D"/>
    <w:rsid w:val="00E33F87"/>
    <w:rsid w:val="00E33F8F"/>
    <w:rsid w:val="00E34016"/>
    <w:rsid w:val="00E3414B"/>
    <w:rsid w:val="00E3417E"/>
    <w:rsid w:val="00E3420E"/>
    <w:rsid w:val="00E3423F"/>
    <w:rsid w:val="00E34280"/>
    <w:rsid w:val="00E34317"/>
    <w:rsid w:val="00E3434F"/>
    <w:rsid w:val="00E343AA"/>
    <w:rsid w:val="00E34487"/>
    <w:rsid w:val="00E34579"/>
    <w:rsid w:val="00E34773"/>
    <w:rsid w:val="00E348A3"/>
    <w:rsid w:val="00E348FC"/>
    <w:rsid w:val="00E349E9"/>
    <w:rsid w:val="00E34AB9"/>
    <w:rsid w:val="00E34BD5"/>
    <w:rsid w:val="00E34C85"/>
    <w:rsid w:val="00E34EAB"/>
    <w:rsid w:val="00E34F0A"/>
    <w:rsid w:val="00E34FBC"/>
    <w:rsid w:val="00E34FD0"/>
    <w:rsid w:val="00E350DA"/>
    <w:rsid w:val="00E35113"/>
    <w:rsid w:val="00E35164"/>
    <w:rsid w:val="00E35288"/>
    <w:rsid w:val="00E352F7"/>
    <w:rsid w:val="00E35306"/>
    <w:rsid w:val="00E35353"/>
    <w:rsid w:val="00E3537D"/>
    <w:rsid w:val="00E353A7"/>
    <w:rsid w:val="00E353F5"/>
    <w:rsid w:val="00E3541D"/>
    <w:rsid w:val="00E35499"/>
    <w:rsid w:val="00E354A0"/>
    <w:rsid w:val="00E355F1"/>
    <w:rsid w:val="00E35669"/>
    <w:rsid w:val="00E3568D"/>
    <w:rsid w:val="00E3570D"/>
    <w:rsid w:val="00E35718"/>
    <w:rsid w:val="00E35721"/>
    <w:rsid w:val="00E35727"/>
    <w:rsid w:val="00E35847"/>
    <w:rsid w:val="00E3592F"/>
    <w:rsid w:val="00E35991"/>
    <w:rsid w:val="00E359E7"/>
    <w:rsid w:val="00E35A28"/>
    <w:rsid w:val="00E35ABA"/>
    <w:rsid w:val="00E35AEB"/>
    <w:rsid w:val="00E35B7D"/>
    <w:rsid w:val="00E35BCE"/>
    <w:rsid w:val="00E35BDF"/>
    <w:rsid w:val="00E35BE6"/>
    <w:rsid w:val="00E35C16"/>
    <w:rsid w:val="00E35CF9"/>
    <w:rsid w:val="00E35D3B"/>
    <w:rsid w:val="00E35D9B"/>
    <w:rsid w:val="00E35E6E"/>
    <w:rsid w:val="00E35E9C"/>
    <w:rsid w:val="00E35ED6"/>
    <w:rsid w:val="00E35ED8"/>
    <w:rsid w:val="00E36060"/>
    <w:rsid w:val="00E361B6"/>
    <w:rsid w:val="00E36239"/>
    <w:rsid w:val="00E36390"/>
    <w:rsid w:val="00E3647B"/>
    <w:rsid w:val="00E36528"/>
    <w:rsid w:val="00E36564"/>
    <w:rsid w:val="00E3657F"/>
    <w:rsid w:val="00E365C8"/>
    <w:rsid w:val="00E365DB"/>
    <w:rsid w:val="00E36617"/>
    <w:rsid w:val="00E3665D"/>
    <w:rsid w:val="00E36660"/>
    <w:rsid w:val="00E36671"/>
    <w:rsid w:val="00E3667B"/>
    <w:rsid w:val="00E3683E"/>
    <w:rsid w:val="00E368EC"/>
    <w:rsid w:val="00E36916"/>
    <w:rsid w:val="00E3695D"/>
    <w:rsid w:val="00E36981"/>
    <w:rsid w:val="00E3698E"/>
    <w:rsid w:val="00E36B2A"/>
    <w:rsid w:val="00E36C7A"/>
    <w:rsid w:val="00E36D5D"/>
    <w:rsid w:val="00E36E0B"/>
    <w:rsid w:val="00E36E8B"/>
    <w:rsid w:val="00E36F95"/>
    <w:rsid w:val="00E37072"/>
    <w:rsid w:val="00E3718F"/>
    <w:rsid w:val="00E371A2"/>
    <w:rsid w:val="00E3720D"/>
    <w:rsid w:val="00E37212"/>
    <w:rsid w:val="00E37439"/>
    <w:rsid w:val="00E375C9"/>
    <w:rsid w:val="00E37664"/>
    <w:rsid w:val="00E376AF"/>
    <w:rsid w:val="00E37712"/>
    <w:rsid w:val="00E377C1"/>
    <w:rsid w:val="00E379BC"/>
    <w:rsid w:val="00E37A7B"/>
    <w:rsid w:val="00E37AD7"/>
    <w:rsid w:val="00E37C36"/>
    <w:rsid w:val="00E37C86"/>
    <w:rsid w:val="00E37CAE"/>
    <w:rsid w:val="00E37DF6"/>
    <w:rsid w:val="00E37EEC"/>
    <w:rsid w:val="00E37F12"/>
    <w:rsid w:val="00E40054"/>
    <w:rsid w:val="00E4017B"/>
    <w:rsid w:val="00E40306"/>
    <w:rsid w:val="00E40317"/>
    <w:rsid w:val="00E40369"/>
    <w:rsid w:val="00E40447"/>
    <w:rsid w:val="00E40501"/>
    <w:rsid w:val="00E405FB"/>
    <w:rsid w:val="00E40604"/>
    <w:rsid w:val="00E406A5"/>
    <w:rsid w:val="00E406C8"/>
    <w:rsid w:val="00E40731"/>
    <w:rsid w:val="00E407BB"/>
    <w:rsid w:val="00E407E6"/>
    <w:rsid w:val="00E4088A"/>
    <w:rsid w:val="00E40A1F"/>
    <w:rsid w:val="00E40A4B"/>
    <w:rsid w:val="00E40A63"/>
    <w:rsid w:val="00E40D3A"/>
    <w:rsid w:val="00E40D3B"/>
    <w:rsid w:val="00E40DAE"/>
    <w:rsid w:val="00E40DC9"/>
    <w:rsid w:val="00E40E02"/>
    <w:rsid w:val="00E40F68"/>
    <w:rsid w:val="00E41032"/>
    <w:rsid w:val="00E4103E"/>
    <w:rsid w:val="00E4105C"/>
    <w:rsid w:val="00E41297"/>
    <w:rsid w:val="00E4129D"/>
    <w:rsid w:val="00E4131F"/>
    <w:rsid w:val="00E4135E"/>
    <w:rsid w:val="00E4137E"/>
    <w:rsid w:val="00E41432"/>
    <w:rsid w:val="00E41496"/>
    <w:rsid w:val="00E4157F"/>
    <w:rsid w:val="00E41610"/>
    <w:rsid w:val="00E41732"/>
    <w:rsid w:val="00E41757"/>
    <w:rsid w:val="00E41894"/>
    <w:rsid w:val="00E418A0"/>
    <w:rsid w:val="00E419CB"/>
    <w:rsid w:val="00E419F3"/>
    <w:rsid w:val="00E41A6C"/>
    <w:rsid w:val="00E41AC8"/>
    <w:rsid w:val="00E41AD4"/>
    <w:rsid w:val="00E41ADA"/>
    <w:rsid w:val="00E41B49"/>
    <w:rsid w:val="00E41C76"/>
    <w:rsid w:val="00E41CA2"/>
    <w:rsid w:val="00E41DE1"/>
    <w:rsid w:val="00E41F51"/>
    <w:rsid w:val="00E41FE4"/>
    <w:rsid w:val="00E41FE9"/>
    <w:rsid w:val="00E4202D"/>
    <w:rsid w:val="00E420B8"/>
    <w:rsid w:val="00E420C7"/>
    <w:rsid w:val="00E422FE"/>
    <w:rsid w:val="00E425A8"/>
    <w:rsid w:val="00E4277E"/>
    <w:rsid w:val="00E427A4"/>
    <w:rsid w:val="00E42824"/>
    <w:rsid w:val="00E428A4"/>
    <w:rsid w:val="00E42B9D"/>
    <w:rsid w:val="00E42BF8"/>
    <w:rsid w:val="00E42C6F"/>
    <w:rsid w:val="00E42CB5"/>
    <w:rsid w:val="00E42DD3"/>
    <w:rsid w:val="00E42E6C"/>
    <w:rsid w:val="00E42F69"/>
    <w:rsid w:val="00E430F9"/>
    <w:rsid w:val="00E4312E"/>
    <w:rsid w:val="00E4318E"/>
    <w:rsid w:val="00E4319F"/>
    <w:rsid w:val="00E43281"/>
    <w:rsid w:val="00E43292"/>
    <w:rsid w:val="00E43360"/>
    <w:rsid w:val="00E43387"/>
    <w:rsid w:val="00E43538"/>
    <w:rsid w:val="00E435E8"/>
    <w:rsid w:val="00E4362D"/>
    <w:rsid w:val="00E4362E"/>
    <w:rsid w:val="00E4384E"/>
    <w:rsid w:val="00E438EE"/>
    <w:rsid w:val="00E43A15"/>
    <w:rsid w:val="00E43A73"/>
    <w:rsid w:val="00E43A88"/>
    <w:rsid w:val="00E43AB6"/>
    <w:rsid w:val="00E43C07"/>
    <w:rsid w:val="00E43C58"/>
    <w:rsid w:val="00E43CE4"/>
    <w:rsid w:val="00E43D42"/>
    <w:rsid w:val="00E43D53"/>
    <w:rsid w:val="00E43D8C"/>
    <w:rsid w:val="00E43ED6"/>
    <w:rsid w:val="00E44060"/>
    <w:rsid w:val="00E440C1"/>
    <w:rsid w:val="00E4413E"/>
    <w:rsid w:val="00E4416D"/>
    <w:rsid w:val="00E44332"/>
    <w:rsid w:val="00E44333"/>
    <w:rsid w:val="00E44519"/>
    <w:rsid w:val="00E44830"/>
    <w:rsid w:val="00E44834"/>
    <w:rsid w:val="00E44837"/>
    <w:rsid w:val="00E44933"/>
    <w:rsid w:val="00E44BA9"/>
    <w:rsid w:val="00E44C97"/>
    <w:rsid w:val="00E44E9C"/>
    <w:rsid w:val="00E45033"/>
    <w:rsid w:val="00E45097"/>
    <w:rsid w:val="00E45213"/>
    <w:rsid w:val="00E4522F"/>
    <w:rsid w:val="00E452A7"/>
    <w:rsid w:val="00E45308"/>
    <w:rsid w:val="00E45364"/>
    <w:rsid w:val="00E4537C"/>
    <w:rsid w:val="00E453D0"/>
    <w:rsid w:val="00E454C1"/>
    <w:rsid w:val="00E454EF"/>
    <w:rsid w:val="00E45511"/>
    <w:rsid w:val="00E45623"/>
    <w:rsid w:val="00E45699"/>
    <w:rsid w:val="00E456C5"/>
    <w:rsid w:val="00E4571C"/>
    <w:rsid w:val="00E457C4"/>
    <w:rsid w:val="00E4585C"/>
    <w:rsid w:val="00E4591C"/>
    <w:rsid w:val="00E459D7"/>
    <w:rsid w:val="00E45A83"/>
    <w:rsid w:val="00E45AF9"/>
    <w:rsid w:val="00E45B37"/>
    <w:rsid w:val="00E45B6C"/>
    <w:rsid w:val="00E45BB1"/>
    <w:rsid w:val="00E45BDB"/>
    <w:rsid w:val="00E45BDC"/>
    <w:rsid w:val="00E45C41"/>
    <w:rsid w:val="00E45CBF"/>
    <w:rsid w:val="00E45CC7"/>
    <w:rsid w:val="00E45F45"/>
    <w:rsid w:val="00E4608E"/>
    <w:rsid w:val="00E460F7"/>
    <w:rsid w:val="00E46119"/>
    <w:rsid w:val="00E461D9"/>
    <w:rsid w:val="00E461DA"/>
    <w:rsid w:val="00E462DB"/>
    <w:rsid w:val="00E463B3"/>
    <w:rsid w:val="00E465AA"/>
    <w:rsid w:val="00E466B2"/>
    <w:rsid w:val="00E466D2"/>
    <w:rsid w:val="00E467C8"/>
    <w:rsid w:val="00E46865"/>
    <w:rsid w:val="00E468AB"/>
    <w:rsid w:val="00E468CB"/>
    <w:rsid w:val="00E46B23"/>
    <w:rsid w:val="00E46CF6"/>
    <w:rsid w:val="00E46D00"/>
    <w:rsid w:val="00E46D1D"/>
    <w:rsid w:val="00E46D4F"/>
    <w:rsid w:val="00E46D7B"/>
    <w:rsid w:val="00E46EE4"/>
    <w:rsid w:val="00E46F2B"/>
    <w:rsid w:val="00E46FE4"/>
    <w:rsid w:val="00E470C8"/>
    <w:rsid w:val="00E470E7"/>
    <w:rsid w:val="00E47159"/>
    <w:rsid w:val="00E47270"/>
    <w:rsid w:val="00E47355"/>
    <w:rsid w:val="00E473A0"/>
    <w:rsid w:val="00E473A6"/>
    <w:rsid w:val="00E47442"/>
    <w:rsid w:val="00E474FF"/>
    <w:rsid w:val="00E4751D"/>
    <w:rsid w:val="00E4752E"/>
    <w:rsid w:val="00E47534"/>
    <w:rsid w:val="00E47554"/>
    <w:rsid w:val="00E475CE"/>
    <w:rsid w:val="00E475DC"/>
    <w:rsid w:val="00E475E5"/>
    <w:rsid w:val="00E476E3"/>
    <w:rsid w:val="00E476EC"/>
    <w:rsid w:val="00E47797"/>
    <w:rsid w:val="00E47802"/>
    <w:rsid w:val="00E47826"/>
    <w:rsid w:val="00E4786C"/>
    <w:rsid w:val="00E47899"/>
    <w:rsid w:val="00E478B4"/>
    <w:rsid w:val="00E478D4"/>
    <w:rsid w:val="00E47ABE"/>
    <w:rsid w:val="00E47B65"/>
    <w:rsid w:val="00E47B7C"/>
    <w:rsid w:val="00E47B81"/>
    <w:rsid w:val="00E47BFD"/>
    <w:rsid w:val="00E47D63"/>
    <w:rsid w:val="00E47E35"/>
    <w:rsid w:val="00E47E9E"/>
    <w:rsid w:val="00E47F41"/>
    <w:rsid w:val="00E47FC8"/>
    <w:rsid w:val="00E47FCA"/>
    <w:rsid w:val="00E50058"/>
    <w:rsid w:val="00E50139"/>
    <w:rsid w:val="00E50294"/>
    <w:rsid w:val="00E502DA"/>
    <w:rsid w:val="00E5033B"/>
    <w:rsid w:val="00E50346"/>
    <w:rsid w:val="00E50471"/>
    <w:rsid w:val="00E50476"/>
    <w:rsid w:val="00E50501"/>
    <w:rsid w:val="00E50596"/>
    <w:rsid w:val="00E505B6"/>
    <w:rsid w:val="00E50687"/>
    <w:rsid w:val="00E5087C"/>
    <w:rsid w:val="00E508EA"/>
    <w:rsid w:val="00E50914"/>
    <w:rsid w:val="00E509D8"/>
    <w:rsid w:val="00E509EB"/>
    <w:rsid w:val="00E50AC5"/>
    <w:rsid w:val="00E50B4D"/>
    <w:rsid w:val="00E50B9A"/>
    <w:rsid w:val="00E50BD4"/>
    <w:rsid w:val="00E50C0D"/>
    <w:rsid w:val="00E50C2E"/>
    <w:rsid w:val="00E50C37"/>
    <w:rsid w:val="00E50C65"/>
    <w:rsid w:val="00E50C91"/>
    <w:rsid w:val="00E50D92"/>
    <w:rsid w:val="00E50EB2"/>
    <w:rsid w:val="00E51163"/>
    <w:rsid w:val="00E511C3"/>
    <w:rsid w:val="00E51220"/>
    <w:rsid w:val="00E5129B"/>
    <w:rsid w:val="00E513C2"/>
    <w:rsid w:val="00E514F2"/>
    <w:rsid w:val="00E514FC"/>
    <w:rsid w:val="00E51535"/>
    <w:rsid w:val="00E51560"/>
    <w:rsid w:val="00E51605"/>
    <w:rsid w:val="00E5166C"/>
    <w:rsid w:val="00E51686"/>
    <w:rsid w:val="00E51750"/>
    <w:rsid w:val="00E51873"/>
    <w:rsid w:val="00E51A42"/>
    <w:rsid w:val="00E51A56"/>
    <w:rsid w:val="00E51ACB"/>
    <w:rsid w:val="00E51D00"/>
    <w:rsid w:val="00E51D1A"/>
    <w:rsid w:val="00E51DC9"/>
    <w:rsid w:val="00E51E58"/>
    <w:rsid w:val="00E51F00"/>
    <w:rsid w:val="00E52143"/>
    <w:rsid w:val="00E521B5"/>
    <w:rsid w:val="00E522F6"/>
    <w:rsid w:val="00E52354"/>
    <w:rsid w:val="00E523D3"/>
    <w:rsid w:val="00E524E1"/>
    <w:rsid w:val="00E524E5"/>
    <w:rsid w:val="00E52510"/>
    <w:rsid w:val="00E5253E"/>
    <w:rsid w:val="00E52578"/>
    <w:rsid w:val="00E52631"/>
    <w:rsid w:val="00E52683"/>
    <w:rsid w:val="00E526BD"/>
    <w:rsid w:val="00E5273A"/>
    <w:rsid w:val="00E5274A"/>
    <w:rsid w:val="00E52760"/>
    <w:rsid w:val="00E52761"/>
    <w:rsid w:val="00E5276D"/>
    <w:rsid w:val="00E528F2"/>
    <w:rsid w:val="00E52965"/>
    <w:rsid w:val="00E529D1"/>
    <w:rsid w:val="00E52A57"/>
    <w:rsid w:val="00E52BF8"/>
    <w:rsid w:val="00E52CD9"/>
    <w:rsid w:val="00E52D04"/>
    <w:rsid w:val="00E52D45"/>
    <w:rsid w:val="00E52DBE"/>
    <w:rsid w:val="00E52E55"/>
    <w:rsid w:val="00E52FB4"/>
    <w:rsid w:val="00E52FF4"/>
    <w:rsid w:val="00E530E3"/>
    <w:rsid w:val="00E5320E"/>
    <w:rsid w:val="00E5323B"/>
    <w:rsid w:val="00E53250"/>
    <w:rsid w:val="00E532B0"/>
    <w:rsid w:val="00E532F5"/>
    <w:rsid w:val="00E53527"/>
    <w:rsid w:val="00E53614"/>
    <w:rsid w:val="00E536D2"/>
    <w:rsid w:val="00E537B2"/>
    <w:rsid w:val="00E537F5"/>
    <w:rsid w:val="00E53ACD"/>
    <w:rsid w:val="00E53BAE"/>
    <w:rsid w:val="00E53C68"/>
    <w:rsid w:val="00E53C8D"/>
    <w:rsid w:val="00E53CD0"/>
    <w:rsid w:val="00E53DD5"/>
    <w:rsid w:val="00E53DFA"/>
    <w:rsid w:val="00E53E0B"/>
    <w:rsid w:val="00E53EAE"/>
    <w:rsid w:val="00E53EB0"/>
    <w:rsid w:val="00E53F1B"/>
    <w:rsid w:val="00E53F74"/>
    <w:rsid w:val="00E53FC1"/>
    <w:rsid w:val="00E540A6"/>
    <w:rsid w:val="00E5413B"/>
    <w:rsid w:val="00E541E7"/>
    <w:rsid w:val="00E54243"/>
    <w:rsid w:val="00E542FA"/>
    <w:rsid w:val="00E54387"/>
    <w:rsid w:val="00E54405"/>
    <w:rsid w:val="00E54414"/>
    <w:rsid w:val="00E5447A"/>
    <w:rsid w:val="00E5457B"/>
    <w:rsid w:val="00E5469F"/>
    <w:rsid w:val="00E546FC"/>
    <w:rsid w:val="00E5477F"/>
    <w:rsid w:val="00E548A6"/>
    <w:rsid w:val="00E549FC"/>
    <w:rsid w:val="00E54A1B"/>
    <w:rsid w:val="00E54A29"/>
    <w:rsid w:val="00E54AE1"/>
    <w:rsid w:val="00E54B03"/>
    <w:rsid w:val="00E54BEF"/>
    <w:rsid w:val="00E54BF9"/>
    <w:rsid w:val="00E54D3D"/>
    <w:rsid w:val="00E54DC9"/>
    <w:rsid w:val="00E54E95"/>
    <w:rsid w:val="00E54EBE"/>
    <w:rsid w:val="00E54ED2"/>
    <w:rsid w:val="00E54F1A"/>
    <w:rsid w:val="00E54F3E"/>
    <w:rsid w:val="00E54F8E"/>
    <w:rsid w:val="00E54FCD"/>
    <w:rsid w:val="00E55060"/>
    <w:rsid w:val="00E55069"/>
    <w:rsid w:val="00E550A9"/>
    <w:rsid w:val="00E55216"/>
    <w:rsid w:val="00E552B7"/>
    <w:rsid w:val="00E55306"/>
    <w:rsid w:val="00E55387"/>
    <w:rsid w:val="00E55428"/>
    <w:rsid w:val="00E55467"/>
    <w:rsid w:val="00E554FF"/>
    <w:rsid w:val="00E55539"/>
    <w:rsid w:val="00E55631"/>
    <w:rsid w:val="00E556EE"/>
    <w:rsid w:val="00E55731"/>
    <w:rsid w:val="00E55814"/>
    <w:rsid w:val="00E5581D"/>
    <w:rsid w:val="00E55830"/>
    <w:rsid w:val="00E55835"/>
    <w:rsid w:val="00E558EB"/>
    <w:rsid w:val="00E55912"/>
    <w:rsid w:val="00E55942"/>
    <w:rsid w:val="00E55A0F"/>
    <w:rsid w:val="00E55A3B"/>
    <w:rsid w:val="00E55A52"/>
    <w:rsid w:val="00E55AEB"/>
    <w:rsid w:val="00E55B88"/>
    <w:rsid w:val="00E55BA7"/>
    <w:rsid w:val="00E55C5E"/>
    <w:rsid w:val="00E55D79"/>
    <w:rsid w:val="00E55D99"/>
    <w:rsid w:val="00E55DCF"/>
    <w:rsid w:val="00E55E60"/>
    <w:rsid w:val="00E55F12"/>
    <w:rsid w:val="00E55F18"/>
    <w:rsid w:val="00E55F64"/>
    <w:rsid w:val="00E560DA"/>
    <w:rsid w:val="00E56164"/>
    <w:rsid w:val="00E5617C"/>
    <w:rsid w:val="00E561AD"/>
    <w:rsid w:val="00E56226"/>
    <w:rsid w:val="00E5626C"/>
    <w:rsid w:val="00E56325"/>
    <w:rsid w:val="00E56351"/>
    <w:rsid w:val="00E56426"/>
    <w:rsid w:val="00E564A7"/>
    <w:rsid w:val="00E564B5"/>
    <w:rsid w:val="00E564CB"/>
    <w:rsid w:val="00E564CE"/>
    <w:rsid w:val="00E56502"/>
    <w:rsid w:val="00E565D9"/>
    <w:rsid w:val="00E56679"/>
    <w:rsid w:val="00E566D8"/>
    <w:rsid w:val="00E5678C"/>
    <w:rsid w:val="00E56884"/>
    <w:rsid w:val="00E56993"/>
    <w:rsid w:val="00E56ACB"/>
    <w:rsid w:val="00E56AF2"/>
    <w:rsid w:val="00E56BC3"/>
    <w:rsid w:val="00E56C32"/>
    <w:rsid w:val="00E56CD6"/>
    <w:rsid w:val="00E56E5B"/>
    <w:rsid w:val="00E56EA1"/>
    <w:rsid w:val="00E56F23"/>
    <w:rsid w:val="00E56F4A"/>
    <w:rsid w:val="00E57024"/>
    <w:rsid w:val="00E5712E"/>
    <w:rsid w:val="00E5718D"/>
    <w:rsid w:val="00E571BB"/>
    <w:rsid w:val="00E572AD"/>
    <w:rsid w:val="00E572B4"/>
    <w:rsid w:val="00E572CD"/>
    <w:rsid w:val="00E5732D"/>
    <w:rsid w:val="00E57451"/>
    <w:rsid w:val="00E5746C"/>
    <w:rsid w:val="00E57533"/>
    <w:rsid w:val="00E5753B"/>
    <w:rsid w:val="00E57594"/>
    <w:rsid w:val="00E575A7"/>
    <w:rsid w:val="00E57628"/>
    <w:rsid w:val="00E576C1"/>
    <w:rsid w:val="00E57701"/>
    <w:rsid w:val="00E577F8"/>
    <w:rsid w:val="00E57966"/>
    <w:rsid w:val="00E57B0F"/>
    <w:rsid w:val="00E57B12"/>
    <w:rsid w:val="00E57B9B"/>
    <w:rsid w:val="00E57D00"/>
    <w:rsid w:val="00E57F35"/>
    <w:rsid w:val="00E57F66"/>
    <w:rsid w:val="00E6003E"/>
    <w:rsid w:val="00E60157"/>
    <w:rsid w:val="00E601FE"/>
    <w:rsid w:val="00E6025F"/>
    <w:rsid w:val="00E60431"/>
    <w:rsid w:val="00E604A8"/>
    <w:rsid w:val="00E60547"/>
    <w:rsid w:val="00E60685"/>
    <w:rsid w:val="00E6068B"/>
    <w:rsid w:val="00E60754"/>
    <w:rsid w:val="00E60850"/>
    <w:rsid w:val="00E60909"/>
    <w:rsid w:val="00E609B6"/>
    <w:rsid w:val="00E60A0A"/>
    <w:rsid w:val="00E60A3F"/>
    <w:rsid w:val="00E60B66"/>
    <w:rsid w:val="00E60D5E"/>
    <w:rsid w:val="00E60F37"/>
    <w:rsid w:val="00E6102F"/>
    <w:rsid w:val="00E610C0"/>
    <w:rsid w:val="00E610FC"/>
    <w:rsid w:val="00E61236"/>
    <w:rsid w:val="00E612CC"/>
    <w:rsid w:val="00E6142A"/>
    <w:rsid w:val="00E61488"/>
    <w:rsid w:val="00E61519"/>
    <w:rsid w:val="00E6152F"/>
    <w:rsid w:val="00E615A2"/>
    <w:rsid w:val="00E615B6"/>
    <w:rsid w:val="00E6163A"/>
    <w:rsid w:val="00E616FD"/>
    <w:rsid w:val="00E61890"/>
    <w:rsid w:val="00E618A5"/>
    <w:rsid w:val="00E61978"/>
    <w:rsid w:val="00E61994"/>
    <w:rsid w:val="00E61A4A"/>
    <w:rsid w:val="00E61AE3"/>
    <w:rsid w:val="00E61B28"/>
    <w:rsid w:val="00E61C68"/>
    <w:rsid w:val="00E61CE7"/>
    <w:rsid w:val="00E61DA3"/>
    <w:rsid w:val="00E61EC6"/>
    <w:rsid w:val="00E61FAA"/>
    <w:rsid w:val="00E62030"/>
    <w:rsid w:val="00E6206C"/>
    <w:rsid w:val="00E621BC"/>
    <w:rsid w:val="00E6225B"/>
    <w:rsid w:val="00E62362"/>
    <w:rsid w:val="00E6236E"/>
    <w:rsid w:val="00E62387"/>
    <w:rsid w:val="00E62420"/>
    <w:rsid w:val="00E624A5"/>
    <w:rsid w:val="00E62517"/>
    <w:rsid w:val="00E6252F"/>
    <w:rsid w:val="00E625C4"/>
    <w:rsid w:val="00E62625"/>
    <w:rsid w:val="00E6266D"/>
    <w:rsid w:val="00E62742"/>
    <w:rsid w:val="00E62753"/>
    <w:rsid w:val="00E6276E"/>
    <w:rsid w:val="00E62B4D"/>
    <w:rsid w:val="00E62CB8"/>
    <w:rsid w:val="00E62D1B"/>
    <w:rsid w:val="00E62E99"/>
    <w:rsid w:val="00E62EC6"/>
    <w:rsid w:val="00E62EFC"/>
    <w:rsid w:val="00E63004"/>
    <w:rsid w:val="00E63111"/>
    <w:rsid w:val="00E631C8"/>
    <w:rsid w:val="00E6323E"/>
    <w:rsid w:val="00E63261"/>
    <w:rsid w:val="00E632C4"/>
    <w:rsid w:val="00E632C6"/>
    <w:rsid w:val="00E632E6"/>
    <w:rsid w:val="00E632F4"/>
    <w:rsid w:val="00E63453"/>
    <w:rsid w:val="00E635AC"/>
    <w:rsid w:val="00E63725"/>
    <w:rsid w:val="00E637D3"/>
    <w:rsid w:val="00E63800"/>
    <w:rsid w:val="00E63813"/>
    <w:rsid w:val="00E63816"/>
    <w:rsid w:val="00E63895"/>
    <w:rsid w:val="00E6393E"/>
    <w:rsid w:val="00E6395F"/>
    <w:rsid w:val="00E63A1A"/>
    <w:rsid w:val="00E63B22"/>
    <w:rsid w:val="00E63BD4"/>
    <w:rsid w:val="00E63BD8"/>
    <w:rsid w:val="00E63C56"/>
    <w:rsid w:val="00E63CDF"/>
    <w:rsid w:val="00E63D26"/>
    <w:rsid w:val="00E63D73"/>
    <w:rsid w:val="00E63D9C"/>
    <w:rsid w:val="00E6406B"/>
    <w:rsid w:val="00E6410D"/>
    <w:rsid w:val="00E64171"/>
    <w:rsid w:val="00E641DB"/>
    <w:rsid w:val="00E6437E"/>
    <w:rsid w:val="00E643F2"/>
    <w:rsid w:val="00E64497"/>
    <w:rsid w:val="00E644FF"/>
    <w:rsid w:val="00E64570"/>
    <w:rsid w:val="00E6458F"/>
    <w:rsid w:val="00E64888"/>
    <w:rsid w:val="00E6491A"/>
    <w:rsid w:val="00E64937"/>
    <w:rsid w:val="00E649C8"/>
    <w:rsid w:val="00E64A88"/>
    <w:rsid w:val="00E64ABD"/>
    <w:rsid w:val="00E64BAC"/>
    <w:rsid w:val="00E64C15"/>
    <w:rsid w:val="00E64C3C"/>
    <w:rsid w:val="00E64C74"/>
    <w:rsid w:val="00E64DB1"/>
    <w:rsid w:val="00E64DE0"/>
    <w:rsid w:val="00E64DEA"/>
    <w:rsid w:val="00E64EB7"/>
    <w:rsid w:val="00E64ECA"/>
    <w:rsid w:val="00E64EEE"/>
    <w:rsid w:val="00E64F67"/>
    <w:rsid w:val="00E6508E"/>
    <w:rsid w:val="00E65092"/>
    <w:rsid w:val="00E65119"/>
    <w:rsid w:val="00E6514B"/>
    <w:rsid w:val="00E65276"/>
    <w:rsid w:val="00E6527D"/>
    <w:rsid w:val="00E65393"/>
    <w:rsid w:val="00E653D2"/>
    <w:rsid w:val="00E65490"/>
    <w:rsid w:val="00E6559D"/>
    <w:rsid w:val="00E65899"/>
    <w:rsid w:val="00E659A0"/>
    <w:rsid w:val="00E65A5F"/>
    <w:rsid w:val="00E65B16"/>
    <w:rsid w:val="00E65B4C"/>
    <w:rsid w:val="00E65C22"/>
    <w:rsid w:val="00E65C23"/>
    <w:rsid w:val="00E65E15"/>
    <w:rsid w:val="00E65E34"/>
    <w:rsid w:val="00E65FA4"/>
    <w:rsid w:val="00E65FDC"/>
    <w:rsid w:val="00E66007"/>
    <w:rsid w:val="00E6609B"/>
    <w:rsid w:val="00E6609F"/>
    <w:rsid w:val="00E66139"/>
    <w:rsid w:val="00E66229"/>
    <w:rsid w:val="00E66232"/>
    <w:rsid w:val="00E663FA"/>
    <w:rsid w:val="00E66440"/>
    <w:rsid w:val="00E66461"/>
    <w:rsid w:val="00E6649F"/>
    <w:rsid w:val="00E6654A"/>
    <w:rsid w:val="00E66649"/>
    <w:rsid w:val="00E666CE"/>
    <w:rsid w:val="00E66702"/>
    <w:rsid w:val="00E667A5"/>
    <w:rsid w:val="00E667DF"/>
    <w:rsid w:val="00E66834"/>
    <w:rsid w:val="00E66847"/>
    <w:rsid w:val="00E66850"/>
    <w:rsid w:val="00E668A0"/>
    <w:rsid w:val="00E668B0"/>
    <w:rsid w:val="00E6695F"/>
    <w:rsid w:val="00E669AC"/>
    <w:rsid w:val="00E66A68"/>
    <w:rsid w:val="00E66B23"/>
    <w:rsid w:val="00E66C07"/>
    <w:rsid w:val="00E66C1F"/>
    <w:rsid w:val="00E66CA1"/>
    <w:rsid w:val="00E66CB2"/>
    <w:rsid w:val="00E66CB5"/>
    <w:rsid w:val="00E66E87"/>
    <w:rsid w:val="00E66F0F"/>
    <w:rsid w:val="00E66FF6"/>
    <w:rsid w:val="00E670B0"/>
    <w:rsid w:val="00E67179"/>
    <w:rsid w:val="00E6717C"/>
    <w:rsid w:val="00E671FA"/>
    <w:rsid w:val="00E67285"/>
    <w:rsid w:val="00E67636"/>
    <w:rsid w:val="00E6772D"/>
    <w:rsid w:val="00E67743"/>
    <w:rsid w:val="00E677A7"/>
    <w:rsid w:val="00E677A9"/>
    <w:rsid w:val="00E677C0"/>
    <w:rsid w:val="00E67914"/>
    <w:rsid w:val="00E67AF3"/>
    <w:rsid w:val="00E67BA1"/>
    <w:rsid w:val="00E67BFE"/>
    <w:rsid w:val="00E67C42"/>
    <w:rsid w:val="00E67C8D"/>
    <w:rsid w:val="00E67CE2"/>
    <w:rsid w:val="00E67DBA"/>
    <w:rsid w:val="00E67E29"/>
    <w:rsid w:val="00E67F83"/>
    <w:rsid w:val="00E70035"/>
    <w:rsid w:val="00E70069"/>
    <w:rsid w:val="00E7016D"/>
    <w:rsid w:val="00E70226"/>
    <w:rsid w:val="00E7028A"/>
    <w:rsid w:val="00E70344"/>
    <w:rsid w:val="00E7036A"/>
    <w:rsid w:val="00E70402"/>
    <w:rsid w:val="00E704C9"/>
    <w:rsid w:val="00E704D4"/>
    <w:rsid w:val="00E70575"/>
    <w:rsid w:val="00E705C9"/>
    <w:rsid w:val="00E70600"/>
    <w:rsid w:val="00E70618"/>
    <w:rsid w:val="00E7061F"/>
    <w:rsid w:val="00E70778"/>
    <w:rsid w:val="00E70956"/>
    <w:rsid w:val="00E70985"/>
    <w:rsid w:val="00E709B7"/>
    <w:rsid w:val="00E70A67"/>
    <w:rsid w:val="00E70A7B"/>
    <w:rsid w:val="00E70AF9"/>
    <w:rsid w:val="00E70BA6"/>
    <w:rsid w:val="00E70BA7"/>
    <w:rsid w:val="00E70BA9"/>
    <w:rsid w:val="00E70D69"/>
    <w:rsid w:val="00E70F84"/>
    <w:rsid w:val="00E710B9"/>
    <w:rsid w:val="00E7116B"/>
    <w:rsid w:val="00E7132E"/>
    <w:rsid w:val="00E71366"/>
    <w:rsid w:val="00E71460"/>
    <w:rsid w:val="00E714BD"/>
    <w:rsid w:val="00E7161E"/>
    <w:rsid w:val="00E71733"/>
    <w:rsid w:val="00E71766"/>
    <w:rsid w:val="00E71809"/>
    <w:rsid w:val="00E71874"/>
    <w:rsid w:val="00E718D2"/>
    <w:rsid w:val="00E718DB"/>
    <w:rsid w:val="00E71978"/>
    <w:rsid w:val="00E71A02"/>
    <w:rsid w:val="00E71A67"/>
    <w:rsid w:val="00E71AAA"/>
    <w:rsid w:val="00E71AE0"/>
    <w:rsid w:val="00E71AF3"/>
    <w:rsid w:val="00E71BCA"/>
    <w:rsid w:val="00E71BE8"/>
    <w:rsid w:val="00E71CA8"/>
    <w:rsid w:val="00E71D5B"/>
    <w:rsid w:val="00E71DC0"/>
    <w:rsid w:val="00E71E83"/>
    <w:rsid w:val="00E71EA3"/>
    <w:rsid w:val="00E71EDA"/>
    <w:rsid w:val="00E71EF6"/>
    <w:rsid w:val="00E71F03"/>
    <w:rsid w:val="00E71F4B"/>
    <w:rsid w:val="00E71F8F"/>
    <w:rsid w:val="00E71FB8"/>
    <w:rsid w:val="00E71FED"/>
    <w:rsid w:val="00E720F7"/>
    <w:rsid w:val="00E72134"/>
    <w:rsid w:val="00E7219B"/>
    <w:rsid w:val="00E721B1"/>
    <w:rsid w:val="00E722CB"/>
    <w:rsid w:val="00E723B3"/>
    <w:rsid w:val="00E724A7"/>
    <w:rsid w:val="00E72605"/>
    <w:rsid w:val="00E72661"/>
    <w:rsid w:val="00E72791"/>
    <w:rsid w:val="00E727C3"/>
    <w:rsid w:val="00E72832"/>
    <w:rsid w:val="00E728B9"/>
    <w:rsid w:val="00E729CD"/>
    <w:rsid w:val="00E729DD"/>
    <w:rsid w:val="00E72A1A"/>
    <w:rsid w:val="00E72A53"/>
    <w:rsid w:val="00E72A93"/>
    <w:rsid w:val="00E72CC8"/>
    <w:rsid w:val="00E72EEA"/>
    <w:rsid w:val="00E72FAD"/>
    <w:rsid w:val="00E73075"/>
    <w:rsid w:val="00E730F7"/>
    <w:rsid w:val="00E73212"/>
    <w:rsid w:val="00E7321C"/>
    <w:rsid w:val="00E732C2"/>
    <w:rsid w:val="00E7341C"/>
    <w:rsid w:val="00E7342C"/>
    <w:rsid w:val="00E73473"/>
    <w:rsid w:val="00E7348E"/>
    <w:rsid w:val="00E734D7"/>
    <w:rsid w:val="00E73503"/>
    <w:rsid w:val="00E735AD"/>
    <w:rsid w:val="00E735E8"/>
    <w:rsid w:val="00E73607"/>
    <w:rsid w:val="00E73655"/>
    <w:rsid w:val="00E73719"/>
    <w:rsid w:val="00E73844"/>
    <w:rsid w:val="00E73881"/>
    <w:rsid w:val="00E73988"/>
    <w:rsid w:val="00E73AA6"/>
    <w:rsid w:val="00E73ACA"/>
    <w:rsid w:val="00E73CD2"/>
    <w:rsid w:val="00E73DD3"/>
    <w:rsid w:val="00E73E3C"/>
    <w:rsid w:val="00E73F21"/>
    <w:rsid w:val="00E73F4D"/>
    <w:rsid w:val="00E73FE0"/>
    <w:rsid w:val="00E73FFE"/>
    <w:rsid w:val="00E740A9"/>
    <w:rsid w:val="00E7414B"/>
    <w:rsid w:val="00E7417E"/>
    <w:rsid w:val="00E741E1"/>
    <w:rsid w:val="00E742E4"/>
    <w:rsid w:val="00E743B4"/>
    <w:rsid w:val="00E7443A"/>
    <w:rsid w:val="00E74596"/>
    <w:rsid w:val="00E745D2"/>
    <w:rsid w:val="00E745D9"/>
    <w:rsid w:val="00E7467A"/>
    <w:rsid w:val="00E74712"/>
    <w:rsid w:val="00E74719"/>
    <w:rsid w:val="00E7471C"/>
    <w:rsid w:val="00E747D3"/>
    <w:rsid w:val="00E74817"/>
    <w:rsid w:val="00E748DA"/>
    <w:rsid w:val="00E74946"/>
    <w:rsid w:val="00E74A8E"/>
    <w:rsid w:val="00E74B0E"/>
    <w:rsid w:val="00E74B78"/>
    <w:rsid w:val="00E74BCF"/>
    <w:rsid w:val="00E74BD5"/>
    <w:rsid w:val="00E74C99"/>
    <w:rsid w:val="00E74D3B"/>
    <w:rsid w:val="00E74DB8"/>
    <w:rsid w:val="00E74DCA"/>
    <w:rsid w:val="00E74E33"/>
    <w:rsid w:val="00E74E36"/>
    <w:rsid w:val="00E74F3C"/>
    <w:rsid w:val="00E74F6C"/>
    <w:rsid w:val="00E75069"/>
    <w:rsid w:val="00E75077"/>
    <w:rsid w:val="00E750A6"/>
    <w:rsid w:val="00E75157"/>
    <w:rsid w:val="00E75181"/>
    <w:rsid w:val="00E75195"/>
    <w:rsid w:val="00E75201"/>
    <w:rsid w:val="00E75294"/>
    <w:rsid w:val="00E752D9"/>
    <w:rsid w:val="00E75330"/>
    <w:rsid w:val="00E7534E"/>
    <w:rsid w:val="00E7547B"/>
    <w:rsid w:val="00E75960"/>
    <w:rsid w:val="00E7596D"/>
    <w:rsid w:val="00E75AF6"/>
    <w:rsid w:val="00E75BCA"/>
    <w:rsid w:val="00E75C0D"/>
    <w:rsid w:val="00E75CA4"/>
    <w:rsid w:val="00E75CD7"/>
    <w:rsid w:val="00E75D83"/>
    <w:rsid w:val="00E75E13"/>
    <w:rsid w:val="00E75F12"/>
    <w:rsid w:val="00E76043"/>
    <w:rsid w:val="00E76091"/>
    <w:rsid w:val="00E760DA"/>
    <w:rsid w:val="00E761C3"/>
    <w:rsid w:val="00E7620C"/>
    <w:rsid w:val="00E7621D"/>
    <w:rsid w:val="00E76270"/>
    <w:rsid w:val="00E76275"/>
    <w:rsid w:val="00E762AA"/>
    <w:rsid w:val="00E763FC"/>
    <w:rsid w:val="00E764DA"/>
    <w:rsid w:val="00E7651A"/>
    <w:rsid w:val="00E76558"/>
    <w:rsid w:val="00E76582"/>
    <w:rsid w:val="00E76669"/>
    <w:rsid w:val="00E7670F"/>
    <w:rsid w:val="00E76737"/>
    <w:rsid w:val="00E767AB"/>
    <w:rsid w:val="00E767CD"/>
    <w:rsid w:val="00E767EE"/>
    <w:rsid w:val="00E768E7"/>
    <w:rsid w:val="00E768F1"/>
    <w:rsid w:val="00E76915"/>
    <w:rsid w:val="00E769AC"/>
    <w:rsid w:val="00E76A18"/>
    <w:rsid w:val="00E76A2F"/>
    <w:rsid w:val="00E76B17"/>
    <w:rsid w:val="00E76C37"/>
    <w:rsid w:val="00E76CF7"/>
    <w:rsid w:val="00E76D7E"/>
    <w:rsid w:val="00E76D90"/>
    <w:rsid w:val="00E76DBC"/>
    <w:rsid w:val="00E76F23"/>
    <w:rsid w:val="00E76F44"/>
    <w:rsid w:val="00E76FA4"/>
    <w:rsid w:val="00E77002"/>
    <w:rsid w:val="00E770E7"/>
    <w:rsid w:val="00E7710F"/>
    <w:rsid w:val="00E771E7"/>
    <w:rsid w:val="00E77210"/>
    <w:rsid w:val="00E774DD"/>
    <w:rsid w:val="00E7755E"/>
    <w:rsid w:val="00E775D1"/>
    <w:rsid w:val="00E77625"/>
    <w:rsid w:val="00E7770C"/>
    <w:rsid w:val="00E7771F"/>
    <w:rsid w:val="00E777D6"/>
    <w:rsid w:val="00E77826"/>
    <w:rsid w:val="00E779D1"/>
    <w:rsid w:val="00E779E0"/>
    <w:rsid w:val="00E77A38"/>
    <w:rsid w:val="00E77B51"/>
    <w:rsid w:val="00E77C6D"/>
    <w:rsid w:val="00E77CF1"/>
    <w:rsid w:val="00E77CFF"/>
    <w:rsid w:val="00E77D81"/>
    <w:rsid w:val="00E77F22"/>
    <w:rsid w:val="00E77FC9"/>
    <w:rsid w:val="00E801B2"/>
    <w:rsid w:val="00E801C6"/>
    <w:rsid w:val="00E801DD"/>
    <w:rsid w:val="00E80308"/>
    <w:rsid w:val="00E80410"/>
    <w:rsid w:val="00E80509"/>
    <w:rsid w:val="00E8059D"/>
    <w:rsid w:val="00E80713"/>
    <w:rsid w:val="00E80739"/>
    <w:rsid w:val="00E807AA"/>
    <w:rsid w:val="00E8081F"/>
    <w:rsid w:val="00E80822"/>
    <w:rsid w:val="00E8092D"/>
    <w:rsid w:val="00E809AE"/>
    <w:rsid w:val="00E809D0"/>
    <w:rsid w:val="00E80B4B"/>
    <w:rsid w:val="00E80BB1"/>
    <w:rsid w:val="00E80C1E"/>
    <w:rsid w:val="00E80D75"/>
    <w:rsid w:val="00E80D81"/>
    <w:rsid w:val="00E80D82"/>
    <w:rsid w:val="00E81001"/>
    <w:rsid w:val="00E8100B"/>
    <w:rsid w:val="00E81121"/>
    <w:rsid w:val="00E81231"/>
    <w:rsid w:val="00E8133B"/>
    <w:rsid w:val="00E813DA"/>
    <w:rsid w:val="00E814B5"/>
    <w:rsid w:val="00E8156A"/>
    <w:rsid w:val="00E81580"/>
    <w:rsid w:val="00E815B8"/>
    <w:rsid w:val="00E817E8"/>
    <w:rsid w:val="00E81A24"/>
    <w:rsid w:val="00E81A41"/>
    <w:rsid w:val="00E81ABE"/>
    <w:rsid w:val="00E81AF3"/>
    <w:rsid w:val="00E81BAD"/>
    <w:rsid w:val="00E81C4D"/>
    <w:rsid w:val="00E81C79"/>
    <w:rsid w:val="00E81D08"/>
    <w:rsid w:val="00E81D1B"/>
    <w:rsid w:val="00E81D28"/>
    <w:rsid w:val="00E81E56"/>
    <w:rsid w:val="00E81E63"/>
    <w:rsid w:val="00E81FB9"/>
    <w:rsid w:val="00E8215E"/>
    <w:rsid w:val="00E82197"/>
    <w:rsid w:val="00E8219F"/>
    <w:rsid w:val="00E822FE"/>
    <w:rsid w:val="00E82321"/>
    <w:rsid w:val="00E8237E"/>
    <w:rsid w:val="00E82507"/>
    <w:rsid w:val="00E826D8"/>
    <w:rsid w:val="00E8270E"/>
    <w:rsid w:val="00E82807"/>
    <w:rsid w:val="00E82876"/>
    <w:rsid w:val="00E82890"/>
    <w:rsid w:val="00E82963"/>
    <w:rsid w:val="00E82A72"/>
    <w:rsid w:val="00E82AC7"/>
    <w:rsid w:val="00E82AF9"/>
    <w:rsid w:val="00E82BB2"/>
    <w:rsid w:val="00E82CAF"/>
    <w:rsid w:val="00E82CCD"/>
    <w:rsid w:val="00E82D43"/>
    <w:rsid w:val="00E82E75"/>
    <w:rsid w:val="00E82E98"/>
    <w:rsid w:val="00E82EA5"/>
    <w:rsid w:val="00E82EAF"/>
    <w:rsid w:val="00E82ECE"/>
    <w:rsid w:val="00E82EDC"/>
    <w:rsid w:val="00E82FC4"/>
    <w:rsid w:val="00E82FC8"/>
    <w:rsid w:val="00E82FEC"/>
    <w:rsid w:val="00E8302F"/>
    <w:rsid w:val="00E8311A"/>
    <w:rsid w:val="00E83187"/>
    <w:rsid w:val="00E831D6"/>
    <w:rsid w:val="00E8321E"/>
    <w:rsid w:val="00E83358"/>
    <w:rsid w:val="00E8345D"/>
    <w:rsid w:val="00E83519"/>
    <w:rsid w:val="00E835BE"/>
    <w:rsid w:val="00E837EA"/>
    <w:rsid w:val="00E83A05"/>
    <w:rsid w:val="00E83AD6"/>
    <w:rsid w:val="00E83AF3"/>
    <w:rsid w:val="00E83B57"/>
    <w:rsid w:val="00E83B77"/>
    <w:rsid w:val="00E83B89"/>
    <w:rsid w:val="00E83B91"/>
    <w:rsid w:val="00E83C7D"/>
    <w:rsid w:val="00E83E48"/>
    <w:rsid w:val="00E840CE"/>
    <w:rsid w:val="00E84125"/>
    <w:rsid w:val="00E84146"/>
    <w:rsid w:val="00E84195"/>
    <w:rsid w:val="00E84238"/>
    <w:rsid w:val="00E8444F"/>
    <w:rsid w:val="00E845FA"/>
    <w:rsid w:val="00E848B9"/>
    <w:rsid w:val="00E848F6"/>
    <w:rsid w:val="00E84938"/>
    <w:rsid w:val="00E8498B"/>
    <w:rsid w:val="00E84994"/>
    <w:rsid w:val="00E849B7"/>
    <w:rsid w:val="00E84AAF"/>
    <w:rsid w:val="00E84AE8"/>
    <w:rsid w:val="00E84B09"/>
    <w:rsid w:val="00E84BDA"/>
    <w:rsid w:val="00E84C6B"/>
    <w:rsid w:val="00E84DB0"/>
    <w:rsid w:val="00E84E7A"/>
    <w:rsid w:val="00E84E92"/>
    <w:rsid w:val="00E84F66"/>
    <w:rsid w:val="00E85060"/>
    <w:rsid w:val="00E850E6"/>
    <w:rsid w:val="00E8516E"/>
    <w:rsid w:val="00E851D3"/>
    <w:rsid w:val="00E853E6"/>
    <w:rsid w:val="00E85423"/>
    <w:rsid w:val="00E8543C"/>
    <w:rsid w:val="00E8553F"/>
    <w:rsid w:val="00E85745"/>
    <w:rsid w:val="00E857A3"/>
    <w:rsid w:val="00E85859"/>
    <w:rsid w:val="00E8595D"/>
    <w:rsid w:val="00E85BA4"/>
    <w:rsid w:val="00E85C18"/>
    <w:rsid w:val="00E85CA0"/>
    <w:rsid w:val="00E85CC5"/>
    <w:rsid w:val="00E85CFD"/>
    <w:rsid w:val="00E85D04"/>
    <w:rsid w:val="00E85D3D"/>
    <w:rsid w:val="00E85DEF"/>
    <w:rsid w:val="00E85E76"/>
    <w:rsid w:val="00E85EF4"/>
    <w:rsid w:val="00E85FAC"/>
    <w:rsid w:val="00E85FDE"/>
    <w:rsid w:val="00E8607B"/>
    <w:rsid w:val="00E860A1"/>
    <w:rsid w:val="00E862FD"/>
    <w:rsid w:val="00E862FE"/>
    <w:rsid w:val="00E863DD"/>
    <w:rsid w:val="00E863EE"/>
    <w:rsid w:val="00E865AB"/>
    <w:rsid w:val="00E86644"/>
    <w:rsid w:val="00E86662"/>
    <w:rsid w:val="00E86729"/>
    <w:rsid w:val="00E8672D"/>
    <w:rsid w:val="00E86750"/>
    <w:rsid w:val="00E867C8"/>
    <w:rsid w:val="00E86835"/>
    <w:rsid w:val="00E86871"/>
    <w:rsid w:val="00E86942"/>
    <w:rsid w:val="00E8696E"/>
    <w:rsid w:val="00E869A8"/>
    <w:rsid w:val="00E86A6B"/>
    <w:rsid w:val="00E86B19"/>
    <w:rsid w:val="00E86C68"/>
    <w:rsid w:val="00E86C6D"/>
    <w:rsid w:val="00E86E4C"/>
    <w:rsid w:val="00E86F5F"/>
    <w:rsid w:val="00E86FC7"/>
    <w:rsid w:val="00E87038"/>
    <w:rsid w:val="00E870A8"/>
    <w:rsid w:val="00E871C0"/>
    <w:rsid w:val="00E87276"/>
    <w:rsid w:val="00E87278"/>
    <w:rsid w:val="00E87432"/>
    <w:rsid w:val="00E8749D"/>
    <w:rsid w:val="00E875B6"/>
    <w:rsid w:val="00E875FB"/>
    <w:rsid w:val="00E876E0"/>
    <w:rsid w:val="00E8773B"/>
    <w:rsid w:val="00E8782D"/>
    <w:rsid w:val="00E8786D"/>
    <w:rsid w:val="00E87886"/>
    <w:rsid w:val="00E87893"/>
    <w:rsid w:val="00E87A9B"/>
    <w:rsid w:val="00E87B34"/>
    <w:rsid w:val="00E87BCC"/>
    <w:rsid w:val="00E87BD7"/>
    <w:rsid w:val="00E87C46"/>
    <w:rsid w:val="00E87D2C"/>
    <w:rsid w:val="00E87D48"/>
    <w:rsid w:val="00E87D5F"/>
    <w:rsid w:val="00E87D7D"/>
    <w:rsid w:val="00E87D8C"/>
    <w:rsid w:val="00E87DBD"/>
    <w:rsid w:val="00E87E4D"/>
    <w:rsid w:val="00E87EA0"/>
    <w:rsid w:val="00E87F37"/>
    <w:rsid w:val="00E90097"/>
    <w:rsid w:val="00E90212"/>
    <w:rsid w:val="00E90254"/>
    <w:rsid w:val="00E9026C"/>
    <w:rsid w:val="00E90286"/>
    <w:rsid w:val="00E9031C"/>
    <w:rsid w:val="00E9037C"/>
    <w:rsid w:val="00E9037D"/>
    <w:rsid w:val="00E90564"/>
    <w:rsid w:val="00E90696"/>
    <w:rsid w:val="00E906DC"/>
    <w:rsid w:val="00E90710"/>
    <w:rsid w:val="00E9076A"/>
    <w:rsid w:val="00E907D9"/>
    <w:rsid w:val="00E9087A"/>
    <w:rsid w:val="00E909BC"/>
    <w:rsid w:val="00E90A87"/>
    <w:rsid w:val="00E90B9B"/>
    <w:rsid w:val="00E90BC5"/>
    <w:rsid w:val="00E90C18"/>
    <w:rsid w:val="00E90CA9"/>
    <w:rsid w:val="00E90CC9"/>
    <w:rsid w:val="00E90D1B"/>
    <w:rsid w:val="00E90DD8"/>
    <w:rsid w:val="00E91005"/>
    <w:rsid w:val="00E9105C"/>
    <w:rsid w:val="00E91167"/>
    <w:rsid w:val="00E912B1"/>
    <w:rsid w:val="00E912E3"/>
    <w:rsid w:val="00E912EC"/>
    <w:rsid w:val="00E91399"/>
    <w:rsid w:val="00E913BD"/>
    <w:rsid w:val="00E914DF"/>
    <w:rsid w:val="00E9152C"/>
    <w:rsid w:val="00E91542"/>
    <w:rsid w:val="00E91557"/>
    <w:rsid w:val="00E91592"/>
    <w:rsid w:val="00E915FC"/>
    <w:rsid w:val="00E916E7"/>
    <w:rsid w:val="00E916F6"/>
    <w:rsid w:val="00E91929"/>
    <w:rsid w:val="00E91BE6"/>
    <w:rsid w:val="00E91C08"/>
    <w:rsid w:val="00E91C14"/>
    <w:rsid w:val="00E91D04"/>
    <w:rsid w:val="00E91D65"/>
    <w:rsid w:val="00E91DAE"/>
    <w:rsid w:val="00E91EBE"/>
    <w:rsid w:val="00E91F2D"/>
    <w:rsid w:val="00E91FA9"/>
    <w:rsid w:val="00E91FD7"/>
    <w:rsid w:val="00E92003"/>
    <w:rsid w:val="00E92009"/>
    <w:rsid w:val="00E92031"/>
    <w:rsid w:val="00E92072"/>
    <w:rsid w:val="00E920C6"/>
    <w:rsid w:val="00E92253"/>
    <w:rsid w:val="00E9228A"/>
    <w:rsid w:val="00E922FA"/>
    <w:rsid w:val="00E92350"/>
    <w:rsid w:val="00E92358"/>
    <w:rsid w:val="00E92426"/>
    <w:rsid w:val="00E925BE"/>
    <w:rsid w:val="00E92767"/>
    <w:rsid w:val="00E927E4"/>
    <w:rsid w:val="00E927F0"/>
    <w:rsid w:val="00E92815"/>
    <w:rsid w:val="00E92847"/>
    <w:rsid w:val="00E9284C"/>
    <w:rsid w:val="00E92917"/>
    <w:rsid w:val="00E92974"/>
    <w:rsid w:val="00E929E6"/>
    <w:rsid w:val="00E92A33"/>
    <w:rsid w:val="00E92B04"/>
    <w:rsid w:val="00E92B61"/>
    <w:rsid w:val="00E92BB1"/>
    <w:rsid w:val="00E92C29"/>
    <w:rsid w:val="00E92D3E"/>
    <w:rsid w:val="00E92F45"/>
    <w:rsid w:val="00E92F89"/>
    <w:rsid w:val="00E93216"/>
    <w:rsid w:val="00E934B6"/>
    <w:rsid w:val="00E934C7"/>
    <w:rsid w:val="00E934DD"/>
    <w:rsid w:val="00E93507"/>
    <w:rsid w:val="00E93595"/>
    <w:rsid w:val="00E9366D"/>
    <w:rsid w:val="00E9367D"/>
    <w:rsid w:val="00E9376E"/>
    <w:rsid w:val="00E937C4"/>
    <w:rsid w:val="00E9387D"/>
    <w:rsid w:val="00E938C3"/>
    <w:rsid w:val="00E938DA"/>
    <w:rsid w:val="00E938EB"/>
    <w:rsid w:val="00E93902"/>
    <w:rsid w:val="00E9391A"/>
    <w:rsid w:val="00E93948"/>
    <w:rsid w:val="00E93968"/>
    <w:rsid w:val="00E939F2"/>
    <w:rsid w:val="00E93A99"/>
    <w:rsid w:val="00E93AA1"/>
    <w:rsid w:val="00E93B19"/>
    <w:rsid w:val="00E93C5A"/>
    <w:rsid w:val="00E93EA9"/>
    <w:rsid w:val="00E93FC2"/>
    <w:rsid w:val="00E93FEA"/>
    <w:rsid w:val="00E94081"/>
    <w:rsid w:val="00E9408E"/>
    <w:rsid w:val="00E940C6"/>
    <w:rsid w:val="00E9427B"/>
    <w:rsid w:val="00E94304"/>
    <w:rsid w:val="00E94318"/>
    <w:rsid w:val="00E943B8"/>
    <w:rsid w:val="00E94469"/>
    <w:rsid w:val="00E94477"/>
    <w:rsid w:val="00E944C8"/>
    <w:rsid w:val="00E944DE"/>
    <w:rsid w:val="00E94520"/>
    <w:rsid w:val="00E94597"/>
    <w:rsid w:val="00E94662"/>
    <w:rsid w:val="00E94677"/>
    <w:rsid w:val="00E946F4"/>
    <w:rsid w:val="00E947D6"/>
    <w:rsid w:val="00E9481A"/>
    <w:rsid w:val="00E94849"/>
    <w:rsid w:val="00E948E8"/>
    <w:rsid w:val="00E94C20"/>
    <w:rsid w:val="00E94C90"/>
    <w:rsid w:val="00E94C9C"/>
    <w:rsid w:val="00E94CF0"/>
    <w:rsid w:val="00E94D68"/>
    <w:rsid w:val="00E94E6F"/>
    <w:rsid w:val="00E94F97"/>
    <w:rsid w:val="00E94FD2"/>
    <w:rsid w:val="00E95026"/>
    <w:rsid w:val="00E95061"/>
    <w:rsid w:val="00E95088"/>
    <w:rsid w:val="00E95157"/>
    <w:rsid w:val="00E951EA"/>
    <w:rsid w:val="00E95365"/>
    <w:rsid w:val="00E953A3"/>
    <w:rsid w:val="00E953E6"/>
    <w:rsid w:val="00E95472"/>
    <w:rsid w:val="00E95560"/>
    <w:rsid w:val="00E95591"/>
    <w:rsid w:val="00E95597"/>
    <w:rsid w:val="00E955BF"/>
    <w:rsid w:val="00E955D7"/>
    <w:rsid w:val="00E9561B"/>
    <w:rsid w:val="00E95642"/>
    <w:rsid w:val="00E956BE"/>
    <w:rsid w:val="00E956F3"/>
    <w:rsid w:val="00E9575E"/>
    <w:rsid w:val="00E957C7"/>
    <w:rsid w:val="00E957D1"/>
    <w:rsid w:val="00E9586C"/>
    <w:rsid w:val="00E958C6"/>
    <w:rsid w:val="00E95A73"/>
    <w:rsid w:val="00E95AB7"/>
    <w:rsid w:val="00E95AC0"/>
    <w:rsid w:val="00E95AEC"/>
    <w:rsid w:val="00E95BED"/>
    <w:rsid w:val="00E95CCC"/>
    <w:rsid w:val="00E95CE9"/>
    <w:rsid w:val="00E95D30"/>
    <w:rsid w:val="00E95DC9"/>
    <w:rsid w:val="00E95E68"/>
    <w:rsid w:val="00E95E82"/>
    <w:rsid w:val="00E95F25"/>
    <w:rsid w:val="00E95F66"/>
    <w:rsid w:val="00E96146"/>
    <w:rsid w:val="00E961A0"/>
    <w:rsid w:val="00E9630F"/>
    <w:rsid w:val="00E9658A"/>
    <w:rsid w:val="00E9659C"/>
    <w:rsid w:val="00E9665A"/>
    <w:rsid w:val="00E96663"/>
    <w:rsid w:val="00E96709"/>
    <w:rsid w:val="00E9671E"/>
    <w:rsid w:val="00E9680B"/>
    <w:rsid w:val="00E96859"/>
    <w:rsid w:val="00E968B8"/>
    <w:rsid w:val="00E968D2"/>
    <w:rsid w:val="00E96A51"/>
    <w:rsid w:val="00E96AE1"/>
    <w:rsid w:val="00E96B31"/>
    <w:rsid w:val="00E96C2F"/>
    <w:rsid w:val="00E96D27"/>
    <w:rsid w:val="00E96D83"/>
    <w:rsid w:val="00E96E73"/>
    <w:rsid w:val="00E96F3F"/>
    <w:rsid w:val="00E96F59"/>
    <w:rsid w:val="00E96FA1"/>
    <w:rsid w:val="00E970E9"/>
    <w:rsid w:val="00E97116"/>
    <w:rsid w:val="00E97144"/>
    <w:rsid w:val="00E97249"/>
    <w:rsid w:val="00E9736F"/>
    <w:rsid w:val="00E97378"/>
    <w:rsid w:val="00E973DE"/>
    <w:rsid w:val="00E974C4"/>
    <w:rsid w:val="00E9753C"/>
    <w:rsid w:val="00E97640"/>
    <w:rsid w:val="00E97717"/>
    <w:rsid w:val="00E9773B"/>
    <w:rsid w:val="00E97761"/>
    <w:rsid w:val="00E977AC"/>
    <w:rsid w:val="00E9798E"/>
    <w:rsid w:val="00E979AD"/>
    <w:rsid w:val="00E97A39"/>
    <w:rsid w:val="00E97AF6"/>
    <w:rsid w:val="00E97B8D"/>
    <w:rsid w:val="00E97C1A"/>
    <w:rsid w:val="00E97C69"/>
    <w:rsid w:val="00E97C86"/>
    <w:rsid w:val="00E97D60"/>
    <w:rsid w:val="00E97D61"/>
    <w:rsid w:val="00E97DF9"/>
    <w:rsid w:val="00E97FE5"/>
    <w:rsid w:val="00EA002F"/>
    <w:rsid w:val="00EA008A"/>
    <w:rsid w:val="00EA0199"/>
    <w:rsid w:val="00EA021B"/>
    <w:rsid w:val="00EA0244"/>
    <w:rsid w:val="00EA0245"/>
    <w:rsid w:val="00EA0269"/>
    <w:rsid w:val="00EA044C"/>
    <w:rsid w:val="00EA0502"/>
    <w:rsid w:val="00EA055E"/>
    <w:rsid w:val="00EA05A3"/>
    <w:rsid w:val="00EA05CD"/>
    <w:rsid w:val="00EA07CB"/>
    <w:rsid w:val="00EA0905"/>
    <w:rsid w:val="00EA0A19"/>
    <w:rsid w:val="00EA0B77"/>
    <w:rsid w:val="00EA0B83"/>
    <w:rsid w:val="00EA0E31"/>
    <w:rsid w:val="00EA0E54"/>
    <w:rsid w:val="00EA0EAF"/>
    <w:rsid w:val="00EA0EBC"/>
    <w:rsid w:val="00EA110C"/>
    <w:rsid w:val="00EA1126"/>
    <w:rsid w:val="00EA1141"/>
    <w:rsid w:val="00EA11C9"/>
    <w:rsid w:val="00EA123A"/>
    <w:rsid w:val="00EA12CE"/>
    <w:rsid w:val="00EA1451"/>
    <w:rsid w:val="00EA1460"/>
    <w:rsid w:val="00EA15D1"/>
    <w:rsid w:val="00EA1631"/>
    <w:rsid w:val="00EA163A"/>
    <w:rsid w:val="00EA1650"/>
    <w:rsid w:val="00EA1741"/>
    <w:rsid w:val="00EA17B9"/>
    <w:rsid w:val="00EA19CD"/>
    <w:rsid w:val="00EA19DC"/>
    <w:rsid w:val="00EA1B0B"/>
    <w:rsid w:val="00EA1BF1"/>
    <w:rsid w:val="00EA1C1E"/>
    <w:rsid w:val="00EA1C97"/>
    <w:rsid w:val="00EA1CD4"/>
    <w:rsid w:val="00EA1D2D"/>
    <w:rsid w:val="00EA1D4A"/>
    <w:rsid w:val="00EA1DBC"/>
    <w:rsid w:val="00EA1DD1"/>
    <w:rsid w:val="00EA1DE2"/>
    <w:rsid w:val="00EA1E30"/>
    <w:rsid w:val="00EA1EC4"/>
    <w:rsid w:val="00EA1ED9"/>
    <w:rsid w:val="00EA1EE8"/>
    <w:rsid w:val="00EA1F11"/>
    <w:rsid w:val="00EA1FCC"/>
    <w:rsid w:val="00EA2300"/>
    <w:rsid w:val="00EA2341"/>
    <w:rsid w:val="00EA2356"/>
    <w:rsid w:val="00EA25E3"/>
    <w:rsid w:val="00EA2610"/>
    <w:rsid w:val="00EA271C"/>
    <w:rsid w:val="00EA276B"/>
    <w:rsid w:val="00EA2815"/>
    <w:rsid w:val="00EA289E"/>
    <w:rsid w:val="00EA28A4"/>
    <w:rsid w:val="00EA28D7"/>
    <w:rsid w:val="00EA2922"/>
    <w:rsid w:val="00EA2933"/>
    <w:rsid w:val="00EA2A55"/>
    <w:rsid w:val="00EA2AE3"/>
    <w:rsid w:val="00EA2BDA"/>
    <w:rsid w:val="00EA2CAB"/>
    <w:rsid w:val="00EA2D10"/>
    <w:rsid w:val="00EA2E61"/>
    <w:rsid w:val="00EA2EF8"/>
    <w:rsid w:val="00EA2F2C"/>
    <w:rsid w:val="00EA2FA4"/>
    <w:rsid w:val="00EA3018"/>
    <w:rsid w:val="00EA3093"/>
    <w:rsid w:val="00EA30D5"/>
    <w:rsid w:val="00EA31B9"/>
    <w:rsid w:val="00EA31E5"/>
    <w:rsid w:val="00EA3266"/>
    <w:rsid w:val="00EA33E0"/>
    <w:rsid w:val="00EA33E1"/>
    <w:rsid w:val="00EA3470"/>
    <w:rsid w:val="00EA3471"/>
    <w:rsid w:val="00EA34D3"/>
    <w:rsid w:val="00EA35FA"/>
    <w:rsid w:val="00EA3721"/>
    <w:rsid w:val="00EA3872"/>
    <w:rsid w:val="00EA395E"/>
    <w:rsid w:val="00EA39B7"/>
    <w:rsid w:val="00EA3BC0"/>
    <w:rsid w:val="00EA3BF8"/>
    <w:rsid w:val="00EA3CE8"/>
    <w:rsid w:val="00EA3DE6"/>
    <w:rsid w:val="00EA3E28"/>
    <w:rsid w:val="00EA3EA5"/>
    <w:rsid w:val="00EA3EF4"/>
    <w:rsid w:val="00EA3EF8"/>
    <w:rsid w:val="00EA3EFA"/>
    <w:rsid w:val="00EA3FEE"/>
    <w:rsid w:val="00EA40F0"/>
    <w:rsid w:val="00EA4131"/>
    <w:rsid w:val="00EA4151"/>
    <w:rsid w:val="00EA4155"/>
    <w:rsid w:val="00EA421B"/>
    <w:rsid w:val="00EA4247"/>
    <w:rsid w:val="00EA4266"/>
    <w:rsid w:val="00EA43E9"/>
    <w:rsid w:val="00EA443C"/>
    <w:rsid w:val="00EA443D"/>
    <w:rsid w:val="00EA44B9"/>
    <w:rsid w:val="00EA459C"/>
    <w:rsid w:val="00EA4630"/>
    <w:rsid w:val="00EA46BD"/>
    <w:rsid w:val="00EA477C"/>
    <w:rsid w:val="00EA48BB"/>
    <w:rsid w:val="00EA498A"/>
    <w:rsid w:val="00EA498D"/>
    <w:rsid w:val="00EA49AB"/>
    <w:rsid w:val="00EA4A5D"/>
    <w:rsid w:val="00EA4B90"/>
    <w:rsid w:val="00EA4C38"/>
    <w:rsid w:val="00EA4C3A"/>
    <w:rsid w:val="00EA4D73"/>
    <w:rsid w:val="00EA4D9A"/>
    <w:rsid w:val="00EA4DBD"/>
    <w:rsid w:val="00EA4DBF"/>
    <w:rsid w:val="00EA4EAD"/>
    <w:rsid w:val="00EA4FF3"/>
    <w:rsid w:val="00EA501F"/>
    <w:rsid w:val="00EA502E"/>
    <w:rsid w:val="00EA5044"/>
    <w:rsid w:val="00EA50AB"/>
    <w:rsid w:val="00EA5190"/>
    <w:rsid w:val="00EA529F"/>
    <w:rsid w:val="00EA52C7"/>
    <w:rsid w:val="00EA52E6"/>
    <w:rsid w:val="00EA5309"/>
    <w:rsid w:val="00EA53DE"/>
    <w:rsid w:val="00EA5406"/>
    <w:rsid w:val="00EA55D3"/>
    <w:rsid w:val="00EA55F2"/>
    <w:rsid w:val="00EA58E0"/>
    <w:rsid w:val="00EA592D"/>
    <w:rsid w:val="00EA594B"/>
    <w:rsid w:val="00EA5952"/>
    <w:rsid w:val="00EA5DF5"/>
    <w:rsid w:val="00EA5E29"/>
    <w:rsid w:val="00EA5E94"/>
    <w:rsid w:val="00EA5EDA"/>
    <w:rsid w:val="00EA5FC9"/>
    <w:rsid w:val="00EA6113"/>
    <w:rsid w:val="00EA6227"/>
    <w:rsid w:val="00EA62E8"/>
    <w:rsid w:val="00EA6385"/>
    <w:rsid w:val="00EA63D3"/>
    <w:rsid w:val="00EA63DD"/>
    <w:rsid w:val="00EA63F1"/>
    <w:rsid w:val="00EA6481"/>
    <w:rsid w:val="00EA64FE"/>
    <w:rsid w:val="00EA661F"/>
    <w:rsid w:val="00EA666A"/>
    <w:rsid w:val="00EA675B"/>
    <w:rsid w:val="00EA67AF"/>
    <w:rsid w:val="00EA67C9"/>
    <w:rsid w:val="00EA6815"/>
    <w:rsid w:val="00EA684E"/>
    <w:rsid w:val="00EA6888"/>
    <w:rsid w:val="00EA68EF"/>
    <w:rsid w:val="00EA6994"/>
    <w:rsid w:val="00EA6AE3"/>
    <w:rsid w:val="00EA6B2B"/>
    <w:rsid w:val="00EA6B93"/>
    <w:rsid w:val="00EA6CA1"/>
    <w:rsid w:val="00EA6D53"/>
    <w:rsid w:val="00EA6EC1"/>
    <w:rsid w:val="00EA6FC9"/>
    <w:rsid w:val="00EA7081"/>
    <w:rsid w:val="00EA7112"/>
    <w:rsid w:val="00EA7129"/>
    <w:rsid w:val="00EA7183"/>
    <w:rsid w:val="00EA71CF"/>
    <w:rsid w:val="00EA7249"/>
    <w:rsid w:val="00EA73E6"/>
    <w:rsid w:val="00EA74FA"/>
    <w:rsid w:val="00EA750A"/>
    <w:rsid w:val="00EA7540"/>
    <w:rsid w:val="00EA7548"/>
    <w:rsid w:val="00EA7692"/>
    <w:rsid w:val="00EA7784"/>
    <w:rsid w:val="00EA77D0"/>
    <w:rsid w:val="00EA780C"/>
    <w:rsid w:val="00EA7846"/>
    <w:rsid w:val="00EA7848"/>
    <w:rsid w:val="00EA78E1"/>
    <w:rsid w:val="00EA792D"/>
    <w:rsid w:val="00EA79B2"/>
    <w:rsid w:val="00EA7A16"/>
    <w:rsid w:val="00EA7A83"/>
    <w:rsid w:val="00EA7AF3"/>
    <w:rsid w:val="00EA7BC9"/>
    <w:rsid w:val="00EA7C1E"/>
    <w:rsid w:val="00EA7D94"/>
    <w:rsid w:val="00EA7EF6"/>
    <w:rsid w:val="00EA7F40"/>
    <w:rsid w:val="00EA7F60"/>
    <w:rsid w:val="00EA7FA3"/>
    <w:rsid w:val="00EB0198"/>
    <w:rsid w:val="00EB0296"/>
    <w:rsid w:val="00EB0411"/>
    <w:rsid w:val="00EB047D"/>
    <w:rsid w:val="00EB057A"/>
    <w:rsid w:val="00EB0580"/>
    <w:rsid w:val="00EB075D"/>
    <w:rsid w:val="00EB07D3"/>
    <w:rsid w:val="00EB0910"/>
    <w:rsid w:val="00EB097C"/>
    <w:rsid w:val="00EB0A69"/>
    <w:rsid w:val="00EB0A89"/>
    <w:rsid w:val="00EB0B95"/>
    <w:rsid w:val="00EB0C11"/>
    <w:rsid w:val="00EB0D10"/>
    <w:rsid w:val="00EB0D35"/>
    <w:rsid w:val="00EB0DC2"/>
    <w:rsid w:val="00EB0EB3"/>
    <w:rsid w:val="00EB1037"/>
    <w:rsid w:val="00EB103A"/>
    <w:rsid w:val="00EB1154"/>
    <w:rsid w:val="00EB1201"/>
    <w:rsid w:val="00EB14FC"/>
    <w:rsid w:val="00EB1506"/>
    <w:rsid w:val="00EB15E1"/>
    <w:rsid w:val="00EB171E"/>
    <w:rsid w:val="00EB1785"/>
    <w:rsid w:val="00EB186A"/>
    <w:rsid w:val="00EB18EF"/>
    <w:rsid w:val="00EB1973"/>
    <w:rsid w:val="00EB1AAA"/>
    <w:rsid w:val="00EB1B9E"/>
    <w:rsid w:val="00EB1C26"/>
    <w:rsid w:val="00EB1CFC"/>
    <w:rsid w:val="00EB1D0C"/>
    <w:rsid w:val="00EB1E05"/>
    <w:rsid w:val="00EB1E9B"/>
    <w:rsid w:val="00EB1ECB"/>
    <w:rsid w:val="00EB1ECF"/>
    <w:rsid w:val="00EB1F1A"/>
    <w:rsid w:val="00EB1FAF"/>
    <w:rsid w:val="00EB209E"/>
    <w:rsid w:val="00EB212C"/>
    <w:rsid w:val="00EB2146"/>
    <w:rsid w:val="00EB21AF"/>
    <w:rsid w:val="00EB21D4"/>
    <w:rsid w:val="00EB21FF"/>
    <w:rsid w:val="00EB2221"/>
    <w:rsid w:val="00EB230A"/>
    <w:rsid w:val="00EB2368"/>
    <w:rsid w:val="00EB242F"/>
    <w:rsid w:val="00EB25E1"/>
    <w:rsid w:val="00EB2768"/>
    <w:rsid w:val="00EB278A"/>
    <w:rsid w:val="00EB2896"/>
    <w:rsid w:val="00EB28EF"/>
    <w:rsid w:val="00EB293A"/>
    <w:rsid w:val="00EB2A15"/>
    <w:rsid w:val="00EB2A31"/>
    <w:rsid w:val="00EB2B8B"/>
    <w:rsid w:val="00EB2C64"/>
    <w:rsid w:val="00EB2C81"/>
    <w:rsid w:val="00EB2F11"/>
    <w:rsid w:val="00EB302D"/>
    <w:rsid w:val="00EB3062"/>
    <w:rsid w:val="00EB3074"/>
    <w:rsid w:val="00EB3091"/>
    <w:rsid w:val="00EB309A"/>
    <w:rsid w:val="00EB3298"/>
    <w:rsid w:val="00EB32F6"/>
    <w:rsid w:val="00EB3347"/>
    <w:rsid w:val="00EB33F9"/>
    <w:rsid w:val="00EB34AD"/>
    <w:rsid w:val="00EB35B5"/>
    <w:rsid w:val="00EB35B7"/>
    <w:rsid w:val="00EB35F5"/>
    <w:rsid w:val="00EB3678"/>
    <w:rsid w:val="00EB368B"/>
    <w:rsid w:val="00EB36DE"/>
    <w:rsid w:val="00EB36F6"/>
    <w:rsid w:val="00EB371D"/>
    <w:rsid w:val="00EB3730"/>
    <w:rsid w:val="00EB37B4"/>
    <w:rsid w:val="00EB37F6"/>
    <w:rsid w:val="00EB3814"/>
    <w:rsid w:val="00EB38E9"/>
    <w:rsid w:val="00EB38F3"/>
    <w:rsid w:val="00EB392E"/>
    <w:rsid w:val="00EB3A2B"/>
    <w:rsid w:val="00EB3AF4"/>
    <w:rsid w:val="00EB3B82"/>
    <w:rsid w:val="00EB3BC0"/>
    <w:rsid w:val="00EB3BC3"/>
    <w:rsid w:val="00EB3F29"/>
    <w:rsid w:val="00EB3FA6"/>
    <w:rsid w:val="00EB3FAB"/>
    <w:rsid w:val="00EB3FBC"/>
    <w:rsid w:val="00EB40FB"/>
    <w:rsid w:val="00EB414C"/>
    <w:rsid w:val="00EB4195"/>
    <w:rsid w:val="00EB42A9"/>
    <w:rsid w:val="00EB435E"/>
    <w:rsid w:val="00EB447F"/>
    <w:rsid w:val="00EB4516"/>
    <w:rsid w:val="00EB451F"/>
    <w:rsid w:val="00EB45E9"/>
    <w:rsid w:val="00EB461E"/>
    <w:rsid w:val="00EB46AD"/>
    <w:rsid w:val="00EB4798"/>
    <w:rsid w:val="00EB48BE"/>
    <w:rsid w:val="00EB48FB"/>
    <w:rsid w:val="00EB49CD"/>
    <w:rsid w:val="00EB4A1F"/>
    <w:rsid w:val="00EB4A20"/>
    <w:rsid w:val="00EB4B56"/>
    <w:rsid w:val="00EB4B9D"/>
    <w:rsid w:val="00EB4BC9"/>
    <w:rsid w:val="00EB4D22"/>
    <w:rsid w:val="00EB4DC8"/>
    <w:rsid w:val="00EB4E3C"/>
    <w:rsid w:val="00EB4EC6"/>
    <w:rsid w:val="00EB4F4C"/>
    <w:rsid w:val="00EB503A"/>
    <w:rsid w:val="00EB5361"/>
    <w:rsid w:val="00EB5418"/>
    <w:rsid w:val="00EB54A2"/>
    <w:rsid w:val="00EB5583"/>
    <w:rsid w:val="00EB55D6"/>
    <w:rsid w:val="00EB5655"/>
    <w:rsid w:val="00EB5664"/>
    <w:rsid w:val="00EB568F"/>
    <w:rsid w:val="00EB5709"/>
    <w:rsid w:val="00EB5785"/>
    <w:rsid w:val="00EB57CD"/>
    <w:rsid w:val="00EB58CD"/>
    <w:rsid w:val="00EB599E"/>
    <w:rsid w:val="00EB5A80"/>
    <w:rsid w:val="00EB5B2A"/>
    <w:rsid w:val="00EB5B4C"/>
    <w:rsid w:val="00EB5BCA"/>
    <w:rsid w:val="00EB5CD1"/>
    <w:rsid w:val="00EB5E56"/>
    <w:rsid w:val="00EB5F97"/>
    <w:rsid w:val="00EB5FE5"/>
    <w:rsid w:val="00EB6049"/>
    <w:rsid w:val="00EB60F6"/>
    <w:rsid w:val="00EB621D"/>
    <w:rsid w:val="00EB6269"/>
    <w:rsid w:val="00EB62CB"/>
    <w:rsid w:val="00EB6345"/>
    <w:rsid w:val="00EB6396"/>
    <w:rsid w:val="00EB63BA"/>
    <w:rsid w:val="00EB63F4"/>
    <w:rsid w:val="00EB64F4"/>
    <w:rsid w:val="00EB6532"/>
    <w:rsid w:val="00EB661A"/>
    <w:rsid w:val="00EB66CC"/>
    <w:rsid w:val="00EB6716"/>
    <w:rsid w:val="00EB6729"/>
    <w:rsid w:val="00EB6754"/>
    <w:rsid w:val="00EB6765"/>
    <w:rsid w:val="00EB678E"/>
    <w:rsid w:val="00EB67BE"/>
    <w:rsid w:val="00EB683D"/>
    <w:rsid w:val="00EB68BB"/>
    <w:rsid w:val="00EB68C3"/>
    <w:rsid w:val="00EB68D2"/>
    <w:rsid w:val="00EB68F9"/>
    <w:rsid w:val="00EB699F"/>
    <w:rsid w:val="00EB6A43"/>
    <w:rsid w:val="00EB6A95"/>
    <w:rsid w:val="00EB6AC5"/>
    <w:rsid w:val="00EB6ACA"/>
    <w:rsid w:val="00EB6ADB"/>
    <w:rsid w:val="00EB6C6E"/>
    <w:rsid w:val="00EB6C89"/>
    <w:rsid w:val="00EB6E5C"/>
    <w:rsid w:val="00EB6E80"/>
    <w:rsid w:val="00EB6EE4"/>
    <w:rsid w:val="00EB6FCB"/>
    <w:rsid w:val="00EB70A6"/>
    <w:rsid w:val="00EB710E"/>
    <w:rsid w:val="00EB7155"/>
    <w:rsid w:val="00EB71A2"/>
    <w:rsid w:val="00EB720E"/>
    <w:rsid w:val="00EB7243"/>
    <w:rsid w:val="00EB724B"/>
    <w:rsid w:val="00EB7415"/>
    <w:rsid w:val="00EB7424"/>
    <w:rsid w:val="00EB7432"/>
    <w:rsid w:val="00EB7501"/>
    <w:rsid w:val="00EB753A"/>
    <w:rsid w:val="00EB779D"/>
    <w:rsid w:val="00EB77F8"/>
    <w:rsid w:val="00EB7947"/>
    <w:rsid w:val="00EB7B4A"/>
    <w:rsid w:val="00EB7B8A"/>
    <w:rsid w:val="00EB7BC3"/>
    <w:rsid w:val="00EB7DE5"/>
    <w:rsid w:val="00EB7E8B"/>
    <w:rsid w:val="00EC01F1"/>
    <w:rsid w:val="00EC0211"/>
    <w:rsid w:val="00EC0227"/>
    <w:rsid w:val="00EC0299"/>
    <w:rsid w:val="00EC0341"/>
    <w:rsid w:val="00EC03BF"/>
    <w:rsid w:val="00EC03DA"/>
    <w:rsid w:val="00EC04B6"/>
    <w:rsid w:val="00EC04E4"/>
    <w:rsid w:val="00EC0504"/>
    <w:rsid w:val="00EC0622"/>
    <w:rsid w:val="00EC0641"/>
    <w:rsid w:val="00EC0642"/>
    <w:rsid w:val="00EC078F"/>
    <w:rsid w:val="00EC07DD"/>
    <w:rsid w:val="00EC095D"/>
    <w:rsid w:val="00EC0981"/>
    <w:rsid w:val="00EC099F"/>
    <w:rsid w:val="00EC0AD2"/>
    <w:rsid w:val="00EC0C8C"/>
    <w:rsid w:val="00EC0CC2"/>
    <w:rsid w:val="00EC0D9A"/>
    <w:rsid w:val="00EC0EB3"/>
    <w:rsid w:val="00EC0EF0"/>
    <w:rsid w:val="00EC0F02"/>
    <w:rsid w:val="00EC0F13"/>
    <w:rsid w:val="00EC0F2B"/>
    <w:rsid w:val="00EC0F3C"/>
    <w:rsid w:val="00EC0F5B"/>
    <w:rsid w:val="00EC0FCB"/>
    <w:rsid w:val="00EC1017"/>
    <w:rsid w:val="00EC10C5"/>
    <w:rsid w:val="00EC12BE"/>
    <w:rsid w:val="00EC1309"/>
    <w:rsid w:val="00EC13DB"/>
    <w:rsid w:val="00EC14CC"/>
    <w:rsid w:val="00EC150D"/>
    <w:rsid w:val="00EC1510"/>
    <w:rsid w:val="00EC1527"/>
    <w:rsid w:val="00EC1563"/>
    <w:rsid w:val="00EC16BC"/>
    <w:rsid w:val="00EC1888"/>
    <w:rsid w:val="00EC18C9"/>
    <w:rsid w:val="00EC19D4"/>
    <w:rsid w:val="00EC1B0D"/>
    <w:rsid w:val="00EC1B13"/>
    <w:rsid w:val="00EC1B44"/>
    <w:rsid w:val="00EC1B50"/>
    <w:rsid w:val="00EC1B68"/>
    <w:rsid w:val="00EC1CCF"/>
    <w:rsid w:val="00EC1D1D"/>
    <w:rsid w:val="00EC1D31"/>
    <w:rsid w:val="00EC1D69"/>
    <w:rsid w:val="00EC1DB1"/>
    <w:rsid w:val="00EC1DC4"/>
    <w:rsid w:val="00EC1ED2"/>
    <w:rsid w:val="00EC20A7"/>
    <w:rsid w:val="00EC2193"/>
    <w:rsid w:val="00EC21A1"/>
    <w:rsid w:val="00EC21FE"/>
    <w:rsid w:val="00EC2254"/>
    <w:rsid w:val="00EC2271"/>
    <w:rsid w:val="00EC22BB"/>
    <w:rsid w:val="00EC22D5"/>
    <w:rsid w:val="00EC232A"/>
    <w:rsid w:val="00EC256A"/>
    <w:rsid w:val="00EC25EF"/>
    <w:rsid w:val="00EC27A3"/>
    <w:rsid w:val="00EC280D"/>
    <w:rsid w:val="00EC296F"/>
    <w:rsid w:val="00EC29A4"/>
    <w:rsid w:val="00EC2A77"/>
    <w:rsid w:val="00EC2A86"/>
    <w:rsid w:val="00EC2AA6"/>
    <w:rsid w:val="00EC2AED"/>
    <w:rsid w:val="00EC2B4C"/>
    <w:rsid w:val="00EC2B86"/>
    <w:rsid w:val="00EC2C50"/>
    <w:rsid w:val="00EC2CAA"/>
    <w:rsid w:val="00EC2D24"/>
    <w:rsid w:val="00EC2DA6"/>
    <w:rsid w:val="00EC2E23"/>
    <w:rsid w:val="00EC2EE1"/>
    <w:rsid w:val="00EC3002"/>
    <w:rsid w:val="00EC3008"/>
    <w:rsid w:val="00EC3052"/>
    <w:rsid w:val="00EC3305"/>
    <w:rsid w:val="00EC33A1"/>
    <w:rsid w:val="00EC33B5"/>
    <w:rsid w:val="00EC348B"/>
    <w:rsid w:val="00EC34AA"/>
    <w:rsid w:val="00EC351F"/>
    <w:rsid w:val="00EC354A"/>
    <w:rsid w:val="00EC36FC"/>
    <w:rsid w:val="00EC37F3"/>
    <w:rsid w:val="00EC38E2"/>
    <w:rsid w:val="00EC3932"/>
    <w:rsid w:val="00EC39DA"/>
    <w:rsid w:val="00EC3A8E"/>
    <w:rsid w:val="00EC3C11"/>
    <w:rsid w:val="00EC3C51"/>
    <w:rsid w:val="00EC3D13"/>
    <w:rsid w:val="00EC3D88"/>
    <w:rsid w:val="00EC3E3E"/>
    <w:rsid w:val="00EC3FC0"/>
    <w:rsid w:val="00EC4026"/>
    <w:rsid w:val="00EC40DC"/>
    <w:rsid w:val="00EC4166"/>
    <w:rsid w:val="00EC4174"/>
    <w:rsid w:val="00EC41DD"/>
    <w:rsid w:val="00EC423D"/>
    <w:rsid w:val="00EC4288"/>
    <w:rsid w:val="00EC42AE"/>
    <w:rsid w:val="00EC4347"/>
    <w:rsid w:val="00EC4363"/>
    <w:rsid w:val="00EC4419"/>
    <w:rsid w:val="00EC441E"/>
    <w:rsid w:val="00EC444A"/>
    <w:rsid w:val="00EC448B"/>
    <w:rsid w:val="00EC4502"/>
    <w:rsid w:val="00EC4548"/>
    <w:rsid w:val="00EC45F9"/>
    <w:rsid w:val="00EC4645"/>
    <w:rsid w:val="00EC4961"/>
    <w:rsid w:val="00EC49EA"/>
    <w:rsid w:val="00EC4A29"/>
    <w:rsid w:val="00EC4AC5"/>
    <w:rsid w:val="00EC4B4B"/>
    <w:rsid w:val="00EC4CC1"/>
    <w:rsid w:val="00EC4CC3"/>
    <w:rsid w:val="00EC4DFF"/>
    <w:rsid w:val="00EC4E2A"/>
    <w:rsid w:val="00EC4E59"/>
    <w:rsid w:val="00EC4EAF"/>
    <w:rsid w:val="00EC4EDB"/>
    <w:rsid w:val="00EC4EEF"/>
    <w:rsid w:val="00EC4FCD"/>
    <w:rsid w:val="00EC5059"/>
    <w:rsid w:val="00EC511A"/>
    <w:rsid w:val="00EC51E9"/>
    <w:rsid w:val="00EC5231"/>
    <w:rsid w:val="00EC5296"/>
    <w:rsid w:val="00EC53AB"/>
    <w:rsid w:val="00EC5418"/>
    <w:rsid w:val="00EC5493"/>
    <w:rsid w:val="00EC54CD"/>
    <w:rsid w:val="00EC556A"/>
    <w:rsid w:val="00EC55E2"/>
    <w:rsid w:val="00EC577B"/>
    <w:rsid w:val="00EC5794"/>
    <w:rsid w:val="00EC580A"/>
    <w:rsid w:val="00EC58C2"/>
    <w:rsid w:val="00EC58CD"/>
    <w:rsid w:val="00EC59DD"/>
    <w:rsid w:val="00EC5ABD"/>
    <w:rsid w:val="00EC5ACE"/>
    <w:rsid w:val="00EC5B02"/>
    <w:rsid w:val="00EC5BE1"/>
    <w:rsid w:val="00EC5CFC"/>
    <w:rsid w:val="00EC5D25"/>
    <w:rsid w:val="00EC5DB0"/>
    <w:rsid w:val="00EC5E0E"/>
    <w:rsid w:val="00EC5EBF"/>
    <w:rsid w:val="00EC5F4D"/>
    <w:rsid w:val="00EC6121"/>
    <w:rsid w:val="00EC6135"/>
    <w:rsid w:val="00EC6149"/>
    <w:rsid w:val="00EC6224"/>
    <w:rsid w:val="00EC6252"/>
    <w:rsid w:val="00EC62DE"/>
    <w:rsid w:val="00EC6350"/>
    <w:rsid w:val="00EC6365"/>
    <w:rsid w:val="00EC63A8"/>
    <w:rsid w:val="00EC643E"/>
    <w:rsid w:val="00EC6493"/>
    <w:rsid w:val="00EC64CD"/>
    <w:rsid w:val="00EC6603"/>
    <w:rsid w:val="00EC6613"/>
    <w:rsid w:val="00EC6733"/>
    <w:rsid w:val="00EC675A"/>
    <w:rsid w:val="00EC6919"/>
    <w:rsid w:val="00EC6972"/>
    <w:rsid w:val="00EC6ABD"/>
    <w:rsid w:val="00EC6BF6"/>
    <w:rsid w:val="00EC6C3A"/>
    <w:rsid w:val="00EC6C63"/>
    <w:rsid w:val="00EC6CC9"/>
    <w:rsid w:val="00EC6CD3"/>
    <w:rsid w:val="00EC6D46"/>
    <w:rsid w:val="00EC6D6B"/>
    <w:rsid w:val="00EC6D8D"/>
    <w:rsid w:val="00EC6DA3"/>
    <w:rsid w:val="00EC6E9A"/>
    <w:rsid w:val="00EC6EE8"/>
    <w:rsid w:val="00EC6F02"/>
    <w:rsid w:val="00EC6F22"/>
    <w:rsid w:val="00EC6F5A"/>
    <w:rsid w:val="00EC703D"/>
    <w:rsid w:val="00EC70F7"/>
    <w:rsid w:val="00EC718D"/>
    <w:rsid w:val="00EC71A5"/>
    <w:rsid w:val="00EC71FC"/>
    <w:rsid w:val="00EC72E5"/>
    <w:rsid w:val="00EC72FA"/>
    <w:rsid w:val="00EC747F"/>
    <w:rsid w:val="00EC74A4"/>
    <w:rsid w:val="00EC74DA"/>
    <w:rsid w:val="00EC7503"/>
    <w:rsid w:val="00EC7523"/>
    <w:rsid w:val="00EC75DC"/>
    <w:rsid w:val="00EC7615"/>
    <w:rsid w:val="00EC7699"/>
    <w:rsid w:val="00EC76AA"/>
    <w:rsid w:val="00EC76AF"/>
    <w:rsid w:val="00EC7721"/>
    <w:rsid w:val="00EC781B"/>
    <w:rsid w:val="00EC783E"/>
    <w:rsid w:val="00EC7898"/>
    <w:rsid w:val="00EC78A2"/>
    <w:rsid w:val="00EC7B09"/>
    <w:rsid w:val="00EC7B4D"/>
    <w:rsid w:val="00EC7D87"/>
    <w:rsid w:val="00EC7F28"/>
    <w:rsid w:val="00ED0060"/>
    <w:rsid w:val="00ED00F4"/>
    <w:rsid w:val="00ED0123"/>
    <w:rsid w:val="00ED019E"/>
    <w:rsid w:val="00ED0250"/>
    <w:rsid w:val="00ED0336"/>
    <w:rsid w:val="00ED038E"/>
    <w:rsid w:val="00ED0402"/>
    <w:rsid w:val="00ED059F"/>
    <w:rsid w:val="00ED05D4"/>
    <w:rsid w:val="00ED0653"/>
    <w:rsid w:val="00ED0658"/>
    <w:rsid w:val="00ED0755"/>
    <w:rsid w:val="00ED08DB"/>
    <w:rsid w:val="00ED0A0F"/>
    <w:rsid w:val="00ED0C6B"/>
    <w:rsid w:val="00ED0E9C"/>
    <w:rsid w:val="00ED0EC2"/>
    <w:rsid w:val="00ED0F50"/>
    <w:rsid w:val="00ED13A5"/>
    <w:rsid w:val="00ED13D3"/>
    <w:rsid w:val="00ED1434"/>
    <w:rsid w:val="00ED14A1"/>
    <w:rsid w:val="00ED151E"/>
    <w:rsid w:val="00ED156F"/>
    <w:rsid w:val="00ED157F"/>
    <w:rsid w:val="00ED164D"/>
    <w:rsid w:val="00ED1692"/>
    <w:rsid w:val="00ED16FB"/>
    <w:rsid w:val="00ED1719"/>
    <w:rsid w:val="00ED172C"/>
    <w:rsid w:val="00ED176F"/>
    <w:rsid w:val="00ED1912"/>
    <w:rsid w:val="00ED1A9F"/>
    <w:rsid w:val="00ED1B2F"/>
    <w:rsid w:val="00ED1C1B"/>
    <w:rsid w:val="00ED1C5E"/>
    <w:rsid w:val="00ED1C97"/>
    <w:rsid w:val="00ED1D80"/>
    <w:rsid w:val="00ED1F74"/>
    <w:rsid w:val="00ED1FA4"/>
    <w:rsid w:val="00ED1FA6"/>
    <w:rsid w:val="00ED2062"/>
    <w:rsid w:val="00ED20D9"/>
    <w:rsid w:val="00ED2105"/>
    <w:rsid w:val="00ED2144"/>
    <w:rsid w:val="00ED2183"/>
    <w:rsid w:val="00ED21BB"/>
    <w:rsid w:val="00ED2389"/>
    <w:rsid w:val="00ED2489"/>
    <w:rsid w:val="00ED2540"/>
    <w:rsid w:val="00ED259A"/>
    <w:rsid w:val="00ED2614"/>
    <w:rsid w:val="00ED266C"/>
    <w:rsid w:val="00ED2706"/>
    <w:rsid w:val="00ED27C8"/>
    <w:rsid w:val="00ED2867"/>
    <w:rsid w:val="00ED287D"/>
    <w:rsid w:val="00ED2929"/>
    <w:rsid w:val="00ED2AA0"/>
    <w:rsid w:val="00ED2B30"/>
    <w:rsid w:val="00ED2BAF"/>
    <w:rsid w:val="00ED2C3A"/>
    <w:rsid w:val="00ED2D22"/>
    <w:rsid w:val="00ED2D50"/>
    <w:rsid w:val="00ED2E2D"/>
    <w:rsid w:val="00ED2EEE"/>
    <w:rsid w:val="00ED2F7A"/>
    <w:rsid w:val="00ED3045"/>
    <w:rsid w:val="00ED30F8"/>
    <w:rsid w:val="00ED319A"/>
    <w:rsid w:val="00ED33A9"/>
    <w:rsid w:val="00ED345B"/>
    <w:rsid w:val="00ED355C"/>
    <w:rsid w:val="00ED357F"/>
    <w:rsid w:val="00ED358C"/>
    <w:rsid w:val="00ED35BC"/>
    <w:rsid w:val="00ED36C6"/>
    <w:rsid w:val="00ED36CA"/>
    <w:rsid w:val="00ED3791"/>
    <w:rsid w:val="00ED3841"/>
    <w:rsid w:val="00ED385A"/>
    <w:rsid w:val="00ED389E"/>
    <w:rsid w:val="00ED393E"/>
    <w:rsid w:val="00ED3960"/>
    <w:rsid w:val="00ED3986"/>
    <w:rsid w:val="00ED3987"/>
    <w:rsid w:val="00ED39F4"/>
    <w:rsid w:val="00ED3C02"/>
    <w:rsid w:val="00ED3C35"/>
    <w:rsid w:val="00ED3C8D"/>
    <w:rsid w:val="00ED3C94"/>
    <w:rsid w:val="00ED3CBE"/>
    <w:rsid w:val="00ED3DCD"/>
    <w:rsid w:val="00ED3E02"/>
    <w:rsid w:val="00ED3F13"/>
    <w:rsid w:val="00ED3FFC"/>
    <w:rsid w:val="00ED4082"/>
    <w:rsid w:val="00ED4217"/>
    <w:rsid w:val="00ED42DA"/>
    <w:rsid w:val="00ED4327"/>
    <w:rsid w:val="00ED4409"/>
    <w:rsid w:val="00ED4525"/>
    <w:rsid w:val="00ED4597"/>
    <w:rsid w:val="00ED4623"/>
    <w:rsid w:val="00ED47A8"/>
    <w:rsid w:val="00ED47BA"/>
    <w:rsid w:val="00ED47F5"/>
    <w:rsid w:val="00ED498B"/>
    <w:rsid w:val="00ED4A06"/>
    <w:rsid w:val="00ED4B10"/>
    <w:rsid w:val="00ED4B60"/>
    <w:rsid w:val="00ED4C6C"/>
    <w:rsid w:val="00ED4D13"/>
    <w:rsid w:val="00ED4D8C"/>
    <w:rsid w:val="00ED4D99"/>
    <w:rsid w:val="00ED4E99"/>
    <w:rsid w:val="00ED4F85"/>
    <w:rsid w:val="00ED4FA3"/>
    <w:rsid w:val="00ED5021"/>
    <w:rsid w:val="00ED505E"/>
    <w:rsid w:val="00ED508B"/>
    <w:rsid w:val="00ED518B"/>
    <w:rsid w:val="00ED5237"/>
    <w:rsid w:val="00ED5342"/>
    <w:rsid w:val="00ED53BF"/>
    <w:rsid w:val="00ED5424"/>
    <w:rsid w:val="00ED5486"/>
    <w:rsid w:val="00ED54A7"/>
    <w:rsid w:val="00ED55A3"/>
    <w:rsid w:val="00ED567F"/>
    <w:rsid w:val="00ED5714"/>
    <w:rsid w:val="00ED5722"/>
    <w:rsid w:val="00ED5835"/>
    <w:rsid w:val="00ED5889"/>
    <w:rsid w:val="00ED59A7"/>
    <w:rsid w:val="00ED5AFF"/>
    <w:rsid w:val="00ED5B14"/>
    <w:rsid w:val="00ED5B79"/>
    <w:rsid w:val="00ED5BCB"/>
    <w:rsid w:val="00ED5BE5"/>
    <w:rsid w:val="00ED5C18"/>
    <w:rsid w:val="00ED5C79"/>
    <w:rsid w:val="00ED5D90"/>
    <w:rsid w:val="00ED5DA5"/>
    <w:rsid w:val="00ED5DDE"/>
    <w:rsid w:val="00ED5E41"/>
    <w:rsid w:val="00ED5F84"/>
    <w:rsid w:val="00ED5F92"/>
    <w:rsid w:val="00ED61E3"/>
    <w:rsid w:val="00ED62C2"/>
    <w:rsid w:val="00ED632B"/>
    <w:rsid w:val="00ED634E"/>
    <w:rsid w:val="00ED6375"/>
    <w:rsid w:val="00ED63F1"/>
    <w:rsid w:val="00ED67E8"/>
    <w:rsid w:val="00ED698F"/>
    <w:rsid w:val="00ED69AF"/>
    <w:rsid w:val="00ED6A4C"/>
    <w:rsid w:val="00ED6B8C"/>
    <w:rsid w:val="00ED6C5F"/>
    <w:rsid w:val="00ED6C61"/>
    <w:rsid w:val="00ED6C7E"/>
    <w:rsid w:val="00ED6CD7"/>
    <w:rsid w:val="00ED6CF4"/>
    <w:rsid w:val="00ED6D2B"/>
    <w:rsid w:val="00ED6D32"/>
    <w:rsid w:val="00ED6F26"/>
    <w:rsid w:val="00ED7036"/>
    <w:rsid w:val="00ED7053"/>
    <w:rsid w:val="00ED714F"/>
    <w:rsid w:val="00ED7202"/>
    <w:rsid w:val="00ED72BF"/>
    <w:rsid w:val="00ED7396"/>
    <w:rsid w:val="00ED74A5"/>
    <w:rsid w:val="00ED7631"/>
    <w:rsid w:val="00ED76A2"/>
    <w:rsid w:val="00ED76CE"/>
    <w:rsid w:val="00ED773D"/>
    <w:rsid w:val="00ED776B"/>
    <w:rsid w:val="00ED778A"/>
    <w:rsid w:val="00ED77B6"/>
    <w:rsid w:val="00ED785B"/>
    <w:rsid w:val="00ED788D"/>
    <w:rsid w:val="00ED78C3"/>
    <w:rsid w:val="00ED7DD2"/>
    <w:rsid w:val="00ED7DF1"/>
    <w:rsid w:val="00ED7E1D"/>
    <w:rsid w:val="00ED7E24"/>
    <w:rsid w:val="00ED7ED2"/>
    <w:rsid w:val="00ED7F22"/>
    <w:rsid w:val="00ED7F2E"/>
    <w:rsid w:val="00ED7FAA"/>
    <w:rsid w:val="00ED7FDD"/>
    <w:rsid w:val="00EE00E0"/>
    <w:rsid w:val="00EE01A6"/>
    <w:rsid w:val="00EE0303"/>
    <w:rsid w:val="00EE050C"/>
    <w:rsid w:val="00EE08EB"/>
    <w:rsid w:val="00EE096B"/>
    <w:rsid w:val="00EE0AC2"/>
    <w:rsid w:val="00EE0B2D"/>
    <w:rsid w:val="00EE0BE5"/>
    <w:rsid w:val="00EE0C4F"/>
    <w:rsid w:val="00EE0C9B"/>
    <w:rsid w:val="00EE0CC9"/>
    <w:rsid w:val="00EE0CE5"/>
    <w:rsid w:val="00EE0D52"/>
    <w:rsid w:val="00EE0D54"/>
    <w:rsid w:val="00EE0DCE"/>
    <w:rsid w:val="00EE0E3B"/>
    <w:rsid w:val="00EE0EC4"/>
    <w:rsid w:val="00EE0EF9"/>
    <w:rsid w:val="00EE0F05"/>
    <w:rsid w:val="00EE1079"/>
    <w:rsid w:val="00EE10F5"/>
    <w:rsid w:val="00EE11E4"/>
    <w:rsid w:val="00EE12B7"/>
    <w:rsid w:val="00EE1304"/>
    <w:rsid w:val="00EE1350"/>
    <w:rsid w:val="00EE1357"/>
    <w:rsid w:val="00EE1382"/>
    <w:rsid w:val="00EE1469"/>
    <w:rsid w:val="00EE15C4"/>
    <w:rsid w:val="00EE1646"/>
    <w:rsid w:val="00EE16D4"/>
    <w:rsid w:val="00EE173B"/>
    <w:rsid w:val="00EE1848"/>
    <w:rsid w:val="00EE1A24"/>
    <w:rsid w:val="00EE1A79"/>
    <w:rsid w:val="00EE1A9B"/>
    <w:rsid w:val="00EE1ACE"/>
    <w:rsid w:val="00EE1C50"/>
    <w:rsid w:val="00EE1C65"/>
    <w:rsid w:val="00EE1F85"/>
    <w:rsid w:val="00EE2191"/>
    <w:rsid w:val="00EE2237"/>
    <w:rsid w:val="00EE248D"/>
    <w:rsid w:val="00EE24EE"/>
    <w:rsid w:val="00EE2526"/>
    <w:rsid w:val="00EE2528"/>
    <w:rsid w:val="00EE2687"/>
    <w:rsid w:val="00EE269A"/>
    <w:rsid w:val="00EE279D"/>
    <w:rsid w:val="00EE27A3"/>
    <w:rsid w:val="00EE27C4"/>
    <w:rsid w:val="00EE294D"/>
    <w:rsid w:val="00EE2A5D"/>
    <w:rsid w:val="00EE2A78"/>
    <w:rsid w:val="00EE2ABB"/>
    <w:rsid w:val="00EE2B20"/>
    <w:rsid w:val="00EE2BB0"/>
    <w:rsid w:val="00EE2C87"/>
    <w:rsid w:val="00EE2CAE"/>
    <w:rsid w:val="00EE2D66"/>
    <w:rsid w:val="00EE2E24"/>
    <w:rsid w:val="00EE2ED2"/>
    <w:rsid w:val="00EE2EF5"/>
    <w:rsid w:val="00EE2F48"/>
    <w:rsid w:val="00EE305D"/>
    <w:rsid w:val="00EE3087"/>
    <w:rsid w:val="00EE3225"/>
    <w:rsid w:val="00EE3268"/>
    <w:rsid w:val="00EE327D"/>
    <w:rsid w:val="00EE335B"/>
    <w:rsid w:val="00EE3444"/>
    <w:rsid w:val="00EE34D3"/>
    <w:rsid w:val="00EE3506"/>
    <w:rsid w:val="00EE3579"/>
    <w:rsid w:val="00EE35BB"/>
    <w:rsid w:val="00EE367B"/>
    <w:rsid w:val="00EE36F2"/>
    <w:rsid w:val="00EE37B7"/>
    <w:rsid w:val="00EE38BD"/>
    <w:rsid w:val="00EE39E8"/>
    <w:rsid w:val="00EE3AE7"/>
    <w:rsid w:val="00EE3B11"/>
    <w:rsid w:val="00EE3B6A"/>
    <w:rsid w:val="00EE3B78"/>
    <w:rsid w:val="00EE3BC1"/>
    <w:rsid w:val="00EE3BCF"/>
    <w:rsid w:val="00EE3BD5"/>
    <w:rsid w:val="00EE3CE1"/>
    <w:rsid w:val="00EE3E67"/>
    <w:rsid w:val="00EE3F83"/>
    <w:rsid w:val="00EE419F"/>
    <w:rsid w:val="00EE4210"/>
    <w:rsid w:val="00EE421D"/>
    <w:rsid w:val="00EE42D6"/>
    <w:rsid w:val="00EE4323"/>
    <w:rsid w:val="00EE4355"/>
    <w:rsid w:val="00EE43C6"/>
    <w:rsid w:val="00EE43DC"/>
    <w:rsid w:val="00EE44DB"/>
    <w:rsid w:val="00EE452D"/>
    <w:rsid w:val="00EE46BF"/>
    <w:rsid w:val="00EE470B"/>
    <w:rsid w:val="00EE47D4"/>
    <w:rsid w:val="00EE47FD"/>
    <w:rsid w:val="00EE4820"/>
    <w:rsid w:val="00EE48ED"/>
    <w:rsid w:val="00EE4964"/>
    <w:rsid w:val="00EE49B1"/>
    <w:rsid w:val="00EE4A5A"/>
    <w:rsid w:val="00EE4A6B"/>
    <w:rsid w:val="00EE4CA3"/>
    <w:rsid w:val="00EE4CCD"/>
    <w:rsid w:val="00EE4D3A"/>
    <w:rsid w:val="00EE4D8E"/>
    <w:rsid w:val="00EE4E3A"/>
    <w:rsid w:val="00EE4EFC"/>
    <w:rsid w:val="00EE4F3C"/>
    <w:rsid w:val="00EE4F60"/>
    <w:rsid w:val="00EE4F73"/>
    <w:rsid w:val="00EE4F89"/>
    <w:rsid w:val="00EE4FBA"/>
    <w:rsid w:val="00EE51A3"/>
    <w:rsid w:val="00EE51AE"/>
    <w:rsid w:val="00EE5200"/>
    <w:rsid w:val="00EE524F"/>
    <w:rsid w:val="00EE5311"/>
    <w:rsid w:val="00EE546F"/>
    <w:rsid w:val="00EE5624"/>
    <w:rsid w:val="00EE56EA"/>
    <w:rsid w:val="00EE57A2"/>
    <w:rsid w:val="00EE5834"/>
    <w:rsid w:val="00EE5917"/>
    <w:rsid w:val="00EE5B2E"/>
    <w:rsid w:val="00EE5B5D"/>
    <w:rsid w:val="00EE5BAD"/>
    <w:rsid w:val="00EE5BED"/>
    <w:rsid w:val="00EE5CB3"/>
    <w:rsid w:val="00EE5CBB"/>
    <w:rsid w:val="00EE5D39"/>
    <w:rsid w:val="00EE5D99"/>
    <w:rsid w:val="00EE5DAE"/>
    <w:rsid w:val="00EE5E1B"/>
    <w:rsid w:val="00EE5EB0"/>
    <w:rsid w:val="00EE5F7D"/>
    <w:rsid w:val="00EE5FBF"/>
    <w:rsid w:val="00EE610D"/>
    <w:rsid w:val="00EE619C"/>
    <w:rsid w:val="00EE61A2"/>
    <w:rsid w:val="00EE621B"/>
    <w:rsid w:val="00EE6285"/>
    <w:rsid w:val="00EE628A"/>
    <w:rsid w:val="00EE632B"/>
    <w:rsid w:val="00EE6412"/>
    <w:rsid w:val="00EE6490"/>
    <w:rsid w:val="00EE6556"/>
    <w:rsid w:val="00EE6644"/>
    <w:rsid w:val="00EE66EA"/>
    <w:rsid w:val="00EE6739"/>
    <w:rsid w:val="00EE6790"/>
    <w:rsid w:val="00EE6803"/>
    <w:rsid w:val="00EE683D"/>
    <w:rsid w:val="00EE684B"/>
    <w:rsid w:val="00EE6934"/>
    <w:rsid w:val="00EE6989"/>
    <w:rsid w:val="00EE6A52"/>
    <w:rsid w:val="00EE6A75"/>
    <w:rsid w:val="00EE6BF5"/>
    <w:rsid w:val="00EE6DA9"/>
    <w:rsid w:val="00EE6DE6"/>
    <w:rsid w:val="00EE6E6B"/>
    <w:rsid w:val="00EE70A3"/>
    <w:rsid w:val="00EE70D0"/>
    <w:rsid w:val="00EE7131"/>
    <w:rsid w:val="00EE7134"/>
    <w:rsid w:val="00EE716F"/>
    <w:rsid w:val="00EE7220"/>
    <w:rsid w:val="00EE73FE"/>
    <w:rsid w:val="00EE7513"/>
    <w:rsid w:val="00EE752C"/>
    <w:rsid w:val="00EE7582"/>
    <w:rsid w:val="00EE75D6"/>
    <w:rsid w:val="00EE7634"/>
    <w:rsid w:val="00EE764D"/>
    <w:rsid w:val="00EE7664"/>
    <w:rsid w:val="00EE7686"/>
    <w:rsid w:val="00EE789D"/>
    <w:rsid w:val="00EE7B63"/>
    <w:rsid w:val="00EE7C0C"/>
    <w:rsid w:val="00EE7C2F"/>
    <w:rsid w:val="00EE7C6E"/>
    <w:rsid w:val="00EE7C75"/>
    <w:rsid w:val="00EE7C80"/>
    <w:rsid w:val="00EE7D13"/>
    <w:rsid w:val="00EE7DB1"/>
    <w:rsid w:val="00EE7EBA"/>
    <w:rsid w:val="00EE7EBC"/>
    <w:rsid w:val="00EF000A"/>
    <w:rsid w:val="00EF010B"/>
    <w:rsid w:val="00EF0121"/>
    <w:rsid w:val="00EF019F"/>
    <w:rsid w:val="00EF01D2"/>
    <w:rsid w:val="00EF0275"/>
    <w:rsid w:val="00EF02E5"/>
    <w:rsid w:val="00EF0333"/>
    <w:rsid w:val="00EF035A"/>
    <w:rsid w:val="00EF036A"/>
    <w:rsid w:val="00EF039E"/>
    <w:rsid w:val="00EF03CE"/>
    <w:rsid w:val="00EF03E2"/>
    <w:rsid w:val="00EF03EF"/>
    <w:rsid w:val="00EF0405"/>
    <w:rsid w:val="00EF042C"/>
    <w:rsid w:val="00EF0489"/>
    <w:rsid w:val="00EF048A"/>
    <w:rsid w:val="00EF048C"/>
    <w:rsid w:val="00EF04A3"/>
    <w:rsid w:val="00EF0502"/>
    <w:rsid w:val="00EF058F"/>
    <w:rsid w:val="00EF05E7"/>
    <w:rsid w:val="00EF0669"/>
    <w:rsid w:val="00EF06E1"/>
    <w:rsid w:val="00EF0772"/>
    <w:rsid w:val="00EF07E6"/>
    <w:rsid w:val="00EF0883"/>
    <w:rsid w:val="00EF08AD"/>
    <w:rsid w:val="00EF0925"/>
    <w:rsid w:val="00EF0979"/>
    <w:rsid w:val="00EF0A9B"/>
    <w:rsid w:val="00EF0BC7"/>
    <w:rsid w:val="00EF0D65"/>
    <w:rsid w:val="00EF0D6B"/>
    <w:rsid w:val="00EF0D71"/>
    <w:rsid w:val="00EF0D7C"/>
    <w:rsid w:val="00EF0DEE"/>
    <w:rsid w:val="00EF0E53"/>
    <w:rsid w:val="00EF0E76"/>
    <w:rsid w:val="00EF0F29"/>
    <w:rsid w:val="00EF0F65"/>
    <w:rsid w:val="00EF0F9F"/>
    <w:rsid w:val="00EF0FE1"/>
    <w:rsid w:val="00EF10CF"/>
    <w:rsid w:val="00EF1219"/>
    <w:rsid w:val="00EF128D"/>
    <w:rsid w:val="00EF12EA"/>
    <w:rsid w:val="00EF13AA"/>
    <w:rsid w:val="00EF145C"/>
    <w:rsid w:val="00EF14D8"/>
    <w:rsid w:val="00EF14FD"/>
    <w:rsid w:val="00EF1515"/>
    <w:rsid w:val="00EF1669"/>
    <w:rsid w:val="00EF168B"/>
    <w:rsid w:val="00EF1768"/>
    <w:rsid w:val="00EF1794"/>
    <w:rsid w:val="00EF179C"/>
    <w:rsid w:val="00EF1895"/>
    <w:rsid w:val="00EF18B4"/>
    <w:rsid w:val="00EF18B9"/>
    <w:rsid w:val="00EF1936"/>
    <w:rsid w:val="00EF196B"/>
    <w:rsid w:val="00EF1A3E"/>
    <w:rsid w:val="00EF1AD1"/>
    <w:rsid w:val="00EF1BD6"/>
    <w:rsid w:val="00EF1C8F"/>
    <w:rsid w:val="00EF1C9D"/>
    <w:rsid w:val="00EF1CA4"/>
    <w:rsid w:val="00EF1DD6"/>
    <w:rsid w:val="00EF1EA8"/>
    <w:rsid w:val="00EF1F50"/>
    <w:rsid w:val="00EF2161"/>
    <w:rsid w:val="00EF2187"/>
    <w:rsid w:val="00EF219B"/>
    <w:rsid w:val="00EF2289"/>
    <w:rsid w:val="00EF2307"/>
    <w:rsid w:val="00EF2392"/>
    <w:rsid w:val="00EF23C9"/>
    <w:rsid w:val="00EF2482"/>
    <w:rsid w:val="00EF255B"/>
    <w:rsid w:val="00EF269E"/>
    <w:rsid w:val="00EF26E2"/>
    <w:rsid w:val="00EF26EA"/>
    <w:rsid w:val="00EF2704"/>
    <w:rsid w:val="00EF28BB"/>
    <w:rsid w:val="00EF291A"/>
    <w:rsid w:val="00EF2A3D"/>
    <w:rsid w:val="00EF2A40"/>
    <w:rsid w:val="00EF2B86"/>
    <w:rsid w:val="00EF2BE9"/>
    <w:rsid w:val="00EF2C0D"/>
    <w:rsid w:val="00EF2C3F"/>
    <w:rsid w:val="00EF2C6D"/>
    <w:rsid w:val="00EF2CAB"/>
    <w:rsid w:val="00EF2CE4"/>
    <w:rsid w:val="00EF2D70"/>
    <w:rsid w:val="00EF2D71"/>
    <w:rsid w:val="00EF2EFB"/>
    <w:rsid w:val="00EF2F3B"/>
    <w:rsid w:val="00EF2F9B"/>
    <w:rsid w:val="00EF2FFE"/>
    <w:rsid w:val="00EF303B"/>
    <w:rsid w:val="00EF305F"/>
    <w:rsid w:val="00EF312A"/>
    <w:rsid w:val="00EF3205"/>
    <w:rsid w:val="00EF32BD"/>
    <w:rsid w:val="00EF337B"/>
    <w:rsid w:val="00EF34C0"/>
    <w:rsid w:val="00EF3544"/>
    <w:rsid w:val="00EF3620"/>
    <w:rsid w:val="00EF36EC"/>
    <w:rsid w:val="00EF3945"/>
    <w:rsid w:val="00EF39E2"/>
    <w:rsid w:val="00EF39FB"/>
    <w:rsid w:val="00EF3AC9"/>
    <w:rsid w:val="00EF3BB2"/>
    <w:rsid w:val="00EF3C6D"/>
    <w:rsid w:val="00EF3CB6"/>
    <w:rsid w:val="00EF3D14"/>
    <w:rsid w:val="00EF3DE5"/>
    <w:rsid w:val="00EF3E5C"/>
    <w:rsid w:val="00EF3EA1"/>
    <w:rsid w:val="00EF4086"/>
    <w:rsid w:val="00EF4090"/>
    <w:rsid w:val="00EF4091"/>
    <w:rsid w:val="00EF4109"/>
    <w:rsid w:val="00EF411F"/>
    <w:rsid w:val="00EF4133"/>
    <w:rsid w:val="00EF41A1"/>
    <w:rsid w:val="00EF4275"/>
    <w:rsid w:val="00EF4335"/>
    <w:rsid w:val="00EF433C"/>
    <w:rsid w:val="00EF4371"/>
    <w:rsid w:val="00EF43A8"/>
    <w:rsid w:val="00EF4450"/>
    <w:rsid w:val="00EF4497"/>
    <w:rsid w:val="00EF44E4"/>
    <w:rsid w:val="00EF4587"/>
    <w:rsid w:val="00EF465B"/>
    <w:rsid w:val="00EF46E7"/>
    <w:rsid w:val="00EF4702"/>
    <w:rsid w:val="00EF4764"/>
    <w:rsid w:val="00EF47D7"/>
    <w:rsid w:val="00EF481C"/>
    <w:rsid w:val="00EF48CF"/>
    <w:rsid w:val="00EF48D4"/>
    <w:rsid w:val="00EF48DF"/>
    <w:rsid w:val="00EF4A8A"/>
    <w:rsid w:val="00EF4C44"/>
    <w:rsid w:val="00EF4C9C"/>
    <w:rsid w:val="00EF4CA8"/>
    <w:rsid w:val="00EF4DD2"/>
    <w:rsid w:val="00EF4DDD"/>
    <w:rsid w:val="00EF4ED7"/>
    <w:rsid w:val="00EF4EFA"/>
    <w:rsid w:val="00EF5050"/>
    <w:rsid w:val="00EF511D"/>
    <w:rsid w:val="00EF512E"/>
    <w:rsid w:val="00EF526F"/>
    <w:rsid w:val="00EF5334"/>
    <w:rsid w:val="00EF5351"/>
    <w:rsid w:val="00EF53A4"/>
    <w:rsid w:val="00EF53F9"/>
    <w:rsid w:val="00EF544D"/>
    <w:rsid w:val="00EF545D"/>
    <w:rsid w:val="00EF54F7"/>
    <w:rsid w:val="00EF5604"/>
    <w:rsid w:val="00EF5641"/>
    <w:rsid w:val="00EF56AA"/>
    <w:rsid w:val="00EF579B"/>
    <w:rsid w:val="00EF5813"/>
    <w:rsid w:val="00EF58A5"/>
    <w:rsid w:val="00EF5953"/>
    <w:rsid w:val="00EF5A6B"/>
    <w:rsid w:val="00EF5ADE"/>
    <w:rsid w:val="00EF5AF1"/>
    <w:rsid w:val="00EF5B97"/>
    <w:rsid w:val="00EF5C04"/>
    <w:rsid w:val="00EF5C6A"/>
    <w:rsid w:val="00EF5E6B"/>
    <w:rsid w:val="00EF60CF"/>
    <w:rsid w:val="00EF6190"/>
    <w:rsid w:val="00EF61DC"/>
    <w:rsid w:val="00EF61F4"/>
    <w:rsid w:val="00EF627A"/>
    <w:rsid w:val="00EF63C0"/>
    <w:rsid w:val="00EF63E2"/>
    <w:rsid w:val="00EF6409"/>
    <w:rsid w:val="00EF653C"/>
    <w:rsid w:val="00EF6655"/>
    <w:rsid w:val="00EF6672"/>
    <w:rsid w:val="00EF6967"/>
    <w:rsid w:val="00EF6A4F"/>
    <w:rsid w:val="00EF6A7A"/>
    <w:rsid w:val="00EF6B00"/>
    <w:rsid w:val="00EF6BCB"/>
    <w:rsid w:val="00EF6C1D"/>
    <w:rsid w:val="00EF6C2B"/>
    <w:rsid w:val="00EF6C56"/>
    <w:rsid w:val="00EF6C92"/>
    <w:rsid w:val="00EF6CEE"/>
    <w:rsid w:val="00EF6D6C"/>
    <w:rsid w:val="00EF6E84"/>
    <w:rsid w:val="00EF6F03"/>
    <w:rsid w:val="00EF6F73"/>
    <w:rsid w:val="00EF70E7"/>
    <w:rsid w:val="00EF7225"/>
    <w:rsid w:val="00EF72BE"/>
    <w:rsid w:val="00EF747C"/>
    <w:rsid w:val="00EF75B8"/>
    <w:rsid w:val="00EF7610"/>
    <w:rsid w:val="00EF7749"/>
    <w:rsid w:val="00EF784E"/>
    <w:rsid w:val="00EF79E2"/>
    <w:rsid w:val="00EF7A0C"/>
    <w:rsid w:val="00EF7B31"/>
    <w:rsid w:val="00EF7E01"/>
    <w:rsid w:val="00EF7E46"/>
    <w:rsid w:val="00F0008B"/>
    <w:rsid w:val="00F00157"/>
    <w:rsid w:val="00F00215"/>
    <w:rsid w:val="00F00323"/>
    <w:rsid w:val="00F003BA"/>
    <w:rsid w:val="00F003E7"/>
    <w:rsid w:val="00F004EB"/>
    <w:rsid w:val="00F004F0"/>
    <w:rsid w:val="00F0053B"/>
    <w:rsid w:val="00F0056F"/>
    <w:rsid w:val="00F00601"/>
    <w:rsid w:val="00F0062B"/>
    <w:rsid w:val="00F00712"/>
    <w:rsid w:val="00F00861"/>
    <w:rsid w:val="00F00972"/>
    <w:rsid w:val="00F00995"/>
    <w:rsid w:val="00F00A76"/>
    <w:rsid w:val="00F00ABD"/>
    <w:rsid w:val="00F00B20"/>
    <w:rsid w:val="00F00B46"/>
    <w:rsid w:val="00F00B82"/>
    <w:rsid w:val="00F00BD5"/>
    <w:rsid w:val="00F00C0E"/>
    <w:rsid w:val="00F00D01"/>
    <w:rsid w:val="00F00D43"/>
    <w:rsid w:val="00F00E28"/>
    <w:rsid w:val="00F00E3B"/>
    <w:rsid w:val="00F00EDA"/>
    <w:rsid w:val="00F00F6D"/>
    <w:rsid w:val="00F01037"/>
    <w:rsid w:val="00F01088"/>
    <w:rsid w:val="00F011D4"/>
    <w:rsid w:val="00F01261"/>
    <w:rsid w:val="00F012B6"/>
    <w:rsid w:val="00F012CE"/>
    <w:rsid w:val="00F012D5"/>
    <w:rsid w:val="00F012DE"/>
    <w:rsid w:val="00F0137E"/>
    <w:rsid w:val="00F013A5"/>
    <w:rsid w:val="00F014D3"/>
    <w:rsid w:val="00F01524"/>
    <w:rsid w:val="00F0154C"/>
    <w:rsid w:val="00F015AD"/>
    <w:rsid w:val="00F018AF"/>
    <w:rsid w:val="00F0192B"/>
    <w:rsid w:val="00F01993"/>
    <w:rsid w:val="00F01A52"/>
    <w:rsid w:val="00F01A66"/>
    <w:rsid w:val="00F01A9C"/>
    <w:rsid w:val="00F01B07"/>
    <w:rsid w:val="00F01B2B"/>
    <w:rsid w:val="00F01B84"/>
    <w:rsid w:val="00F01C3B"/>
    <w:rsid w:val="00F01D0E"/>
    <w:rsid w:val="00F01DEB"/>
    <w:rsid w:val="00F01E1A"/>
    <w:rsid w:val="00F01E4F"/>
    <w:rsid w:val="00F01F01"/>
    <w:rsid w:val="00F01FCF"/>
    <w:rsid w:val="00F02074"/>
    <w:rsid w:val="00F020C4"/>
    <w:rsid w:val="00F02104"/>
    <w:rsid w:val="00F02159"/>
    <w:rsid w:val="00F02318"/>
    <w:rsid w:val="00F0232D"/>
    <w:rsid w:val="00F023DC"/>
    <w:rsid w:val="00F023F4"/>
    <w:rsid w:val="00F02441"/>
    <w:rsid w:val="00F02519"/>
    <w:rsid w:val="00F02560"/>
    <w:rsid w:val="00F02597"/>
    <w:rsid w:val="00F0261A"/>
    <w:rsid w:val="00F026AA"/>
    <w:rsid w:val="00F027B9"/>
    <w:rsid w:val="00F028BA"/>
    <w:rsid w:val="00F02A65"/>
    <w:rsid w:val="00F02A73"/>
    <w:rsid w:val="00F02AC1"/>
    <w:rsid w:val="00F02B3A"/>
    <w:rsid w:val="00F02CAA"/>
    <w:rsid w:val="00F02D4B"/>
    <w:rsid w:val="00F02D86"/>
    <w:rsid w:val="00F02E1A"/>
    <w:rsid w:val="00F02F90"/>
    <w:rsid w:val="00F031B9"/>
    <w:rsid w:val="00F031FA"/>
    <w:rsid w:val="00F03238"/>
    <w:rsid w:val="00F032BA"/>
    <w:rsid w:val="00F032DF"/>
    <w:rsid w:val="00F0336C"/>
    <w:rsid w:val="00F033DC"/>
    <w:rsid w:val="00F035B4"/>
    <w:rsid w:val="00F0365A"/>
    <w:rsid w:val="00F036CC"/>
    <w:rsid w:val="00F03719"/>
    <w:rsid w:val="00F0372B"/>
    <w:rsid w:val="00F0372F"/>
    <w:rsid w:val="00F0374A"/>
    <w:rsid w:val="00F03839"/>
    <w:rsid w:val="00F03928"/>
    <w:rsid w:val="00F03929"/>
    <w:rsid w:val="00F0394D"/>
    <w:rsid w:val="00F03979"/>
    <w:rsid w:val="00F03AED"/>
    <w:rsid w:val="00F03AFF"/>
    <w:rsid w:val="00F03BFD"/>
    <w:rsid w:val="00F03C23"/>
    <w:rsid w:val="00F03C87"/>
    <w:rsid w:val="00F03CA0"/>
    <w:rsid w:val="00F03CE7"/>
    <w:rsid w:val="00F03DD0"/>
    <w:rsid w:val="00F03FA3"/>
    <w:rsid w:val="00F03FEB"/>
    <w:rsid w:val="00F04014"/>
    <w:rsid w:val="00F040F2"/>
    <w:rsid w:val="00F04177"/>
    <w:rsid w:val="00F041D9"/>
    <w:rsid w:val="00F041E4"/>
    <w:rsid w:val="00F04250"/>
    <w:rsid w:val="00F04359"/>
    <w:rsid w:val="00F04370"/>
    <w:rsid w:val="00F04391"/>
    <w:rsid w:val="00F0440C"/>
    <w:rsid w:val="00F04457"/>
    <w:rsid w:val="00F044C4"/>
    <w:rsid w:val="00F0453A"/>
    <w:rsid w:val="00F04561"/>
    <w:rsid w:val="00F045B9"/>
    <w:rsid w:val="00F0460C"/>
    <w:rsid w:val="00F04883"/>
    <w:rsid w:val="00F048A2"/>
    <w:rsid w:val="00F04947"/>
    <w:rsid w:val="00F0496D"/>
    <w:rsid w:val="00F049BA"/>
    <w:rsid w:val="00F04A2B"/>
    <w:rsid w:val="00F04A73"/>
    <w:rsid w:val="00F04A9F"/>
    <w:rsid w:val="00F04AA1"/>
    <w:rsid w:val="00F04B57"/>
    <w:rsid w:val="00F04C09"/>
    <w:rsid w:val="00F04C25"/>
    <w:rsid w:val="00F04C4E"/>
    <w:rsid w:val="00F04C64"/>
    <w:rsid w:val="00F04CFC"/>
    <w:rsid w:val="00F04D6B"/>
    <w:rsid w:val="00F04DC0"/>
    <w:rsid w:val="00F04E3D"/>
    <w:rsid w:val="00F04E48"/>
    <w:rsid w:val="00F04F8C"/>
    <w:rsid w:val="00F04FF8"/>
    <w:rsid w:val="00F05045"/>
    <w:rsid w:val="00F0505E"/>
    <w:rsid w:val="00F0511F"/>
    <w:rsid w:val="00F05159"/>
    <w:rsid w:val="00F0515B"/>
    <w:rsid w:val="00F053B8"/>
    <w:rsid w:val="00F053EE"/>
    <w:rsid w:val="00F0560E"/>
    <w:rsid w:val="00F056A0"/>
    <w:rsid w:val="00F056C0"/>
    <w:rsid w:val="00F056DA"/>
    <w:rsid w:val="00F056F5"/>
    <w:rsid w:val="00F0574E"/>
    <w:rsid w:val="00F0577D"/>
    <w:rsid w:val="00F0579E"/>
    <w:rsid w:val="00F05847"/>
    <w:rsid w:val="00F058C8"/>
    <w:rsid w:val="00F058E7"/>
    <w:rsid w:val="00F05917"/>
    <w:rsid w:val="00F05956"/>
    <w:rsid w:val="00F05ACD"/>
    <w:rsid w:val="00F05AEC"/>
    <w:rsid w:val="00F05B39"/>
    <w:rsid w:val="00F05DDC"/>
    <w:rsid w:val="00F05FDD"/>
    <w:rsid w:val="00F06141"/>
    <w:rsid w:val="00F0619C"/>
    <w:rsid w:val="00F0627E"/>
    <w:rsid w:val="00F063B3"/>
    <w:rsid w:val="00F0647D"/>
    <w:rsid w:val="00F064CE"/>
    <w:rsid w:val="00F066A3"/>
    <w:rsid w:val="00F066F6"/>
    <w:rsid w:val="00F06769"/>
    <w:rsid w:val="00F068EF"/>
    <w:rsid w:val="00F06910"/>
    <w:rsid w:val="00F0691B"/>
    <w:rsid w:val="00F06937"/>
    <w:rsid w:val="00F06954"/>
    <w:rsid w:val="00F06991"/>
    <w:rsid w:val="00F069B7"/>
    <w:rsid w:val="00F06A62"/>
    <w:rsid w:val="00F06B3C"/>
    <w:rsid w:val="00F06C19"/>
    <w:rsid w:val="00F06C59"/>
    <w:rsid w:val="00F06C89"/>
    <w:rsid w:val="00F06D48"/>
    <w:rsid w:val="00F06D9F"/>
    <w:rsid w:val="00F06DA7"/>
    <w:rsid w:val="00F06DCD"/>
    <w:rsid w:val="00F06E58"/>
    <w:rsid w:val="00F06EB7"/>
    <w:rsid w:val="00F06ED3"/>
    <w:rsid w:val="00F0718F"/>
    <w:rsid w:val="00F071D2"/>
    <w:rsid w:val="00F0721F"/>
    <w:rsid w:val="00F0726C"/>
    <w:rsid w:val="00F07270"/>
    <w:rsid w:val="00F072BD"/>
    <w:rsid w:val="00F072DB"/>
    <w:rsid w:val="00F073F4"/>
    <w:rsid w:val="00F07427"/>
    <w:rsid w:val="00F074E4"/>
    <w:rsid w:val="00F07566"/>
    <w:rsid w:val="00F075BC"/>
    <w:rsid w:val="00F075C5"/>
    <w:rsid w:val="00F075D2"/>
    <w:rsid w:val="00F07617"/>
    <w:rsid w:val="00F07672"/>
    <w:rsid w:val="00F076A3"/>
    <w:rsid w:val="00F07734"/>
    <w:rsid w:val="00F07838"/>
    <w:rsid w:val="00F07843"/>
    <w:rsid w:val="00F07879"/>
    <w:rsid w:val="00F079A4"/>
    <w:rsid w:val="00F07A19"/>
    <w:rsid w:val="00F07A23"/>
    <w:rsid w:val="00F07A93"/>
    <w:rsid w:val="00F07BF4"/>
    <w:rsid w:val="00F07C5C"/>
    <w:rsid w:val="00F07C6A"/>
    <w:rsid w:val="00F07CB3"/>
    <w:rsid w:val="00F07D04"/>
    <w:rsid w:val="00F07D86"/>
    <w:rsid w:val="00F07E69"/>
    <w:rsid w:val="00F07FA4"/>
    <w:rsid w:val="00F1002E"/>
    <w:rsid w:val="00F10172"/>
    <w:rsid w:val="00F10182"/>
    <w:rsid w:val="00F10256"/>
    <w:rsid w:val="00F10545"/>
    <w:rsid w:val="00F1058D"/>
    <w:rsid w:val="00F1073A"/>
    <w:rsid w:val="00F107CE"/>
    <w:rsid w:val="00F1088F"/>
    <w:rsid w:val="00F108A1"/>
    <w:rsid w:val="00F10A82"/>
    <w:rsid w:val="00F10BD1"/>
    <w:rsid w:val="00F10C86"/>
    <w:rsid w:val="00F10C9A"/>
    <w:rsid w:val="00F10D06"/>
    <w:rsid w:val="00F10D1C"/>
    <w:rsid w:val="00F10EEB"/>
    <w:rsid w:val="00F10FCC"/>
    <w:rsid w:val="00F10FF4"/>
    <w:rsid w:val="00F11018"/>
    <w:rsid w:val="00F111C3"/>
    <w:rsid w:val="00F111FD"/>
    <w:rsid w:val="00F11231"/>
    <w:rsid w:val="00F1123A"/>
    <w:rsid w:val="00F112DA"/>
    <w:rsid w:val="00F11346"/>
    <w:rsid w:val="00F11394"/>
    <w:rsid w:val="00F1153F"/>
    <w:rsid w:val="00F11614"/>
    <w:rsid w:val="00F1161D"/>
    <w:rsid w:val="00F1167C"/>
    <w:rsid w:val="00F116F8"/>
    <w:rsid w:val="00F11762"/>
    <w:rsid w:val="00F1180B"/>
    <w:rsid w:val="00F1181E"/>
    <w:rsid w:val="00F118AE"/>
    <w:rsid w:val="00F11946"/>
    <w:rsid w:val="00F1194E"/>
    <w:rsid w:val="00F1194F"/>
    <w:rsid w:val="00F119FB"/>
    <w:rsid w:val="00F11C55"/>
    <w:rsid w:val="00F11DF0"/>
    <w:rsid w:val="00F11E77"/>
    <w:rsid w:val="00F11EAA"/>
    <w:rsid w:val="00F11EB9"/>
    <w:rsid w:val="00F11FB2"/>
    <w:rsid w:val="00F11FB5"/>
    <w:rsid w:val="00F120B7"/>
    <w:rsid w:val="00F12122"/>
    <w:rsid w:val="00F12159"/>
    <w:rsid w:val="00F122D1"/>
    <w:rsid w:val="00F123DC"/>
    <w:rsid w:val="00F12628"/>
    <w:rsid w:val="00F126C5"/>
    <w:rsid w:val="00F126CD"/>
    <w:rsid w:val="00F12763"/>
    <w:rsid w:val="00F12840"/>
    <w:rsid w:val="00F12862"/>
    <w:rsid w:val="00F128AB"/>
    <w:rsid w:val="00F1298A"/>
    <w:rsid w:val="00F12996"/>
    <w:rsid w:val="00F12AAA"/>
    <w:rsid w:val="00F12BD7"/>
    <w:rsid w:val="00F12BE9"/>
    <w:rsid w:val="00F12C44"/>
    <w:rsid w:val="00F12C6F"/>
    <w:rsid w:val="00F12E2A"/>
    <w:rsid w:val="00F12E5F"/>
    <w:rsid w:val="00F12EFB"/>
    <w:rsid w:val="00F12F1C"/>
    <w:rsid w:val="00F12F24"/>
    <w:rsid w:val="00F12F5E"/>
    <w:rsid w:val="00F130B4"/>
    <w:rsid w:val="00F1316F"/>
    <w:rsid w:val="00F13248"/>
    <w:rsid w:val="00F13259"/>
    <w:rsid w:val="00F13296"/>
    <w:rsid w:val="00F133D4"/>
    <w:rsid w:val="00F13614"/>
    <w:rsid w:val="00F13671"/>
    <w:rsid w:val="00F13798"/>
    <w:rsid w:val="00F13813"/>
    <w:rsid w:val="00F13858"/>
    <w:rsid w:val="00F138B9"/>
    <w:rsid w:val="00F13A6E"/>
    <w:rsid w:val="00F13AF5"/>
    <w:rsid w:val="00F13BDC"/>
    <w:rsid w:val="00F13C63"/>
    <w:rsid w:val="00F13CAD"/>
    <w:rsid w:val="00F13D4B"/>
    <w:rsid w:val="00F13DAC"/>
    <w:rsid w:val="00F13F66"/>
    <w:rsid w:val="00F13FDF"/>
    <w:rsid w:val="00F140C5"/>
    <w:rsid w:val="00F14155"/>
    <w:rsid w:val="00F14250"/>
    <w:rsid w:val="00F142BF"/>
    <w:rsid w:val="00F1431E"/>
    <w:rsid w:val="00F1431F"/>
    <w:rsid w:val="00F14553"/>
    <w:rsid w:val="00F14625"/>
    <w:rsid w:val="00F1468E"/>
    <w:rsid w:val="00F146FC"/>
    <w:rsid w:val="00F1474F"/>
    <w:rsid w:val="00F14767"/>
    <w:rsid w:val="00F14795"/>
    <w:rsid w:val="00F147C2"/>
    <w:rsid w:val="00F1485C"/>
    <w:rsid w:val="00F1495F"/>
    <w:rsid w:val="00F14A6C"/>
    <w:rsid w:val="00F14AAE"/>
    <w:rsid w:val="00F14AC3"/>
    <w:rsid w:val="00F14B85"/>
    <w:rsid w:val="00F14C89"/>
    <w:rsid w:val="00F14CDE"/>
    <w:rsid w:val="00F14D45"/>
    <w:rsid w:val="00F14FBD"/>
    <w:rsid w:val="00F15006"/>
    <w:rsid w:val="00F150D1"/>
    <w:rsid w:val="00F150F8"/>
    <w:rsid w:val="00F1515B"/>
    <w:rsid w:val="00F15172"/>
    <w:rsid w:val="00F1518C"/>
    <w:rsid w:val="00F15209"/>
    <w:rsid w:val="00F15297"/>
    <w:rsid w:val="00F1530D"/>
    <w:rsid w:val="00F15331"/>
    <w:rsid w:val="00F15355"/>
    <w:rsid w:val="00F153DD"/>
    <w:rsid w:val="00F156A0"/>
    <w:rsid w:val="00F156B3"/>
    <w:rsid w:val="00F1570B"/>
    <w:rsid w:val="00F1579D"/>
    <w:rsid w:val="00F1583B"/>
    <w:rsid w:val="00F15880"/>
    <w:rsid w:val="00F158E0"/>
    <w:rsid w:val="00F15935"/>
    <w:rsid w:val="00F15A89"/>
    <w:rsid w:val="00F15B57"/>
    <w:rsid w:val="00F15B97"/>
    <w:rsid w:val="00F15BD3"/>
    <w:rsid w:val="00F15C42"/>
    <w:rsid w:val="00F15D5E"/>
    <w:rsid w:val="00F15E8B"/>
    <w:rsid w:val="00F15EAA"/>
    <w:rsid w:val="00F15ECA"/>
    <w:rsid w:val="00F15F5C"/>
    <w:rsid w:val="00F15FC5"/>
    <w:rsid w:val="00F160A0"/>
    <w:rsid w:val="00F160C0"/>
    <w:rsid w:val="00F160FD"/>
    <w:rsid w:val="00F16105"/>
    <w:rsid w:val="00F1613F"/>
    <w:rsid w:val="00F1633C"/>
    <w:rsid w:val="00F16406"/>
    <w:rsid w:val="00F164C0"/>
    <w:rsid w:val="00F16580"/>
    <w:rsid w:val="00F16586"/>
    <w:rsid w:val="00F165A6"/>
    <w:rsid w:val="00F165F9"/>
    <w:rsid w:val="00F1661C"/>
    <w:rsid w:val="00F166E8"/>
    <w:rsid w:val="00F16761"/>
    <w:rsid w:val="00F1686B"/>
    <w:rsid w:val="00F168EE"/>
    <w:rsid w:val="00F16966"/>
    <w:rsid w:val="00F16A6E"/>
    <w:rsid w:val="00F16B03"/>
    <w:rsid w:val="00F16C09"/>
    <w:rsid w:val="00F16E09"/>
    <w:rsid w:val="00F16F0C"/>
    <w:rsid w:val="00F170D1"/>
    <w:rsid w:val="00F1711F"/>
    <w:rsid w:val="00F171A4"/>
    <w:rsid w:val="00F171E4"/>
    <w:rsid w:val="00F1728B"/>
    <w:rsid w:val="00F1728E"/>
    <w:rsid w:val="00F172E1"/>
    <w:rsid w:val="00F1731A"/>
    <w:rsid w:val="00F173E8"/>
    <w:rsid w:val="00F17424"/>
    <w:rsid w:val="00F17530"/>
    <w:rsid w:val="00F175C0"/>
    <w:rsid w:val="00F177D6"/>
    <w:rsid w:val="00F17877"/>
    <w:rsid w:val="00F17A78"/>
    <w:rsid w:val="00F17BC5"/>
    <w:rsid w:val="00F17CA0"/>
    <w:rsid w:val="00F17D82"/>
    <w:rsid w:val="00F17DB8"/>
    <w:rsid w:val="00F17EB4"/>
    <w:rsid w:val="00F17F0C"/>
    <w:rsid w:val="00F17FA9"/>
    <w:rsid w:val="00F200C0"/>
    <w:rsid w:val="00F20239"/>
    <w:rsid w:val="00F2025B"/>
    <w:rsid w:val="00F2036D"/>
    <w:rsid w:val="00F205C8"/>
    <w:rsid w:val="00F205F6"/>
    <w:rsid w:val="00F206A7"/>
    <w:rsid w:val="00F2076F"/>
    <w:rsid w:val="00F2077D"/>
    <w:rsid w:val="00F20787"/>
    <w:rsid w:val="00F20888"/>
    <w:rsid w:val="00F208AC"/>
    <w:rsid w:val="00F209AA"/>
    <w:rsid w:val="00F209AD"/>
    <w:rsid w:val="00F20A10"/>
    <w:rsid w:val="00F20B76"/>
    <w:rsid w:val="00F20C01"/>
    <w:rsid w:val="00F20C1A"/>
    <w:rsid w:val="00F20C54"/>
    <w:rsid w:val="00F20D4A"/>
    <w:rsid w:val="00F20E06"/>
    <w:rsid w:val="00F20E08"/>
    <w:rsid w:val="00F20E75"/>
    <w:rsid w:val="00F20EF2"/>
    <w:rsid w:val="00F20F94"/>
    <w:rsid w:val="00F210FB"/>
    <w:rsid w:val="00F21249"/>
    <w:rsid w:val="00F212C3"/>
    <w:rsid w:val="00F212F6"/>
    <w:rsid w:val="00F2138C"/>
    <w:rsid w:val="00F213BE"/>
    <w:rsid w:val="00F21401"/>
    <w:rsid w:val="00F2145E"/>
    <w:rsid w:val="00F21486"/>
    <w:rsid w:val="00F214E1"/>
    <w:rsid w:val="00F21766"/>
    <w:rsid w:val="00F217E1"/>
    <w:rsid w:val="00F21987"/>
    <w:rsid w:val="00F21A5A"/>
    <w:rsid w:val="00F21AAF"/>
    <w:rsid w:val="00F21AFE"/>
    <w:rsid w:val="00F21CD7"/>
    <w:rsid w:val="00F21D7A"/>
    <w:rsid w:val="00F21EC2"/>
    <w:rsid w:val="00F22189"/>
    <w:rsid w:val="00F221B5"/>
    <w:rsid w:val="00F221C4"/>
    <w:rsid w:val="00F222B7"/>
    <w:rsid w:val="00F222E9"/>
    <w:rsid w:val="00F2237A"/>
    <w:rsid w:val="00F22383"/>
    <w:rsid w:val="00F223D4"/>
    <w:rsid w:val="00F2241F"/>
    <w:rsid w:val="00F22523"/>
    <w:rsid w:val="00F2258A"/>
    <w:rsid w:val="00F225E2"/>
    <w:rsid w:val="00F22674"/>
    <w:rsid w:val="00F22828"/>
    <w:rsid w:val="00F22905"/>
    <w:rsid w:val="00F2290E"/>
    <w:rsid w:val="00F2291A"/>
    <w:rsid w:val="00F22997"/>
    <w:rsid w:val="00F22A44"/>
    <w:rsid w:val="00F22B38"/>
    <w:rsid w:val="00F22C56"/>
    <w:rsid w:val="00F22D7C"/>
    <w:rsid w:val="00F22DEB"/>
    <w:rsid w:val="00F22FD6"/>
    <w:rsid w:val="00F23079"/>
    <w:rsid w:val="00F230FB"/>
    <w:rsid w:val="00F23266"/>
    <w:rsid w:val="00F23337"/>
    <w:rsid w:val="00F2337D"/>
    <w:rsid w:val="00F233BC"/>
    <w:rsid w:val="00F2356E"/>
    <w:rsid w:val="00F235A1"/>
    <w:rsid w:val="00F235B9"/>
    <w:rsid w:val="00F23867"/>
    <w:rsid w:val="00F238E6"/>
    <w:rsid w:val="00F238EF"/>
    <w:rsid w:val="00F23AE9"/>
    <w:rsid w:val="00F23B18"/>
    <w:rsid w:val="00F23BE3"/>
    <w:rsid w:val="00F23D3F"/>
    <w:rsid w:val="00F23DC2"/>
    <w:rsid w:val="00F23E3D"/>
    <w:rsid w:val="00F23E3E"/>
    <w:rsid w:val="00F23EBA"/>
    <w:rsid w:val="00F23F84"/>
    <w:rsid w:val="00F24005"/>
    <w:rsid w:val="00F24040"/>
    <w:rsid w:val="00F240DB"/>
    <w:rsid w:val="00F24256"/>
    <w:rsid w:val="00F242A0"/>
    <w:rsid w:val="00F2436E"/>
    <w:rsid w:val="00F24374"/>
    <w:rsid w:val="00F243D0"/>
    <w:rsid w:val="00F2442B"/>
    <w:rsid w:val="00F24463"/>
    <w:rsid w:val="00F244DA"/>
    <w:rsid w:val="00F2453A"/>
    <w:rsid w:val="00F24757"/>
    <w:rsid w:val="00F247D4"/>
    <w:rsid w:val="00F2482E"/>
    <w:rsid w:val="00F2497D"/>
    <w:rsid w:val="00F2498F"/>
    <w:rsid w:val="00F249CF"/>
    <w:rsid w:val="00F24A1A"/>
    <w:rsid w:val="00F24ACC"/>
    <w:rsid w:val="00F24B65"/>
    <w:rsid w:val="00F24C34"/>
    <w:rsid w:val="00F24C4B"/>
    <w:rsid w:val="00F24C6D"/>
    <w:rsid w:val="00F24CAB"/>
    <w:rsid w:val="00F24D55"/>
    <w:rsid w:val="00F24EAE"/>
    <w:rsid w:val="00F24F37"/>
    <w:rsid w:val="00F24FC0"/>
    <w:rsid w:val="00F2501B"/>
    <w:rsid w:val="00F25054"/>
    <w:rsid w:val="00F250EF"/>
    <w:rsid w:val="00F2514E"/>
    <w:rsid w:val="00F25157"/>
    <w:rsid w:val="00F25194"/>
    <w:rsid w:val="00F251B3"/>
    <w:rsid w:val="00F2520F"/>
    <w:rsid w:val="00F2524A"/>
    <w:rsid w:val="00F252B0"/>
    <w:rsid w:val="00F2541A"/>
    <w:rsid w:val="00F25446"/>
    <w:rsid w:val="00F25467"/>
    <w:rsid w:val="00F254E8"/>
    <w:rsid w:val="00F2553C"/>
    <w:rsid w:val="00F255A3"/>
    <w:rsid w:val="00F255E3"/>
    <w:rsid w:val="00F2560F"/>
    <w:rsid w:val="00F25657"/>
    <w:rsid w:val="00F25700"/>
    <w:rsid w:val="00F257B7"/>
    <w:rsid w:val="00F2587A"/>
    <w:rsid w:val="00F258CD"/>
    <w:rsid w:val="00F25B82"/>
    <w:rsid w:val="00F25BAC"/>
    <w:rsid w:val="00F25BBF"/>
    <w:rsid w:val="00F25BC1"/>
    <w:rsid w:val="00F25BDD"/>
    <w:rsid w:val="00F25C63"/>
    <w:rsid w:val="00F25C94"/>
    <w:rsid w:val="00F25ED9"/>
    <w:rsid w:val="00F25EE0"/>
    <w:rsid w:val="00F25F29"/>
    <w:rsid w:val="00F25F62"/>
    <w:rsid w:val="00F26065"/>
    <w:rsid w:val="00F2610F"/>
    <w:rsid w:val="00F26114"/>
    <w:rsid w:val="00F26117"/>
    <w:rsid w:val="00F26238"/>
    <w:rsid w:val="00F26242"/>
    <w:rsid w:val="00F2626F"/>
    <w:rsid w:val="00F262EA"/>
    <w:rsid w:val="00F2633D"/>
    <w:rsid w:val="00F26349"/>
    <w:rsid w:val="00F263E7"/>
    <w:rsid w:val="00F263F2"/>
    <w:rsid w:val="00F26564"/>
    <w:rsid w:val="00F26583"/>
    <w:rsid w:val="00F265F1"/>
    <w:rsid w:val="00F2666B"/>
    <w:rsid w:val="00F26734"/>
    <w:rsid w:val="00F2675C"/>
    <w:rsid w:val="00F26AA3"/>
    <w:rsid w:val="00F26AC1"/>
    <w:rsid w:val="00F26AD7"/>
    <w:rsid w:val="00F26BB9"/>
    <w:rsid w:val="00F26DE8"/>
    <w:rsid w:val="00F26E00"/>
    <w:rsid w:val="00F26E35"/>
    <w:rsid w:val="00F26E47"/>
    <w:rsid w:val="00F26E5D"/>
    <w:rsid w:val="00F26F35"/>
    <w:rsid w:val="00F26F4F"/>
    <w:rsid w:val="00F26FA2"/>
    <w:rsid w:val="00F27117"/>
    <w:rsid w:val="00F271AA"/>
    <w:rsid w:val="00F2727C"/>
    <w:rsid w:val="00F27319"/>
    <w:rsid w:val="00F273AE"/>
    <w:rsid w:val="00F273F7"/>
    <w:rsid w:val="00F2748A"/>
    <w:rsid w:val="00F274B3"/>
    <w:rsid w:val="00F274C4"/>
    <w:rsid w:val="00F27574"/>
    <w:rsid w:val="00F275FA"/>
    <w:rsid w:val="00F2765C"/>
    <w:rsid w:val="00F2767E"/>
    <w:rsid w:val="00F27689"/>
    <w:rsid w:val="00F27815"/>
    <w:rsid w:val="00F27832"/>
    <w:rsid w:val="00F27860"/>
    <w:rsid w:val="00F278E5"/>
    <w:rsid w:val="00F2792F"/>
    <w:rsid w:val="00F27970"/>
    <w:rsid w:val="00F27B05"/>
    <w:rsid w:val="00F27C12"/>
    <w:rsid w:val="00F27C61"/>
    <w:rsid w:val="00F27C80"/>
    <w:rsid w:val="00F27ED7"/>
    <w:rsid w:val="00F27F32"/>
    <w:rsid w:val="00F27F53"/>
    <w:rsid w:val="00F27FC3"/>
    <w:rsid w:val="00F27FF2"/>
    <w:rsid w:val="00F300A1"/>
    <w:rsid w:val="00F300CB"/>
    <w:rsid w:val="00F300FA"/>
    <w:rsid w:val="00F30188"/>
    <w:rsid w:val="00F30195"/>
    <w:rsid w:val="00F301DC"/>
    <w:rsid w:val="00F30246"/>
    <w:rsid w:val="00F30331"/>
    <w:rsid w:val="00F30383"/>
    <w:rsid w:val="00F303C0"/>
    <w:rsid w:val="00F3045C"/>
    <w:rsid w:val="00F30460"/>
    <w:rsid w:val="00F3047A"/>
    <w:rsid w:val="00F304D4"/>
    <w:rsid w:val="00F3053F"/>
    <w:rsid w:val="00F3059E"/>
    <w:rsid w:val="00F305DC"/>
    <w:rsid w:val="00F30624"/>
    <w:rsid w:val="00F3070D"/>
    <w:rsid w:val="00F30752"/>
    <w:rsid w:val="00F3081C"/>
    <w:rsid w:val="00F30874"/>
    <w:rsid w:val="00F308BF"/>
    <w:rsid w:val="00F308CF"/>
    <w:rsid w:val="00F308F2"/>
    <w:rsid w:val="00F30945"/>
    <w:rsid w:val="00F30979"/>
    <w:rsid w:val="00F309A6"/>
    <w:rsid w:val="00F30A82"/>
    <w:rsid w:val="00F30B03"/>
    <w:rsid w:val="00F30B30"/>
    <w:rsid w:val="00F30B7C"/>
    <w:rsid w:val="00F30D47"/>
    <w:rsid w:val="00F30EB7"/>
    <w:rsid w:val="00F30F85"/>
    <w:rsid w:val="00F30FBD"/>
    <w:rsid w:val="00F31167"/>
    <w:rsid w:val="00F31168"/>
    <w:rsid w:val="00F311B3"/>
    <w:rsid w:val="00F3125A"/>
    <w:rsid w:val="00F3127A"/>
    <w:rsid w:val="00F312D8"/>
    <w:rsid w:val="00F3136C"/>
    <w:rsid w:val="00F3140D"/>
    <w:rsid w:val="00F3150F"/>
    <w:rsid w:val="00F31596"/>
    <w:rsid w:val="00F315C1"/>
    <w:rsid w:val="00F31698"/>
    <w:rsid w:val="00F3170D"/>
    <w:rsid w:val="00F3171E"/>
    <w:rsid w:val="00F317E9"/>
    <w:rsid w:val="00F31914"/>
    <w:rsid w:val="00F3194A"/>
    <w:rsid w:val="00F31952"/>
    <w:rsid w:val="00F319FA"/>
    <w:rsid w:val="00F31A15"/>
    <w:rsid w:val="00F31AD4"/>
    <w:rsid w:val="00F31C0C"/>
    <w:rsid w:val="00F31C47"/>
    <w:rsid w:val="00F31EEE"/>
    <w:rsid w:val="00F31F08"/>
    <w:rsid w:val="00F31F22"/>
    <w:rsid w:val="00F3207B"/>
    <w:rsid w:val="00F32126"/>
    <w:rsid w:val="00F3215A"/>
    <w:rsid w:val="00F32169"/>
    <w:rsid w:val="00F32252"/>
    <w:rsid w:val="00F3226E"/>
    <w:rsid w:val="00F322E1"/>
    <w:rsid w:val="00F323F2"/>
    <w:rsid w:val="00F323F8"/>
    <w:rsid w:val="00F32455"/>
    <w:rsid w:val="00F324E4"/>
    <w:rsid w:val="00F32532"/>
    <w:rsid w:val="00F325A6"/>
    <w:rsid w:val="00F32636"/>
    <w:rsid w:val="00F32651"/>
    <w:rsid w:val="00F32661"/>
    <w:rsid w:val="00F32759"/>
    <w:rsid w:val="00F327EF"/>
    <w:rsid w:val="00F32A4A"/>
    <w:rsid w:val="00F32A5B"/>
    <w:rsid w:val="00F32AD8"/>
    <w:rsid w:val="00F32B4F"/>
    <w:rsid w:val="00F32BFC"/>
    <w:rsid w:val="00F32C36"/>
    <w:rsid w:val="00F32D2C"/>
    <w:rsid w:val="00F32D3F"/>
    <w:rsid w:val="00F32D4D"/>
    <w:rsid w:val="00F32E3F"/>
    <w:rsid w:val="00F32EF0"/>
    <w:rsid w:val="00F32F3A"/>
    <w:rsid w:val="00F32F4C"/>
    <w:rsid w:val="00F32FB9"/>
    <w:rsid w:val="00F33035"/>
    <w:rsid w:val="00F33057"/>
    <w:rsid w:val="00F33061"/>
    <w:rsid w:val="00F330ED"/>
    <w:rsid w:val="00F33286"/>
    <w:rsid w:val="00F332CE"/>
    <w:rsid w:val="00F332CF"/>
    <w:rsid w:val="00F332E8"/>
    <w:rsid w:val="00F33301"/>
    <w:rsid w:val="00F3362D"/>
    <w:rsid w:val="00F33646"/>
    <w:rsid w:val="00F33888"/>
    <w:rsid w:val="00F33891"/>
    <w:rsid w:val="00F33971"/>
    <w:rsid w:val="00F339DC"/>
    <w:rsid w:val="00F33A02"/>
    <w:rsid w:val="00F33A79"/>
    <w:rsid w:val="00F33A7B"/>
    <w:rsid w:val="00F33AE9"/>
    <w:rsid w:val="00F33B7B"/>
    <w:rsid w:val="00F33CB6"/>
    <w:rsid w:val="00F33D14"/>
    <w:rsid w:val="00F33D99"/>
    <w:rsid w:val="00F33E3A"/>
    <w:rsid w:val="00F33F1B"/>
    <w:rsid w:val="00F33F3E"/>
    <w:rsid w:val="00F3401F"/>
    <w:rsid w:val="00F3404B"/>
    <w:rsid w:val="00F340A9"/>
    <w:rsid w:val="00F340F2"/>
    <w:rsid w:val="00F34121"/>
    <w:rsid w:val="00F34146"/>
    <w:rsid w:val="00F341B3"/>
    <w:rsid w:val="00F3425C"/>
    <w:rsid w:val="00F3435C"/>
    <w:rsid w:val="00F3438C"/>
    <w:rsid w:val="00F34393"/>
    <w:rsid w:val="00F343E6"/>
    <w:rsid w:val="00F34468"/>
    <w:rsid w:val="00F3446A"/>
    <w:rsid w:val="00F3447E"/>
    <w:rsid w:val="00F34492"/>
    <w:rsid w:val="00F34513"/>
    <w:rsid w:val="00F345D2"/>
    <w:rsid w:val="00F346D5"/>
    <w:rsid w:val="00F346E3"/>
    <w:rsid w:val="00F3483B"/>
    <w:rsid w:val="00F34965"/>
    <w:rsid w:val="00F349CB"/>
    <w:rsid w:val="00F34A01"/>
    <w:rsid w:val="00F34A30"/>
    <w:rsid w:val="00F34A46"/>
    <w:rsid w:val="00F34AB2"/>
    <w:rsid w:val="00F34ACA"/>
    <w:rsid w:val="00F34B1B"/>
    <w:rsid w:val="00F34D60"/>
    <w:rsid w:val="00F34F3A"/>
    <w:rsid w:val="00F34F5F"/>
    <w:rsid w:val="00F34FCE"/>
    <w:rsid w:val="00F350EA"/>
    <w:rsid w:val="00F352CD"/>
    <w:rsid w:val="00F35399"/>
    <w:rsid w:val="00F354B3"/>
    <w:rsid w:val="00F354BD"/>
    <w:rsid w:val="00F35566"/>
    <w:rsid w:val="00F355FB"/>
    <w:rsid w:val="00F35640"/>
    <w:rsid w:val="00F3574C"/>
    <w:rsid w:val="00F35797"/>
    <w:rsid w:val="00F357CD"/>
    <w:rsid w:val="00F357D3"/>
    <w:rsid w:val="00F357EA"/>
    <w:rsid w:val="00F35A2D"/>
    <w:rsid w:val="00F35A49"/>
    <w:rsid w:val="00F35A6A"/>
    <w:rsid w:val="00F35AB2"/>
    <w:rsid w:val="00F35B09"/>
    <w:rsid w:val="00F35C87"/>
    <w:rsid w:val="00F35CA1"/>
    <w:rsid w:val="00F35CD5"/>
    <w:rsid w:val="00F35D24"/>
    <w:rsid w:val="00F35DE8"/>
    <w:rsid w:val="00F35E6B"/>
    <w:rsid w:val="00F35E96"/>
    <w:rsid w:val="00F35ECB"/>
    <w:rsid w:val="00F35F7C"/>
    <w:rsid w:val="00F35FAC"/>
    <w:rsid w:val="00F360CB"/>
    <w:rsid w:val="00F3615D"/>
    <w:rsid w:val="00F36224"/>
    <w:rsid w:val="00F36374"/>
    <w:rsid w:val="00F3638C"/>
    <w:rsid w:val="00F363C8"/>
    <w:rsid w:val="00F36408"/>
    <w:rsid w:val="00F365BC"/>
    <w:rsid w:val="00F36607"/>
    <w:rsid w:val="00F3668E"/>
    <w:rsid w:val="00F366D1"/>
    <w:rsid w:val="00F36762"/>
    <w:rsid w:val="00F367A0"/>
    <w:rsid w:val="00F3686F"/>
    <w:rsid w:val="00F3691F"/>
    <w:rsid w:val="00F3692F"/>
    <w:rsid w:val="00F369C1"/>
    <w:rsid w:val="00F36A23"/>
    <w:rsid w:val="00F36A4C"/>
    <w:rsid w:val="00F36A6F"/>
    <w:rsid w:val="00F36AE0"/>
    <w:rsid w:val="00F36B54"/>
    <w:rsid w:val="00F36B87"/>
    <w:rsid w:val="00F36CC0"/>
    <w:rsid w:val="00F36CCA"/>
    <w:rsid w:val="00F36CE4"/>
    <w:rsid w:val="00F36E6A"/>
    <w:rsid w:val="00F36F29"/>
    <w:rsid w:val="00F36F6B"/>
    <w:rsid w:val="00F3709F"/>
    <w:rsid w:val="00F370E2"/>
    <w:rsid w:val="00F370E7"/>
    <w:rsid w:val="00F370F4"/>
    <w:rsid w:val="00F3713D"/>
    <w:rsid w:val="00F37233"/>
    <w:rsid w:val="00F37292"/>
    <w:rsid w:val="00F372E6"/>
    <w:rsid w:val="00F37451"/>
    <w:rsid w:val="00F374E0"/>
    <w:rsid w:val="00F37552"/>
    <w:rsid w:val="00F3758F"/>
    <w:rsid w:val="00F375DD"/>
    <w:rsid w:val="00F376A5"/>
    <w:rsid w:val="00F376AB"/>
    <w:rsid w:val="00F37751"/>
    <w:rsid w:val="00F378E3"/>
    <w:rsid w:val="00F3790A"/>
    <w:rsid w:val="00F37A56"/>
    <w:rsid w:val="00F37A5A"/>
    <w:rsid w:val="00F37BFA"/>
    <w:rsid w:val="00F37C44"/>
    <w:rsid w:val="00F37CC5"/>
    <w:rsid w:val="00F37CEF"/>
    <w:rsid w:val="00F37D50"/>
    <w:rsid w:val="00F37EB1"/>
    <w:rsid w:val="00F37F96"/>
    <w:rsid w:val="00F400DE"/>
    <w:rsid w:val="00F401F2"/>
    <w:rsid w:val="00F4033F"/>
    <w:rsid w:val="00F403A9"/>
    <w:rsid w:val="00F404D9"/>
    <w:rsid w:val="00F404F6"/>
    <w:rsid w:val="00F40569"/>
    <w:rsid w:val="00F40613"/>
    <w:rsid w:val="00F406D0"/>
    <w:rsid w:val="00F406E7"/>
    <w:rsid w:val="00F40740"/>
    <w:rsid w:val="00F4094A"/>
    <w:rsid w:val="00F40A8C"/>
    <w:rsid w:val="00F40A8F"/>
    <w:rsid w:val="00F40CDE"/>
    <w:rsid w:val="00F40E13"/>
    <w:rsid w:val="00F40F91"/>
    <w:rsid w:val="00F410C4"/>
    <w:rsid w:val="00F414C2"/>
    <w:rsid w:val="00F414F0"/>
    <w:rsid w:val="00F415C5"/>
    <w:rsid w:val="00F416D3"/>
    <w:rsid w:val="00F416ED"/>
    <w:rsid w:val="00F4172D"/>
    <w:rsid w:val="00F4179F"/>
    <w:rsid w:val="00F4184B"/>
    <w:rsid w:val="00F41913"/>
    <w:rsid w:val="00F419A9"/>
    <w:rsid w:val="00F41ABA"/>
    <w:rsid w:val="00F41B0E"/>
    <w:rsid w:val="00F41BBE"/>
    <w:rsid w:val="00F41C0A"/>
    <w:rsid w:val="00F41CA1"/>
    <w:rsid w:val="00F41D12"/>
    <w:rsid w:val="00F41D49"/>
    <w:rsid w:val="00F41DE5"/>
    <w:rsid w:val="00F41DE7"/>
    <w:rsid w:val="00F41E8E"/>
    <w:rsid w:val="00F42053"/>
    <w:rsid w:val="00F4211F"/>
    <w:rsid w:val="00F421C3"/>
    <w:rsid w:val="00F4222E"/>
    <w:rsid w:val="00F42262"/>
    <w:rsid w:val="00F42273"/>
    <w:rsid w:val="00F42327"/>
    <w:rsid w:val="00F4237C"/>
    <w:rsid w:val="00F42393"/>
    <w:rsid w:val="00F423E3"/>
    <w:rsid w:val="00F423E4"/>
    <w:rsid w:val="00F42486"/>
    <w:rsid w:val="00F425A9"/>
    <w:rsid w:val="00F425AD"/>
    <w:rsid w:val="00F425EB"/>
    <w:rsid w:val="00F42666"/>
    <w:rsid w:val="00F4268D"/>
    <w:rsid w:val="00F427BA"/>
    <w:rsid w:val="00F4284C"/>
    <w:rsid w:val="00F429E0"/>
    <w:rsid w:val="00F42BF9"/>
    <w:rsid w:val="00F42C8F"/>
    <w:rsid w:val="00F42CDF"/>
    <w:rsid w:val="00F42CE3"/>
    <w:rsid w:val="00F42D2E"/>
    <w:rsid w:val="00F42DF3"/>
    <w:rsid w:val="00F42E3C"/>
    <w:rsid w:val="00F42E4C"/>
    <w:rsid w:val="00F42F23"/>
    <w:rsid w:val="00F42F80"/>
    <w:rsid w:val="00F42F95"/>
    <w:rsid w:val="00F43144"/>
    <w:rsid w:val="00F4331B"/>
    <w:rsid w:val="00F433AE"/>
    <w:rsid w:val="00F4346D"/>
    <w:rsid w:val="00F434E8"/>
    <w:rsid w:val="00F43565"/>
    <w:rsid w:val="00F43575"/>
    <w:rsid w:val="00F435DB"/>
    <w:rsid w:val="00F43617"/>
    <w:rsid w:val="00F436A8"/>
    <w:rsid w:val="00F436B1"/>
    <w:rsid w:val="00F4370E"/>
    <w:rsid w:val="00F4372E"/>
    <w:rsid w:val="00F438CF"/>
    <w:rsid w:val="00F43B56"/>
    <w:rsid w:val="00F43BBF"/>
    <w:rsid w:val="00F43C6C"/>
    <w:rsid w:val="00F43D9E"/>
    <w:rsid w:val="00F43ECC"/>
    <w:rsid w:val="00F43EE4"/>
    <w:rsid w:val="00F44177"/>
    <w:rsid w:val="00F4418D"/>
    <w:rsid w:val="00F44403"/>
    <w:rsid w:val="00F444D6"/>
    <w:rsid w:val="00F444F9"/>
    <w:rsid w:val="00F445E4"/>
    <w:rsid w:val="00F445EC"/>
    <w:rsid w:val="00F446BA"/>
    <w:rsid w:val="00F44733"/>
    <w:rsid w:val="00F44736"/>
    <w:rsid w:val="00F447F3"/>
    <w:rsid w:val="00F44803"/>
    <w:rsid w:val="00F4481F"/>
    <w:rsid w:val="00F448EC"/>
    <w:rsid w:val="00F44C11"/>
    <w:rsid w:val="00F44CC9"/>
    <w:rsid w:val="00F44D40"/>
    <w:rsid w:val="00F44D41"/>
    <w:rsid w:val="00F44DA0"/>
    <w:rsid w:val="00F44DF8"/>
    <w:rsid w:val="00F44E51"/>
    <w:rsid w:val="00F44E70"/>
    <w:rsid w:val="00F44F50"/>
    <w:rsid w:val="00F44FD0"/>
    <w:rsid w:val="00F45127"/>
    <w:rsid w:val="00F451C3"/>
    <w:rsid w:val="00F451DF"/>
    <w:rsid w:val="00F451F5"/>
    <w:rsid w:val="00F451FC"/>
    <w:rsid w:val="00F4525D"/>
    <w:rsid w:val="00F452DB"/>
    <w:rsid w:val="00F45316"/>
    <w:rsid w:val="00F4531C"/>
    <w:rsid w:val="00F4547E"/>
    <w:rsid w:val="00F45618"/>
    <w:rsid w:val="00F456EC"/>
    <w:rsid w:val="00F45916"/>
    <w:rsid w:val="00F45A11"/>
    <w:rsid w:val="00F45A75"/>
    <w:rsid w:val="00F45B29"/>
    <w:rsid w:val="00F45CA4"/>
    <w:rsid w:val="00F45CC6"/>
    <w:rsid w:val="00F45CF5"/>
    <w:rsid w:val="00F45E2E"/>
    <w:rsid w:val="00F45EB1"/>
    <w:rsid w:val="00F46046"/>
    <w:rsid w:val="00F46086"/>
    <w:rsid w:val="00F461A2"/>
    <w:rsid w:val="00F4632A"/>
    <w:rsid w:val="00F46337"/>
    <w:rsid w:val="00F46374"/>
    <w:rsid w:val="00F463FC"/>
    <w:rsid w:val="00F4641E"/>
    <w:rsid w:val="00F4643B"/>
    <w:rsid w:val="00F46491"/>
    <w:rsid w:val="00F46548"/>
    <w:rsid w:val="00F4659B"/>
    <w:rsid w:val="00F465C8"/>
    <w:rsid w:val="00F46724"/>
    <w:rsid w:val="00F4677F"/>
    <w:rsid w:val="00F4678E"/>
    <w:rsid w:val="00F467C0"/>
    <w:rsid w:val="00F468BA"/>
    <w:rsid w:val="00F468FD"/>
    <w:rsid w:val="00F46988"/>
    <w:rsid w:val="00F469B8"/>
    <w:rsid w:val="00F469BC"/>
    <w:rsid w:val="00F46B8D"/>
    <w:rsid w:val="00F46C78"/>
    <w:rsid w:val="00F46CB5"/>
    <w:rsid w:val="00F46D58"/>
    <w:rsid w:val="00F46D8A"/>
    <w:rsid w:val="00F46D9E"/>
    <w:rsid w:val="00F46DD1"/>
    <w:rsid w:val="00F46DDA"/>
    <w:rsid w:val="00F46E0E"/>
    <w:rsid w:val="00F46E78"/>
    <w:rsid w:val="00F471FE"/>
    <w:rsid w:val="00F472EA"/>
    <w:rsid w:val="00F47332"/>
    <w:rsid w:val="00F47654"/>
    <w:rsid w:val="00F47748"/>
    <w:rsid w:val="00F47758"/>
    <w:rsid w:val="00F47761"/>
    <w:rsid w:val="00F47819"/>
    <w:rsid w:val="00F4786C"/>
    <w:rsid w:val="00F47883"/>
    <w:rsid w:val="00F47897"/>
    <w:rsid w:val="00F478AE"/>
    <w:rsid w:val="00F478BF"/>
    <w:rsid w:val="00F478C4"/>
    <w:rsid w:val="00F478E7"/>
    <w:rsid w:val="00F4793C"/>
    <w:rsid w:val="00F47AD4"/>
    <w:rsid w:val="00F47B67"/>
    <w:rsid w:val="00F47B88"/>
    <w:rsid w:val="00F47B8F"/>
    <w:rsid w:val="00F47C36"/>
    <w:rsid w:val="00F47C39"/>
    <w:rsid w:val="00F47C3B"/>
    <w:rsid w:val="00F47CA6"/>
    <w:rsid w:val="00F47CC1"/>
    <w:rsid w:val="00F47CF4"/>
    <w:rsid w:val="00F47DC7"/>
    <w:rsid w:val="00F50119"/>
    <w:rsid w:val="00F50304"/>
    <w:rsid w:val="00F503E5"/>
    <w:rsid w:val="00F503F9"/>
    <w:rsid w:val="00F50428"/>
    <w:rsid w:val="00F504E8"/>
    <w:rsid w:val="00F50527"/>
    <w:rsid w:val="00F50560"/>
    <w:rsid w:val="00F50648"/>
    <w:rsid w:val="00F50658"/>
    <w:rsid w:val="00F506E5"/>
    <w:rsid w:val="00F506EF"/>
    <w:rsid w:val="00F507C6"/>
    <w:rsid w:val="00F507E4"/>
    <w:rsid w:val="00F5082B"/>
    <w:rsid w:val="00F50B27"/>
    <w:rsid w:val="00F50BFB"/>
    <w:rsid w:val="00F50CA0"/>
    <w:rsid w:val="00F50D20"/>
    <w:rsid w:val="00F50DBE"/>
    <w:rsid w:val="00F50E3D"/>
    <w:rsid w:val="00F50E6C"/>
    <w:rsid w:val="00F50F78"/>
    <w:rsid w:val="00F50FB9"/>
    <w:rsid w:val="00F50FD3"/>
    <w:rsid w:val="00F51017"/>
    <w:rsid w:val="00F510CC"/>
    <w:rsid w:val="00F51228"/>
    <w:rsid w:val="00F5131B"/>
    <w:rsid w:val="00F5137D"/>
    <w:rsid w:val="00F513FE"/>
    <w:rsid w:val="00F5140D"/>
    <w:rsid w:val="00F51433"/>
    <w:rsid w:val="00F514A8"/>
    <w:rsid w:val="00F514D3"/>
    <w:rsid w:val="00F51508"/>
    <w:rsid w:val="00F515B7"/>
    <w:rsid w:val="00F51623"/>
    <w:rsid w:val="00F51719"/>
    <w:rsid w:val="00F5173D"/>
    <w:rsid w:val="00F51843"/>
    <w:rsid w:val="00F51980"/>
    <w:rsid w:val="00F51AA7"/>
    <w:rsid w:val="00F51B03"/>
    <w:rsid w:val="00F51B56"/>
    <w:rsid w:val="00F51BD6"/>
    <w:rsid w:val="00F51D04"/>
    <w:rsid w:val="00F51E80"/>
    <w:rsid w:val="00F51F56"/>
    <w:rsid w:val="00F51FA3"/>
    <w:rsid w:val="00F5217F"/>
    <w:rsid w:val="00F5218D"/>
    <w:rsid w:val="00F521DA"/>
    <w:rsid w:val="00F5227E"/>
    <w:rsid w:val="00F523E5"/>
    <w:rsid w:val="00F523F3"/>
    <w:rsid w:val="00F524BA"/>
    <w:rsid w:val="00F525AE"/>
    <w:rsid w:val="00F525EC"/>
    <w:rsid w:val="00F5267C"/>
    <w:rsid w:val="00F526B1"/>
    <w:rsid w:val="00F52808"/>
    <w:rsid w:val="00F528E7"/>
    <w:rsid w:val="00F52914"/>
    <w:rsid w:val="00F52945"/>
    <w:rsid w:val="00F52B76"/>
    <w:rsid w:val="00F52BB7"/>
    <w:rsid w:val="00F52C3A"/>
    <w:rsid w:val="00F52C91"/>
    <w:rsid w:val="00F52CAC"/>
    <w:rsid w:val="00F52DA7"/>
    <w:rsid w:val="00F52DB1"/>
    <w:rsid w:val="00F52E35"/>
    <w:rsid w:val="00F52E66"/>
    <w:rsid w:val="00F52E79"/>
    <w:rsid w:val="00F52EFB"/>
    <w:rsid w:val="00F52FCD"/>
    <w:rsid w:val="00F53057"/>
    <w:rsid w:val="00F5306B"/>
    <w:rsid w:val="00F5314B"/>
    <w:rsid w:val="00F53156"/>
    <w:rsid w:val="00F53166"/>
    <w:rsid w:val="00F53199"/>
    <w:rsid w:val="00F531FC"/>
    <w:rsid w:val="00F5324D"/>
    <w:rsid w:val="00F53327"/>
    <w:rsid w:val="00F53367"/>
    <w:rsid w:val="00F53521"/>
    <w:rsid w:val="00F53524"/>
    <w:rsid w:val="00F53548"/>
    <w:rsid w:val="00F53598"/>
    <w:rsid w:val="00F535E8"/>
    <w:rsid w:val="00F53625"/>
    <w:rsid w:val="00F5363C"/>
    <w:rsid w:val="00F5367D"/>
    <w:rsid w:val="00F53770"/>
    <w:rsid w:val="00F537EC"/>
    <w:rsid w:val="00F538CC"/>
    <w:rsid w:val="00F539CA"/>
    <w:rsid w:val="00F53A26"/>
    <w:rsid w:val="00F53A7D"/>
    <w:rsid w:val="00F53C20"/>
    <w:rsid w:val="00F53CA0"/>
    <w:rsid w:val="00F53D2B"/>
    <w:rsid w:val="00F53D2D"/>
    <w:rsid w:val="00F53DA1"/>
    <w:rsid w:val="00F53E60"/>
    <w:rsid w:val="00F54070"/>
    <w:rsid w:val="00F54076"/>
    <w:rsid w:val="00F5408E"/>
    <w:rsid w:val="00F540FE"/>
    <w:rsid w:val="00F54122"/>
    <w:rsid w:val="00F54187"/>
    <w:rsid w:val="00F5421E"/>
    <w:rsid w:val="00F542B2"/>
    <w:rsid w:val="00F54378"/>
    <w:rsid w:val="00F543B3"/>
    <w:rsid w:val="00F544E1"/>
    <w:rsid w:val="00F5450F"/>
    <w:rsid w:val="00F545D3"/>
    <w:rsid w:val="00F5461C"/>
    <w:rsid w:val="00F5475C"/>
    <w:rsid w:val="00F547CD"/>
    <w:rsid w:val="00F5482D"/>
    <w:rsid w:val="00F54832"/>
    <w:rsid w:val="00F548BE"/>
    <w:rsid w:val="00F549CE"/>
    <w:rsid w:val="00F549F1"/>
    <w:rsid w:val="00F54AED"/>
    <w:rsid w:val="00F54BA1"/>
    <w:rsid w:val="00F54CD0"/>
    <w:rsid w:val="00F54E2B"/>
    <w:rsid w:val="00F54F6F"/>
    <w:rsid w:val="00F54F92"/>
    <w:rsid w:val="00F550F9"/>
    <w:rsid w:val="00F55110"/>
    <w:rsid w:val="00F55154"/>
    <w:rsid w:val="00F55193"/>
    <w:rsid w:val="00F5523B"/>
    <w:rsid w:val="00F5525A"/>
    <w:rsid w:val="00F55284"/>
    <w:rsid w:val="00F552CB"/>
    <w:rsid w:val="00F552E6"/>
    <w:rsid w:val="00F5532B"/>
    <w:rsid w:val="00F55334"/>
    <w:rsid w:val="00F5536B"/>
    <w:rsid w:val="00F553AF"/>
    <w:rsid w:val="00F55490"/>
    <w:rsid w:val="00F554F6"/>
    <w:rsid w:val="00F555F1"/>
    <w:rsid w:val="00F556C7"/>
    <w:rsid w:val="00F556E3"/>
    <w:rsid w:val="00F557EE"/>
    <w:rsid w:val="00F5585A"/>
    <w:rsid w:val="00F559AA"/>
    <w:rsid w:val="00F559C6"/>
    <w:rsid w:val="00F55AAE"/>
    <w:rsid w:val="00F55AE1"/>
    <w:rsid w:val="00F55B42"/>
    <w:rsid w:val="00F55B5D"/>
    <w:rsid w:val="00F55BE6"/>
    <w:rsid w:val="00F55BF7"/>
    <w:rsid w:val="00F55E7E"/>
    <w:rsid w:val="00F56054"/>
    <w:rsid w:val="00F56170"/>
    <w:rsid w:val="00F56225"/>
    <w:rsid w:val="00F56277"/>
    <w:rsid w:val="00F562F2"/>
    <w:rsid w:val="00F56368"/>
    <w:rsid w:val="00F56369"/>
    <w:rsid w:val="00F563AD"/>
    <w:rsid w:val="00F564EE"/>
    <w:rsid w:val="00F5659F"/>
    <w:rsid w:val="00F565A3"/>
    <w:rsid w:val="00F565FA"/>
    <w:rsid w:val="00F56630"/>
    <w:rsid w:val="00F56636"/>
    <w:rsid w:val="00F567D6"/>
    <w:rsid w:val="00F56814"/>
    <w:rsid w:val="00F56842"/>
    <w:rsid w:val="00F5687F"/>
    <w:rsid w:val="00F56953"/>
    <w:rsid w:val="00F56A72"/>
    <w:rsid w:val="00F56A7A"/>
    <w:rsid w:val="00F56D49"/>
    <w:rsid w:val="00F56D67"/>
    <w:rsid w:val="00F56D73"/>
    <w:rsid w:val="00F56DF0"/>
    <w:rsid w:val="00F56E43"/>
    <w:rsid w:val="00F56FAD"/>
    <w:rsid w:val="00F5700C"/>
    <w:rsid w:val="00F5712E"/>
    <w:rsid w:val="00F5713C"/>
    <w:rsid w:val="00F57195"/>
    <w:rsid w:val="00F571A7"/>
    <w:rsid w:val="00F572A7"/>
    <w:rsid w:val="00F5772B"/>
    <w:rsid w:val="00F5784E"/>
    <w:rsid w:val="00F57901"/>
    <w:rsid w:val="00F5790E"/>
    <w:rsid w:val="00F57944"/>
    <w:rsid w:val="00F57A30"/>
    <w:rsid w:val="00F57B87"/>
    <w:rsid w:val="00F57BCC"/>
    <w:rsid w:val="00F57E77"/>
    <w:rsid w:val="00F57F7B"/>
    <w:rsid w:val="00F6002E"/>
    <w:rsid w:val="00F60033"/>
    <w:rsid w:val="00F6005A"/>
    <w:rsid w:val="00F60097"/>
    <w:rsid w:val="00F600F5"/>
    <w:rsid w:val="00F6028C"/>
    <w:rsid w:val="00F60363"/>
    <w:rsid w:val="00F60427"/>
    <w:rsid w:val="00F6043D"/>
    <w:rsid w:val="00F6054A"/>
    <w:rsid w:val="00F60585"/>
    <w:rsid w:val="00F605F0"/>
    <w:rsid w:val="00F60649"/>
    <w:rsid w:val="00F6065C"/>
    <w:rsid w:val="00F6068D"/>
    <w:rsid w:val="00F60738"/>
    <w:rsid w:val="00F60803"/>
    <w:rsid w:val="00F6082F"/>
    <w:rsid w:val="00F6087D"/>
    <w:rsid w:val="00F608C1"/>
    <w:rsid w:val="00F6090D"/>
    <w:rsid w:val="00F6093D"/>
    <w:rsid w:val="00F60AF9"/>
    <w:rsid w:val="00F60BB9"/>
    <w:rsid w:val="00F60C8D"/>
    <w:rsid w:val="00F60D66"/>
    <w:rsid w:val="00F60D8F"/>
    <w:rsid w:val="00F60F16"/>
    <w:rsid w:val="00F6101F"/>
    <w:rsid w:val="00F6107E"/>
    <w:rsid w:val="00F61091"/>
    <w:rsid w:val="00F610DE"/>
    <w:rsid w:val="00F611DB"/>
    <w:rsid w:val="00F612CC"/>
    <w:rsid w:val="00F61424"/>
    <w:rsid w:val="00F6143A"/>
    <w:rsid w:val="00F61634"/>
    <w:rsid w:val="00F616B8"/>
    <w:rsid w:val="00F6177A"/>
    <w:rsid w:val="00F617AE"/>
    <w:rsid w:val="00F617C0"/>
    <w:rsid w:val="00F618A0"/>
    <w:rsid w:val="00F619A0"/>
    <w:rsid w:val="00F61A72"/>
    <w:rsid w:val="00F61B7F"/>
    <w:rsid w:val="00F61BE6"/>
    <w:rsid w:val="00F61C4E"/>
    <w:rsid w:val="00F61C80"/>
    <w:rsid w:val="00F61D0B"/>
    <w:rsid w:val="00F61D97"/>
    <w:rsid w:val="00F61E1F"/>
    <w:rsid w:val="00F61E52"/>
    <w:rsid w:val="00F61FA6"/>
    <w:rsid w:val="00F62030"/>
    <w:rsid w:val="00F62066"/>
    <w:rsid w:val="00F620EA"/>
    <w:rsid w:val="00F6213B"/>
    <w:rsid w:val="00F621C5"/>
    <w:rsid w:val="00F621E4"/>
    <w:rsid w:val="00F6223C"/>
    <w:rsid w:val="00F62309"/>
    <w:rsid w:val="00F6235E"/>
    <w:rsid w:val="00F623CC"/>
    <w:rsid w:val="00F62442"/>
    <w:rsid w:val="00F624D8"/>
    <w:rsid w:val="00F62525"/>
    <w:rsid w:val="00F62566"/>
    <w:rsid w:val="00F6263A"/>
    <w:rsid w:val="00F6265B"/>
    <w:rsid w:val="00F6267A"/>
    <w:rsid w:val="00F6268D"/>
    <w:rsid w:val="00F626EA"/>
    <w:rsid w:val="00F62723"/>
    <w:rsid w:val="00F62738"/>
    <w:rsid w:val="00F627D1"/>
    <w:rsid w:val="00F6281A"/>
    <w:rsid w:val="00F62873"/>
    <w:rsid w:val="00F6295C"/>
    <w:rsid w:val="00F62B8A"/>
    <w:rsid w:val="00F62BFA"/>
    <w:rsid w:val="00F62C7C"/>
    <w:rsid w:val="00F62C87"/>
    <w:rsid w:val="00F62D02"/>
    <w:rsid w:val="00F62D67"/>
    <w:rsid w:val="00F62D9B"/>
    <w:rsid w:val="00F62E95"/>
    <w:rsid w:val="00F62F61"/>
    <w:rsid w:val="00F62F87"/>
    <w:rsid w:val="00F630A2"/>
    <w:rsid w:val="00F630CF"/>
    <w:rsid w:val="00F63259"/>
    <w:rsid w:val="00F63263"/>
    <w:rsid w:val="00F632B6"/>
    <w:rsid w:val="00F63313"/>
    <w:rsid w:val="00F63435"/>
    <w:rsid w:val="00F63482"/>
    <w:rsid w:val="00F63495"/>
    <w:rsid w:val="00F634E1"/>
    <w:rsid w:val="00F63596"/>
    <w:rsid w:val="00F6363F"/>
    <w:rsid w:val="00F63713"/>
    <w:rsid w:val="00F63843"/>
    <w:rsid w:val="00F6391F"/>
    <w:rsid w:val="00F639CE"/>
    <w:rsid w:val="00F63A12"/>
    <w:rsid w:val="00F63B21"/>
    <w:rsid w:val="00F63BA6"/>
    <w:rsid w:val="00F63BAF"/>
    <w:rsid w:val="00F63BE8"/>
    <w:rsid w:val="00F63C6E"/>
    <w:rsid w:val="00F63C97"/>
    <w:rsid w:val="00F63D42"/>
    <w:rsid w:val="00F64002"/>
    <w:rsid w:val="00F64044"/>
    <w:rsid w:val="00F64106"/>
    <w:rsid w:val="00F64107"/>
    <w:rsid w:val="00F6418F"/>
    <w:rsid w:val="00F641FF"/>
    <w:rsid w:val="00F64280"/>
    <w:rsid w:val="00F642A7"/>
    <w:rsid w:val="00F64334"/>
    <w:rsid w:val="00F64384"/>
    <w:rsid w:val="00F64435"/>
    <w:rsid w:val="00F644D5"/>
    <w:rsid w:val="00F644DB"/>
    <w:rsid w:val="00F6450F"/>
    <w:rsid w:val="00F64553"/>
    <w:rsid w:val="00F64620"/>
    <w:rsid w:val="00F646B7"/>
    <w:rsid w:val="00F6478A"/>
    <w:rsid w:val="00F64813"/>
    <w:rsid w:val="00F6493D"/>
    <w:rsid w:val="00F64AE1"/>
    <w:rsid w:val="00F64CA7"/>
    <w:rsid w:val="00F64CE2"/>
    <w:rsid w:val="00F64CEB"/>
    <w:rsid w:val="00F64D0F"/>
    <w:rsid w:val="00F64D44"/>
    <w:rsid w:val="00F64E7C"/>
    <w:rsid w:val="00F64F1D"/>
    <w:rsid w:val="00F6503C"/>
    <w:rsid w:val="00F6503F"/>
    <w:rsid w:val="00F6517C"/>
    <w:rsid w:val="00F65195"/>
    <w:rsid w:val="00F65235"/>
    <w:rsid w:val="00F652A7"/>
    <w:rsid w:val="00F6532B"/>
    <w:rsid w:val="00F65354"/>
    <w:rsid w:val="00F65432"/>
    <w:rsid w:val="00F65437"/>
    <w:rsid w:val="00F6545E"/>
    <w:rsid w:val="00F654A4"/>
    <w:rsid w:val="00F6552C"/>
    <w:rsid w:val="00F6553A"/>
    <w:rsid w:val="00F6557B"/>
    <w:rsid w:val="00F655BC"/>
    <w:rsid w:val="00F655D9"/>
    <w:rsid w:val="00F655FD"/>
    <w:rsid w:val="00F65686"/>
    <w:rsid w:val="00F6579B"/>
    <w:rsid w:val="00F657B4"/>
    <w:rsid w:val="00F658BB"/>
    <w:rsid w:val="00F659C5"/>
    <w:rsid w:val="00F659FD"/>
    <w:rsid w:val="00F65A24"/>
    <w:rsid w:val="00F65A27"/>
    <w:rsid w:val="00F65AA9"/>
    <w:rsid w:val="00F65AE9"/>
    <w:rsid w:val="00F65B3B"/>
    <w:rsid w:val="00F65B97"/>
    <w:rsid w:val="00F65B98"/>
    <w:rsid w:val="00F65BE8"/>
    <w:rsid w:val="00F65C14"/>
    <w:rsid w:val="00F65C44"/>
    <w:rsid w:val="00F65E55"/>
    <w:rsid w:val="00F65F0A"/>
    <w:rsid w:val="00F66071"/>
    <w:rsid w:val="00F66189"/>
    <w:rsid w:val="00F662B6"/>
    <w:rsid w:val="00F662CD"/>
    <w:rsid w:val="00F66416"/>
    <w:rsid w:val="00F66457"/>
    <w:rsid w:val="00F6658E"/>
    <w:rsid w:val="00F666F1"/>
    <w:rsid w:val="00F666FE"/>
    <w:rsid w:val="00F66784"/>
    <w:rsid w:val="00F6686B"/>
    <w:rsid w:val="00F66BB5"/>
    <w:rsid w:val="00F66CEA"/>
    <w:rsid w:val="00F66D71"/>
    <w:rsid w:val="00F66DE9"/>
    <w:rsid w:val="00F66FE0"/>
    <w:rsid w:val="00F670B6"/>
    <w:rsid w:val="00F67208"/>
    <w:rsid w:val="00F67450"/>
    <w:rsid w:val="00F6747E"/>
    <w:rsid w:val="00F676D3"/>
    <w:rsid w:val="00F6771E"/>
    <w:rsid w:val="00F6774A"/>
    <w:rsid w:val="00F67797"/>
    <w:rsid w:val="00F678AA"/>
    <w:rsid w:val="00F679C7"/>
    <w:rsid w:val="00F679CE"/>
    <w:rsid w:val="00F67A3D"/>
    <w:rsid w:val="00F67A53"/>
    <w:rsid w:val="00F67A6E"/>
    <w:rsid w:val="00F67AC3"/>
    <w:rsid w:val="00F67B9C"/>
    <w:rsid w:val="00F67BE9"/>
    <w:rsid w:val="00F67C01"/>
    <w:rsid w:val="00F67CD6"/>
    <w:rsid w:val="00F67D24"/>
    <w:rsid w:val="00F67ECA"/>
    <w:rsid w:val="00F67EFA"/>
    <w:rsid w:val="00F67F1D"/>
    <w:rsid w:val="00F67F48"/>
    <w:rsid w:val="00F7000F"/>
    <w:rsid w:val="00F70024"/>
    <w:rsid w:val="00F70038"/>
    <w:rsid w:val="00F700DD"/>
    <w:rsid w:val="00F70136"/>
    <w:rsid w:val="00F7016E"/>
    <w:rsid w:val="00F70172"/>
    <w:rsid w:val="00F701EE"/>
    <w:rsid w:val="00F702CD"/>
    <w:rsid w:val="00F70523"/>
    <w:rsid w:val="00F70698"/>
    <w:rsid w:val="00F7078D"/>
    <w:rsid w:val="00F708CB"/>
    <w:rsid w:val="00F70AFA"/>
    <w:rsid w:val="00F70CAC"/>
    <w:rsid w:val="00F70EA6"/>
    <w:rsid w:val="00F70EBC"/>
    <w:rsid w:val="00F70ED6"/>
    <w:rsid w:val="00F70F3A"/>
    <w:rsid w:val="00F710E9"/>
    <w:rsid w:val="00F711FD"/>
    <w:rsid w:val="00F7121C"/>
    <w:rsid w:val="00F712DC"/>
    <w:rsid w:val="00F7135D"/>
    <w:rsid w:val="00F713D6"/>
    <w:rsid w:val="00F71465"/>
    <w:rsid w:val="00F7166B"/>
    <w:rsid w:val="00F7168F"/>
    <w:rsid w:val="00F71712"/>
    <w:rsid w:val="00F71785"/>
    <w:rsid w:val="00F71891"/>
    <w:rsid w:val="00F7197F"/>
    <w:rsid w:val="00F719D4"/>
    <w:rsid w:val="00F71AE6"/>
    <w:rsid w:val="00F71C57"/>
    <w:rsid w:val="00F71DA9"/>
    <w:rsid w:val="00F71E89"/>
    <w:rsid w:val="00F71E9C"/>
    <w:rsid w:val="00F71F2A"/>
    <w:rsid w:val="00F71FDC"/>
    <w:rsid w:val="00F72011"/>
    <w:rsid w:val="00F72047"/>
    <w:rsid w:val="00F720A4"/>
    <w:rsid w:val="00F720C3"/>
    <w:rsid w:val="00F72334"/>
    <w:rsid w:val="00F72450"/>
    <w:rsid w:val="00F724CB"/>
    <w:rsid w:val="00F724CC"/>
    <w:rsid w:val="00F72545"/>
    <w:rsid w:val="00F7268B"/>
    <w:rsid w:val="00F728EC"/>
    <w:rsid w:val="00F72B7D"/>
    <w:rsid w:val="00F72C46"/>
    <w:rsid w:val="00F72C7A"/>
    <w:rsid w:val="00F72C7C"/>
    <w:rsid w:val="00F72CDC"/>
    <w:rsid w:val="00F72D5A"/>
    <w:rsid w:val="00F72F4E"/>
    <w:rsid w:val="00F7318F"/>
    <w:rsid w:val="00F73240"/>
    <w:rsid w:val="00F73378"/>
    <w:rsid w:val="00F733BB"/>
    <w:rsid w:val="00F733E3"/>
    <w:rsid w:val="00F733E4"/>
    <w:rsid w:val="00F733E8"/>
    <w:rsid w:val="00F734DA"/>
    <w:rsid w:val="00F734FC"/>
    <w:rsid w:val="00F7350C"/>
    <w:rsid w:val="00F735B0"/>
    <w:rsid w:val="00F73621"/>
    <w:rsid w:val="00F73628"/>
    <w:rsid w:val="00F73749"/>
    <w:rsid w:val="00F73755"/>
    <w:rsid w:val="00F73780"/>
    <w:rsid w:val="00F739A4"/>
    <w:rsid w:val="00F73A08"/>
    <w:rsid w:val="00F73AAB"/>
    <w:rsid w:val="00F73CBB"/>
    <w:rsid w:val="00F73D0A"/>
    <w:rsid w:val="00F73D65"/>
    <w:rsid w:val="00F73F5A"/>
    <w:rsid w:val="00F73FC0"/>
    <w:rsid w:val="00F74018"/>
    <w:rsid w:val="00F74078"/>
    <w:rsid w:val="00F74098"/>
    <w:rsid w:val="00F740CD"/>
    <w:rsid w:val="00F74138"/>
    <w:rsid w:val="00F7424B"/>
    <w:rsid w:val="00F742EB"/>
    <w:rsid w:val="00F74329"/>
    <w:rsid w:val="00F7435C"/>
    <w:rsid w:val="00F74372"/>
    <w:rsid w:val="00F7439B"/>
    <w:rsid w:val="00F74844"/>
    <w:rsid w:val="00F74A1B"/>
    <w:rsid w:val="00F74AE7"/>
    <w:rsid w:val="00F74B3D"/>
    <w:rsid w:val="00F74B4D"/>
    <w:rsid w:val="00F74B5E"/>
    <w:rsid w:val="00F74BA8"/>
    <w:rsid w:val="00F74C4D"/>
    <w:rsid w:val="00F74E92"/>
    <w:rsid w:val="00F74EB1"/>
    <w:rsid w:val="00F74F8E"/>
    <w:rsid w:val="00F7509A"/>
    <w:rsid w:val="00F750DC"/>
    <w:rsid w:val="00F7513B"/>
    <w:rsid w:val="00F75168"/>
    <w:rsid w:val="00F75183"/>
    <w:rsid w:val="00F751C7"/>
    <w:rsid w:val="00F75233"/>
    <w:rsid w:val="00F75269"/>
    <w:rsid w:val="00F7529A"/>
    <w:rsid w:val="00F752C4"/>
    <w:rsid w:val="00F753FE"/>
    <w:rsid w:val="00F75450"/>
    <w:rsid w:val="00F75475"/>
    <w:rsid w:val="00F75557"/>
    <w:rsid w:val="00F756B5"/>
    <w:rsid w:val="00F756C4"/>
    <w:rsid w:val="00F757BA"/>
    <w:rsid w:val="00F7583F"/>
    <w:rsid w:val="00F75849"/>
    <w:rsid w:val="00F75974"/>
    <w:rsid w:val="00F75A4D"/>
    <w:rsid w:val="00F75D02"/>
    <w:rsid w:val="00F75D9C"/>
    <w:rsid w:val="00F75DA7"/>
    <w:rsid w:val="00F75EC3"/>
    <w:rsid w:val="00F75F5B"/>
    <w:rsid w:val="00F75FC3"/>
    <w:rsid w:val="00F75FC7"/>
    <w:rsid w:val="00F7613F"/>
    <w:rsid w:val="00F76165"/>
    <w:rsid w:val="00F76186"/>
    <w:rsid w:val="00F7619A"/>
    <w:rsid w:val="00F761C6"/>
    <w:rsid w:val="00F76214"/>
    <w:rsid w:val="00F7622B"/>
    <w:rsid w:val="00F76236"/>
    <w:rsid w:val="00F7627B"/>
    <w:rsid w:val="00F762C8"/>
    <w:rsid w:val="00F763C9"/>
    <w:rsid w:val="00F763E8"/>
    <w:rsid w:val="00F7647C"/>
    <w:rsid w:val="00F764D5"/>
    <w:rsid w:val="00F7658C"/>
    <w:rsid w:val="00F76641"/>
    <w:rsid w:val="00F76746"/>
    <w:rsid w:val="00F76780"/>
    <w:rsid w:val="00F767A0"/>
    <w:rsid w:val="00F76820"/>
    <w:rsid w:val="00F7685E"/>
    <w:rsid w:val="00F768B5"/>
    <w:rsid w:val="00F76929"/>
    <w:rsid w:val="00F76942"/>
    <w:rsid w:val="00F76A35"/>
    <w:rsid w:val="00F76A4F"/>
    <w:rsid w:val="00F76B2A"/>
    <w:rsid w:val="00F76B31"/>
    <w:rsid w:val="00F76BC1"/>
    <w:rsid w:val="00F76BE7"/>
    <w:rsid w:val="00F76C3D"/>
    <w:rsid w:val="00F76D6C"/>
    <w:rsid w:val="00F76DCC"/>
    <w:rsid w:val="00F76F06"/>
    <w:rsid w:val="00F76F36"/>
    <w:rsid w:val="00F77191"/>
    <w:rsid w:val="00F771AE"/>
    <w:rsid w:val="00F771C0"/>
    <w:rsid w:val="00F772EC"/>
    <w:rsid w:val="00F77302"/>
    <w:rsid w:val="00F77366"/>
    <w:rsid w:val="00F77507"/>
    <w:rsid w:val="00F775B0"/>
    <w:rsid w:val="00F775F7"/>
    <w:rsid w:val="00F77628"/>
    <w:rsid w:val="00F77665"/>
    <w:rsid w:val="00F77703"/>
    <w:rsid w:val="00F77831"/>
    <w:rsid w:val="00F778FA"/>
    <w:rsid w:val="00F77A6B"/>
    <w:rsid w:val="00F77A8C"/>
    <w:rsid w:val="00F77AE6"/>
    <w:rsid w:val="00F77B51"/>
    <w:rsid w:val="00F77BB9"/>
    <w:rsid w:val="00F77C40"/>
    <w:rsid w:val="00F77C64"/>
    <w:rsid w:val="00F77C9D"/>
    <w:rsid w:val="00F77EA7"/>
    <w:rsid w:val="00F77F1E"/>
    <w:rsid w:val="00F77F44"/>
    <w:rsid w:val="00F77F95"/>
    <w:rsid w:val="00F77FFB"/>
    <w:rsid w:val="00F8008C"/>
    <w:rsid w:val="00F803C4"/>
    <w:rsid w:val="00F803D7"/>
    <w:rsid w:val="00F8043A"/>
    <w:rsid w:val="00F8048C"/>
    <w:rsid w:val="00F805F6"/>
    <w:rsid w:val="00F80646"/>
    <w:rsid w:val="00F80912"/>
    <w:rsid w:val="00F809AF"/>
    <w:rsid w:val="00F80A16"/>
    <w:rsid w:val="00F80E54"/>
    <w:rsid w:val="00F80FD0"/>
    <w:rsid w:val="00F81168"/>
    <w:rsid w:val="00F81177"/>
    <w:rsid w:val="00F8123E"/>
    <w:rsid w:val="00F81317"/>
    <w:rsid w:val="00F81441"/>
    <w:rsid w:val="00F81482"/>
    <w:rsid w:val="00F8148D"/>
    <w:rsid w:val="00F816B6"/>
    <w:rsid w:val="00F816C7"/>
    <w:rsid w:val="00F81769"/>
    <w:rsid w:val="00F81826"/>
    <w:rsid w:val="00F8189E"/>
    <w:rsid w:val="00F818DC"/>
    <w:rsid w:val="00F8195F"/>
    <w:rsid w:val="00F81989"/>
    <w:rsid w:val="00F819C0"/>
    <w:rsid w:val="00F81A61"/>
    <w:rsid w:val="00F81A7F"/>
    <w:rsid w:val="00F81A99"/>
    <w:rsid w:val="00F81C00"/>
    <w:rsid w:val="00F81CE3"/>
    <w:rsid w:val="00F81D5A"/>
    <w:rsid w:val="00F81D67"/>
    <w:rsid w:val="00F81E00"/>
    <w:rsid w:val="00F81E13"/>
    <w:rsid w:val="00F81E62"/>
    <w:rsid w:val="00F81F03"/>
    <w:rsid w:val="00F81FEF"/>
    <w:rsid w:val="00F820DB"/>
    <w:rsid w:val="00F8214D"/>
    <w:rsid w:val="00F821EF"/>
    <w:rsid w:val="00F822A6"/>
    <w:rsid w:val="00F823D9"/>
    <w:rsid w:val="00F82473"/>
    <w:rsid w:val="00F824CE"/>
    <w:rsid w:val="00F82595"/>
    <w:rsid w:val="00F825C2"/>
    <w:rsid w:val="00F827D0"/>
    <w:rsid w:val="00F827F8"/>
    <w:rsid w:val="00F829B8"/>
    <w:rsid w:val="00F82D53"/>
    <w:rsid w:val="00F82EBF"/>
    <w:rsid w:val="00F82ECC"/>
    <w:rsid w:val="00F82EF3"/>
    <w:rsid w:val="00F82EFE"/>
    <w:rsid w:val="00F82F20"/>
    <w:rsid w:val="00F8314C"/>
    <w:rsid w:val="00F831B7"/>
    <w:rsid w:val="00F831E6"/>
    <w:rsid w:val="00F8320C"/>
    <w:rsid w:val="00F8325E"/>
    <w:rsid w:val="00F832B1"/>
    <w:rsid w:val="00F83310"/>
    <w:rsid w:val="00F8333C"/>
    <w:rsid w:val="00F833D7"/>
    <w:rsid w:val="00F8351F"/>
    <w:rsid w:val="00F8357E"/>
    <w:rsid w:val="00F835E5"/>
    <w:rsid w:val="00F83685"/>
    <w:rsid w:val="00F836D3"/>
    <w:rsid w:val="00F83887"/>
    <w:rsid w:val="00F83905"/>
    <w:rsid w:val="00F83978"/>
    <w:rsid w:val="00F8399F"/>
    <w:rsid w:val="00F839E1"/>
    <w:rsid w:val="00F83A7F"/>
    <w:rsid w:val="00F83AF6"/>
    <w:rsid w:val="00F83C10"/>
    <w:rsid w:val="00F83CF5"/>
    <w:rsid w:val="00F83D4C"/>
    <w:rsid w:val="00F83D65"/>
    <w:rsid w:val="00F83D80"/>
    <w:rsid w:val="00F83ECE"/>
    <w:rsid w:val="00F83FA4"/>
    <w:rsid w:val="00F84027"/>
    <w:rsid w:val="00F84042"/>
    <w:rsid w:val="00F84083"/>
    <w:rsid w:val="00F840F6"/>
    <w:rsid w:val="00F84120"/>
    <w:rsid w:val="00F843BC"/>
    <w:rsid w:val="00F84521"/>
    <w:rsid w:val="00F84771"/>
    <w:rsid w:val="00F84775"/>
    <w:rsid w:val="00F847EA"/>
    <w:rsid w:val="00F84828"/>
    <w:rsid w:val="00F84833"/>
    <w:rsid w:val="00F8492F"/>
    <w:rsid w:val="00F84965"/>
    <w:rsid w:val="00F849B7"/>
    <w:rsid w:val="00F84AF0"/>
    <w:rsid w:val="00F84AFB"/>
    <w:rsid w:val="00F84B5C"/>
    <w:rsid w:val="00F84B97"/>
    <w:rsid w:val="00F84C05"/>
    <w:rsid w:val="00F84C2A"/>
    <w:rsid w:val="00F84DB0"/>
    <w:rsid w:val="00F84ECC"/>
    <w:rsid w:val="00F84F09"/>
    <w:rsid w:val="00F84F6E"/>
    <w:rsid w:val="00F84FCF"/>
    <w:rsid w:val="00F84FE5"/>
    <w:rsid w:val="00F85140"/>
    <w:rsid w:val="00F8517B"/>
    <w:rsid w:val="00F8523D"/>
    <w:rsid w:val="00F85254"/>
    <w:rsid w:val="00F852EA"/>
    <w:rsid w:val="00F85331"/>
    <w:rsid w:val="00F853B5"/>
    <w:rsid w:val="00F8551B"/>
    <w:rsid w:val="00F85569"/>
    <w:rsid w:val="00F85665"/>
    <w:rsid w:val="00F85669"/>
    <w:rsid w:val="00F8567D"/>
    <w:rsid w:val="00F85683"/>
    <w:rsid w:val="00F8574F"/>
    <w:rsid w:val="00F85774"/>
    <w:rsid w:val="00F85859"/>
    <w:rsid w:val="00F85926"/>
    <w:rsid w:val="00F85928"/>
    <w:rsid w:val="00F85993"/>
    <w:rsid w:val="00F859DF"/>
    <w:rsid w:val="00F85A40"/>
    <w:rsid w:val="00F85A4D"/>
    <w:rsid w:val="00F85BED"/>
    <w:rsid w:val="00F85C1A"/>
    <w:rsid w:val="00F85C40"/>
    <w:rsid w:val="00F85D62"/>
    <w:rsid w:val="00F85E27"/>
    <w:rsid w:val="00F860E1"/>
    <w:rsid w:val="00F860ED"/>
    <w:rsid w:val="00F86120"/>
    <w:rsid w:val="00F861C6"/>
    <w:rsid w:val="00F8621E"/>
    <w:rsid w:val="00F86328"/>
    <w:rsid w:val="00F863A9"/>
    <w:rsid w:val="00F86419"/>
    <w:rsid w:val="00F8644E"/>
    <w:rsid w:val="00F8654A"/>
    <w:rsid w:val="00F86556"/>
    <w:rsid w:val="00F865D7"/>
    <w:rsid w:val="00F865F5"/>
    <w:rsid w:val="00F86713"/>
    <w:rsid w:val="00F8685C"/>
    <w:rsid w:val="00F86878"/>
    <w:rsid w:val="00F869DF"/>
    <w:rsid w:val="00F86A1E"/>
    <w:rsid w:val="00F86A37"/>
    <w:rsid w:val="00F86B13"/>
    <w:rsid w:val="00F86B1B"/>
    <w:rsid w:val="00F86B1C"/>
    <w:rsid w:val="00F86B51"/>
    <w:rsid w:val="00F86B78"/>
    <w:rsid w:val="00F86C29"/>
    <w:rsid w:val="00F86C82"/>
    <w:rsid w:val="00F86CE6"/>
    <w:rsid w:val="00F86DA1"/>
    <w:rsid w:val="00F86DAB"/>
    <w:rsid w:val="00F86DCE"/>
    <w:rsid w:val="00F86E9F"/>
    <w:rsid w:val="00F87047"/>
    <w:rsid w:val="00F87124"/>
    <w:rsid w:val="00F87341"/>
    <w:rsid w:val="00F87342"/>
    <w:rsid w:val="00F87381"/>
    <w:rsid w:val="00F873E0"/>
    <w:rsid w:val="00F875C3"/>
    <w:rsid w:val="00F875E4"/>
    <w:rsid w:val="00F8762F"/>
    <w:rsid w:val="00F876D8"/>
    <w:rsid w:val="00F87708"/>
    <w:rsid w:val="00F87808"/>
    <w:rsid w:val="00F878C8"/>
    <w:rsid w:val="00F87A4A"/>
    <w:rsid w:val="00F87AB4"/>
    <w:rsid w:val="00F87AE7"/>
    <w:rsid w:val="00F87BD7"/>
    <w:rsid w:val="00F87C1F"/>
    <w:rsid w:val="00F87D78"/>
    <w:rsid w:val="00F87DBB"/>
    <w:rsid w:val="00F87DBE"/>
    <w:rsid w:val="00F87F3D"/>
    <w:rsid w:val="00F87FCD"/>
    <w:rsid w:val="00F900F2"/>
    <w:rsid w:val="00F90140"/>
    <w:rsid w:val="00F901A4"/>
    <w:rsid w:val="00F90290"/>
    <w:rsid w:val="00F902A1"/>
    <w:rsid w:val="00F90403"/>
    <w:rsid w:val="00F90407"/>
    <w:rsid w:val="00F904D0"/>
    <w:rsid w:val="00F90530"/>
    <w:rsid w:val="00F90661"/>
    <w:rsid w:val="00F906B1"/>
    <w:rsid w:val="00F90700"/>
    <w:rsid w:val="00F907F1"/>
    <w:rsid w:val="00F9081B"/>
    <w:rsid w:val="00F9085D"/>
    <w:rsid w:val="00F90910"/>
    <w:rsid w:val="00F90932"/>
    <w:rsid w:val="00F909B4"/>
    <w:rsid w:val="00F909CE"/>
    <w:rsid w:val="00F90A52"/>
    <w:rsid w:val="00F90AE3"/>
    <w:rsid w:val="00F90BA4"/>
    <w:rsid w:val="00F90D37"/>
    <w:rsid w:val="00F90DD2"/>
    <w:rsid w:val="00F90E57"/>
    <w:rsid w:val="00F91014"/>
    <w:rsid w:val="00F91069"/>
    <w:rsid w:val="00F9106C"/>
    <w:rsid w:val="00F910EE"/>
    <w:rsid w:val="00F9113D"/>
    <w:rsid w:val="00F9119D"/>
    <w:rsid w:val="00F911DE"/>
    <w:rsid w:val="00F912AB"/>
    <w:rsid w:val="00F91332"/>
    <w:rsid w:val="00F913F0"/>
    <w:rsid w:val="00F91475"/>
    <w:rsid w:val="00F9147F"/>
    <w:rsid w:val="00F9154B"/>
    <w:rsid w:val="00F91710"/>
    <w:rsid w:val="00F91722"/>
    <w:rsid w:val="00F918E8"/>
    <w:rsid w:val="00F91A1F"/>
    <w:rsid w:val="00F91A9B"/>
    <w:rsid w:val="00F91AD4"/>
    <w:rsid w:val="00F91B2E"/>
    <w:rsid w:val="00F91B5C"/>
    <w:rsid w:val="00F91BC0"/>
    <w:rsid w:val="00F91C82"/>
    <w:rsid w:val="00F91C88"/>
    <w:rsid w:val="00F91E8B"/>
    <w:rsid w:val="00F91EE0"/>
    <w:rsid w:val="00F91FD2"/>
    <w:rsid w:val="00F9206C"/>
    <w:rsid w:val="00F92088"/>
    <w:rsid w:val="00F920F7"/>
    <w:rsid w:val="00F92100"/>
    <w:rsid w:val="00F9225F"/>
    <w:rsid w:val="00F92298"/>
    <w:rsid w:val="00F92446"/>
    <w:rsid w:val="00F92488"/>
    <w:rsid w:val="00F92492"/>
    <w:rsid w:val="00F925C7"/>
    <w:rsid w:val="00F925D6"/>
    <w:rsid w:val="00F925DD"/>
    <w:rsid w:val="00F92684"/>
    <w:rsid w:val="00F928BB"/>
    <w:rsid w:val="00F92917"/>
    <w:rsid w:val="00F92979"/>
    <w:rsid w:val="00F929BC"/>
    <w:rsid w:val="00F929D1"/>
    <w:rsid w:val="00F929D8"/>
    <w:rsid w:val="00F929F7"/>
    <w:rsid w:val="00F92AF8"/>
    <w:rsid w:val="00F92D93"/>
    <w:rsid w:val="00F92E2B"/>
    <w:rsid w:val="00F92F5F"/>
    <w:rsid w:val="00F92F7E"/>
    <w:rsid w:val="00F92FB0"/>
    <w:rsid w:val="00F93083"/>
    <w:rsid w:val="00F93151"/>
    <w:rsid w:val="00F9319D"/>
    <w:rsid w:val="00F931E4"/>
    <w:rsid w:val="00F93394"/>
    <w:rsid w:val="00F933D6"/>
    <w:rsid w:val="00F93425"/>
    <w:rsid w:val="00F934C8"/>
    <w:rsid w:val="00F934E5"/>
    <w:rsid w:val="00F936FD"/>
    <w:rsid w:val="00F93700"/>
    <w:rsid w:val="00F93865"/>
    <w:rsid w:val="00F938B5"/>
    <w:rsid w:val="00F938FA"/>
    <w:rsid w:val="00F939E9"/>
    <w:rsid w:val="00F93A30"/>
    <w:rsid w:val="00F93A90"/>
    <w:rsid w:val="00F93AA1"/>
    <w:rsid w:val="00F93C01"/>
    <w:rsid w:val="00F93C05"/>
    <w:rsid w:val="00F93C88"/>
    <w:rsid w:val="00F93D5E"/>
    <w:rsid w:val="00F93DC8"/>
    <w:rsid w:val="00F93F7E"/>
    <w:rsid w:val="00F94101"/>
    <w:rsid w:val="00F94195"/>
    <w:rsid w:val="00F94233"/>
    <w:rsid w:val="00F9429A"/>
    <w:rsid w:val="00F943E0"/>
    <w:rsid w:val="00F94464"/>
    <w:rsid w:val="00F944D0"/>
    <w:rsid w:val="00F944EB"/>
    <w:rsid w:val="00F945BC"/>
    <w:rsid w:val="00F945D2"/>
    <w:rsid w:val="00F94624"/>
    <w:rsid w:val="00F9469D"/>
    <w:rsid w:val="00F9471A"/>
    <w:rsid w:val="00F94731"/>
    <w:rsid w:val="00F94772"/>
    <w:rsid w:val="00F947CD"/>
    <w:rsid w:val="00F9485B"/>
    <w:rsid w:val="00F948F4"/>
    <w:rsid w:val="00F94B89"/>
    <w:rsid w:val="00F94BAF"/>
    <w:rsid w:val="00F94C53"/>
    <w:rsid w:val="00F94CAF"/>
    <w:rsid w:val="00F94DC6"/>
    <w:rsid w:val="00F94E4B"/>
    <w:rsid w:val="00F94F72"/>
    <w:rsid w:val="00F94FF5"/>
    <w:rsid w:val="00F95285"/>
    <w:rsid w:val="00F9544E"/>
    <w:rsid w:val="00F95523"/>
    <w:rsid w:val="00F9557D"/>
    <w:rsid w:val="00F9575C"/>
    <w:rsid w:val="00F959BD"/>
    <w:rsid w:val="00F95B2F"/>
    <w:rsid w:val="00F95B9A"/>
    <w:rsid w:val="00F95C90"/>
    <w:rsid w:val="00F95D8F"/>
    <w:rsid w:val="00F95E0D"/>
    <w:rsid w:val="00F95E86"/>
    <w:rsid w:val="00F95EE2"/>
    <w:rsid w:val="00F96114"/>
    <w:rsid w:val="00F961CF"/>
    <w:rsid w:val="00F96276"/>
    <w:rsid w:val="00F9629A"/>
    <w:rsid w:val="00F962F8"/>
    <w:rsid w:val="00F9636B"/>
    <w:rsid w:val="00F96382"/>
    <w:rsid w:val="00F96431"/>
    <w:rsid w:val="00F9643F"/>
    <w:rsid w:val="00F965F3"/>
    <w:rsid w:val="00F966BB"/>
    <w:rsid w:val="00F966CF"/>
    <w:rsid w:val="00F966EC"/>
    <w:rsid w:val="00F96744"/>
    <w:rsid w:val="00F9678E"/>
    <w:rsid w:val="00F967C9"/>
    <w:rsid w:val="00F96846"/>
    <w:rsid w:val="00F9694B"/>
    <w:rsid w:val="00F969E2"/>
    <w:rsid w:val="00F96A8B"/>
    <w:rsid w:val="00F96A9A"/>
    <w:rsid w:val="00F96C4F"/>
    <w:rsid w:val="00F96C50"/>
    <w:rsid w:val="00F96CC9"/>
    <w:rsid w:val="00F96CDC"/>
    <w:rsid w:val="00F96D54"/>
    <w:rsid w:val="00F96E63"/>
    <w:rsid w:val="00F96F09"/>
    <w:rsid w:val="00F96FE3"/>
    <w:rsid w:val="00F96FEB"/>
    <w:rsid w:val="00F97065"/>
    <w:rsid w:val="00F970BD"/>
    <w:rsid w:val="00F9714B"/>
    <w:rsid w:val="00F97271"/>
    <w:rsid w:val="00F972D0"/>
    <w:rsid w:val="00F97315"/>
    <w:rsid w:val="00F973D7"/>
    <w:rsid w:val="00F97467"/>
    <w:rsid w:val="00F9748B"/>
    <w:rsid w:val="00F974AA"/>
    <w:rsid w:val="00F974E2"/>
    <w:rsid w:val="00F974FB"/>
    <w:rsid w:val="00F9763A"/>
    <w:rsid w:val="00F976A0"/>
    <w:rsid w:val="00F97734"/>
    <w:rsid w:val="00F97798"/>
    <w:rsid w:val="00F978CB"/>
    <w:rsid w:val="00F97A90"/>
    <w:rsid w:val="00F97B6C"/>
    <w:rsid w:val="00F97B95"/>
    <w:rsid w:val="00F97BAD"/>
    <w:rsid w:val="00F97C47"/>
    <w:rsid w:val="00F97C9D"/>
    <w:rsid w:val="00F97E19"/>
    <w:rsid w:val="00F97EC0"/>
    <w:rsid w:val="00F97EE2"/>
    <w:rsid w:val="00F97F06"/>
    <w:rsid w:val="00F97FC3"/>
    <w:rsid w:val="00F97FD2"/>
    <w:rsid w:val="00FA006A"/>
    <w:rsid w:val="00FA0114"/>
    <w:rsid w:val="00FA01D5"/>
    <w:rsid w:val="00FA01EE"/>
    <w:rsid w:val="00FA053E"/>
    <w:rsid w:val="00FA0592"/>
    <w:rsid w:val="00FA0613"/>
    <w:rsid w:val="00FA071C"/>
    <w:rsid w:val="00FA0726"/>
    <w:rsid w:val="00FA0740"/>
    <w:rsid w:val="00FA07F1"/>
    <w:rsid w:val="00FA0890"/>
    <w:rsid w:val="00FA0920"/>
    <w:rsid w:val="00FA098F"/>
    <w:rsid w:val="00FA09EB"/>
    <w:rsid w:val="00FA0A06"/>
    <w:rsid w:val="00FA0A40"/>
    <w:rsid w:val="00FA0B19"/>
    <w:rsid w:val="00FA0EAA"/>
    <w:rsid w:val="00FA0EDA"/>
    <w:rsid w:val="00FA0F36"/>
    <w:rsid w:val="00FA0F46"/>
    <w:rsid w:val="00FA0F84"/>
    <w:rsid w:val="00FA0FA7"/>
    <w:rsid w:val="00FA0FB7"/>
    <w:rsid w:val="00FA110C"/>
    <w:rsid w:val="00FA117D"/>
    <w:rsid w:val="00FA1187"/>
    <w:rsid w:val="00FA12E6"/>
    <w:rsid w:val="00FA133B"/>
    <w:rsid w:val="00FA13E2"/>
    <w:rsid w:val="00FA1406"/>
    <w:rsid w:val="00FA1482"/>
    <w:rsid w:val="00FA14BB"/>
    <w:rsid w:val="00FA161A"/>
    <w:rsid w:val="00FA17CF"/>
    <w:rsid w:val="00FA1819"/>
    <w:rsid w:val="00FA181B"/>
    <w:rsid w:val="00FA188F"/>
    <w:rsid w:val="00FA1918"/>
    <w:rsid w:val="00FA191D"/>
    <w:rsid w:val="00FA1921"/>
    <w:rsid w:val="00FA197A"/>
    <w:rsid w:val="00FA19CE"/>
    <w:rsid w:val="00FA1A45"/>
    <w:rsid w:val="00FA1C9B"/>
    <w:rsid w:val="00FA1CED"/>
    <w:rsid w:val="00FA1D3F"/>
    <w:rsid w:val="00FA1DF3"/>
    <w:rsid w:val="00FA1E73"/>
    <w:rsid w:val="00FA1F88"/>
    <w:rsid w:val="00FA2005"/>
    <w:rsid w:val="00FA2061"/>
    <w:rsid w:val="00FA2067"/>
    <w:rsid w:val="00FA20F6"/>
    <w:rsid w:val="00FA22DA"/>
    <w:rsid w:val="00FA230B"/>
    <w:rsid w:val="00FA236A"/>
    <w:rsid w:val="00FA2688"/>
    <w:rsid w:val="00FA269F"/>
    <w:rsid w:val="00FA26D2"/>
    <w:rsid w:val="00FA274E"/>
    <w:rsid w:val="00FA281E"/>
    <w:rsid w:val="00FA29B3"/>
    <w:rsid w:val="00FA29EA"/>
    <w:rsid w:val="00FA2A15"/>
    <w:rsid w:val="00FA2B65"/>
    <w:rsid w:val="00FA2BD5"/>
    <w:rsid w:val="00FA2BE5"/>
    <w:rsid w:val="00FA2C19"/>
    <w:rsid w:val="00FA2C85"/>
    <w:rsid w:val="00FA2DF6"/>
    <w:rsid w:val="00FA2E09"/>
    <w:rsid w:val="00FA2EEB"/>
    <w:rsid w:val="00FA30A2"/>
    <w:rsid w:val="00FA3142"/>
    <w:rsid w:val="00FA31A5"/>
    <w:rsid w:val="00FA31F4"/>
    <w:rsid w:val="00FA3270"/>
    <w:rsid w:val="00FA32C2"/>
    <w:rsid w:val="00FA32F9"/>
    <w:rsid w:val="00FA3393"/>
    <w:rsid w:val="00FA33BB"/>
    <w:rsid w:val="00FA33C0"/>
    <w:rsid w:val="00FA3444"/>
    <w:rsid w:val="00FA3479"/>
    <w:rsid w:val="00FA34F3"/>
    <w:rsid w:val="00FA35B5"/>
    <w:rsid w:val="00FA35DC"/>
    <w:rsid w:val="00FA361E"/>
    <w:rsid w:val="00FA36FB"/>
    <w:rsid w:val="00FA3704"/>
    <w:rsid w:val="00FA372B"/>
    <w:rsid w:val="00FA37F4"/>
    <w:rsid w:val="00FA387E"/>
    <w:rsid w:val="00FA39A4"/>
    <w:rsid w:val="00FA3A10"/>
    <w:rsid w:val="00FA3B37"/>
    <w:rsid w:val="00FA3BB9"/>
    <w:rsid w:val="00FA3CB4"/>
    <w:rsid w:val="00FA3CC1"/>
    <w:rsid w:val="00FA3D7A"/>
    <w:rsid w:val="00FA3DFB"/>
    <w:rsid w:val="00FA3E69"/>
    <w:rsid w:val="00FA3F20"/>
    <w:rsid w:val="00FA400B"/>
    <w:rsid w:val="00FA4022"/>
    <w:rsid w:val="00FA4037"/>
    <w:rsid w:val="00FA4095"/>
    <w:rsid w:val="00FA4137"/>
    <w:rsid w:val="00FA416F"/>
    <w:rsid w:val="00FA43CE"/>
    <w:rsid w:val="00FA458F"/>
    <w:rsid w:val="00FA45FF"/>
    <w:rsid w:val="00FA4937"/>
    <w:rsid w:val="00FA4A2A"/>
    <w:rsid w:val="00FA4A52"/>
    <w:rsid w:val="00FA4B35"/>
    <w:rsid w:val="00FA4B78"/>
    <w:rsid w:val="00FA4CC6"/>
    <w:rsid w:val="00FA4DC8"/>
    <w:rsid w:val="00FA4E9A"/>
    <w:rsid w:val="00FA501C"/>
    <w:rsid w:val="00FA5048"/>
    <w:rsid w:val="00FA5063"/>
    <w:rsid w:val="00FA509F"/>
    <w:rsid w:val="00FA50AD"/>
    <w:rsid w:val="00FA50D4"/>
    <w:rsid w:val="00FA50EE"/>
    <w:rsid w:val="00FA511E"/>
    <w:rsid w:val="00FA5170"/>
    <w:rsid w:val="00FA51FE"/>
    <w:rsid w:val="00FA529D"/>
    <w:rsid w:val="00FA532C"/>
    <w:rsid w:val="00FA538E"/>
    <w:rsid w:val="00FA5542"/>
    <w:rsid w:val="00FA56A7"/>
    <w:rsid w:val="00FA5853"/>
    <w:rsid w:val="00FA59CE"/>
    <w:rsid w:val="00FA59D1"/>
    <w:rsid w:val="00FA5A3A"/>
    <w:rsid w:val="00FA5A44"/>
    <w:rsid w:val="00FA5AAF"/>
    <w:rsid w:val="00FA5B02"/>
    <w:rsid w:val="00FA5CDE"/>
    <w:rsid w:val="00FA5CF5"/>
    <w:rsid w:val="00FA5DD8"/>
    <w:rsid w:val="00FA5E7F"/>
    <w:rsid w:val="00FA5E8E"/>
    <w:rsid w:val="00FA5EFD"/>
    <w:rsid w:val="00FA5F5C"/>
    <w:rsid w:val="00FA5F98"/>
    <w:rsid w:val="00FA6003"/>
    <w:rsid w:val="00FA60CA"/>
    <w:rsid w:val="00FA62A5"/>
    <w:rsid w:val="00FA63D5"/>
    <w:rsid w:val="00FA63D8"/>
    <w:rsid w:val="00FA6417"/>
    <w:rsid w:val="00FA641E"/>
    <w:rsid w:val="00FA64BB"/>
    <w:rsid w:val="00FA64BF"/>
    <w:rsid w:val="00FA65DA"/>
    <w:rsid w:val="00FA65E5"/>
    <w:rsid w:val="00FA660C"/>
    <w:rsid w:val="00FA66CC"/>
    <w:rsid w:val="00FA67A7"/>
    <w:rsid w:val="00FA6933"/>
    <w:rsid w:val="00FA6954"/>
    <w:rsid w:val="00FA69AA"/>
    <w:rsid w:val="00FA69C7"/>
    <w:rsid w:val="00FA6A59"/>
    <w:rsid w:val="00FA6AA9"/>
    <w:rsid w:val="00FA6AFE"/>
    <w:rsid w:val="00FA6B3A"/>
    <w:rsid w:val="00FA6C99"/>
    <w:rsid w:val="00FA6E22"/>
    <w:rsid w:val="00FA6E2E"/>
    <w:rsid w:val="00FA6E78"/>
    <w:rsid w:val="00FA6EC4"/>
    <w:rsid w:val="00FA6EDF"/>
    <w:rsid w:val="00FA6EED"/>
    <w:rsid w:val="00FA6F0E"/>
    <w:rsid w:val="00FA7179"/>
    <w:rsid w:val="00FA7198"/>
    <w:rsid w:val="00FA71B3"/>
    <w:rsid w:val="00FA71E2"/>
    <w:rsid w:val="00FA72BC"/>
    <w:rsid w:val="00FA72CC"/>
    <w:rsid w:val="00FA72FB"/>
    <w:rsid w:val="00FA73AA"/>
    <w:rsid w:val="00FA73D2"/>
    <w:rsid w:val="00FA73D7"/>
    <w:rsid w:val="00FA74D1"/>
    <w:rsid w:val="00FA7698"/>
    <w:rsid w:val="00FA76BF"/>
    <w:rsid w:val="00FA7757"/>
    <w:rsid w:val="00FA7773"/>
    <w:rsid w:val="00FA7847"/>
    <w:rsid w:val="00FA7888"/>
    <w:rsid w:val="00FA78A2"/>
    <w:rsid w:val="00FA78D5"/>
    <w:rsid w:val="00FA7B58"/>
    <w:rsid w:val="00FA7C2C"/>
    <w:rsid w:val="00FA7CE0"/>
    <w:rsid w:val="00FA7D24"/>
    <w:rsid w:val="00FA7D58"/>
    <w:rsid w:val="00FA7DBA"/>
    <w:rsid w:val="00FA7F0E"/>
    <w:rsid w:val="00FB0037"/>
    <w:rsid w:val="00FB00A8"/>
    <w:rsid w:val="00FB00C6"/>
    <w:rsid w:val="00FB0200"/>
    <w:rsid w:val="00FB023B"/>
    <w:rsid w:val="00FB025A"/>
    <w:rsid w:val="00FB040F"/>
    <w:rsid w:val="00FB04AA"/>
    <w:rsid w:val="00FB0518"/>
    <w:rsid w:val="00FB05A7"/>
    <w:rsid w:val="00FB05E1"/>
    <w:rsid w:val="00FB070A"/>
    <w:rsid w:val="00FB0823"/>
    <w:rsid w:val="00FB083F"/>
    <w:rsid w:val="00FB0883"/>
    <w:rsid w:val="00FB0A34"/>
    <w:rsid w:val="00FB0CD4"/>
    <w:rsid w:val="00FB0D3E"/>
    <w:rsid w:val="00FB0DA4"/>
    <w:rsid w:val="00FB0DD9"/>
    <w:rsid w:val="00FB0E29"/>
    <w:rsid w:val="00FB0E79"/>
    <w:rsid w:val="00FB0F18"/>
    <w:rsid w:val="00FB0F65"/>
    <w:rsid w:val="00FB0F94"/>
    <w:rsid w:val="00FB10A3"/>
    <w:rsid w:val="00FB10C2"/>
    <w:rsid w:val="00FB10E4"/>
    <w:rsid w:val="00FB1185"/>
    <w:rsid w:val="00FB126F"/>
    <w:rsid w:val="00FB12CA"/>
    <w:rsid w:val="00FB12DA"/>
    <w:rsid w:val="00FB1365"/>
    <w:rsid w:val="00FB1368"/>
    <w:rsid w:val="00FB1488"/>
    <w:rsid w:val="00FB1494"/>
    <w:rsid w:val="00FB15B0"/>
    <w:rsid w:val="00FB162E"/>
    <w:rsid w:val="00FB1689"/>
    <w:rsid w:val="00FB176E"/>
    <w:rsid w:val="00FB178F"/>
    <w:rsid w:val="00FB18D9"/>
    <w:rsid w:val="00FB1980"/>
    <w:rsid w:val="00FB19A2"/>
    <w:rsid w:val="00FB19BC"/>
    <w:rsid w:val="00FB1A06"/>
    <w:rsid w:val="00FB1C81"/>
    <w:rsid w:val="00FB1C94"/>
    <w:rsid w:val="00FB1CBF"/>
    <w:rsid w:val="00FB1D86"/>
    <w:rsid w:val="00FB1E27"/>
    <w:rsid w:val="00FB1E2E"/>
    <w:rsid w:val="00FB1E76"/>
    <w:rsid w:val="00FB1EE8"/>
    <w:rsid w:val="00FB1EEE"/>
    <w:rsid w:val="00FB1EFF"/>
    <w:rsid w:val="00FB1F80"/>
    <w:rsid w:val="00FB2037"/>
    <w:rsid w:val="00FB2111"/>
    <w:rsid w:val="00FB217D"/>
    <w:rsid w:val="00FB21E2"/>
    <w:rsid w:val="00FB2201"/>
    <w:rsid w:val="00FB223A"/>
    <w:rsid w:val="00FB22FE"/>
    <w:rsid w:val="00FB249E"/>
    <w:rsid w:val="00FB2550"/>
    <w:rsid w:val="00FB25C1"/>
    <w:rsid w:val="00FB2610"/>
    <w:rsid w:val="00FB2928"/>
    <w:rsid w:val="00FB297A"/>
    <w:rsid w:val="00FB2B43"/>
    <w:rsid w:val="00FB2BDF"/>
    <w:rsid w:val="00FB2C07"/>
    <w:rsid w:val="00FB2C3C"/>
    <w:rsid w:val="00FB2C3E"/>
    <w:rsid w:val="00FB2C43"/>
    <w:rsid w:val="00FB2D57"/>
    <w:rsid w:val="00FB2DED"/>
    <w:rsid w:val="00FB2EF1"/>
    <w:rsid w:val="00FB2F3D"/>
    <w:rsid w:val="00FB300B"/>
    <w:rsid w:val="00FB3012"/>
    <w:rsid w:val="00FB30A0"/>
    <w:rsid w:val="00FB317C"/>
    <w:rsid w:val="00FB31BD"/>
    <w:rsid w:val="00FB31D9"/>
    <w:rsid w:val="00FB324C"/>
    <w:rsid w:val="00FB327B"/>
    <w:rsid w:val="00FB328E"/>
    <w:rsid w:val="00FB342B"/>
    <w:rsid w:val="00FB34C9"/>
    <w:rsid w:val="00FB353D"/>
    <w:rsid w:val="00FB367C"/>
    <w:rsid w:val="00FB3689"/>
    <w:rsid w:val="00FB373A"/>
    <w:rsid w:val="00FB3750"/>
    <w:rsid w:val="00FB3901"/>
    <w:rsid w:val="00FB3933"/>
    <w:rsid w:val="00FB39D8"/>
    <w:rsid w:val="00FB3A1E"/>
    <w:rsid w:val="00FB3A3F"/>
    <w:rsid w:val="00FB3B0D"/>
    <w:rsid w:val="00FB3D03"/>
    <w:rsid w:val="00FB3DF0"/>
    <w:rsid w:val="00FB3E0A"/>
    <w:rsid w:val="00FB3E9C"/>
    <w:rsid w:val="00FB3EC5"/>
    <w:rsid w:val="00FB3F83"/>
    <w:rsid w:val="00FB405C"/>
    <w:rsid w:val="00FB4178"/>
    <w:rsid w:val="00FB4228"/>
    <w:rsid w:val="00FB4242"/>
    <w:rsid w:val="00FB4253"/>
    <w:rsid w:val="00FB4295"/>
    <w:rsid w:val="00FB42E6"/>
    <w:rsid w:val="00FB4346"/>
    <w:rsid w:val="00FB4397"/>
    <w:rsid w:val="00FB43A1"/>
    <w:rsid w:val="00FB441C"/>
    <w:rsid w:val="00FB45DB"/>
    <w:rsid w:val="00FB4620"/>
    <w:rsid w:val="00FB4637"/>
    <w:rsid w:val="00FB4657"/>
    <w:rsid w:val="00FB466A"/>
    <w:rsid w:val="00FB467D"/>
    <w:rsid w:val="00FB46B9"/>
    <w:rsid w:val="00FB4700"/>
    <w:rsid w:val="00FB4724"/>
    <w:rsid w:val="00FB47E8"/>
    <w:rsid w:val="00FB4883"/>
    <w:rsid w:val="00FB4A45"/>
    <w:rsid w:val="00FB4B2C"/>
    <w:rsid w:val="00FB4B3D"/>
    <w:rsid w:val="00FB4B85"/>
    <w:rsid w:val="00FB4C51"/>
    <w:rsid w:val="00FB4C75"/>
    <w:rsid w:val="00FB4C8F"/>
    <w:rsid w:val="00FB4CCB"/>
    <w:rsid w:val="00FB4CF2"/>
    <w:rsid w:val="00FB4D26"/>
    <w:rsid w:val="00FB4E07"/>
    <w:rsid w:val="00FB4E61"/>
    <w:rsid w:val="00FB4EC4"/>
    <w:rsid w:val="00FB4EED"/>
    <w:rsid w:val="00FB4F34"/>
    <w:rsid w:val="00FB5028"/>
    <w:rsid w:val="00FB50B1"/>
    <w:rsid w:val="00FB517A"/>
    <w:rsid w:val="00FB5182"/>
    <w:rsid w:val="00FB51B6"/>
    <w:rsid w:val="00FB51D5"/>
    <w:rsid w:val="00FB5335"/>
    <w:rsid w:val="00FB5395"/>
    <w:rsid w:val="00FB5407"/>
    <w:rsid w:val="00FB541C"/>
    <w:rsid w:val="00FB5467"/>
    <w:rsid w:val="00FB5501"/>
    <w:rsid w:val="00FB5544"/>
    <w:rsid w:val="00FB5547"/>
    <w:rsid w:val="00FB5580"/>
    <w:rsid w:val="00FB55E9"/>
    <w:rsid w:val="00FB57AD"/>
    <w:rsid w:val="00FB57DD"/>
    <w:rsid w:val="00FB586F"/>
    <w:rsid w:val="00FB58AA"/>
    <w:rsid w:val="00FB58E1"/>
    <w:rsid w:val="00FB5930"/>
    <w:rsid w:val="00FB5A0D"/>
    <w:rsid w:val="00FB5A8C"/>
    <w:rsid w:val="00FB5B02"/>
    <w:rsid w:val="00FB5BCF"/>
    <w:rsid w:val="00FB5C27"/>
    <w:rsid w:val="00FB5C8E"/>
    <w:rsid w:val="00FB5D14"/>
    <w:rsid w:val="00FB5D8E"/>
    <w:rsid w:val="00FB5DF6"/>
    <w:rsid w:val="00FB5E90"/>
    <w:rsid w:val="00FB5EB2"/>
    <w:rsid w:val="00FB5EE7"/>
    <w:rsid w:val="00FB5F2F"/>
    <w:rsid w:val="00FB5F63"/>
    <w:rsid w:val="00FB6096"/>
    <w:rsid w:val="00FB654E"/>
    <w:rsid w:val="00FB65E2"/>
    <w:rsid w:val="00FB67D5"/>
    <w:rsid w:val="00FB67E5"/>
    <w:rsid w:val="00FB685C"/>
    <w:rsid w:val="00FB68B3"/>
    <w:rsid w:val="00FB69D4"/>
    <w:rsid w:val="00FB69F4"/>
    <w:rsid w:val="00FB6B47"/>
    <w:rsid w:val="00FB6B68"/>
    <w:rsid w:val="00FB6BDD"/>
    <w:rsid w:val="00FB6C38"/>
    <w:rsid w:val="00FB6D1F"/>
    <w:rsid w:val="00FB6D4E"/>
    <w:rsid w:val="00FB6EE0"/>
    <w:rsid w:val="00FB6F1C"/>
    <w:rsid w:val="00FB6F4C"/>
    <w:rsid w:val="00FB6F62"/>
    <w:rsid w:val="00FB700D"/>
    <w:rsid w:val="00FB7069"/>
    <w:rsid w:val="00FB7105"/>
    <w:rsid w:val="00FB713B"/>
    <w:rsid w:val="00FB7201"/>
    <w:rsid w:val="00FB7625"/>
    <w:rsid w:val="00FB76B4"/>
    <w:rsid w:val="00FB773B"/>
    <w:rsid w:val="00FB777B"/>
    <w:rsid w:val="00FB77B7"/>
    <w:rsid w:val="00FB7851"/>
    <w:rsid w:val="00FB7928"/>
    <w:rsid w:val="00FB793F"/>
    <w:rsid w:val="00FB7972"/>
    <w:rsid w:val="00FB79AE"/>
    <w:rsid w:val="00FB79B1"/>
    <w:rsid w:val="00FB7A29"/>
    <w:rsid w:val="00FB7A32"/>
    <w:rsid w:val="00FB7A78"/>
    <w:rsid w:val="00FB7B1F"/>
    <w:rsid w:val="00FB7C0C"/>
    <w:rsid w:val="00FB7D95"/>
    <w:rsid w:val="00FB7E8B"/>
    <w:rsid w:val="00FB7EC7"/>
    <w:rsid w:val="00FB7EF2"/>
    <w:rsid w:val="00FC0015"/>
    <w:rsid w:val="00FC0244"/>
    <w:rsid w:val="00FC0374"/>
    <w:rsid w:val="00FC043B"/>
    <w:rsid w:val="00FC0457"/>
    <w:rsid w:val="00FC045E"/>
    <w:rsid w:val="00FC0573"/>
    <w:rsid w:val="00FC06C4"/>
    <w:rsid w:val="00FC0718"/>
    <w:rsid w:val="00FC071C"/>
    <w:rsid w:val="00FC08B7"/>
    <w:rsid w:val="00FC0990"/>
    <w:rsid w:val="00FC09A2"/>
    <w:rsid w:val="00FC09A8"/>
    <w:rsid w:val="00FC09AF"/>
    <w:rsid w:val="00FC09F0"/>
    <w:rsid w:val="00FC0A05"/>
    <w:rsid w:val="00FC0A36"/>
    <w:rsid w:val="00FC0AD8"/>
    <w:rsid w:val="00FC0BBB"/>
    <w:rsid w:val="00FC0C16"/>
    <w:rsid w:val="00FC0C34"/>
    <w:rsid w:val="00FC0D00"/>
    <w:rsid w:val="00FC0D20"/>
    <w:rsid w:val="00FC0D69"/>
    <w:rsid w:val="00FC0F35"/>
    <w:rsid w:val="00FC0F6C"/>
    <w:rsid w:val="00FC0FA8"/>
    <w:rsid w:val="00FC109B"/>
    <w:rsid w:val="00FC1170"/>
    <w:rsid w:val="00FC11A1"/>
    <w:rsid w:val="00FC11A8"/>
    <w:rsid w:val="00FC12A0"/>
    <w:rsid w:val="00FC12C7"/>
    <w:rsid w:val="00FC12F8"/>
    <w:rsid w:val="00FC1401"/>
    <w:rsid w:val="00FC146C"/>
    <w:rsid w:val="00FC1507"/>
    <w:rsid w:val="00FC153E"/>
    <w:rsid w:val="00FC153F"/>
    <w:rsid w:val="00FC15D0"/>
    <w:rsid w:val="00FC1617"/>
    <w:rsid w:val="00FC16B1"/>
    <w:rsid w:val="00FC16C4"/>
    <w:rsid w:val="00FC178C"/>
    <w:rsid w:val="00FC18B0"/>
    <w:rsid w:val="00FC18EC"/>
    <w:rsid w:val="00FC1954"/>
    <w:rsid w:val="00FC1984"/>
    <w:rsid w:val="00FC1A5E"/>
    <w:rsid w:val="00FC1B14"/>
    <w:rsid w:val="00FC1B18"/>
    <w:rsid w:val="00FC1C8C"/>
    <w:rsid w:val="00FC1D36"/>
    <w:rsid w:val="00FC1F51"/>
    <w:rsid w:val="00FC1F54"/>
    <w:rsid w:val="00FC201D"/>
    <w:rsid w:val="00FC2023"/>
    <w:rsid w:val="00FC2054"/>
    <w:rsid w:val="00FC20F0"/>
    <w:rsid w:val="00FC2104"/>
    <w:rsid w:val="00FC2132"/>
    <w:rsid w:val="00FC21CB"/>
    <w:rsid w:val="00FC229C"/>
    <w:rsid w:val="00FC22C5"/>
    <w:rsid w:val="00FC22E1"/>
    <w:rsid w:val="00FC246D"/>
    <w:rsid w:val="00FC24CD"/>
    <w:rsid w:val="00FC24EF"/>
    <w:rsid w:val="00FC24FD"/>
    <w:rsid w:val="00FC2537"/>
    <w:rsid w:val="00FC2539"/>
    <w:rsid w:val="00FC25A8"/>
    <w:rsid w:val="00FC25F0"/>
    <w:rsid w:val="00FC2672"/>
    <w:rsid w:val="00FC26C8"/>
    <w:rsid w:val="00FC27EB"/>
    <w:rsid w:val="00FC2843"/>
    <w:rsid w:val="00FC2846"/>
    <w:rsid w:val="00FC2904"/>
    <w:rsid w:val="00FC2939"/>
    <w:rsid w:val="00FC2A26"/>
    <w:rsid w:val="00FC2A28"/>
    <w:rsid w:val="00FC2ACE"/>
    <w:rsid w:val="00FC2B0D"/>
    <w:rsid w:val="00FC2B45"/>
    <w:rsid w:val="00FC2C4A"/>
    <w:rsid w:val="00FC2D2D"/>
    <w:rsid w:val="00FC2DEB"/>
    <w:rsid w:val="00FC2EE1"/>
    <w:rsid w:val="00FC30C3"/>
    <w:rsid w:val="00FC3275"/>
    <w:rsid w:val="00FC3336"/>
    <w:rsid w:val="00FC33E2"/>
    <w:rsid w:val="00FC3418"/>
    <w:rsid w:val="00FC348F"/>
    <w:rsid w:val="00FC350E"/>
    <w:rsid w:val="00FC3525"/>
    <w:rsid w:val="00FC3567"/>
    <w:rsid w:val="00FC35CC"/>
    <w:rsid w:val="00FC362E"/>
    <w:rsid w:val="00FC3639"/>
    <w:rsid w:val="00FC3734"/>
    <w:rsid w:val="00FC3777"/>
    <w:rsid w:val="00FC378A"/>
    <w:rsid w:val="00FC37DD"/>
    <w:rsid w:val="00FC3827"/>
    <w:rsid w:val="00FC388E"/>
    <w:rsid w:val="00FC38B7"/>
    <w:rsid w:val="00FC3931"/>
    <w:rsid w:val="00FC397E"/>
    <w:rsid w:val="00FC3980"/>
    <w:rsid w:val="00FC39CB"/>
    <w:rsid w:val="00FC3A87"/>
    <w:rsid w:val="00FC3C06"/>
    <w:rsid w:val="00FC3C7F"/>
    <w:rsid w:val="00FC3C80"/>
    <w:rsid w:val="00FC3CEC"/>
    <w:rsid w:val="00FC3E50"/>
    <w:rsid w:val="00FC3EC3"/>
    <w:rsid w:val="00FC3ED3"/>
    <w:rsid w:val="00FC3F50"/>
    <w:rsid w:val="00FC3F51"/>
    <w:rsid w:val="00FC4066"/>
    <w:rsid w:val="00FC40E3"/>
    <w:rsid w:val="00FC4132"/>
    <w:rsid w:val="00FC417C"/>
    <w:rsid w:val="00FC4312"/>
    <w:rsid w:val="00FC43B9"/>
    <w:rsid w:val="00FC43EC"/>
    <w:rsid w:val="00FC43F4"/>
    <w:rsid w:val="00FC4446"/>
    <w:rsid w:val="00FC45C6"/>
    <w:rsid w:val="00FC4697"/>
    <w:rsid w:val="00FC4749"/>
    <w:rsid w:val="00FC474B"/>
    <w:rsid w:val="00FC4812"/>
    <w:rsid w:val="00FC4873"/>
    <w:rsid w:val="00FC4908"/>
    <w:rsid w:val="00FC498D"/>
    <w:rsid w:val="00FC49A1"/>
    <w:rsid w:val="00FC49C4"/>
    <w:rsid w:val="00FC4AA1"/>
    <w:rsid w:val="00FC4AC7"/>
    <w:rsid w:val="00FC4D05"/>
    <w:rsid w:val="00FC4D56"/>
    <w:rsid w:val="00FC4D64"/>
    <w:rsid w:val="00FC4E7F"/>
    <w:rsid w:val="00FC4EB9"/>
    <w:rsid w:val="00FC4F22"/>
    <w:rsid w:val="00FC4FB3"/>
    <w:rsid w:val="00FC501A"/>
    <w:rsid w:val="00FC512C"/>
    <w:rsid w:val="00FC514D"/>
    <w:rsid w:val="00FC5185"/>
    <w:rsid w:val="00FC519E"/>
    <w:rsid w:val="00FC51A5"/>
    <w:rsid w:val="00FC51C3"/>
    <w:rsid w:val="00FC5450"/>
    <w:rsid w:val="00FC545C"/>
    <w:rsid w:val="00FC55CE"/>
    <w:rsid w:val="00FC55E4"/>
    <w:rsid w:val="00FC5613"/>
    <w:rsid w:val="00FC5798"/>
    <w:rsid w:val="00FC57C6"/>
    <w:rsid w:val="00FC58B4"/>
    <w:rsid w:val="00FC58BE"/>
    <w:rsid w:val="00FC5A67"/>
    <w:rsid w:val="00FC5A6B"/>
    <w:rsid w:val="00FC5BA6"/>
    <w:rsid w:val="00FC5C06"/>
    <w:rsid w:val="00FC5C10"/>
    <w:rsid w:val="00FC5DA9"/>
    <w:rsid w:val="00FC5E4C"/>
    <w:rsid w:val="00FC5ED8"/>
    <w:rsid w:val="00FC5F37"/>
    <w:rsid w:val="00FC5FC1"/>
    <w:rsid w:val="00FC6053"/>
    <w:rsid w:val="00FC6076"/>
    <w:rsid w:val="00FC6122"/>
    <w:rsid w:val="00FC624D"/>
    <w:rsid w:val="00FC62B2"/>
    <w:rsid w:val="00FC62BF"/>
    <w:rsid w:val="00FC6416"/>
    <w:rsid w:val="00FC648E"/>
    <w:rsid w:val="00FC6678"/>
    <w:rsid w:val="00FC66F9"/>
    <w:rsid w:val="00FC670F"/>
    <w:rsid w:val="00FC673A"/>
    <w:rsid w:val="00FC67EB"/>
    <w:rsid w:val="00FC695F"/>
    <w:rsid w:val="00FC6AAF"/>
    <w:rsid w:val="00FC6CA5"/>
    <w:rsid w:val="00FC6D3A"/>
    <w:rsid w:val="00FC6D40"/>
    <w:rsid w:val="00FC6D5E"/>
    <w:rsid w:val="00FC6DA4"/>
    <w:rsid w:val="00FC6DD4"/>
    <w:rsid w:val="00FC6E94"/>
    <w:rsid w:val="00FC6EAA"/>
    <w:rsid w:val="00FC6ED2"/>
    <w:rsid w:val="00FC6F62"/>
    <w:rsid w:val="00FC713A"/>
    <w:rsid w:val="00FC71CD"/>
    <w:rsid w:val="00FC71FC"/>
    <w:rsid w:val="00FC71FE"/>
    <w:rsid w:val="00FC7211"/>
    <w:rsid w:val="00FC7416"/>
    <w:rsid w:val="00FC757A"/>
    <w:rsid w:val="00FC7581"/>
    <w:rsid w:val="00FC75EE"/>
    <w:rsid w:val="00FC76A8"/>
    <w:rsid w:val="00FC774C"/>
    <w:rsid w:val="00FC778F"/>
    <w:rsid w:val="00FC7825"/>
    <w:rsid w:val="00FC78A8"/>
    <w:rsid w:val="00FC78CC"/>
    <w:rsid w:val="00FC79EC"/>
    <w:rsid w:val="00FC7AD4"/>
    <w:rsid w:val="00FC7B01"/>
    <w:rsid w:val="00FC7BA3"/>
    <w:rsid w:val="00FC7BFB"/>
    <w:rsid w:val="00FC7C00"/>
    <w:rsid w:val="00FC7C0A"/>
    <w:rsid w:val="00FC7CCF"/>
    <w:rsid w:val="00FC7DEA"/>
    <w:rsid w:val="00FC7E68"/>
    <w:rsid w:val="00FC7EE3"/>
    <w:rsid w:val="00FC7F79"/>
    <w:rsid w:val="00FD0015"/>
    <w:rsid w:val="00FD00DD"/>
    <w:rsid w:val="00FD0116"/>
    <w:rsid w:val="00FD01E1"/>
    <w:rsid w:val="00FD0233"/>
    <w:rsid w:val="00FD0364"/>
    <w:rsid w:val="00FD03FE"/>
    <w:rsid w:val="00FD062F"/>
    <w:rsid w:val="00FD066E"/>
    <w:rsid w:val="00FD06B5"/>
    <w:rsid w:val="00FD077E"/>
    <w:rsid w:val="00FD0799"/>
    <w:rsid w:val="00FD0897"/>
    <w:rsid w:val="00FD08E4"/>
    <w:rsid w:val="00FD090E"/>
    <w:rsid w:val="00FD0985"/>
    <w:rsid w:val="00FD0A00"/>
    <w:rsid w:val="00FD0A3A"/>
    <w:rsid w:val="00FD0A95"/>
    <w:rsid w:val="00FD0B18"/>
    <w:rsid w:val="00FD0B79"/>
    <w:rsid w:val="00FD0C28"/>
    <w:rsid w:val="00FD0DC1"/>
    <w:rsid w:val="00FD0DCD"/>
    <w:rsid w:val="00FD0EA0"/>
    <w:rsid w:val="00FD0EB3"/>
    <w:rsid w:val="00FD0F64"/>
    <w:rsid w:val="00FD1003"/>
    <w:rsid w:val="00FD1235"/>
    <w:rsid w:val="00FD12A4"/>
    <w:rsid w:val="00FD12AC"/>
    <w:rsid w:val="00FD1317"/>
    <w:rsid w:val="00FD1468"/>
    <w:rsid w:val="00FD14D1"/>
    <w:rsid w:val="00FD1584"/>
    <w:rsid w:val="00FD15E9"/>
    <w:rsid w:val="00FD1604"/>
    <w:rsid w:val="00FD1645"/>
    <w:rsid w:val="00FD164C"/>
    <w:rsid w:val="00FD1684"/>
    <w:rsid w:val="00FD176C"/>
    <w:rsid w:val="00FD1900"/>
    <w:rsid w:val="00FD1926"/>
    <w:rsid w:val="00FD19FC"/>
    <w:rsid w:val="00FD1A76"/>
    <w:rsid w:val="00FD1ADD"/>
    <w:rsid w:val="00FD1C0C"/>
    <w:rsid w:val="00FD1C63"/>
    <w:rsid w:val="00FD1DF4"/>
    <w:rsid w:val="00FD1EA1"/>
    <w:rsid w:val="00FD1FC0"/>
    <w:rsid w:val="00FD201D"/>
    <w:rsid w:val="00FD2049"/>
    <w:rsid w:val="00FD22D9"/>
    <w:rsid w:val="00FD23BB"/>
    <w:rsid w:val="00FD241E"/>
    <w:rsid w:val="00FD244C"/>
    <w:rsid w:val="00FD245E"/>
    <w:rsid w:val="00FD249C"/>
    <w:rsid w:val="00FD24B1"/>
    <w:rsid w:val="00FD268B"/>
    <w:rsid w:val="00FD26C4"/>
    <w:rsid w:val="00FD27A0"/>
    <w:rsid w:val="00FD27DE"/>
    <w:rsid w:val="00FD2906"/>
    <w:rsid w:val="00FD2954"/>
    <w:rsid w:val="00FD2961"/>
    <w:rsid w:val="00FD2ACE"/>
    <w:rsid w:val="00FD2BEB"/>
    <w:rsid w:val="00FD2D10"/>
    <w:rsid w:val="00FD2F2F"/>
    <w:rsid w:val="00FD3037"/>
    <w:rsid w:val="00FD30B2"/>
    <w:rsid w:val="00FD3159"/>
    <w:rsid w:val="00FD31EE"/>
    <w:rsid w:val="00FD3226"/>
    <w:rsid w:val="00FD3368"/>
    <w:rsid w:val="00FD33B0"/>
    <w:rsid w:val="00FD3427"/>
    <w:rsid w:val="00FD3569"/>
    <w:rsid w:val="00FD356B"/>
    <w:rsid w:val="00FD3716"/>
    <w:rsid w:val="00FD372B"/>
    <w:rsid w:val="00FD3734"/>
    <w:rsid w:val="00FD3758"/>
    <w:rsid w:val="00FD376B"/>
    <w:rsid w:val="00FD3774"/>
    <w:rsid w:val="00FD381A"/>
    <w:rsid w:val="00FD3865"/>
    <w:rsid w:val="00FD3895"/>
    <w:rsid w:val="00FD38CF"/>
    <w:rsid w:val="00FD38E6"/>
    <w:rsid w:val="00FD390A"/>
    <w:rsid w:val="00FD3922"/>
    <w:rsid w:val="00FD3943"/>
    <w:rsid w:val="00FD3A1C"/>
    <w:rsid w:val="00FD3A3A"/>
    <w:rsid w:val="00FD3AC2"/>
    <w:rsid w:val="00FD3BEC"/>
    <w:rsid w:val="00FD3C47"/>
    <w:rsid w:val="00FD3C7B"/>
    <w:rsid w:val="00FD3E9A"/>
    <w:rsid w:val="00FD3F87"/>
    <w:rsid w:val="00FD3FD5"/>
    <w:rsid w:val="00FD4049"/>
    <w:rsid w:val="00FD41B2"/>
    <w:rsid w:val="00FD4272"/>
    <w:rsid w:val="00FD427A"/>
    <w:rsid w:val="00FD438F"/>
    <w:rsid w:val="00FD43D0"/>
    <w:rsid w:val="00FD443B"/>
    <w:rsid w:val="00FD4527"/>
    <w:rsid w:val="00FD4728"/>
    <w:rsid w:val="00FD474C"/>
    <w:rsid w:val="00FD4889"/>
    <w:rsid w:val="00FD48CA"/>
    <w:rsid w:val="00FD4918"/>
    <w:rsid w:val="00FD4929"/>
    <w:rsid w:val="00FD4959"/>
    <w:rsid w:val="00FD497A"/>
    <w:rsid w:val="00FD4A3E"/>
    <w:rsid w:val="00FD4A91"/>
    <w:rsid w:val="00FD4AEB"/>
    <w:rsid w:val="00FD4B3C"/>
    <w:rsid w:val="00FD4B6D"/>
    <w:rsid w:val="00FD4BDE"/>
    <w:rsid w:val="00FD4C4C"/>
    <w:rsid w:val="00FD4C8D"/>
    <w:rsid w:val="00FD4CA6"/>
    <w:rsid w:val="00FD4D75"/>
    <w:rsid w:val="00FD4D8C"/>
    <w:rsid w:val="00FD4DC6"/>
    <w:rsid w:val="00FD4DCD"/>
    <w:rsid w:val="00FD4E2A"/>
    <w:rsid w:val="00FD4E7D"/>
    <w:rsid w:val="00FD4F12"/>
    <w:rsid w:val="00FD5011"/>
    <w:rsid w:val="00FD504A"/>
    <w:rsid w:val="00FD505C"/>
    <w:rsid w:val="00FD506A"/>
    <w:rsid w:val="00FD50E2"/>
    <w:rsid w:val="00FD50ED"/>
    <w:rsid w:val="00FD518A"/>
    <w:rsid w:val="00FD5201"/>
    <w:rsid w:val="00FD5208"/>
    <w:rsid w:val="00FD5237"/>
    <w:rsid w:val="00FD52F8"/>
    <w:rsid w:val="00FD5421"/>
    <w:rsid w:val="00FD54AB"/>
    <w:rsid w:val="00FD55F1"/>
    <w:rsid w:val="00FD5705"/>
    <w:rsid w:val="00FD5734"/>
    <w:rsid w:val="00FD57F1"/>
    <w:rsid w:val="00FD5A3E"/>
    <w:rsid w:val="00FD5B22"/>
    <w:rsid w:val="00FD5B39"/>
    <w:rsid w:val="00FD5C13"/>
    <w:rsid w:val="00FD5CEE"/>
    <w:rsid w:val="00FD5D00"/>
    <w:rsid w:val="00FD5D13"/>
    <w:rsid w:val="00FD5D9A"/>
    <w:rsid w:val="00FD5DAA"/>
    <w:rsid w:val="00FD5DBD"/>
    <w:rsid w:val="00FD5DCC"/>
    <w:rsid w:val="00FD5E40"/>
    <w:rsid w:val="00FD5F4A"/>
    <w:rsid w:val="00FD5F61"/>
    <w:rsid w:val="00FD6039"/>
    <w:rsid w:val="00FD60A3"/>
    <w:rsid w:val="00FD60C0"/>
    <w:rsid w:val="00FD6141"/>
    <w:rsid w:val="00FD6156"/>
    <w:rsid w:val="00FD61B0"/>
    <w:rsid w:val="00FD629B"/>
    <w:rsid w:val="00FD6585"/>
    <w:rsid w:val="00FD66CF"/>
    <w:rsid w:val="00FD66F7"/>
    <w:rsid w:val="00FD6818"/>
    <w:rsid w:val="00FD6831"/>
    <w:rsid w:val="00FD684F"/>
    <w:rsid w:val="00FD6898"/>
    <w:rsid w:val="00FD6906"/>
    <w:rsid w:val="00FD69ED"/>
    <w:rsid w:val="00FD6A4A"/>
    <w:rsid w:val="00FD6A64"/>
    <w:rsid w:val="00FD6A77"/>
    <w:rsid w:val="00FD6AD2"/>
    <w:rsid w:val="00FD6B02"/>
    <w:rsid w:val="00FD6B46"/>
    <w:rsid w:val="00FD6C2F"/>
    <w:rsid w:val="00FD6C41"/>
    <w:rsid w:val="00FD6C5B"/>
    <w:rsid w:val="00FD6C8C"/>
    <w:rsid w:val="00FD6E43"/>
    <w:rsid w:val="00FD6E5C"/>
    <w:rsid w:val="00FD7089"/>
    <w:rsid w:val="00FD713C"/>
    <w:rsid w:val="00FD7262"/>
    <w:rsid w:val="00FD7266"/>
    <w:rsid w:val="00FD731A"/>
    <w:rsid w:val="00FD7366"/>
    <w:rsid w:val="00FD7387"/>
    <w:rsid w:val="00FD7456"/>
    <w:rsid w:val="00FD7536"/>
    <w:rsid w:val="00FD7696"/>
    <w:rsid w:val="00FD78AB"/>
    <w:rsid w:val="00FD78FD"/>
    <w:rsid w:val="00FD7935"/>
    <w:rsid w:val="00FD7A37"/>
    <w:rsid w:val="00FD7A7C"/>
    <w:rsid w:val="00FD7B46"/>
    <w:rsid w:val="00FD7BC0"/>
    <w:rsid w:val="00FD7CE2"/>
    <w:rsid w:val="00FD7D3A"/>
    <w:rsid w:val="00FD7D6A"/>
    <w:rsid w:val="00FD7D75"/>
    <w:rsid w:val="00FD7D79"/>
    <w:rsid w:val="00FD7F6B"/>
    <w:rsid w:val="00FE00D5"/>
    <w:rsid w:val="00FE0194"/>
    <w:rsid w:val="00FE0205"/>
    <w:rsid w:val="00FE031C"/>
    <w:rsid w:val="00FE0329"/>
    <w:rsid w:val="00FE041F"/>
    <w:rsid w:val="00FE0425"/>
    <w:rsid w:val="00FE045A"/>
    <w:rsid w:val="00FE048F"/>
    <w:rsid w:val="00FE0631"/>
    <w:rsid w:val="00FE0655"/>
    <w:rsid w:val="00FE06AA"/>
    <w:rsid w:val="00FE06C0"/>
    <w:rsid w:val="00FE0753"/>
    <w:rsid w:val="00FE07E2"/>
    <w:rsid w:val="00FE081C"/>
    <w:rsid w:val="00FE084F"/>
    <w:rsid w:val="00FE08AB"/>
    <w:rsid w:val="00FE08CF"/>
    <w:rsid w:val="00FE0966"/>
    <w:rsid w:val="00FE0989"/>
    <w:rsid w:val="00FE0A19"/>
    <w:rsid w:val="00FE0A85"/>
    <w:rsid w:val="00FE0AB5"/>
    <w:rsid w:val="00FE0B8C"/>
    <w:rsid w:val="00FE0C19"/>
    <w:rsid w:val="00FE0C32"/>
    <w:rsid w:val="00FE0C5A"/>
    <w:rsid w:val="00FE0D0C"/>
    <w:rsid w:val="00FE0D25"/>
    <w:rsid w:val="00FE0E00"/>
    <w:rsid w:val="00FE0F51"/>
    <w:rsid w:val="00FE0FEE"/>
    <w:rsid w:val="00FE1080"/>
    <w:rsid w:val="00FE1414"/>
    <w:rsid w:val="00FE1435"/>
    <w:rsid w:val="00FE1470"/>
    <w:rsid w:val="00FE14FC"/>
    <w:rsid w:val="00FE151B"/>
    <w:rsid w:val="00FE1585"/>
    <w:rsid w:val="00FE15A4"/>
    <w:rsid w:val="00FE16C3"/>
    <w:rsid w:val="00FE16F2"/>
    <w:rsid w:val="00FE1782"/>
    <w:rsid w:val="00FE18A4"/>
    <w:rsid w:val="00FE1951"/>
    <w:rsid w:val="00FE19FE"/>
    <w:rsid w:val="00FE1A4E"/>
    <w:rsid w:val="00FE1A51"/>
    <w:rsid w:val="00FE1A54"/>
    <w:rsid w:val="00FE1BE6"/>
    <w:rsid w:val="00FE1C31"/>
    <w:rsid w:val="00FE1C85"/>
    <w:rsid w:val="00FE1CF2"/>
    <w:rsid w:val="00FE1DDC"/>
    <w:rsid w:val="00FE1E13"/>
    <w:rsid w:val="00FE1FC1"/>
    <w:rsid w:val="00FE1FEC"/>
    <w:rsid w:val="00FE2038"/>
    <w:rsid w:val="00FE2284"/>
    <w:rsid w:val="00FE2330"/>
    <w:rsid w:val="00FE2374"/>
    <w:rsid w:val="00FE238E"/>
    <w:rsid w:val="00FE23C8"/>
    <w:rsid w:val="00FE2402"/>
    <w:rsid w:val="00FE2405"/>
    <w:rsid w:val="00FE24E7"/>
    <w:rsid w:val="00FE258D"/>
    <w:rsid w:val="00FE25B8"/>
    <w:rsid w:val="00FE26CE"/>
    <w:rsid w:val="00FE2749"/>
    <w:rsid w:val="00FE27E1"/>
    <w:rsid w:val="00FE298E"/>
    <w:rsid w:val="00FE29E1"/>
    <w:rsid w:val="00FE2A1A"/>
    <w:rsid w:val="00FE2A4C"/>
    <w:rsid w:val="00FE2AB0"/>
    <w:rsid w:val="00FE2B62"/>
    <w:rsid w:val="00FE2BE0"/>
    <w:rsid w:val="00FE2C89"/>
    <w:rsid w:val="00FE2C8F"/>
    <w:rsid w:val="00FE2CA4"/>
    <w:rsid w:val="00FE2D1C"/>
    <w:rsid w:val="00FE2D32"/>
    <w:rsid w:val="00FE2D44"/>
    <w:rsid w:val="00FE2D59"/>
    <w:rsid w:val="00FE2D76"/>
    <w:rsid w:val="00FE2DC1"/>
    <w:rsid w:val="00FE2E5A"/>
    <w:rsid w:val="00FE2FF3"/>
    <w:rsid w:val="00FE304B"/>
    <w:rsid w:val="00FE3220"/>
    <w:rsid w:val="00FE3286"/>
    <w:rsid w:val="00FE337D"/>
    <w:rsid w:val="00FE33A0"/>
    <w:rsid w:val="00FE3402"/>
    <w:rsid w:val="00FE3405"/>
    <w:rsid w:val="00FE3465"/>
    <w:rsid w:val="00FE34CE"/>
    <w:rsid w:val="00FE34F1"/>
    <w:rsid w:val="00FE36B6"/>
    <w:rsid w:val="00FE36F2"/>
    <w:rsid w:val="00FE3717"/>
    <w:rsid w:val="00FE3760"/>
    <w:rsid w:val="00FE38CD"/>
    <w:rsid w:val="00FE39B1"/>
    <w:rsid w:val="00FE39F6"/>
    <w:rsid w:val="00FE3B94"/>
    <w:rsid w:val="00FE3BA0"/>
    <w:rsid w:val="00FE3BAC"/>
    <w:rsid w:val="00FE3CBF"/>
    <w:rsid w:val="00FE3E23"/>
    <w:rsid w:val="00FE3FB1"/>
    <w:rsid w:val="00FE3FD2"/>
    <w:rsid w:val="00FE3FE4"/>
    <w:rsid w:val="00FE4078"/>
    <w:rsid w:val="00FE407D"/>
    <w:rsid w:val="00FE407E"/>
    <w:rsid w:val="00FE40CA"/>
    <w:rsid w:val="00FE40E4"/>
    <w:rsid w:val="00FE40EE"/>
    <w:rsid w:val="00FE42B3"/>
    <w:rsid w:val="00FE439E"/>
    <w:rsid w:val="00FE43CF"/>
    <w:rsid w:val="00FE4438"/>
    <w:rsid w:val="00FE450E"/>
    <w:rsid w:val="00FE4653"/>
    <w:rsid w:val="00FE4700"/>
    <w:rsid w:val="00FE4723"/>
    <w:rsid w:val="00FE477A"/>
    <w:rsid w:val="00FE47AA"/>
    <w:rsid w:val="00FE4908"/>
    <w:rsid w:val="00FE49C4"/>
    <w:rsid w:val="00FE49C7"/>
    <w:rsid w:val="00FE49E8"/>
    <w:rsid w:val="00FE4AA2"/>
    <w:rsid w:val="00FE4AA8"/>
    <w:rsid w:val="00FE4B36"/>
    <w:rsid w:val="00FE4CC6"/>
    <w:rsid w:val="00FE4CD5"/>
    <w:rsid w:val="00FE4DB4"/>
    <w:rsid w:val="00FE4DBE"/>
    <w:rsid w:val="00FE4DD8"/>
    <w:rsid w:val="00FE4E10"/>
    <w:rsid w:val="00FE4EB1"/>
    <w:rsid w:val="00FE4ECE"/>
    <w:rsid w:val="00FE4F3E"/>
    <w:rsid w:val="00FE4F40"/>
    <w:rsid w:val="00FE51B2"/>
    <w:rsid w:val="00FE52D0"/>
    <w:rsid w:val="00FE53B5"/>
    <w:rsid w:val="00FE53F4"/>
    <w:rsid w:val="00FE54B2"/>
    <w:rsid w:val="00FE5513"/>
    <w:rsid w:val="00FE5564"/>
    <w:rsid w:val="00FE572D"/>
    <w:rsid w:val="00FE5856"/>
    <w:rsid w:val="00FE5894"/>
    <w:rsid w:val="00FE58D5"/>
    <w:rsid w:val="00FE5AB5"/>
    <w:rsid w:val="00FE5AC3"/>
    <w:rsid w:val="00FE5AD1"/>
    <w:rsid w:val="00FE5AD8"/>
    <w:rsid w:val="00FE5B14"/>
    <w:rsid w:val="00FE5B71"/>
    <w:rsid w:val="00FE5C8A"/>
    <w:rsid w:val="00FE5CB5"/>
    <w:rsid w:val="00FE5D55"/>
    <w:rsid w:val="00FE5D56"/>
    <w:rsid w:val="00FE5D6C"/>
    <w:rsid w:val="00FE5DB5"/>
    <w:rsid w:val="00FE5E14"/>
    <w:rsid w:val="00FE5EBF"/>
    <w:rsid w:val="00FE5F02"/>
    <w:rsid w:val="00FE605B"/>
    <w:rsid w:val="00FE610B"/>
    <w:rsid w:val="00FE6175"/>
    <w:rsid w:val="00FE628A"/>
    <w:rsid w:val="00FE63B2"/>
    <w:rsid w:val="00FE6438"/>
    <w:rsid w:val="00FE65E0"/>
    <w:rsid w:val="00FE6610"/>
    <w:rsid w:val="00FE6657"/>
    <w:rsid w:val="00FE670A"/>
    <w:rsid w:val="00FE6711"/>
    <w:rsid w:val="00FE67EF"/>
    <w:rsid w:val="00FE68B9"/>
    <w:rsid w:val="00FE6A63"/>
    <w:rsid w:val="00FE6AAD"/>
    <w:rsid w:val="00FE6AEB"/>
    <w:rsid w:val="00FE6AF7"/>
    <w:rsid w:val="00FE6BC4"/>
    <w:rsid w:val="00FE6C7B"/>
    <w:rsid w:val="00FE6D76"/>
    <w:rsid w:val="00FE6DEF"/>
    <w:rsid w:val="00FE6E50"/>
    <w:rsid w:val="00FE6F58"/>
    <w:rsid w:val="00FE7071"/>
    <w:rsid w:val="00FE709D"/>
    <w:rsid w:val="00FE7162"/>
    <w:rsid w:val="00FE7187"/>
    <w:rsid w:val="00FE718D"/>
    <w:rsid w:val="00FE721D"/>
    <w:rsid w:val="00FE7253"/>
    <w:rsid w:val="00FE727C"/>
    <w:rsid w:val="00FE72FE"/>
    <w:rsid w:val="00FE736E"/>
    <w:rsid w:val="00FE73A8"/>
    <w:rsid w:val="00FE73E3"/>
    <w:rsid w:val="00FE7421"/>
    <w:rsid w:val="00FE758F"/>
    <w:rsid w:val="00FE7652"/>
    <w:rsid w:val="00FE7658"/>
    <w:rsid w:val="00FE7664"/>
    <w:rsid w:val="00FE779B"/>
    <w:rsid w:val="00FE78B3"/>
    <w:rsid w:val="00FE78B5"/>
    <w:rsid w:val="00FE7ACA"/>
    <w:rsid w:val="00FE7AD9"/>
    <w:rsid w:val="00FE7BA1"/>
    <w:rsid w:val="00FE7C04"/>
    <w:rsid w:val="00FE7D42"/>
    <w:rsid w:val="00FE7D7B"/>
    <w:rsid w:val="00FE7E6F"/>
    <w:rsid w:val="00FE7F37"/>
    <w:rsid w:val="00FE7F53"/>
    <w:rsid w:val="00FE7F6F"/>
    <w:rsid w:val="00FF028D"/>
    <w:rsid w:val="00FF04DB"/>
    <w:rsid w:val="00FF056D"/>
    <w:rsid w:val="00FF0571"/>
    <w:rsid w:val="00FF0591"/>
    <w:rsid w:val="00FF060F"/>
    <w:rsid w:val="00FF0642"/>
    <w:rsid w:val="00FF06D2"/>
    <w:rsid w:val="00FF09D3"/>
    <w:rsid w:val="00FF0A0D"/>
    <w:rsid w:val="00FF0AF4"/>
    <w:rsid w:val="00FF0B35"/>
    <w:rsid w:val="00FF0B46"/>
    <w:rsid w:val="00FF0B4C"/>
    <w:rsid w:val="00FF0C61"/>
    <w:rsid w:val="00FF0E34"/>
    <w:rsid w:val="00FF0E4A"/>
    <w:rsid w:val="00FF0EAC"/>
    <w:rsid w:val="00FF0EB2"/>
    <w:rsid w:val="00FF0F23"/>
    <w:rsid w:val="00FF0F52"/>
    <w:rsid w:val="00FF0F70"/>
    <w:rsid w:val="00FF105D"/>
    <w:rsid w:val="00FF1078"/>
    <w:rsid w:val="00FF10D5"/>
    <w:rsid w:val="00FF119A"/>
    <w:rsid w:val="00FF1206"/>
    <w:rsid w:val="00FF1220"/>
    <w:rsid w:val="00FF1291"/>
    <w:rsid w:val="00FF12CA"/>
    <w:rsid w:val="00FF1306"/>
    <w:rsid w:val="00FF13A4"/>
    <w:rsid w:val="00FF1498"/>
    <w:rsid w:val="00FF14F1"/>
    <w:rsid w:val="00FF1541"/>
    <w:rsid w:val="00FF1568"/>
    <w:rsid w:val="00FF15BC"/>
    <w:rsid w:val="00FF1695"/>
    <w:rsid w:val="00FF16A0"/>
    <w:rsid w:val="00FF17D1"/>
    <w:rsid w:val="00FF180A"/>
    <w:rsid w:val="00FF1860"/>
    <w:rsid w:val="00FF195C"/>
    <w:rsid w:val="00FF1A0B"/>
    <w:rsid w:val="00FF1A1A"/>
    <w:rsid w:val="00FF1A79"/>
    <w:rsid w:val="00FF1AFE"/>
    <w:rsid w:val="00FF1B94"/>
    <w:rsid w:val="00FF1BE4"/>
    <w:rsid w:val="00FF1D7B"/>
    <w:rsid w:val="00FF1E1A"/>
    <w:rsid w:val="00FF1E8D"/>
    <w:rsid w:val="00FF21D0"/>
    <w:rsid w:val="00FF2234"/>
    <w:rsid w:val="00FF2242"/>
    <w:rsid w:val="00FF227F"/>
    <w:rsid w:val="00FF22D3"/>
    <w:rsid w:val="00FF2316"/>
    <w:rsid w:val="00FF23AA"/>
    <w:rsid w:val="00FF23B4"/>
    <w:rsid w:val="00FF23FE"/>
    <w:rsid w:val="00FF2594"/>
    <w:rsid w:val="00FF2718"/>
    <w:rsid w:val="00FF27DB"/>
    <w:rsid w:val="00FF284A"/>
    <w:rsid w:val="00FF28B3"/>
    <w:rsid w:val="00FF28FA"/>
    <w:rsid w:val="00FF291F"/>
    <w:rsid w:val="00FF2AC8"/>
    <w:rsid w:val="00FF2B0C"/>
    <w:rsid w:val="00FF2B10"/>
    <w:rsid w:val="00FF2B8F"/>
    <w:rsid w:val="00FF2B98"/>
    <w:rsid w:val="00FF2C13"/>
    <w:rsid w:val="00FF2C26"/>
    <w:rsid w:val="00FF2C3E"/>
    <w:rsid w:val="00FF2E14"/>
    <w:rsid w:val="00FF2E17"/>
    <w:rsid w:val="00FF2E6D"/>
    <w:rsid w:val="00FF2EC7"/>
    <w:rsid w:val="00FF2F00"/>
    <w:rsid w:val="00FF2F20"/>
    <w:rsid w:val="00FF3167"/>
    <w:rsid w:val="00FF3210"/>
    <w:rsid w:val="00FF32CF"/>
    <w:rsid w:val="00FF33DB"/>
    <w:rsid w:val="00FF33F9"/>
    <w:rsid w:val="00FF3421"/>
    <w:rsid w:val="00FF3448"/>
    <w:rsid w:val="00FF3518"/>
    <w:rsid w:val="00FF35D6"/>
    <w:rsid w:val="00FF3679"/>
    <w:rsid w:val="00FF382C"/>
    <w:rsid w:val="00FF393E"/>
    <w:rsid w:val="00FF3941"/>
    <w:rsid w:val="00FF397B"/>
    <w:rsid w:val="00FF3981"/>
    <w:rsid w:val="00FF3A0D"/>
    <w:rsid w:val="00FF3B63"/>
    <w:rsid w:val="00FF3DFD"/>
    <w:rsid w:val="00FF3E9C"/>
    <w:rsid w:val="00FF3EC4"/>
    <w:rsid w:val="00FF3F44"/>
    <w:rsid w:val="00FF3F94"/>
    <w:rsid w:val="00FF3FE5"/>
    <w:rsid w:val="00FF400C"/>
    <w:rsid w:val="00FF407D"/>
    <w:rsid w:val="00FF41BA"/>
    <w:rsid w:val="00FF41FE"/>
    <w:rsid w:val="00FF437D"/>
    <w:rsid w:val="00FF442A"/>
    <w:rsid w:val="00FF4447"/>
    <w:rsid w:val="00FF4511"/>
    <w:rsid w:val="00FF4534"/>
    <w:rsid w:val="00FF4542"/>
    <w:rsid w:val="00FF4549"/>
    <w:rsid w:val="00FF454A"/>
    <w:rsid w:val="00FF461B"/>
    <w:rsid w:val="00FF4716"/>
    <w:rsid w:val="00FF47AD"/>
    <w:rsid w:val="00FF4887"/>
    <w:rsid w:val="00FF4922"/>
    <w:rsid w:val="00FF499F"/>
    <w:rsid w:val="00FF4ABF"/>
    <w:rsid w:val="00FF4B20"/>
    <w:rsid w:val="00FF4B6F"/>
    <w:rsid w:val="00FF4B71"/>
    <w:rsid w:val="00FF4B99"/>
    <w:rsid w:val="00FF4C29"/>
    <w:rsid w:val="00FF4C76"/>
    <w:rsid w:val="00FF4CE5"/>
    <w:rsid w:val="00FF4D36"/>
    <w:rsid w:val="00FF4D75"/>
    <w:rsid w:val="00FF4DAC"/>
    <w:rsid w:val="00FF4EC4"/>
    <w:rsid w:val="00FF4F78"/>
    <w:rsid w:val="00FF4F9A"/>
    <w:rsid w:val="00FF5017"/>
    <w:rsid w:val="00FF5037"/>
    <w:rsid w:val="00FF505D"/>
    <w:rsid w:val="00FF50E1"/>
    <w:rsid w:val="00FF51CD"/>
    <w:rsid w:val="00FF5247"/>
    <w:rsid w:val="00FF527A"/>
    <w:rsid w:val="00FF52A6"/>
    <w:rsid w:val="00FF52BE"/>
    <w:rsid w:val="00FF531E"/>
    <w:rsid w:val="00FF54DD"/>
    <w:rsid w:val="00FF5611"/>
    <w:rsid w:val="00FF5767"/>
    <w:rsid w:val="00FF57E7"/>
    <w:rsid w:val="00FF590C"/>
    <w:rsid w:val="00FF591F"/>
    <w:rsid w:val="00FF59D4"/>
    <w:rsid w:val="00FF5A08"/>
    <w:rsid w:val="00FF5A61"/>
    <w:rsid w:val="00FF5A80"/>
    <w:rsid w:val="00FF5B3D"/>
    <w:rsid w:val="00FF5B4D"/>
    <w:rsid w:val="00FF5BCC"/>
    <w:rsid w:val="00FF5C6B"/>
    <w:rsid w:val="00FF5D10"/>
    <w:rsid w:val="00FF5D1F"/>
    <w:rsid w:val="00FF5D4B"/>
    <w:rsid w:val="00FF5E35"/>
    <w:rsid w:val="00FF5E8F"/>
    <w:rsid w:val="00FF5F22"/>
    <w:rsid w:val="00FF5F27"/>
    <w:rsid w:val="00FF5F2F"/>
    <w:rsid w:val="00FF5FCA"/>
    <w:rsid w:val="00FF6097"/>
    <w:rsid w:val="00FF61F0"/>
    <w:rsid w:val="00FF61FD"/>
    <w:rsid w:val="00FF6252"/>
    <w:rsid w:val="00FF6399"/>
    <w:rsid w:val="00FF6416"/>
    <w:rsid w:val="00FF6458"/>
    <w:rsid w:val="00FF65A2"/>
    <w:rsid w:val="00FF65DF"/>
    <w:rsid w:val="00FF6771"/>
    <w:rsid w:val="00FF67CA"/>
    <w:rsid w:val="00FF6921"/>
    <w:rsid w:val="00FF6A8A"/>
    <w:rsid w:val="00FF6AF7"/>
    <w:rsid w:val="00FF6C03"/>
    <w:rsid w:val="00FF6C48"/>
    <w:rsid w:val="00FF6D90"/>
    <w:rsid w:val="00FF6ECB"/>
    <w:rsid w:val="00FF6F42"/>
    <w:rsid w:val="00FF705E"/>
    <w:rsid w:val="00FF706F"/>
    <w:rsid w:val="00FF70C4"/>
    <w:rsid w:val="00FF70C5"/>
    <w:rsid w:val="00FF7188"/>
    <w:rsid w:val="00FF7223"/>
    <w:rsid w:val="00FF72C9"/>
    <w:rsid w:val="00FF75A3"/>
    <w:rsid w:val="00FF75C1"/>
    <w:rsid w:val="00FF7759"/>
    <w:rsid w:val="00FF77B6"/>
    <w:rsid w:val="00FF7885"/>
    <w:rsid w:val="00FF79E0"/>
    <w:rsid w:val="00FF7A1E"/>
    <w:rsid w:val="00FF7A75"/>
    <w:rsid w:val="00FF7AC4"/>
    <w:rsid w:val="00FF7B09"/>
    <w:rsid w:val="00FF7B60"/>
    <w:rsid w:val="00FF7C00"/>
    <w:rsid w:val="00FF7D2C"/>
    <w:rsid w:val="00FF7D81"/>
    <w:rsid w:val="00FF7E30"/>
    <w:rsid w:val="00FF7E40"/>
    <w:rsid w:val="00FF7F35"/>
    <w:rsid w:val="06DE7031"/>
    <w:rsid w:val="0D7AF928"/>
    <w:rsid w:val="13979A64"/>
    <w:rsid w:val="13F86AB9"/>
    <w:rsid w:val="1A46BFA9"/>
    <w:rsid w:val="201599ED"/>
    <w:rsid w:val="240118D6"/>
    <w:rsid w:val="42D38759"/>
    <w:rsid w:val="4C4257A2"/>
    <w:rsid w:val="4E734212"/>
    <w:rsid w:val="56882D41"/>
    <w:rsid w:val="5ABA7D5D"/>
    <w:rsid w:val="68698C67"/>
    <w:rsid w:val="6C0A4910"/>
    <w:rsid w:val="6E4EC7FF"/>
    <w:rsid w:val="6E859777"/>
    <w:rsid w:val="7FAF509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C1F2B"/>
  <w15:docId w15:val="{CC77EE60-0587-4137-AFC3-A8F81AD71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lsdException w:name="heading 6" w:semiHidden="1" w:uiPriority="1" w:qFormat="1"/>
    <w:lsdException w:name="heading 7" w:semiHidden="1" w:uiPriority="1" w:unhideWhenUsed="1" w:qFormat="1"/>
    <w:lsdException w:name="heading 8" w:semiHidden="1" w:uiPriority="0"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FCD"/>
    <w:pPr>
      <w:spacing w:after="160" w:line="240" w:lineRule="auto"/>
    </w:pPr>
    <w:rPr>
      <w:rFonts w:ascii="Arial" w:hAnsi="Arial"/>
      <w:lang w:val="en-AU"/>
    </w:rPr>
  </w:style>
  <w:style w:type="paragraph" w:styleId="Heading1">
    <w:name w:val="heading 1"/>
    <w:basedOn w:val="Normal"/>
    <w:next w:val="Normal"/>
    <w:link w:val="Heading1Char"/>
    <w:uiPriority w:val="1"/>
    <w:qFormat/>
    <w:rsid w:val="004E4F7C"/>
    <w:pPr>
      <w:keepNext/>
      <w:keepLines/>
      <w:pageBreakBefore/>
      <w:numPr>
        <w:numId w:val="2"/>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7F276A"/>
    <w:pPr>
      <w:keepNext/>
      <w:keepLines/>
      <w:numPr>
        <w:ilvl w:val="1"/>
        <w:numId w:val="2"/>
      </w:numPr>
      <w:spacing w:before="240" w:after="0" w:line="280" w:lineRule="atLeast"/>
      <w:outlineLvl w:val="1"/>
    </w:pPr>
    <w:rPr>
      <w:rFonts w:eastAsiaTheme="majorEastAsia" w:cstheme="majorBidi"/>
      <w:b/>
      <w:bCs/>
      <w:color w:val="62B5E5" w:themeColor="accent3"/>
      <w:sz w:val="22"/>
      <w:szCs w:val="26"/>
    </w:rPr>
  </w:style>
  <w:style w:type="paragraph" w:styleId="Heading3">
    <w:name w:val="heading 3"/>
    <w:basedOn w:val="Normal"/>
    <w:next w:val="Normal"/>
    <w:link w:val="Heading3Char"/>
    <w:uiPriority w:val="1"/>
    <w:qFormat/>
    <w:rsid w:val="003D3C49"/>
    <w:pPr>
      <w:keepNext/>
      <w:keepLines/>
      <w:numPr>
        <w:ilvl w:val="2"/>
        <w:numId w:val="2"/>
      </w:numPr>
      <w:spacing w:after="0"/>
      <w:ind w:left="1021"/>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2"/>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rsid w:val="00F9113D"/>
    <w:pPr>
      <w:keepNext/>
      <w:keepLines/>
      <w:numPr>
        <w:ilvl w:val="4"/>
        <w:numId w:val="2"/>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2"/>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ascii="Arial" w:eastAsiaTheme="majorEastAsia" w:hAnsi="Arial" w:cstheme="majorBidi"/>
      <w:bCs/>
      <w:sz w:val="60"/>
      <w:szCs w:val="28"/>
      <w:lang w:val="en-AU"/>
    </w:rPr>
  </w:style>
  <w:style w:type="character" w:customStyle="1" w:styleId="Heading2Char">
    <w:name w:val="Heading 2 Char"/>
    <w:basedOn w:val="DefaultParagraphFont"/>
    <w:link w:val="Heading2"/>
    <w:uiPriority w:val="1"/>
    <w:rsid w:val="007F276A"/>
    <w:rPr>
      <w:rFonts w:ascii="Arial" w:eastAsiaTheme="majorEastAsia" w:hAnsi="Arial" w:cstheme="majorBidi"/>
      <w:b/>
      <w:bCs/>
      <w:color w:val="62B5E5" w:themeColor="accent3"/>
      <w:sz w:val="22"/>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lang w:val="en-AU"/>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ListParagraph"/>
    <w:uiPriority w:val="3"/>
    <w:qFormat/>
    <w:rsid w:val="000615A6"/>
    <w:pPr>
      <w:numPr>
        <w:numId w:val="22"/>
      </w:numPr>
      <w:spacing w:before="160"/>
      <w:contextualSpacing w:val="0"/>
    </w:pPr>
  </w:style>
  <w:style w:type="paragraph" w:styleId="ListBullet2">
    <w:name w:val="List Bullet 2"/>
    <w:basedOn w:val="Normal"/>
    <w:uiPriority w:val="99"/>
    <w:rsid w:val="00DF7819"/>
    <w:pPr>
      <w:numPr>
        <w:numId w:val="14"/>
      </w:numPr>
      <w:spacing w:after="0"/>
      <w:contextualSpacing/>
    </w:pPr>
    <w:rPr>
      <w:szCs w:val="17"/>
    </w:rPr>
  </w:style>
  <w:style w:type="paragraph" w:styleId="ListNumber">
    <w:name w:val="List Number"/>
    <w:basedOn w:val="Normal"/>
    <w:uiPriority w:val="3"/>
    <w:qFormat/>
    <w:rsid w:val="007F7A8C"/>
    <w:pPr>
      <w:numPr>
        <w:numId w:val="13"/>
      </w:numPr>
      <w:spacing w:after="0"/>
      <w:contextualSpacing/>
    </w:pPr>
    <w:rPr>
      <w:szCs w:val="17"/>
    </w:rPr>
  </w:style>
  <w:style w:type="paragraph" w:styleId="ListNumber2">
    <w:name w:val="List Number 2"/>
    <w:basedOn w:val="Normal"/>
    <w:uiPriority w:val="3"/>
    <w:qFormat/>
    <w:rsid w:val="007F7A8C"/>
    <w:pPr>
      <w:numPr>
        <w:ilvl w:val="1"/>
        <w:numId w:val="13"/>
      </w:numPr>
      <w:spacing w:after="0"/>
      <w:contextualSpacing/>
    </w:pPr>
  </w:style>
  <w:style w:type="character" w:customStyle="1" w:styleId="Heading3Char">
    <w:name w:val="Heading 3 Char"/>
    <w:basedOn w:val="DefaultParagraphFont"/>
    <w:link w:val="Heading3"/>
    <w:uiPriority w:val="1"/>
    <w:rsid w:val="003D3C49"/>
    <w:rPr>
      <w:rFonts w:ascii="Arial" w:eastAsiaTheme="majorEastAsia" w:hAnsi="Arial" w:cstheme="majorBidi"/>
      <w:b/>
      <w:bCs/>
      <w:lang w:val="en-AU"/>
    </w:rPr>
  </w:style>
  <w:style w:type="character" w:customStyle="1" w:styleId="Heading4Char">
    <w:name w:val="Heading 4 Char"/>
    <w:basedOn w:val="DefaultParagraphFont"/>
    <w:link w:val="Heading4"/>
    <w:uiPriority w:val="1"/>
    <w:rsid w:val="00C50447"/>
    <w:rPr>
      <w:rFonts w:ascii="Arial" w:eastAsiaTheme="majorEastAsia" w:hAnsi="Arial" w:cstheme="majorBidi"/>
      <w:b/>
      <w:bCs/>
      <w:iCs/>
      <w:color w:val="75787B" w:themeColor="accent6"/>
      <w:lang w:val="en-AU"/>
    </w:r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uiPriority w:val="99"/>
    <w:qFormat/>
    <w:rsid w:val="00F9113D"/>
    <w:pPr>
      <w:spacing w:after="0"/>
    </w:pPr>
    <w:rPr>
      <w:sz w:val="16"/>
      <w:szCs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uiPriority w:val="99"/>
    <w:rsid w:val="00F9113D"/>
    <w:rPr>
      <w:rFonts w:ascii="Arial" w:hAnsi="Arial"/>
      <w:sz w:val="16"/>
      <w:szCs w:val="20"/>
      <w:lang w:val="en-AU"/>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aliases w:val="fr,(NECG) Footnote Reference,Ref,de nota al pie"/>
    <w:basedOn w:val="DefaultParagraphFont"/>
    <w:uiPriority w:val="99"/>
    <w:qFormat/>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aliases w:val="Caption Tables"/>
    <w:basedOn w:val="Normal"/>
    <w:next w:val="Normal"/>
    <w:link w:val="CaptionChar"/>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5C6F31"/>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4A4474"/>
    <w:pPr>
      <w:spacing w:after="0" w:line="200" w:lineRule="atLeast"/>
      <w:ind w:left="57" w:right="57"/>
    </w:pPr>
    <w:rPr>
      <w:sz w:val="17"/>
    </w:rPr>
  </w:style>
  <w:style w:type="paragraph" w:customStyle="1" w:styleId="TableHeadingLeft">
    <w:name w:val="Table Heading Left"/>
    <w:basedOn w:val="TabletextLeft"/>
    <w:uiPriority w:val="5"/>
    <w:rsid w:val="00625BDB"/>
    <w:rPr>
      <w:b/>
      <w:color w:val="62B5E5" w:themeColor="accent3"/>
    </w:rPr>
  </w:style>
  <w:style w:type="paragraph" w:customStyle="1" w:styleId="Source">
    <w:name w:val="Source"/>
    <w:basedOn w:val="Caption"/>
    <w:next w:val="Normal"/>
    <w:uiPriority w:val="6"/>
    <w:rsid w:val="00946BFE"/>
    <w:pPr>
      <w:keepNext w:val="0"/>
      <w:keepLines w:val="0"/>
      <w:spacing w:before="160" w:after="16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ind w:left="4252"/>
    </w:pPr>
  </w:style>
  <w:style w:type="character" w:customStyle="1" w:styleId="ClosingChar">
    <w:name w:val="Closing Char"/>
    <w:basedOn w:val="DefaultParagraphFont"/>
    <w:link w:val="Closing"/>
    <w:uiPriority w:val="99"/>
    <w:semiHidden/>
    <w:rsid w:val="00F9113D"/>
    <w:rPr>
      <w:rFonts w:ascii="Arial" w:hAnsi="Arial"/>
      <w:lang w:val="en-AU"/>
    </w:rPr>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rsid w:val="00F9113D"/>
    <w:rPr>
      <w:sz w:val="20"/>
      <w:szCs w:val="20"/>
    </w:rPr>
  </w:style>
  <w:style w:type="character" w:customStyle="1" w:styleId="CommentTextChar">
    <w:name w:val="Comment Text Char"/>
    <w:basedOn w:val="DefaultParagraphFont"/>
    <w:link w:val="CommentText"/>
    <w:uiPriority w:val="99"/>
    <w:rsid w:val="00F9113D"/>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rFonts w:ascii="Arial" w:hAnsi="Arial"/>
      <w:b/>
      <w:bCs/>
      <w:sz w:val="20"/>
      <w:szCs w:val="20"/>
      <w:lang w:val="en-AU"/>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lang w:val="en-AU"/>
    </w:rPr>
  </w:style>
  <w:style w:type="paragraph" w:styleId="E-mailSignature">
    <w:name w:val="E-mail Signature"/>
    <w:basedOn w:val="Normal"/>
    <w:link w:val="E-mailSignatureChar"/>
    <w:uiPriority w:val="99"/>
    <w:semiHidden/>
    <w:rsid w:val="00F9113D"/>
  </w:style>
  <w:style w:type="character" w:customStyle="1" w:styleId="E-mailSignatureChar">
    <w:name w:val="E-mail Signature Char"/>
    <w:basedOn w:val="DefaultParagraphFont"/>
    <w:link w:val="E-mailSignature"/>
    <w:uiPriority w:val="99"/>
    <w:semiHidden/>
    <w:rsid w:val="00F9113D"/>
    <w:rPr>
      <w:rFonts w:ascii="Arial" w:hAnsi="Arial"/>
      <w:lang w:val="en-AU"/>
    </w:rPr>
  </w:style>
  <w:style w:type="character" w:styleId="Emphasis">
    <w:name w:val="Emphasis"/>
    <w:basedOn w:val="DefaultParagraphFont"/>
    <w:uiPriority w:val="20"/>
    <w:qFormat/>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rPr>
      <w:szCs w:val="20"/>
    </w:rPr>
  </w:style>
  <w:style w:type="character" w:customStyle="1" w:styleId="EndnoteTextChar">
    <w:name w:val="Endnote Text Char"/>
    <w:basedOn w:val="DefaultParagraphFont"/>
    <w:link w:val="EndnoteText"/>
    <w:uiPriority w:val="99"/>
    <w:semiHidden/>
    <w:rsid w:val="00A32309"/>
    <w:rPr>
      <w:rFonts w:ascii="Arial" w:hAnsi="Arial"/>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ascii="Arial" w:eastAsiaTheme="majorEastAsia" w:hAnsi="Arial" w:cstheme="majorBidi"/>
      <w:b/>
      <w:lang w:val="en-AU"/>
    </w:rPr>
  </w:style>
  <w:style w:type="character" w:customStyle="1" w:styleId="Heading6Char">
    <w:name w:val="Heading 6 Char"/>
    <w:basedOn w:val="DefaultParagraphFont"/>
    <w:link w:val="Heading6"/>
    <w:uiPriority w:val="1"/>
    <w:semiHidden/>
    <w:rsid w:val="00F9113D"/>
    <w:rPr>
      <w:rFonts w:ascii="Arial" w:eastAsiaTheme="majorEastAsia" w:hAnsi="Arial"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rPr>
      <w:i/>
      <w:iCs/>
    </w:rPr>
  </w:style>
  <w:style w:type="character" w:customStyle="1" w:styleId="HTMLAddressChar">
    <w:name w:val="HTML Address Char"/>
    <w:basedOn w:val="DefaultParagraphFont"/>
    <w:link w:val="HTMLAddress"/>
    <w:uiPriority w:val="99"/>
    <w:semiHidden/>
    <w:rsid w:val="00F9113D"/>
    <w:rPr>
      <w:rFonts w:ascii="Arial" w:hAnsi="Arial"/>
      <w:i/>
      <w:iCs/>
      <w:lang w:val="en-AU"/>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lang w:val="en-AU"/>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ind w:left="180" w:hanging="180"/>
    </w:pPr>
  </w:style>
  <w:style w:type="paragraph" w:styleId="Index2">
    <w:name w:val="index 2"/>
    <w:basedOn w:val="Normal"/>
    <w:next w:val="Normal"/>
    <w:autoRedefine/>
    <w:uiPriority w:val="99"/>
    <w:semiHidden/>
    <w:rsid w:val="00F9113D"/>
    <w:pPr>
      <w:ind w:left="360" w:hanging="180"/>
    </w:pPr>
  </w:style>
  <w:style w:type="paragraph" w:styleId="Index3">
    <w:name w:val="index 3"/>
    <w:basedOn w:val="Normal"/>
    <w:next w:val="Normal"/>
    <w:autoRedefine/>
    <w:uiPriority w:val="99"/>
    <w:semiHidden/>
    <w:rsid w:val="00F9113D"/>
    <w:pPr>
      <w:ind w:left="540" w:hanging="180"/>
    </w:pPr>
  </w:style>
  <w:style w:type="paragraph" w:styleId="Index4">
    <w:name w:val="index 4"/>
    <w:basedOn w:val="Normal"/>
    <w:next w:val="Normal"/>
    <w:autoRedefine/>
    <w:uiPriority w:val="99"/>
    <w:semiHidden/>
    <w:rsid w:val="00F9113D"/>
    <w:pPr>
      <w:ind w:left="720" w:hanging="180"/>
    </w:pPr>
  </w:style>
  <w:style w:type="paragraph" w:styleId="Index5">
    <w:name w:val="index 5"/>
    <w:basedOn w:val="Normal"/>
    <w:next w:val="Normal"/>
    <w:autoRedefine/>
    <w:uiPriority w:val="99"/>
    <w:semiHidden/>
    <w:rsid w:val="00F9113D"/>
    <w:pPr>
      <w:ind w:left="900" w:hanging="180"/>
    </w:pPr>
  </w:style>
  <w:style w:type="paragraph" w:styleId="Index6">
    <w:name w:val="index 6"/>
    <w:basedOn w:val="Normal"/>
    <w:next w:val="Normal"/>
    <w:autoRedefine/>
    <w:uiPriority w:val="99"/>
    <w:semiHidden/>
    <w:rsid w:val="00F9113D"/>
    <w:pPr>
      <w:ind w:left="1080" w:hanging="180"/>
    </w:pPr>
  </w:style>
  <w:style w:type="paragraph" w:styleId="Index7">
    <w:name w:val="index 7"/>
    <w:basedOn w:val="Normal"/>
    <w:next w:val="Normal"/>
    <w:autoRedefine/>
    <w:uiPriority w:val="99"/>
    <w:semiHidden/>
    <w:rsid w:val="00F9113D"/>
    <w:pPr>
      <w:ind w:left="1260" w:hanging="180"/>
    </w:pPr>
  </w:style>
  <w:style w:type="paragraph" w:styleId="Index8">
    <w:name w:val="index 8"/>
    <w:basedOn w:val="Normal"/>
    <w:next w:val="Normal"/>
    <w:autoRedefine/>
    <w:uiPriority w:val="99"/>
    <w:semiHidden/>
    <w:rsid w:val="00F9113D"/>
    <w:pPr>
      <w:ind w:left="1440" w:hanging="180"/>
    </w:pPr>
  </w:style>
  <w:style w:type="paragraph" w:styleId="Index9">
    <w:name w:val="index 9"/>
    <w:basedOn w:val="Normal"/>
    <w:next w:val="Normal"/>
    <w:autoRedefine/>
    <w:uiPriority w:val="99"/>
    <w:semiHidden/>
    <w:rsid w:val="00F9113D"/>
    <w:pPr>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5"/>
      </w:numPr>
      <w:spacing w:after="0"/>
      <w:ind w:left="102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3"/>
      </w:numPr>
      <w:ind w:left="1360"/>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basedOn w:val="Normal"/>
    <w:uiPriority w:val="34"/>
    <w:qFormat/>
    <w:rsid w:val="00F9113D"/>
    <w:pPr>
      <w:numPr>
        <w:numId w:val="18"/>
      </w:numPr>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lang w:val="en-AU"/>
    </w:rPr>
  </w:style>
  <w:style w:type="paragraph" w:styleId="NoSpacing">
    <w:name w:val="No Spacing"/>
    <w:qFormat/>
    <w:rsid w:val="00ED1D80"/>
    <w:rPr>
      <w:rFonts w:ascii="Arial" w:hAnsi="Arial"/>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style>
  <w:style w:type="character" w:customStyle="1" w:styleId="NoteHeadingChar">
    <w:name w:val="Note Heading Char"/>
    <w:basedOn w:val="DefaultParagraphFont"/>
    <w:link w:val="NoteHeading"/>
    <w:uiPriority w:val="99"/>
    <w:semiHidden/>
    <w:rsid w:val="00F9113D"/>
    <w:rPr>
      <w:rFonts w:ascii="Arial" w:hAnsi="Arial"/>
      <w:lang w:val="en-AU"/>
    </w:rPr>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lang w:val="en-AU"/>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ascii="Arial" w:eastAsiaTheme="majorEastAsia" w:hAnsi="Arial" w:cstheme="majorBidi"/>
      <w:color w:val="323E4F" w:themeColor="text2" w:themeShade="BF"/>
      <w:spacing w:val="5"/>
      <w:kern w:val="28"/>
      <w:sz w:val="52"/>
      <w:szCs w:val="52"/>
      <w:lang w:val="en-AU"/>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qFormat/>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7F276A"/>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numPr>
        <w:ilvl w:val="1"/>
        <w:numId w:val="7"/>
      </w:numPr>
      <w:suppressAutoHyphens/>
      <w:spacing w:after="0" w:line="250" w:lineRule="atLeast"/>
    </w:pPr>
  </w:style>
  <w:style w:type="paragraph" w:customStyle="1" w:styleId="Numberslevel3">
    <w:name w:val="Numbers level 3"/>
    <w:basedOn w:val="Normal"/>
    <w:uiPriority w:val="4"/>
    <w:semiHidden/>
    <w:rsid w:val="00F9113D"/>
    <w:pPr>
      <w:numPr>
        <w:ilvl w:val="2"/>
        <w:numId w:val="7"/>
      </w:numPr>
      <w:suppressAutoHyphens/>
      <w:spacing w:after="0" w:line="250" w:lineRule="atLeast"/>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6C74B8"/>
    <w:pPr>
      <w:keepNext/>
      <w:keepLines/>
      <w:numPr>
        <w:ilvl w:val="6"/>
        <w:numId w:val="2"/>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6C74B8"/>
    <w:pPr>
      <w:keepNext/>
      <w:keepLines/>
      <w:numPr>
        <w:ilvl w:val="8"/>
        <w:numId w:val="2"/>
      </w:numPr>
    </w:pPr>
    <w:rPr>
      <w:bCs/>
      <w:color w:val="75787B" w:themeColor="accent6"/>
      <w:sz w:val="17"/>
      <w:szCs w:val="22"/>
    </w:rPr>
  </w:style>
  <w:style w:type="paragraph" w:customStyle="1" w:styleId="CaptionChart">
    <w:name w:val="Caption_Chart"/>
    <w:basedOn w:val="Normal"/>
    <w:next w:val="Normal"/>
    <w:uiPriority w:val="4"/>
    <w:rsid w:val="006C74B8"/>
    <w:pPr>
      <w:keepNext/>
      <w:keepLines/>
      <w:numPr>
        <w:ilvl w:val="7"/>
        <w:numId w:val="2"/>
      </w:numPr>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rsid w:val="00670D54"/>
    <w:pPr>
      <w:numPr>
        <w:numId w:val="11"/>
      </w:numPr>
      <w:ind w:left="792"/>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670D54"/>
    <w:pPr>
      <w:numPr>
        <w:numId w:val="11"/>
      </w:numPr>
      <w:ind w:left="794"/>
    </w:pPr>
    <w:rPr>
      <w:rFonts w:eastAsia="Times New Roman" w:cs="Times New Roman"/>
      <w:bCs w:val="0"/>
      <w:szCs w:val="20"/>
    </w:rPr>
  </w:style>
  <w:style w:type="paragraph" w:customStyle="1" w:styleId="Appendixhead4">
    <w:name w:val="Appendix_head_4"/>
    <w:basedOn w:val="Heading4"/>
    <w:next w:val="Normal"/>
    <w:uiPriority w:val="3"/>
    <w:rsid w:val="008120AA"/>
    <w:pPr>
      <w:numPr>
        <w:numId w:val="11"/>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670D54"/>
    <w:pPr>
      <w:keepNext/>
      <w:keepLines/>
      <w:pageBreakBefore/>
      <w:numPr>
        <w:numId w:val="11"/>
      </w:numPr>
      <w:spacing w:after="480" w:line="720" w:lineRule="atLeast"/>
      <w:ind w:left="3856"/>
      <w:outlineLvl w:val="0"/>
    </w:pPr>
    <w:rPr>
      <w:rFonts w:eastAsia="Times New Roman" w:cs="Arial"/>
      <w:sz w:val="60"/>
      <w:szCs w:val="20"/>
    </w:rPr>
  </w:style>
  <w:style w:type="character" w:customStyle="1" w:styleId="Appendixhead1Char">
    <w:name w:val="Appendix_head_1 Char"/>
    <w:basedOn w:val="DefaultParagraphFont"/>
    <w:link w:val="Appendixhead1"/>
    <w:uiPriority w:val="3"/>
    <w:rsid w:val="00670D54"/>
    <w:rPr>
      <w:rFonts w:ascii="Arial" w:eastAsia="Times New Roman" w:hAnsi="Arial" w:cs="Arial"/>
      <w:sz w:val="60"/>
      <w:szCs w:val="20"/>
      <w:lang w:val="en-AU"/>
    </w:rPr>
  </w:style>
  <w:style w:type="paragraph" w:customStyle="1" w:styleId="AppendixTableCaption">
    <w:name w:val="Appendix Table Caption"/>
    <w:basedOn w:val="Appendixhead4"/>
    <w:next w:val="Normal"/>
    <w:link w:val="AppendixTableCaptionChar"/>
    <w:uiPriority w:val="4"/>
    <w:rsid w:val="00FD2049"/>
    <w:pPr>
      <w:numPr>
        <w:ilvl w:val="6"/>
      </w:numPr>
      <w:spacing w:after="240"/>
      <w:ind w:left="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8120AA"/>
    <w:pPr>
      <w:numPr>
        <w:ilvl w:val="7"/>
      </w:numPr>
      <w:spacing w:after="120"/>
      <w:outlineLvl w:val="5"/>
    </w:pPr>
  </w:style>
  <w:style w:type="paragraph" w:customStyle="1" w:styleId="AppendixFigureCaption">
    <w:name w:val="Appendix Figure Caption"/>
    <w:basedOn w:val="AppendixChartCaption"/>
    <w:next w:val="Normal"/>
    <w:link w:val="AppendixFigureCaptionChar"/>
    <w:uiPriority w:val="4"/>
    <w:rsid w:val="008120AA"/>
    <w:pPr>
      <w:numPr>
        <w:ilvl w:val="8"/>
      </w:numPr>
      <w:outlineLvl w:val="6"/>
    </w:pPr>
  </w:style>
  <w:style w:type="character" w:customStyle="1" w:styleId="Appendixhead2Char">
    <w:name w:val="Appendix_head_2 Char"/>
    <w:basedOn w:val="DefaultParagraphFont"/>
    <w:link w:val="Appendixhead2"/>
    <w:uiPriority w:val="3"/>
    <w:rsid w:val="00670D54"/>
    <w:rPr>
      <w:rFonts w:ascii="Arial" w:eastAsia="Times New Roman" w:hAnsi="Arial"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FD2049"/>
    <w:rPr>
      <w:rFonts w:ascii="Arial" w:eastAsia="Times New Roman" w:hAnsi="Arial"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670D54"/>
    <w:rPr>
      <w:rFonts w:ascii="Arial" w:eastAsia="Times New Roman" w:hAnsi="Arial"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ascii="Arial" w:eastAsia="Times New Roman" w:hAnsi="Arial"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ascii="Arial" w:eastAsia="Times New Roman" w:hAnsi="Arial"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QuoteGreen">
    <w:name w:val="Pullout - Quote Green"/>
    <w:basedOn w:val="Pullout-QuoteBlue"/>
    <w:qFormat/>
    <w:rsid w:val="001D3B36"/>
    <w:rPr>
      <w:color w:val="86BC25" w:themeColor="accent1"/>
    </w:rPr>
  </w:style>
  <w:style w:type="character" w:styleId="UnresolvedMention">
    <w:name w:val="Unresolved Mention"/>
    <w:basedOn w:val="DefaultParagraphFont"/>
    <w:uiPriority w:val="99"/>
    <w:unhideWhenUsed/>
    <w:rsid w:val="00810AC4"/>
    <w:rPr>
      <w:color w:val="605E5C"/>
      <w:shd w:val="clear" w:color="auto" w:fill="E1DFDD"/>
    </w:rPr>
  </w:style>
  <w:style w:type="character" w:styleId="Mention">
    <w:name w:val="Mention"/>
    <w:basedOn w:val="DefaultParagraphFont"/>
    <w:uiPriority w:val="99"/>
    <w:unhideWhenUsed/>
    <w:rsid w:val="00810AC4"/>
    <w:rPr>
      <w:color w:val="2B579A"/>
      <w:shd w:val="clear" w:color="auto" w:fill="E1DFDD"/>
    </w:rPr>
  </w:style>
  <w:style w:type="paragraph" w:styleId="Revision">
    <w:name w:val="Revision"/>
    <w:hidden/>
    <w:uiPriority w:val="99"/>
    <w:semiHidden/>
    <w:rsid w:val="00B60218"/>
    <w:pPr>
      <w:spacing w:line="240" w:lineRule="auto"/>
    </w:pPr>
    <w:rPr>
      <w:lang w:val="en-AU"/>
    </w:rPr>
  </w:style>
  <w:style w:type="character" w:customStyle="1" w:styleId="normaltextrun">
    <w:name w:val="normaltextrun"/>
    <w:basedOn w:val="DefaultParagraphFont"/>
    <w:rsid w:val="005D59BE"/>
  </w:style>
  <w:style w:type="character" w:customStyle="1" w:styleId="eop">
    <w:name w:val="eop"/>
    <w:basedOn w:val="DefaultParagraphFont"/>
    <w:rsid w:val="005D59BE"/>
  </w:style>
  <w:style w:type="paragraph" w:customStyle="1" w:styleId="paragraph">
    <w:name w:val="paragraph"/>
    <w:basedOn w:val="Normal"/>
    <w:rsid w:val="005659E4"/>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scxw95653529">
    <w:name w:val="scxw95653529"/>
    <w:basedOn w:val="DefaultParagraphFont"/>
    <w:rsid w:val="005659E4"/>
  </w:style>
  <w:style w:type="character" w:customStyle="1" w:styleId="scxw154145235">
    <w:name w:val="scxw154145235"/>
    <w:basedOn w:val="DefaultParagraphFont"/>
    <w:rsid w:val="005659E4"/>
  </w:style>
  <w:style w:type="character" w:customStyle="1" w:styleId="CaptionChar">
    <w:name w:val="Caption Char"/>
    <w:aliases w:val="Caption Tables Char"/>
    <w:basedOn w:val="DefaultParagraphFont"/>
    <w:link w:val="Caption"/>
    <w:uiPriority w:val="35"/>
    <w:rsid w:val="003B4352"/>
    <w:rPr>
      <w:iCs/>
      <w:color w:val="75787B" w:themeColor="accent6"/>
      <w:sz w:val="17"/>
      <w:lang w:val="en-AU"/>
    </w:rPr>
  </w:style>
  <w:style w:type="character" w:customStyle="1" w:styleId="cf01">
    <w:name w:val="cf01"/>
    <w:basedOn w:val="DefaultParagraphFont"/>
    <w:rsid w:val="00C43D72"/>
    <w:rPr>
      <w:rFonts w:ascii="Segoe UI" w:hAnsi="Segoe UI" w:cs="Segoe UI" w:hint="default"/>
      <w:sz w:val="18"/>
      <w:szCs w:val="18"/>
    </w:rPr>
  </w:style>
  <w:style w:type="paragraph" w:customStyle="1" w:styleId="msonormal0">
    <w:name w:val="msonormal"/>
    <w:basedOn w:val="Normal"/>
    <w:rsid w:val="00F93F7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3122C2"/>
  </w:style>
  <w:style w:type="paragraph" w:customStyle="1" w:styleId="Heading3SEQs">
    <w:name w:val="Heading 3 SEQs"/>
    <w:basedOn w:val="Heading3"/>
    <w:next w:val="Normal"/>
    <w:qFormat/>
    <w:rsid w:val="00BF56E6"/>
    <w:pPr>
      <w:spacing w:after="160"/>
    </w:pPr>
    <w:rPr>
      <w:color w:val="62B5E5" w:themeColor="accent3"/>
    </w:rPr>
  </w:style>
  <w:style w:type="paragraph" w:customStyle="1" w:styleId="pf0">
    <w:name w:val="pf0"/>
    <w:basedOn w:val="Normal"/>
    <w:rsid w:val="00604E92"/>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853">
      <w:bodyDiv w:val="1"/>
      <w:marLeft w:val="0"/>
      <w:marRight w:val="0"/>
      <w:marTop w:val="0"/>
      <w:marBottom w:val="0"/>
      <w:divBdr>
        <w:top w:val="none" w:sz="0" w:space="0" w:color="auto"/>
        <w:left w:val="none" w:sz="0" w:space="0" w:color="auto"/>
        <w:bottom w:val="none" w:sz="0" w:space="0" w:color="auto"/>
        <w:right w:val="none" w:sz="0" w:space="0" w:color="auto"/>
      </w:divBdr>
    </w:div>
    <w:div w:id="15278835">
      <w:bodyDiv w:val="1"/>
      <w:marLeft w:val="0"/>
      <w:marRight w:val="0"/>
      <w:marTop w:val="0"/>
      <w:marBottom w:val="0"/>
      <w:divBdr>
        <w:top w:val="none" w:sz="0" w:space="0" w:color="auto"/>
        <w:left w:val="none" w:sz="0" w:space="0" w:color="auto"/>
        <w:bottom w:val="none" w:sz="0" w:space="0" w:color="auto"/>
        <w:right w:val="none" w:sz="0" w:space="0" w:color="auto"/>
      </w:divBdr>
    </w:div>
    <w:div w:id="35355856">
      <w:bodyDiv w:val="1"/>
      <w:marLeft w:val="0"/>
      <w:marRight w:val="0"/>
      <w:marTop w:val="0"/>
      <w:marBottom w:val="0"/>
      <w:divBdr>
        <w:top w:val="none" w:sz="0" w:space="0" w:color="auto"/>
        <w:left w:val="none" w:sz="0" w:space="0" w:color="auto"/>
        <w:bottom w:val="none" w:sz="0" w:space="0" w:color="auto"/>
        <w:right w:val="none" w:sz="0" w:space="0" w:color="auto"/>
      </w:divBdr>
    </w:div>
    <w:div w:id="35665060">
      <w:bodyDiv w:val="1"/>
      <w:marLeft w:val="0"/>
      <w:marRight w:val="0"/>
      <w:marTop w:val="0"/>
      <w:marBottom w:val="0"/>
      <w:divBdr>
        <w:top w:val="none" w:sz="0" w:space="0" w:color="auto"/>
        <w:left w:val="none" w:sz="0" w:space="0" w:color="auto"/>
        <w:bottom w:val="none" w:sz="0" w:space="0" w:color="auto"/>
        <w:right w:val="none" w:sz="0" w:space="0" w:color="auto"/>
      </w:divBdr>
    </w:div>
    <w:div w:id="50931106">
      <w:bodyDiv w:val="1"/>
      <w:marLeft w:val="0"/>
      <w:marRight w:val="0"/>
      <w:marTop w:val="0"/>
      <w:marBottom w:val="0"/>
      <w:divBdr>
        <w:top w:val="none" w:sz="0" w:space="0" w:color="auto"/>
        <w:left w:val="none" w:sz="0" w:space="0" w:color="auto"/>
        <w:bottom w:val="none" w:sz="0" w:space="0" w:color="auto"/>
        <w:right w:val="none" w:sz="0" w:space="0" w:color="auto"/>
      </w:divBdr>
    </w:div>
    <w:div w:id="56125710">
      <w:bodyDiv w:val="1"/>
      <w:marLeft w:val="0"/>
      <w:marRight w:val="0"/>
      <w:marTop w:val="0"/>
      <w:marBottom w:val="0"/>
      <w:divBdr>
        <w:top w:val="none" w:sz="0" w:space="0" w:color="auto"/>
        <w:left w:val="none" w:sz="0" w:space="0" w:color="auto"/>
        <w:bottom w:val="none" w:sz="0" w:space="0" w:color="auto"/>
        <w:right w:val="none" w:sz="0" w:space="0" w:color="auto"/>
      </w:divBdr>
    </w:div>
    <w:div w:id="66344579">
      <w:bodyDiv w:val="1"/>
      <w:marLeft w:val="0"/>
      <w:marRight w:val="0"/>
      <w:marTop w:val="0"/>
      <w:marBottom w:val="0"/>
      <w:divBdr>
        <w:top w:val="none" w:sz="0" w:space="0" w:color="auto"/>
        <w:left w:val="none" w:sz="0" w:space="0" w:color="auto"/>
        <w:bottom w:val="none" w:sz="0" w:space="0" w:color="auto"/>
        <w:right w:val="none" w:sz="0" w:space="0" w:color="auto"/>
      </w:divBdr>
    </w:div>
    <w:div w:id="66998379">
      <w:bodyDiv w:val="1"/>
      <w:marLeft w:val="0"/>
      <w:marRight w:val="0"/>
      <w:marTop w:val="0"/>
      <w:marBottom w:val="0"/>
      <w:divBdr>
        <w:top w:val="none" w:sz="0" w:space="0" w:color="auto"/>
        <w:left w:val="none" w:sz="0" w:space="0" w:color="auto"/>
        <w:bottom w:val="none" w:sz="0" w:space="0" w:color="auto"/>
        <w:right w:val="none" w:sz="0" w:space="0" w:color="auto"/>
      </w:divBdr>
      <w:divsChild>
        <w:div w:id="32852763">
          <w:marLeft w:val="274"/>
          <w:marRight w:val="0"/>
          <w:marTop w:val="0"/>
          <w:marBottom w:val="120"/>
          <w:divBdr>
            <w:top w:val="none" w:sz="0" w:space="0" w:color="auto"/>
            <w:left w:val="none" w:sz="0" w:space="0" w:color="auto"/>
            <w:bottom w:val="none" w:sz="0" w:space="0" w:color="auto"/>
            <w:right w:val="none" w:sz="0" w:space="0" w:color="auto"/>
          </w:divBdr>
        </w:div>
        <w:div w:id="164781697">
          <w:marLeft w:val="274"/>
          <w:marRight w:val="0"/>
          <w:marTop w:val="0"/>
          <w:marBottom w:val="120"/>
          <w:divBdr>
            <w:top w:val="none" w:sz="0" w:space="0" w:color="auto"/>
            <w:left w:val="none" w:sz="0" w:space="0" w:color="auto"/>
            <w:bottom w:val="none" w:sz="0" w:space="0" w:color="auto"/>
            <w:right w:val="none" w:sz="0" w:space="0" w:color="auto"/>
          </w:divBdr>
        </w:div>
        <w:div w:id="259141594">
          <w:marLeft w:val="274"/>
          <w:marRight w:val="0"/>
          <w:marTop w:val="0"/>
          <w:marBottom w:val="120"/>
          <w:divBdr>
            <w:top w:val="none" w:sz="0" w:space="0" w:color="auto"/>
            <w:left w:val="none" w:sz="0" w:space="0" w:color="auto"/>
            <w:bottom w:val="none" w:sz="0" w:space="0" w:color="auto"/>
            <w:right w:val="none" w:sz="0" w:space="0" w:color="auto"/>
          </w:divBdr>
        </w:div>
        <w:div w:id="612519251">
          <w:marLeft w:val="274"/>
          <w:marRight w:val="0"/>
          <w:marTop w:val="0"/>
          <w:marBottom w:val="120"/>
          <w:divBdr>
            <w:top w:val="none" w:sz="0" w:space="0" w:color="auto"/>
            <w:left w:val="none" w:sz="0" w:space="0" w:color="auto"/>
            <w:bottom w:val="none" w:sz="0" w:space="0" w:color="auto"/>
            <w:right w:val="none" w:sz="0" w:space="0" w:color="auto"/>
          </w:divBdr>
        </w:div>
        <w:div w:id="1448237426">
          <w:marLeft w:val="274"/>
          <w:marRight w:val="0"/>
          <w:marTop w:val="0"/>
          <w:marBottom w:val="120"/>
          <w:divBdr>
            <w:top w:val="none" w:sz="0" w:space="0" w:color="auto"/>
            <w:left w:val="none" w:sz="0" w:space="0" w:color="auto"/>
            <w:bottom w:val="none" w:sz="0" w:space="0" w:color="auto"/>
            <w:right w:val="none" w:sz="0" w:space="0" w:color="auto"/>
          </w:divBdr>
        </w:div>
        <w:div w:id="1727340243">
          <w:marLeft w:val="274"/>
          <w:marRight w:val="0"/>
          <w:marTop w:val="0"/>
          <w:marBottom w:val="120"/>
          <w:divBdr>
            <w:top w:val="none" w:sz="0" w:space="0" w:color="auto"/>
            <w:left w:val="none" w:sz="0" w:space="0" w:color="auto"/>
            <w:bottom w:val="none" w:sz="0" w:space="0" w:color="auto"/>
            <w:right w:val="none" w:sz="0" w:space="0" w:color="auto"/>
          </w:divBdr>
        </w:div>
      </w:divsChild>
    </w:div>
    <w:div w:id="75825378">
      <w:bodyDiv w:val="1"/>
      <w:marLeft w:val="0"/>
      <w:marRight w:val="0"/>
      <w:marTop w:val="0"/>
      <w:marBottom w:val="0"/>
      <w:divBdr>
        <w:top w:val="none" w:sz="0" w:space="0" w:color="auto"/>
        <w:left w:val="none" w:sz="0" w:space="0" w:color="auto"/>
        <w:bottom w:val="none" w:sz="0" w:space="0" w:color="auto"/>
        <w:right w:val="none" w:sz="0" w:space="0" w:color="auto"/>
      </w:divBdr>
    </w:div>
    <w:div w:id="77799471">
      <w:bodyDiv w:val="1"/>
      <w:marLeft w:val="0"/>
      <w:marRight w:val="0"/>
      <w:marTop w:val="0"/>
      <w:marBottom w:val="0"/>
      <w:divBdr>
        <w:top w:val="none" w:sz="0" w:space="0" w:color="auto"/>
        <w:left w:val="none" w:sz="0" w:space="0" w:color="auto"/>
        <w:bottom w:val="none" w:sz="0" w:space="0" w:color="auto"/>
        <w:right w:val="none" w:sz="0" w:space="0" w:color="auto"/>
      </w:divBdr>
    </w:div>
    <w:div w:id="87582868">
      <w:bodyDiv w:val="1"/>
      <w:marLeft w:val="0"/>
      <w:marRight w:val="0"/>
      <w:marTop w:val="0"/>
      <w:marBottom w:val="0"/>
      <w:divBdr>
        <w:top w:val="none" w:sz="0" w:space="0" w:color="auto"/>
        <w:left w:val="none" w:sz="0" w:space="0" w:color="auto"/>
        <w:bottom w:val="none" w:sz="0" w:space="0" w:color="auto"/>
        <w:right w:val="none" w:sz="0" w:space="0" w:color="auto"/>
      </w:divBdr>
    </w:div>
    <w:div w:id="92864906">
      <w:bodyDiv w:val="1"/>
      <w:marLeft w:val="0"/>
      <w:marRight w:val="0"/>
      <w:marTop w:val="0"/>
      <w:marBottom w:val="0"/>
      <w:divBdr>
        <w:top w:val="none" w:sz="0" w:space="0" w:color="auto"/>
        <w:left w:val="none" w:sz="0" w:space="0" w:color="auto"/>
        <w:bottom w:val="none" w:sz="0" w:space="0" w:color="auto"/>
        <w:right w:val="none" w:sz="0" w:space="0" w:color="auto"/>
      </w:divBdr>
      <w:divsChild>
        <w:div w:id="21129644">
          <w:marLeft w:val="274"/>
          <w:marRight w:val="0"/>
          <w:marTop w:val="0"/>
          <w:marBottom w:val="80"/>
          <w:divBdr>
            <w:top w:val="none" w:sz="0" w:space="0" w:color="auto"/>
            <w:left w:val="none" w:sz="0" w:space="0" w:color="auto"/>
            <w:bottom w:val="none" w:sz="0" w:space="0" w:color="auto"/>
            <w:right w:val="none" w:sz="0" w:space="0" w:color="auto"/>
          </w:divBdr>
        </w:div>
        <w:div w:id="222185373">
          <w:marLeft w:val="274"/>
          <w:marRight w:val="0"/>
          <w:marTop w:val="0"/>
          <w:marBottom w:val="80"/>
          <w:divBdr>
            <w:top w:val="none" w:sz="0" w:space="0" w:color="auto"/>
            <w:left w:val="none" w:sz="0" w:space="0" w:color="auto"/>
            <w:bottom w:val="none" w:sz="0" w:space="0" w:color="auto"/>
            <w:right w:val="none" w:sz="0" w:space="0" w:color="auto"/>
          </w:divBdr>
        </w:div>
        <w:div w:id="419525547">
          <w:marLeft w:val="274"/>
          <w:marRight w:val="0"/>
          <w:marTop w:val="0"/>
          <w:marBottom w:val="80"/>
          <w:divBdr>
            <w:top w:val="none" w:sz="0" w:space="0" w:color="auto"/>
            <w:left w:val="none" w:sz="0" w:space="0" w:color="auto"/>
            <w:bottom w:val="none" w:sz="0" w:space="0" w:color="auto"/>
            <w:right w:val="none" w:sz="0" w:space="0" w:color="auto"/>
          </w:divBdr>
        </w:div>
        <w:div w:id="932977245">
          <w:marLeft w:val="274"/>
          <w:marRight w:val="0"/>
          <w:marTop w:val="0"/>
          <w:marBottom w:val="80"/>
          <w:divBdr>
            <w:top w:val="none" w:sz="0" w:space="0" w:color="auto"/>
            <w:left w:val="none" w:sz="0" w:space="0" w:color="auto"/>
            <w:bottom w:val="none" w:sz="0" w:space="0" w:color="auto"/>
            <w:right w:val="none" w:sz="0" w:space="0" w:color="auto"/>
          </w:divBdr>
        </w:div>
        <w:div w:id="1570965614">
          <w:marLeft w:val="274"/>
          <w:marRight w:val="0"/>
          <w:marTop w:val="0"/>
          <w:marBottom w:val="80"/>
          <w:divBdr>
            <w:top w:val="none" w:sz="0" w:space="0" w:color="auto"/>
            <w:left w:val="none" w:sz="0" w:space="0" w:color="auto"/>
            <w:bottom w:val="none" w:sz="0" w:space="0" w:color="auto"/>
            <w:right w:val="none" w:sz="0" w:space="0" w:color="auto"/>
          </w:divBdr>
        </w:div>
      </w:divsChild>
    </w:div>
    <w:div w:id="103311728">
      <w:bodyDiv w:val="1"/>
      <w:marLeft w:val="0"/>
      <w:marRight w:val="0"/>
      <w:marTop w:val="0"/>
      <w:marBottom w:val="0"/>
      <w:divBdr>
        <w:top w:val="none" w:sz="0" w:space="0" w:color="auto"/>
        <w:left w:val="none" w:sz="0" w:space="0" w:color="auto"/>
        <w:bottom w:val="none" w:sz="0" w:space="0" w:color="auto"/>
        <w:right w:val="none" w:sz="0" w:space="0" w:color="auto"/>
      </w:divBdr>
    </w:div>
    <w:div w:id="107242980">
      <w:bodyDiv w:val="1"/>
      <w:marLeft w:val="0"/>
      <w:marRight w:val="0"/>
      <w:marTop w:val="0"/>
      <w:marBottom w:val="0"/>
      <w:divBdr>
        <w:top w:val="none" w:sz="0" w:space="0" w:color="auto"/>
        <w:left w:val="none" w:sz="0" w:space="0" w:color="auto"/>
        <w:bottom w:val="none" w:sz="0" w:space="0" w:color="auto"/>
        <w:right w:val="none" w:sz="0" w:space="0" w:color="auto"/>
      </w:divBdr>
    </w:div>
    <w:div w:id="115561662">
      <w:bodyDiv w:val="1"/>
      <w:marLeft w:val="0"/>
      <w:marRight w:val="0"/>
      <w:marTop w:val="0"/>
      <w:marBottom w:val="0"/>
      <w:divBdr>
        <w:top w:val="none" w:sz="0" w:space="0" w:color="auto"/>
        <w:left w:val="none" w:sz="0" w:space="0" w:color="auto"/>
        <w:bottom w:val="none" w:sz="0" w:space="0" w:color="auto"/>
        <w:right w:val="none" w:sz="0" w:space="0" w:color="auto"/>
      </w:divBdr>
    </w:div>
    <w:div w:id="119350922">
      <w:bodyDiv w:val="1"/>
      <w:marLeft w:val="0"/>
      <w:marRight w:val="0"/>
      <w:marTop w:val="0"/>
      <w:marBottom w:val="0"/>
      <w:divBdr>
        <w:top w:val="none" w:sz="0" w:space="0" w:color="auto"/>
        <w:left w:val="none" w:sz="0" w:space="0" w:color="auto"/>
        <w:bottom w:val="none" w:sz="0" w:space="0" w:color="auto"/>
        <w:right w:val="none" w:sz="0" w:space="0" w:color="auto"/>
      </w:divBdr>
    </w:div>
    <w:div w:id="130441082">
      <w:bodyDiv w:val="1"/>
      <w:marLeft w:val="0"/>
      <w:marRight w:val="0"/>
      <w:marTop w:val="0"/>
      <w:marBottom w:val="0"/>
      <w:divBdr>
        <w:top w:val="none" w:sz="0" w:space="0" w:color="auto"/>
        <w:left w:val="none" w:sz="0" w:space="0" w:color="auto"/>
        <w:bottom w:val="none" w:sz="0" w:space="0" w:color="auto"/>
        <w:right w:val="none" w:sz="0" w:space="0" w:color="auto"/>
      </w:divBdr>
    </w:div>
    <w:div w:id="133452004">
      <w:bodyDiv w:val="1"/>
      <w:marLeft w:val="0"/>
      <w:marRight w:val="0"/>
      <w:marTop w:val="0"/>
      <w:marBottom w:val="0"/>
      <w:divBdr>
        <w:top w:val="none" w:sz="0" w:space="0" w:color="auto"/>
        <w:left w:val="none" w:sz="0" w:space="0" w:color="auto"/>
        <w:bottom w:val="none" w:sz="0" w:space="0" w:color="auto"/>
        <w:right w:val="none" w:sz="0" w:space="0" w:color="auto"/>
      </w:divBdr>
      <w:divsChild>
        <w:div w:id="437331861">
          <w:marLeft w:val="0"/>
          <w:marRight w:val="0"/>
          <w:marTop w:val="0"/>
          <w:marBottom w:val="0"/>
          <w:divBdr>
            <w:top w:val="none" w:sz="0" w:space="0" w:color="auto"/>
            <w:left w:val="none" w:sz="0" w:space="0" w:color="auto"/>
            <w:bottom w:val="none" w:sz="0" w:space="0" w:color="auto"/>
            <w:right w:val="none" w:sz="0" w:space="0" w:color="auto"/>
          </w:divBdr>
          <w:divsChild>
            <w:div w:id="157233393">
              <w:marLeft w:val="0"/>
              <w:marRight w:val="0"/>
              <w:marTop w:val="0"/>
              <w:marBottom w:val="0"/>
              <w:divBdr>
                <w:top w:val="none" w:sz="0" w:space="0" w:color="auto"/>
                <w:left w:val="none" w:sz="0" w:space="0" w:color="auto"/>
                <w:bottom w:val="none" w:sz="0" w:space="0" w:color="auto"/>
                <w:right w:val="none" w:sz="0" w:space="0" w:color="auto"/>
              </w:divBdr>
            </w:div>
            <w:div w:id="481316956">
              <w:marLeft w:val="0"/>
              <w:marRight w:val="0"/>
              <w:marTop w:val="0"/>
              <w:marBottom w:val="0"/>
              <w:divBdr>
                <w:top w:val="none" w:sz="0" w:space="0" w:color="auto"/>
                <w:left w:val="none" w:sz="0" w:space="0" w:color="auto"/>
                <w:bottom w:val="none" w:sz="0" w:space="0" w:color="auto"/>
                <w:right w:val="none" w:sz="0" w:space="0" w:color="auto"/>
              </w:divBdr>
            </w:div>
          </w:divsChild>
        </w:div>
        <w:div w:id="532885989">
          <w:marLeft w:val="0"/>
          <w:marRight w:val="0"/>
          <w:marTop w:val="0"/>
          <w:marBottom w:val="0"/>
          <w:divBdr>
            <w:top w:val="none" w:sz="0" w:space="0" w:color="auto"/>
            <w:left w:val="none" w:sz="0" w:space="0" w:color="auto"/>
            <w:bottom w:val="none" w:sz="0" w:space="0" w:color="auto"/>
            <w:right w:val="none" w:sz="0" w:space="0" w:color="auto"/>
          </w:divBdr>
        </w:div>
        <w:div w:id="682822093">
          <w:marLeft w:val="0"/>
          <w:marRight w:val="0"/>
          <w:marTop w:val="0"/>
          <w:marBottom w:val="0"/>
          <w:divBdr>
            <w:top w:val="none" w:sz="0" w:space="0" w:color="auto"/>
            <w:left w:val="none" w:sz="0" w:space="0" w:color="auto"/>
            <w:bottom w:val="none" w:sz="0" w:space="0" w:color="auto"/>
            <w:right w:val="none" w:sz="0" w:space="0" w:color="auto"/>
          </w:divBdr>
        </w:div>
        <w:div w:id="968363517">
          <w:marLeft w:val="0"/>
          <w:marRight w:val="0"/>
          <w:marTop w:val="0"/>
          <w:marBottom w:val="0"/>
          <w:divBdr>
            <w:top w:val="none" w:sz="0" w:space="0" w:color="auto"/>
            <w:left w:val="none" w:sz="0" w:space="0" w:color="auto"/>
            <w:bottom w:val="none" w:sz="0" w:space="0" w:color="auto"/>
            <w:right w:val="none" w:sz="0" w:space="0" w:color="auto"/>
          </w:divBdr>
          <w:divsChild>
            <w:div w:id="1230850491">
              <w:marLeft w:val="-75"/>
              <w:marRight w:val="0"/>
              <w:marTop w:val="30"/>
              <w:marBottom w:val="30"/>
              <w:divBdr>
                <w:top w:val="none" w:sz="0" w:space="0" w:color="auto"/>
                <w:left w:val="none" w:sz="0" w:space="0" w:color="auto"/>
                <w:bottom w:val="none" w:sz="0" w:space="0" w:color="auto"/>
                <w:right w:val="none" w:sz="0" w:space="0" w:color="auto"/>
              </w:divBdr>
              <w:divsChild>
                <w:div w:id="17201287">
                  <w:marLeft w:val="0"/>
                  <w:marRight w:val="0"/>
                  <w:marTop w:val="0"/>
                  <w:marBottom w:val="0"/>
                  <w:divBdr>
                    <w:top w:val="none" w:sz="0" w:space="0" w:color="auto"/>
                    <w:left w:val="none" w:sz="0" w:space="0" w:color="auto"/>
                    <w:bottom w:val="none" w:sz="0" w:space="0" w:color="auto"/>
                    <w:right w:val="none" w:sz="0" w:space="0" w:color="auto"/>
                  </w:divBdr>
                  <w:divsChild>
                    <w:div w:id="784495924">
                      <w:marLeft w:val="0"/>
                      <w:marRight w:val="0"/>
                      <w:marTop w:val="0"/>
                      <w:marBottom w:val="0"/>
                      <w:divBdr>
                        <w:top w:val="none" w:sz="0" w:space="0" w:color="auto"/>
                        <w:left w:val="none" w:sz="0" w:space="0" w:color="auto"/>
                        <w:bottom w:val="none" w:sz="0" w:space="0" w:color="auto"/>
                        <w:right w:val="none" w:sz="0" w:space="0" w:color="auto"/>
                      </w:divBdr>
                    </w:div>
                  </w:divsChild>
                </w:div>
                <w:div w:id="36128537">
                  <w:marLeft w:val="0"/>
                  <w:marRight w:val="0"/>
                  <w:marTop w:val="0"/>
                  <w:marBottom w:val="0"/>
                  <w:divBdr>
                    <w:top w:val="none" w:sz="0" w:space="0" w:color="auto"/>
                    <w:left w:val="none" w:sz="0" w:space="0" w:color="auto"/>
                    <w:bottom w:val="none" w:sz="0" w:space="0" w:color="auto"/>
                    <w:right w:val="none" w:sz="0" w:space="0" w:color="auto"/>
                  </w:divBdr>
                  <w:divsChild>
                    <w:div w:id="1386762249">
                      <w:marLeft w:val="0"/>
                      <w:marRight w:val="0"/>
                      <w:marTop w:val="0"/>
                      <w:marBottom w:val="0"/>
                      <w:divBdr>
                        <w:top w:val="none" w:sz="0" w:space="0" w:color="auto"/>
                        <w:left w:val="none" w:sz="0" w:space="0" w:color="auto"/>
                        <w:bottom w:val="none" w:sz="0" w:space="0" w:color="auto"/>
                        <w:right w:val="none" w:sz="0" w:space="0" w:color="auto"/>
                      </w:divBdr>
                    </w:div>
                  </w:divsChild>
                </w:div>
                <w:div w:id="51464388">
                  <w:marLeft w:val="0"/>
                  <w:marRight w:val="0"/>
                  <w:marTop w:val="0"/>
                  <w:marBottom w:val="0"/>
                  <w:divBdr>
                    <w:top w:val="none" w:sz="0" w:space="0" w:color="auto"/>
                    <w:left w:val="none" w:sz="0" w:space="0" w:color="auto"/>
                    <w:bottom w:val="none" w:sz="0" w:space="0" w:color="auto"/>
                    <w:right w:val="none" w:sz="0" w:space="0" w:color="auto"/>
                  </w:divBdr>
                  <w:divsChild>
                    <w:div w:id="1833064044">
                      <w:marLeft w:val="0"/>
                      <w:marRight w:val="0"/>
                      <w:marTop w:val="0"/>
                      <w:marBottom w:val="0"/>
                      <w:divBdr>
                        <w:top w:val="none" w:sz="0" w:space="0" w:color="auto"/>
                        <w:left w:val="none" w:sz="0" w:space="0" w:color="auto"/>
                        <w:bottom w:val="none" w:sz="0" w:space="0" w:color="auto"/>
                        <w:right w:val="none" w:sz="0" w:space="0" w:color="auto"/>
                      </w:divBdr>
                    </w:div>
                  </w:divsChild>
                </w:div>
                <w:div w:id="125658503">
                  <w:marLeft w:val="0"/>
                  <w:marRight w:val="0"/>
                  <w:marTop w:val="0"/>
                  <w:marBottom w:val="0"/>
                  <w:divBdr>
                    <w:top w:val="none" w:sz="0" w:space="0" w:color="auto"/>
                    <w:left w:val="none" w:sz="0" w:space="0" w:color="auto"/>
                    <w:bottom w:val="none" w:sz="0" w:space="0" w:color="auto"/>
                    <w:right w:val="none" w:sz="0" w:space="0" w:color="auto"/>
                  </w:divBdr>
                  <w:divsChild>
                    <w:div w:id="606814833">
                      <w:marLeft w:val="0"/>
                      <w:marRight w:val="0"/>
                      <w:marTop w:val="0"/>
                      <w:marBottom w:val="0"/>
                      <w:divBdr>
                        <w:top w:val="none" w:sz="0" w:space="0" w:color="auto"/>
                        <w:left w:val="none" w:sz="0" w:space="0" w:color="auto"/>
                        <w:bottom w:val="none" w:sz="0" w:space="0" w:color="auto"/>
                        <w:right w:val="none" w:sz="0" w:space="0" w:color="auto"/>
                      </w:divBdr>
                    </w:div>
                  </w:divsChild>
                </w:div>
                <w:div w:id="194123406">
                  <w:marLeft w:val="0"/>
                  <w:marRight w:val="0"/>
                  <w:marTop w:val="0"/>
                  <w:marBottom w:val="0"/>
                  <w:divBdr>
                    <w:top w:val="none" w:sz="0" w:space="0" w:color="auto"/>
                    <w:left w:val="none" w:sz="0" w:space="0" w:color="auto"/>
                    <w:bottom w:val="none" w:sz="0" w:space="0" w:color="auto"/>
                    <w:right w:val="none" w:sz="0" w:space="0" w:color="auto"/>
                  </w:divBdr>
                  <w:divsChild>
                    <w:div w:id="1928687224">
                      <w:marLeft w:val="0"/>
                      <w:marRight w:val="0"/>
                      <w:marTop w:val="0"/>
                      <w:marBottom w:val="0"/>
                      <w:divBdr>
                        <w:top w:val="none" w:sz="0" w:space="0" w:color="auto"/>
                        <w:left w:val="none" w:sz="0" w:space="0" w:color="auto"/>
                        <w:bottom w:val="none" w:sz="0" w:space="0" w:color="auto"/>
                        <w:right w:val="none" w:sz="0" w:space="0" w:color="auto"/>
                      </w:divBdr>
                    </w:div>
                  </w:divsChild>
                </w:div>
                <w:div w:id="316805437">
                  <w:marLeft w:val="0"/>
                  <w:marRight w:val="0"/>
                  <w:marTop w:val="0"/>
                  <w:marBottom w:val="0"/>
                  <w:divBdr>
                    <w:top w:val="none" w:sz="0" w:space="0" w:color="auto"/>
                    <w:left w:val="none" w:sz="0" w:space="0" w:color="auto"/>
                    <w:bottom w:val="none" w:sz="0" w:space="0" w:color="auto"/>
                    <w:right w:val="none" w:sz="0" w:space="0" w:color="auto"/>
                  </w:divBdr>
                  <w:divsChild>
                    <w:div w:id="113867491">
                      <w:marLeft w:val="0"/>
                      <w:marRight w:val="0"/>
                      <w:marTop w:val="0"/>
                      <w:marBottom w:val="0"/>
                      <w:divBdr>
                        <w:top w:val="none" w:sz="0" w:space="0" w:color="auto"/>
                        <w:left w:val="none" w:sz="0" w:space="0" w:color="auto"/>
                        <w:bottom w:val="none" w:sz="0" w:space="0" w:color="auto"/>
                        <w:right w:val="none" w:sz="0" w:space="0" w:color="auto"/>
                      </w:divBdr>
                    </w:div>
                  </w:divsChild>
                </w:div>
                <w:div w:id="436370100">
                  <w:marLeft w:val="0"/>
                  <w:marRight w:val="0"/>
                  <w:marTop w:val="0"/>
                  <w:marBottom w:val="0"/>
                  <w:divBdr>
                    <w:top w:val="none" w:sz="0" w:space="0" w:color="auto"/>
                    <w:left w:val="none" w:sz="0" w:space="0" w:color="auto"/>
                    <w:bottom w:val="none" w:sz="0" w:space="0" w:color="auto"/>
                    <w:right w:val="none" w:sz="0" w:space="0" w:color="auto"/>
                  </w:divBdr>
                  <w:divsChild>
                    <w:div w:id="1603142316">
                      <w:marLeft w:val="0"/>
                      <w:marRight w:val="0"/>
                      <w:marTop w:val="0"/>
                      <w:marBottom w:val="0"/>
                      <w:divBdr>
                        <w:top w:val="none" w:sz="0" w:space="0" w:color="auto"/>
                        <w:left w:val="none" w:sz="0" w:space="0" w:color="auto"/>
                        <w:bottom w:val="none" w:sz="0" w:space="0" w:color="auto"/>
                        <w:right w:val="none" w:sz="0" w:space="0" w:color="auto"/>
                      </w:divBdr>
                    </w:div>
                  </w:divsChild>
                </w:div>
                <w:div w:id="460416816">
                  <w:marLeft w:val="0"/>
                  <w:marRight w:val="0"/>
                  <w:marTop w:val="0"/>
                  <w:marBottom w:val="0"/>
                  <w:divBdr>
                    <w:top w:val="none" w:sz="0" w:space="0" w:color="auto"/>
                    <w:left w:val="none" w:sz="0" w:space="0" w:color="auto"/>
                    <w:bottom w:val="none" w:sz="0" w:space="0" w:color="auto"/>
                    <w:right w:val="none" w:sz="0" w:space="0" w:color="auto"/>
                  </w:divBdr>
                  <w:divsChild>
                    <w:div w:id="425811231">
                      <w:marLeft w:val="0"/>
                      <w:marRight w:val="0"/>
                      <w:marTop w:val="0"/>
                      <w:marBottom w:val="0"/>
                      <w:divBdr>
                        <w:top w:val="none" w:sz="0" w:space="0" w:color="auto"/>
                        <w:left w:val="none" w:sz="0" w:space="0" w:color="auto"/>
                        <w:bottom w:val="none" w:sz="0" w:space="0" w:color="auto"/>
                        <w:right w:val="none" w:sz="0" w:space="0" w:color="auto"/>
                      </w:divBdr>
                    </w:div>
                  </w:divsChild>
                </w:div>
                <w:div w:id="506941938">
                  <w:marLeft w:val="0"/>
                  <w:marRight w:val="0"/>
                  <w:marTop w:val="0"/>
                  <w:marBottom w:val="0"/>
                  <w:divBdr>
                    <w:top w:val="none" w:sz="0" w:space="0" w:color="auto"/>
                    <w:left w:val="none" w:sz="0" w:space="0" w:color="auto"/>
                    <w:bottom w:val="none" w:sz="0" w:space="0" w:color="auto"/>
                    <w:right w:val="none" w:sz="0" w:space="0" w:color="auto"/>
                  </w:divBdr>
                  <w:divsChild>
                    <w:div w:id="1020158807">
                      <w:marLeft w:val="0"/>
                      <w:marRight w:val="0"/>
                      <w:marTop w:val="0"/>
                      <w:marBottom w:val="0"/>
                      <w:divBdr>
                        <w:top w:val="none" w:sz="0" w:space="0" w:color="auto"/>
                        <w:left w:val="none" w:sz="0" w:space="0" w:color="auto"/>
                        <w:bottom w:val="none" w:sz="0" w:space="0" w:color="auto"/>
                        <w:right w:val="none" w:sz="0" w:space="0" w:color="auto"/>
                      </w:divBdr>
                    </w:div>
                  </w:divsChild>
                </w:div>
                <w:div w:id="554125048">
                  <w:marLeft w:val="0"/>
                  <w:marRight w:val="0"/>
                  <w:marTop w:val="0"/>
                  <w:marBottom w:val="0"/>
                  <w:divBdr>
                    <w:top w:val="none" w:sz="0" w:space="0" w:color="auto"/>
                    <w:left w:val="none" w:sz="0" w:space="0" w:color="auto"/>
                    <w:bottom w:val="none" w:sz="0" w:space="0" w:color="auto"/>
                    <w:right w:val="none" w:sz="0" w:space="0" w:color="auto"/>
                  </w:divBdr>
                  <w:divsChild>
                    <w:div w:id="1155491264">
                      <w:marLeft w:val="0"/>
                      <w:marRight w:val="0"/>
                      <w:marTop w:val="0"/>
                      <w:marBottom w:val="0"/>
                      <w:divBdr>
                        <w:top w:val="none" w:sz="0" w:space="0" w:color="auto"/>
                        <w:left w:val="none" w:sz="0" w:space="0" w:color="auto"/>
                        <w:bottom w:val="none" w:sz="0" w:space="0" w:color="auto"/>
                        <w:right w:val="none" w:sz="0" w:space="0" w:color="auto"/>
                      </w:divBdr>
                    </w:div>
                  </w:divsChild>
                </w:div>
                <w:div w:id="559440305">
                  <w:marLeft w:val="0"/>
                  <w:marRight w:val="0"/>
                  <w:marTop w:val="0"/>
                  <w:marBottom w:val="0"/>
                  <w:divBdr>
                    <w:top w:val="none" w:sz="0" w:space="0" w:color="auto"/>
                    <w:left w:val="none" w:sz="0" w:space="0" w:color="auto"/>
                    <w:bottom w:val="none" w:sz="0" w:space="0" w:color="auto"/>
                    <w:right w:val="none" w:sz="0" w:space="0" w:color="auto"/>
                  </w:divBdr>
                  <w:divsChild>
                    <w:div w:id="779572334">
                      <w:marLeft w:val="0"/>
                      <w:marRight w:val="0"/>
                      <w:marTop w:val="0"/>
                      <w:marBottom w:val="0"/>
                      <w:divBdr>
                        <w:top w:val="none" w:sz="0" w:space="0" w:color="auto"/>
                        <w:left w:val="none" w:sz="0" w:space="0" w:color="auto"/>
                        <w:bottom w:val="none" w:sz="0" w:space="0" w:color="auto"/>
                        <w:right w:val="none" w:sz="0" w:space="0" w:color="auto"/>
                      </w:divBdr>
                    </w:div>
                  </w:divsChild>
                </w:div>
                <w:div w:id="584387238">
                  <w:marLeft w:val="0"/>
                  <w:marRight w:val="0"/>
                  <w:marTop w:val="0"/>
                  <w:marBottom w:val="0"/>
                  <w:divBdr>
                    <w:top w:val="none" w:sz="0" w:space="0" w:color="auto"/>
                    <w:left w:val="none" w:sz="0" w:space="0" w:color="auto"/>
                    <w:bottom w:val="none" w:sz="0" w:space="0" w:color="auto"/>
                    <w:right w:val="none" w:sz="0" w:space="0" w:color="auto"/>
                  </w:divBdr>
                  <w:divsChild>
                    <w:div w:id="854542946">
                      <w:marLeft w:val="0"/>
                      <w:marRight w:val="0"/>
                      <w:marTop w:val="0"/>
                      <w:marBottom w:val="0"/>
                      <w:divBdr>
                        <w:top w:val="none" w:sz="0" w:space="0" w:color="auto"/>
                        <w:left w:val="none" w:sz="0" w:space="0" w:color="auto"/>
                        <w:bottom w:val="none" w:sz="0" w:space="0" w:color="auto"/>
                        <w:right w:val="none" w:sz="0" w:space="0" w:color="auto"/>
                      </w:divBdr>
                    </w:div>
                  </w:divsChild>
                </w:div>
                <w:div w:id="585304446">
                  <w:marLeft w:val="0"/>
                  <w:marRight w:val="0"/>
                  <w:marTop w:val="0"/>
                  <w:marBottom w:val="0"/>
                  <w:divBdr>
                    <w:top w:val="none" w:sz="0" w:space="0" w:color="auto"/>
                    <w:left w:val="none" w:sz="0" w:space="0" w:color="auto"/>
                    <w:bottom w:val="none" w:sz="0" w:space="0" w:color="auto"/>
                    <w:right w:val="none" w:sz="0" w:space="0" w:color="auto"/>
                  </w:divBdr>
                  <w:divsChild>
                    <w:div w:id="1314598069">
                      <w:marLeft w:val="0"/>
                      <w:marRight w:val="0"/>
                      <w:marTop w:val="0"/>
                      <w:marBottom w:val="0"/>
                      <w:divBdr>
                        <w:top w:val="none" w:sz="0" w:space="0" w:color="auto"/>
                        <w:left w:val="none" w:sz="0" w:space="0" w:color="auto"/>
                        <w:bottom w:val="none" w:sz="0" w:space="0" w:color="auto"/>
                        <w:right w:val="none" w:sz="0" w:space="0" w:color="auto"/>
                      </w:divBdr>
                    </w:div>
                  </w:divsChild>
                </w:div>
                <w:div w:id="865406839">
                  <w:marLeft w:val="0"/>
                  <w:marRight w:val="0"/>
                  <w:marTop w:val="0"/>
                  <w:marBottom w:val="0"/>
                  <w:divBdr>
                    <w:top w:val="none" w:sz="0" w:space="0" w:color="auto"/>
                    <w:left w:val="none" w:sz="0" w:space="0" w:color="auto"/>
                    <w:bottom w:val="none" w:sz="0" w:space="0" w:color="auto"/>
                    <w:right w:val="none" w:sz="0" w:space="0" w:color="auto"/>
                  </w:divBdr>
                  <w:divsChild>
                    <w:div w:id="635450913">
                      <w:marLeft w:val="0"/>
                      <w:marRight w:val="0"/>
                      <w:marTop w:val="0"/>
                      <w:marBottom w:val="0"/>
                      <w:divBdr>
                        <w:top w:val="none" w:sz="0" w:space="0" w:color="auto"/>
                        <w:left w:val="none" w:sz="0" w:space="0" w:color="auto"/>
                        <w:bottom w:val="none" w:sz="0" w:space="0" w:color="auto"/>
                        <w:right w:val="none" w:sz="0" w:space="0" w:color="auto"/>
                      </w:divBdr>
                    </w:div>
                  </w:divsChild>
                </w:div>
                <w:div w:id="938950332">
                  <w:marLeft w:val="0"/>
                  <w:marRight w:val="0"/>
                  <w:marTop w:val="0"/>
                  <w:marBottom w:val="0"/>
                  <w:divBdr>
                    <w:top w:val="none" w:sz="0" w:space="0" w:color="auto"/>
                    <w:left w:val="none" w:sz="0" w:space="0" w:color="auto"/>
                    <w:bottom w:val="none" w:sz="0" w:space="0" w:color="auto"/>
                    <w:right w:val="none" w:sz="0" w:space="0" w:color="auto"/>
                  </w:divBdr>
                  <w:divsChild>
                    <w:div w:id="2065979166">
                      <w:marLeft w:val="0"/>
                      <w:marRight w:val="0"/>
                      <w:marTop w:val="0"/>
                      <w:marBottom w:val="0"/>
                      <w:divBdr>
                        <w:top w:val="none" w:sz="0" w:space="0" w:color="auto"/>
                        <w:left w:val="none" w:sz="0" w:space="0" w:color="auto"/>
                        <w:bottom w:val="none" w:sz="0" w:space="0" w:color="auto"/>
                        <w:right w:val="none" w:sz="0" w:space="0" w:color="auto"/>
                      </w:divBdr>
                    </w:div>
                  </w:divsChild>
                </w:div>
                <w:div w:id="987251116">
                  <w:marLeft w:val="0"/>
                  <w:marRight w:val="0"/>
                  <w:marTop w:val="0"/>
                  <w:marBottom w:val="0"/>
                  <w:divBdr>
                    <w:top w:val="none" w:sz="0" w:space="0" w:color="auto"/>
                    <w:left w:val="none" w:sz="0" w:space="0" w:color="auto"/>
                    <w:bottom w:val="none" w:sz="0" w:space="0" w:color="auto"/>
                    <w:right w:val="none" w:sz="0" w:space="0" w:color="auto"/>
                  </w:divBdr>
                  <w:divsChild>
                    <w:div w:id="4290103">
                      <w:marLeft w:val="0"/>
                      <w:marRight w:val="0"/>
                      <w:marTop w:val="0"/>
                      <w:marBottom w:val="0"/>
                      <w:divBdr>
                        <w:top w:val="none" w:sz="0" w:space="0" w:color="auto"/>
                        <w:left w:val="none" w:sz="0" w:space="0" w:color="auto"/>
                        <w:bottom w:val="none" w:sz="0" w:space="0" w:color="auto"/>
                        <w:right w:val="none" w:sz="0" w:space="0" w:color="auto"/>
                      </w:divBdr>
                    </w:div>
                  </w:divsChild>
                </w:div>
                <w:div w:id="1006977314">
                  <w:marLeft w:val="0"/>
                  <w:marRight w:val="0"/>
                  <w:marTop w:val="0"/>
                  <w:marBottom w:val="0"/>
                  <w:divBdr>
                    <w:top w:val="none" w:sz="0" w:space="0" w:color="auto"/>
                    <w:left w:val="none" w:sz="0" w:space="0" w:color="auto"/>
                    <w:bottom w:val="none" w:sz="0" w:space="0" w:color="auto"/>
                    <w:right w:val="none" w:sz="0" w:space="0" w:color="auto"/>
                  </w:divBdr>
                  <w:divsChild>
                    <w:div w:id="1607736383">
                      <w:marLeft w:val="0"/>
                      <w:marRight w:val="0"/>
                      <w:marTop w:val="0"/>
                      <w:marBottom w:val="0"/>
                      <w:divBdr>
                        <w:top w:val="none" w:sz="0" w:space="0" w:color="auto"/>
                        <w:left w:val="none" w:sz="0" w:space="0" w:color="auto"/>
                        <w:bottom w:val="none" w:sz="0" w:space="0" w:color="auto"/>
                        <w:right w:val="none" w:sz="0" w:space="0" w:color="auto"/>
                      </w:divBdr>
                    </w:div>
                  </w:divsChild>
                </w:div>
                <w:div w:id="1052386025">
                  <w:marLeft w:val="0"/>
                  <w:marRight w:val="0"/>
                  <w:marTop w:val="0"/>
                  <w:marBottom w:val="0"/>
                  <w:divBdr>
                    <w:top w:val="none" w:sz="0" w:space="0" w:color="auto"/>
                    <w:left w:val="none" w:sz="0" w:space="0" w:color="auto"/>
                    <w:bottom w:val="none" w:sz="0" w:space="0" w:color="auto"/>
                    <w:right w:val="none" w:sz="0" w:space="0" w:color="auto"/>
                  </w:divBdr>
                  <w:divsChild>
                    <w:div w:id="406002324">
                      <w:marLeft w:val="0"/>
                      <w:marRight w:val="0"/>
                      <w:marTop w:val="0"/>
                      <w:marBottom w:val="0"/>
                      <w:divBdr>
                        <w:top w:val="none" w:sz="0" w:space="0" w:color="auto"/>
                        <w:left w:val="none" w:sz="0" w:space="0" w:color="auto"/>
                        <w:bottom w:val="none" w:sz="0" w:space="0" w:color="auto"/>
                        <w:right w:val="none" w:sz="0" w:space="0" w:color="auto"/>
                      </w:divBdr>
                    </w:div>
                  </w:divsChild>
                </w:div>
                <w:div w:id="1109852779">
                  <w:marLeft w:val="0"/>
                  <w:marRight w:val="0"/>
                  <w:marTop w:val="0"/>
                  <w:marBottom w:val="0"/>
                  <w:divBdr>
                    <w:top w:val="none" w:sz="0" w:space="0" w:color="auto"/>
                    <w:left w:val="none" w:sz="0" w:space="0" w:color="auto"/>
                    <w:bottom w:val="none" w:sz="0" w:space="0" w:color="auto"/>
                    <w:right w:val="none" w:sz="0" w:space="0" w:color="auto"/>
                  </w:divBdr>
                  <w:divsChild>
                    <w:div w:id="1403603471">
                      <w:marLeft w:val="0"/>
                      <w:marRight w:val="0"/>
                      <w:marTop w:val="0"/>
                      <w:marBottom w:val="0"/>
                      <w:divBdr>
                        <w:top w:val="none" w:sz="0" w:space="0" w:color="auto"/>
                        <w:left w:val="none" w:sz="0" w:space="0" w:color="auto"/>
                        <w:bottom w:val="none" w:sz="0" w:space="0" w:color="auto"/>
                        <w:right w:val="none" w:sz="0" w:space="0" w:color="auto"/>
                      </w:divBdr>
                    </w:div>
                  </w:divsChild>
                </w:div>
                <w:div w:id="1113595553">
                  <w:marLeft w:val="0"/>
                  <w:marRight w:val="0"/>
                  <w:marTop w:val="0"/>
                  <w:marBottom w:val="0"/>
                  <w:divBdr>
                    <w:top w:val="none" w:sz="0" w:space="0" w:color="auto"/>
                    <w:left w:val="none" w:sz="0" w:space="0" w:color="auto"/>
                    <w:bottom w:val="none" w:sz="0" w:space="0" w:color="auto"/>
                    <w:right w:val="none" w:sz="0" w:space="0" w:color="auto"/>
                  </w:divBdr>
                  <w:divsChild>
                    <w:div w:id="2142573638">
                      <w:marLeft w:val="0"/>
                      <w:marRight w:val="0"/>
                      <w:marTop w:val="0"/>
                      <w:marBottom w:val="0"/>
                      <w:divBdr>
                        <w:top w:val="none" w:sz="0" w:space="0" w:color="auto"/>
                        <w:left w:val="none" w:sz="0" w:space="0" w:color="auto"/>
                        <w:bottom w:val="none" w:sz="0" w:space="0" w:color="auto"/>
                        <w:right w:val="none" w:sz="0" w:space="0" w:color="auto"/>
                      </w:divBdr>
                    </w:div>
                  </w:divsChild>
                </w:div>
                <w:div w:id="1117986091">
                  <w:marLeft w:val="0"/>
                  <w:marRight w:val="0"/>
                  <w:marTop w:val="0"/>
                  <w:marBottom w:val="0"/>
                  <w:divBdr>
                    <w:top w:val="none" w:sz="0" w:space="0" w:color="auto"/>
                    <w:left w:val="none" w:sz="0" w:space="0" w:color="auto"/>
                    <w:bottom w:val="none" w:sz="0" w:space="0" w:color="auto"/>
                    <w:right w:val="none" w:sz="0" w:space="0" w:color="auto"/>
                  </w:divBdr>
                  <w:divsChild>
                    <w:div w:id="856846659">
                      <w:marLeft w:val="0"/>
                      <w:marRight w:val="0"/>
                      <w:marTop w:val="0"/>
                      <w:marBottom w:val="0"/>
                      <w:divBdr>
                        <w:top w:val="none" w:sz="0" w:space="0" w:color="auto"/>
                        <w:left w:val="none" w:sz="0" w:space="0" w:color="auto"/>
                        <w:bottom w:val="none" w:sz="0" w:space="0" w:color="auto"/>
                        <w:right w:val="none" w:sz="0" w:space="0" w:color="auto"/>
                      </w:divBdr>
                    </w:div>
                  </w:divsChild>
                </w:div>
                <w:div w:id="1220089976">
                  <w:marLeft w:val="0"/>
                  <w:marRight w:val="0"/>
                  <w:marTop w:val="0"/>
                  <w:marBottom w:val="0"/>
                  <w:divBdr>
                    <w:top w:val="none" w:sz="0" w:space="0" w:color="auto"/>
                    <w:left w:val="none" w:sz="0" w:space="0" w:color="auto"/>
                    <w:bottom w:val="none" w:sz="0" w:space="0" w:color="auto"/>
                    <w:right w:val="none" w:sz="0" w:space="0" w:color="auto"/>
                  </w:divBdr>
                  <w:divsChild>
                    <w:div w:id="1184324896">
                      <w:marLeft w:val="0"/>
                      <w:marRight w:val="0"/>
                      <w:marTop w:val="0"/>
                      <w:marBottom w:val="0"/>
                      <w:divBdr>
                        <w:top w:val="none" w:sz="0" w:space="0" w:color="auto"/>
                        <w:left w:val="none" w:sz="0" w:space="0" w:color="auto"/>
                        <w:bottom w:val="none" w:sz="0" w:space="0" w:color="auto"/>
                        <w:right w:val="none" w:sz="0" w:space="0" w:color="auto"/>
                      </w:divBdr>
                    </w:div>
                  </w:divsChild>
                </w:div>
                <w:div w:id="1243446017">
                  <w:marLeft w:val="0"/>
                  <w:marRight w:val="0"/>
                  <w:marTop w:val="0"/>
                  <w:marBottom w:val="0"/>
                  <w:divBdr>
                    <w:top w:val="none" w:sz="0" w:space="0" w:color="auto"/>
                    <w:left w:val="none" w:sz="0" w:space="0" w:color="auto"/>
                    <w:bottom w:val="none" w:sz="0" w:space="0" w:color="auto"/>
                    <w:right w:val="none" w:sz="0" w:space="0" w:color="auto"/>
                  </w:divBdr>
                  <w:divsChild>
                    <w:div w:id="1796290879">
                      <w:marLeft w:val="0"/>
                      <w:marRight w:val="0"/>
                      <w:marTop w:val="0"/>
                      <w:marBottom w:val="0"/>
                      <w:divBdr>
                        <w:top w:val="none" w:sz="0" w:space="0" w:color="auto"/>
                        <w:left w:val="none" w:sz="0" w:space="0" w:color="auto"/>
                        <w:bottom w:val="none" w:sz="0" w:space="0" w:color="auto"/>
                        <w:right w:val="none" w:sz="0" w:space="0" w:color="auto"/>
                      </w:divBdr>
                    </w:div>
                  </w:divsChild>
                </w:div>
                <w:div w:id="1306623574">
                  <w:marLeft w:val="0"/>
                  <w:marRight w:val="0"/>
                  <w:marTop w:val="0"/>
                  <w:marBottom w:val="0"/>
                  <w:divBdr>
                    <w:top w:val="none" w:sz="0" w:space="0" w:color="auto"/>
                    <w:left w:val="none" w:sz="0" w:space="0" w:color="auto"/>
                    <w:bottom w:val="none" w:sz="0" w:space="0" w:color="auto"/>
                    <w:right w:val="none" w:sz="0" w:space="0" w:color="auto"/>
                  </w:divBdr>
                  <w:divsChild>
                    <w:div w:id="924726014">
                      <w:marLeft w:val="0"/>
                      <w:marRight w:val="0"/>
                      <w:marTop w:val="0"/>
                      <w:marBottom w:val="0"/>
                      <w:divBdr>
                        <w:top w:val="none" w:sz="0" w:space="0" w:color="auto"/>
                        <w:left w:val="none" w:sz="0" w:space="0" w:color="auto"/>
                        <w:bottom w:val="none" w:sz="0" w:space="0" w:color="auto"/>
                        <w:right w:val="none" w:sz="0" w:space="0" w:color="auto"/>
                      </w:divBdr>
                    </w:div>
                  </w:divsChild>
                </w:div>
                <w:div w:id="1454858385">
                  <w:marLeft w:val="0"/>
                  <w:marRight w:val="0"/>
                  <w:marTop w:val="0"/>
                  <w:marBottom w:val="0"/>
                  <w:divBdr>
                    <w:top w:val="none" w:sz="0" w:space="0" w:color="auto"/>
                    <w:left w:val="none" w:sz="0" w:space="0" w:color="auto"/>
                    <w:bottom w:val="none" w:sz="0" w:space="0" w:color="auto"/>
                    <w:right w:val="none" w:sz="0" w:space="0" w:color="auto"/>
                  </w:divBdr>
                  <w:divsChild>
                    <w:div w:id="1062100207">
                      <w:marLeft w:val="0"/>
                      <w:marRight w:val="0"/>
                      <w:marTop w:val="0"/>
                      <w:marBottom w:val="0"/>
                      <w:divBdr>
                        <w:top w:val="none" w:sz="0" w:space="0" w:color="auto"/>
                        <w:left w:val="none" w:sz="0" w:space="0" w:color="auto"/>
                        <w:bottom w:val="none" w:sz="0" w:space="0" w:color="auto"/>
                        <w:right w:val="none" w:sz="0" w:space="0" w:color="auto"/>
                      </w:divBdr>
                    </w:div>
                  </w:divsChild>
                </w:div>
                <w:div w:id="1477530287">
                  <w:marLeft w:val="0"/>
                  <w:marRight w:val="0"/>
                  <w:marTop w:val="0"/>
                  <w:marBottom w:val="0"/>
                  <w:divBdr>
                    <w:top w:val="none" w:sz="0" w:space="0" w:color="auto"/>
                    <w:left w:val="none" w:sz="0" w:space="0" w:color="auto"/>
                    <w:bottom w:val="none" w:sz="0" w:space="0" w:color="auto"/>
                    <w:right w:val="none" w:sz="0" w:space="0" w:color="auto"/>
                  </w:divBdr>
                  <w:divsChild>
                    <w:div w:id="1326788180">
                      <w:marLeft w:val="0"/>
                      <w:marRight w:val="0"/>
                      <w:marTop w:val="0"/>
                      <w:marBottom w:val="0"/>
                      <w:divBdr>
                        <w:top w:val="none" w:sz="0" w:space="0" w:color="auto"/>
                        <w:left w:val="none" w:sz="0" w:space="0" w:color="auto"/>
                        <w:bottom w:val="none" w:sz="0" w:space="0" w:color="auto"/>
                        <w:right w:val="none" w:sz="0" w:space="0" w:color="auto"/>
                      </w:divBdr>
                    </w:div>
                  </w:divsChild>
                </w:div>
                <w:div w:id="1504583317">
                  <w:marLeft w:val="0"/>
                  <w:marRight w:val="0"/>
                  <w:marTop w:val="0"/>
                  <w:marBottom w:val="0"/>
                  <w:divBdr>
                    <w:top w:val="none" w:sz="0" w:space="0" w:color="auto"/>
                    <w:left w:val="none" w:sz="0" w:space="0" w:color="auto"/>
                    <w:bottom w:val="none" w:sz="0" w:space="0" w:color="auto"/>
                    <w:right w:val="none" w:sz="0" w:space="0" w:color="auto"/>
                  </w:divBdr>
                  <w:divsChild>
                    <w:div w:id="195194793">
                      <w:marLeft w:val="0"/>
                      <w:marRight w:val="0"/>
                      <w:marTop w:val="0"/>
                      <w:marBottom w:val="0"/>
                      <w:divBdr>
                        <w:top w:val="none" w:sz="0" w:space="0" w:color="auto"/>
                        <w:left w:val="none" w:sz="0" w:space="0" w:color="auto"/>
                        <w:bottom w:val="none" w:sz="0" w:space="0" w:color="auto"/>
                        <w:right w:val="none" w:sz="0" w:space="0" w:color="auto"/>
                      </w:divBdr>
                    </w:div>
                  </w:divsChild>
                </w:div>
                <w:div w:id="1613127863">
                  <w:marLeft w:val="0"/>
                  <w:marRight w:val="0"/>
                  <w:marTop w:val="0"/>
                  <w:marBottom w:val="0"/>
                  <w:divBdr>
                    <w:top w:val="none" w:sz="0" w:space="0" w:color="auto"/>
                    <w:left w:val="none" w:sz="0" w:space="0" w:color="auto"/>
                    <w:bottom w:val="none" w:sz="0" w:space="0" w:color="auto"/>
                    <w:right w:val="none" w:sz="0" w:space="0" w:color="auto"/>
                  </w:divBdr>
                  <w:divsChild>
                    <w:div w:id="1520050608">
                      <w:marLeft w:val="0"/>
                      <w:marRight w:val="0"/>
                      <w:marTop w:val="0"/>
                      <w:marBottom w:val="0"/>
                      <w:divBdr>
                        <w:top w:val="none" w:sz="0" w:space="0" w:color="auto"/>
                        <w:left w:val="none" w:sz="0" w:space="0" w:color="auto"/>
                        <w:bottom w:val="none" w:sz="0" w:space="0" w:color="auto"/>
                        <w:right w:val="none" w:sz="0" w:space="0" w:color="auto"/>
                      </w:divBdr>
                    </w:div>
                  </w:divsChild>
                </w:div>
                <w:div w:id="1632663782">
                  <w:marLeft w:val="0"/>
                  <w:marRight w:val="0"/>
                  <w:marTop w:val="0"/>
                  <w:marBottom w:val="0"/>
                  <w:divBdr>
                    <w:top w:val="none" w:sz="0" w:space="0" w:color="auto"/>
                    <w:left w:val="none" w:sz="0" w:space="0" w:color="auto"/>
                    <w:bottom w:val="none" w:sz="0" w:space="0" w:color="auto"/>
                    <w:right w:val="none" w:sz="0" w:space="0" w:color="auto"/>
                  </w:divBdr>
                  <w:divsChild>
                    <w:div w:id="592787262">
                      <w:marLeft w:val="0"/>
                      <w:marRight w:val="0"/>
                      <w:marTop w:val="0"/>
                      <w:marBottom w:val="0"/>
                      <w:divBdr>
                        <w:top w:val="none" w:sz="0" w:space="0" w:color="auto"/>
                        <w:left w:val="none" w:sz="0" w:space="0" w:color="auto"/>
                        <w:bottom w:val="none" w:sz="0" w:space="0" w:color="auto"/>
                        <w:right w:val="none" w:sz="0" w:space="0" w:color="auto"/>
                      </w:divBdr>
                    </w:div>
                  </w:divsChild>
                </w:div>
                <w:div w:id="1653753975">
                  <w:marLeft w:val="0"/>
                  <w:marRight w:val="0"/>
                  <w:marTop w:val="0"/>
                  <w:marBottom w:val="0"/>
                  <w:divBdr>
                    <w:top w:val="none" w:sz="0" w:space="0" w:color="auto"/>
                    <w:left w:val="none" w:sz="0" w:space="0" w:color="auto"/>
                    <w:bottom w:val="none" w:sz="0" w:space="0" w:color="auto"/>
                    <w:right w:val="none" w:sz="0" w:space="0" w:color="auto"/>
                  </w:divBdr>
                  <w:divsChild>
                    <w:div w:id="2042365681">
                      <w:marLeft w:val="0"/>
                      <w:marRight w:val="0"/>
                      <w:marTop w:val="0"/>
                      <w:marBottom w:val="0"/>
                      <w:divBdr>
                        <w:top w:val="none" w:sz="0" w:space="0" w:color="auto"/>
                        <w:left w:val="none" w:sz="0" w:space="0" w:color="auto"/>
                        <w:bottom w:val="none" w:sz="0" w:space="0" w:color="auto"/>
                        <w:right w:val="none" w:sz="0" w:space="0" w:color="auto"/>
                      </w:divBdr>
                    </w:div>
                  </w:divsChild>
                </w:div>
                <w:div w:id="1726835230">
                  <w:marLeft w:val="0"/>
                  <w:marRight w:val="0"/>
                  <w:marTop w:val="0"/>
                  <w:marBottom w:val="0"/>
                  <w:divBdr>
                    <w:top w:val="none" w:sz="0" w:space="0" w:color="auto"/>
                    <w:left w:val="none" w:sz="0" w:space="0" w:color="auto"/>
                    <w:bottom w:val="none" w:sz="0" w:space="0" w:color="auto"/>
                    <w:right w:val="none" w:sz="0" w:space="0" w:color="auto"/>
                  </w:divBdr>
                  <w:divsChild>
                    <w:div w:id="1755659908">
                      <w:marLeft w:val="0"/>
                      <w:marRight w:val="0"/>
                      <w:marTop w:val="0"/>
                      <w:marBottom w:val="0"/>
                      <w:divBdr>
                        <w:top w:val="none" w:sz="0" w:space="0" w:color="auto"/>
                        <w:left w:val="none" w:sz="0" w:space="0" w:color="auto"/>
                        <w:bottom w:val="none" w:sz="0" w:space="0" w:color="auto"/>
                        <w:right w:val="none" w:sz="0" w:space="0" w:color="auto"/>
                      </w:divBdr>
                    </w:div>
                  </w:divsChild>
                </w:div>
                <w:div w:id="1797478729">
                  <w:marLeft w:val="0"/>
                  <w:marRight w:val="0"/>
                  <w:marTop w:val="0"/>
                  <w:marBottom w:val="0"/>
                  <w:divBdr>
                    <w:top w:val="none" w:sz="0" w:space="0" w:color="auto"/>
                    <w:left w:val="none" w:sz="0" w:space="0" w:color="auto"/>
                    <w:bottom w:val="none" w:sz="0" w:space="0" w:color="auto"/>
                    <w:right w:val="none" w:sz="0" w:space="0" w:color="auto"/>
                  </w:divBdr>
                  <w:divsChild>
                    <w:div w:id="1362247403">
                      <w:marLeft w:val="0"/>
                      <w:marRight w:val="0"/>
                      <w:marTop w:val="0"/>
                      <w:marBottom w:val="0"/>
                      <w:divBdr>
                        <w:top w:val="none" w:sz="0" w:space="0" w:color="auto"/>
                        <w:left w:val="none" w:sz="0" w:space="0" w:color="auto"/>
                        <w:bottom w:val="none" w:sz="0" w:space="0" w:color="auto"/>
                        <w:right w:val="none" w:sz="0" w:space="0" w:color="auto"/>
                      </w:divBdr>
                    </w:div>
                  </w:divsChild>
                </w:div>
                <w:div w:id="1832139110">
                  <w:marLeft w:val="0"/>
                  <w:marRight w:val="0"/>
                  <w:marTop w:val="0"/>
                  <w:marBottom w:val="0"/>
                  <w:divBdr>
                    <w:top w:val="none" w:sz="0" w:space="0" w:color="auto"/>
                    <w:left w:val="none" w:sz="0" w:space="0" w:color="auto"/>
                    <w:bottom w:val="none" w:sz="0" w:space="0" w:color="auto"/>
                    <w:right w:val="none" w:sz="0" w:space="0" w:color="auto"/>
                  </w:divBdr>
                  <w:divsChild>
                    <w:div w:id="132988618">
                      <w:marLeft w:val="0"/>
                      <w:marRight w:val="0"/>
                      <w:marTop w:val="0"/>
                      <w:marBottom w:val="0"/>
                      <w:divBdr>
                        <w:top w:val="none" w:sz="0" w:space="0" w:color="auto"/>
                        <w:left w:val="none" w:sz="0" w:space="0" w:color="auto"/>
                        <w:bottom w:val="none" w:sz="0" w:space="0" w:color="auto"/>
                        <w:right w:val="none" w:sz="0" w:space="0" w:color="auto"/>
                      </w:divBdr>
                    </w:div>
                  </w:divsChild>
                </w:div>
                <w:div w:id="1843735032">
                  <w:marLeft w:val="0"/>
                  <w:marRight w:val="0"/>
                  <w:marTop w:val="0"/>
                  <w:marBottom w:val="0"/>
                  <w:divBdr>
                    <w:top w:val="none" w:sz="0" w:space="0" w:color="auto"/>
                    <w:left w:val="none" w:sz="0" w:space="0" w:color="auto"/>
                    <w:bottom w:val="none" w:sz="0" w:space="0" w:color="auto"/>
                    <w:right w:val="none" w:sz="0" w:space="0" w:color="auto"/>
                  </w:divBdr>
                  <w:divsChild>
                    <w:div w:id="705057807">
                      <w:marLeft w:val="0"/>
                      <w:marRight w:val="0"/>
                      <w:marTop w:val="0"/>
                      <w:marBottom w:val="0"/>
                      <w:divBdr>
                        <w:top w:val="none" w:sz="0" w:space="0" w:color="auto"/>
                        <w:left w:val="none" w:sz="0" w:space="0" w:color="auto"/>
                        <w:bottom w:val="none" w:sz="0" w:space="0" w:color="auto"/>
                        <w:right w:val="none" w:sz="0" w:space="0" w:color="auto"/>
                      </w:divBdr>
                    </w:div>
                  </w:divsChild>
                </w:div>
                <w:div w:id="1864978853">
                  <w:marLeft w:val="0"/>
                  <w:marRight w:val="0"/>
                  <w:marTop w:val="0"/>
                  <w:marBottom w:val="0"/>
                  <w:divBdr>
                    <w:top w:val="none" w:sz="0" w:space="0" w:color="auto"/>
                    <w:left w:val="none" w:sz="0" w:space="0" w:color="auto"/>
                    <w:bottom w:val="none" w:sz="0" w:space="0" w:color="auto"/>
                    <w:right w:val="none" w:sz="0" w:space="0" w:color="auto"/>
                  </w:divBdr>
                  <w:divsChild>
                    <w:div w:id="1508208571">
                      <w:marLeft w:val="0"/>
                      <w:marRight w:val="0"/>
                      <w:marTop w:val="0"/>
                      <w:marBottom w:val="0"/>
                      <w:divBdr>
                        <w:top w:val="none" w:sz="0" w:space="0" w:color="auto"/>
                        <w:left w:val="none" w:sz="0" w:space="0" w:color="auto"/>
                        <w:bottom w:val="none" w:sz="0" w:space="0" w:color="auto"/>
                        <w:right w:val="none" w:sz="0" w:space="0" w:color="auto"/>
                      </w:divBdr>
                    </w:div>
                  </w:divsChild>
                </w:div>
                <w:div w:id="2023046825">
                  <w:marLeft w:val="0"/>
                  <w:marRight w:val="0"/>
                  <w:marTop w:val="0"/>
                  <w:marBottom w:val="0"/>
                  <w:divBdr>
                    <w:top w:val="none" w:sz="0" w:space="0" w:color="auto"/>
                    <w:left w:val="none" w:sz="0" w:space="0" w:color="auto"/>
                    <w:bottom w:val="none" w:sz="0" w:space="0" w:color="auto"/>
                    <w:right w:val="none" w:sz="0" w:space="0" w:color="auto"/>
                  </w:divBdr>
                  <w:divsChild>
                    <w:div w:id="1507402420">
                      <w:marLeft w:val="0"/>
                      <w:marRight w:val="0"/>
                      <w:marTop w:val="0"/>
                      <w:marBottom w:val="0"/>
                      <w:divBdr>
                        <w:top w:val="none" w:sz="0" w:space="0" w:color="auto"/>
                        <w:left w:val="none" w:sz="0" w:space="0" w:color="auto"/>
                        <w:bottom w:val="none" w:sz="0" w:space="0" w:color="auto"/>
                        <w:right w:val="none" w:sz="0" w:space="0" w:color="auto"/>
                      </w:divBdr>
                    </w:div>
                  </w:divsChild>
                </w:div>
                <w:div w:id="2110196898">
                  <w:marLeft w:val="0"/>
                  <w:marRight w:val="0"/>
                  <w:marTop w:val="0"/>
                  <w:marBottom w:val="0"/>
                  <w:divBdr>
                    <w:top w:val="none" w:sz="0" w:space="0" w:color="auto"/>
                    <w:left w:val="none" w:sz="0" w:space="0" w:color="auto"/>
                    <w:bottom w:val="none" w:sz="0" w:space="0" w:color="auto"/>
                    <w:right w:val="none" w:sz="0" w:space="0" w:color="auto"/>
                  </w:divBdr>
                  <w:divsChild>
                    <w:div w:id="368531118">
                      <w:marLeft w:val="0"/>
                      <w:marRight w:val="0"/>
                      <w:marTop w:val="0"/>
                      <w:marBottom w:val="0"/>
                      <w:divBdr>
                        <w:top w:val="none" w:sz="0" w:space="0" w:color="auto"/>
                        <w:left w:val="none" w:sz="0" w:space="0" w:color="auto"/>
                        <w:bottom w:val="none" w:sz="0" w:space="0" w:color="auto"/>
                        <w:right w:val="none" w:sz="0" w:space="0" w:color="auto"/>
                      </w:divBdr>
                    </w:div>
                  </w:divsChild>
                </w:div>
                <w:div w:id="2145199903">
                  <w:marLeft w:val="0"/>
                  <w:marRight w:val="0"/>
                  <w:marTop w:val="0"/>
                  <w:marBottom w:val="0"/>
                  <w:divBdr>
                    <w:top w:val="none" w:sz="0" w:space="0" w:color="auto"/>
                    <w:left w:val="none" w:sz="0" w:space="0" w:color="auto"/>
                    <w:bottom w:val="none" w:sz="0" w:space="0" w:color="auto"/>
                    <w:right w:val="none" w:sz="0" w:space="0" w:color="auto"/>
                  </w:divBdr>
                  <w:divsChild>
                    <w:div w:id="19010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72762400">
      <w:bodyDiv w:val="1"/>
      <w:marLeft w:val="0"/>
      <w:marRight w:val="0"/>
      <w:marTop w:val="0"/>
      <w:marBottom w:val="0"/>
      <w:divBdr>
        <w:top w:val="none" w:sz="0" w:space="0" w:color="auto"/>
        <w:left w:val="none" w:sz="0" w:space="0" w:color="auto"/>
        <w:bottom w:val="none" w:sz="0" w:space="0" w:color="auto"/>
        <w:right w:val="none" w:sz="0" w:space="0" w:color="auto"/>
      </w:divBdr>
    </w:div>
    <w:div w:id="174269668">
      <w:bodyDiv w:val="1"/>
      <w:marLeft w:val="0"/>
      <w:marRight w:val="0"/>
      <w:marTop w:val="0"/>
      <w:marBottom w:val="0"/>
      <w:divBdr>
        <w:top w:val="none" w:sz="0" w:space="0" w:color="auto"/>
        <w:left w:val="none" w:sz="0" w:space="0" w:color="auto"/>
        <w:bottom w:val="none" w:sz="0" w:space="0" w:color="auto"/>
        <w:right w:val="none" w:sz="0" w:space="0" w:color="auto"/>
      </w:divBdr>
      <w:divsChild>
        <w:div w:id="398988738">
          <w:marLeft w:val="173"/>
          <w:marRight w:val="0"/>
          <w:marTop w:val="120"/>
          <w:marBottom w:val="0"/>
          <w:divBdr>
            <w:top w:val="none" w:sz="0" w:space="0" w:color="auto"/>
            <w:left w:val="none" w:sz="0" w:space="0" w:color="auto"/>
            <w:bottom w:val="none" w:sz="0" w:space="0" w:color="auto"/>
            <w:right w:val="none" w:sz="0" w:space="0" w:color="auto"/>
          </w:divBdr>
        </w:div>
        <w:div w:id="483737111">
          <w:marLeft w:val="173"/>
          <w:marRight w:val="0"/>
          <w:marTop w:val="120"/>
          <w:marBottom w:val="0"/>
          <w:divBdr>
            <w:top w:val="none" w:sz="0" w:space="0" w:color="auto"/>
            <w:left w:val="none" w:sz="0" w:space="0" w:color="auto"/>
            <w:bottom w:val="none" w:sz="0" w:space="0" w:color="auto"/>
            <w:right w:val="none" w:sz="0" w:space="0" w:color="auto"/>
          </w:divBdr>
        </w:div>
        <w:div w:id="531962865">
          <w:marLeft w:val="173"/>
          <w:marRight w:val="0"/>
          <w:marTop w:val="120"/>
          <w:marBottom w:val="0"/>
          <w:divBdr>
            <w:top w:val="none" w:sz="0" w:space="0" w:color="auto"/>
            <w:left w:val="none" w:sz="0" w:space="0" w:color="auto"/>
            <w:bottom w:val="none" w:sz="0" w:space="0" w:color="auto"/>
            <w:right w:val="none" w:sz="0" w:space="0" w:color="auto"/>
          </w:divBdr>
        </w:div>
        <w:div w:id="959872096">
          <w:marLeft w:val="173"/>
          <w:marRight w:val="0"/>
          <w:marTop w:val="120"/>
          <w:marBottom w:val="0"/>
          <w:divBdr>
            <w:top w:val="none" w:sz="0" w:space="0" w:color="auto"/>
            <w:left w:val="none" w:sz="0" w:space="0" w:color="auto"/>
            <w:bottom w:val="none" w:sz="0" w:space="0" w:color="auto"/>
            <w:right w:val="none" w:sz="0" w:space="0" w:color="auto"/>
          </w:divBdr>
        </w:div>
        <w:div w:id="1267228341">
          <w:marLeft w:val="173"/>
          <w:marRight w:val="0"/>
          <w:marTop w:val="120"/>
          <w:marBottom w:val="0"/>
          <w:divBdr>
            <w:top w:val="none" w:sz="0" w:space="0" w:color="auto"/>
            <w:left w:val="none" w:sz="0" w:space="0" w:color="auto"/>
            <w:bottom w:val="none" w:sz="0" w:space="0" w:color="auto"/>
            <w:right w:val="none" w:sz="0" w:space="0" w:color="auto"/>
          </w:divBdr>
        </w:div>
        <w:div w:id="1686786519">
          <w:marLeft w:val="173"/>
          <w:marRight w:val="0"/>
          <w:marTop w:val="120"/>
          <w:marBottom w:val="0"/>
          <w:divBdr>
            <w:top w:val="none" w:sz="0" w:space="0" w:color="auto"/>
            <w:left w:val="none" w:sz="0" w:space="0" w:color="auto"/>
            <w:bottom w:val="none" w:sz="0" w:space="0" w:color="auto"/>
            <w:right w:val="none" w:sz="0" w:space="0" w:color="auto"/>
          </w:divBdr>
        </w:div>
      </w:divsChild>
    </w:div>
    <w:div w:id="179395010">
      <w:bodyDiv w:val="1"/>
      <w:marLeft w:val="0"/>
      <w:marRight w:val="0"/>
      <w:marTop w:val="0"/>
      <w:marBottom w:val="0"/>
      <w:divBdr>
        <w:top w:val="none" w:sz="0" w:space="0" w:color="auto"/>
        <w:left w:val="none" w:sz="0" w:space="0" w:color="auto"/>
        <w:bottom w:val="none" w:sz="0" w:space="0" w:color="auto"/>
        <w:right w:val="none" w:sz="0" w:space="0" w:color="auto"/>
      </w:divBdr>
    </w:div>
    <w:div w:id="188379101">
      <w:bodyDiv w:val="1"/>
      <w:marLeft w:val="0"/>
      <w:marRight w:val="0"/>
      <w:marTop w:val="0"/>
      <w:marBottom w:val="0"/>
      <w:divBdr>
        <w:top w:val="none" w:sz="0" w:space="0" w:color="auto"/>
        <w:left w:val="none" w:sz="0" w:space="0" w:color="auto"/>
        <w:bottom w:val="none" w:sz="0" w:space="0" w:color="auto"/>
        <w:right w:val="none" w:sz="0" w:space="0" w:color="auto"/>
      </w:divBdr>
    </w:div>
    <w:div w:id="190074839">
      <w:bodyDiv w:val="1"/>
      <w:marLeft w:val="0"/>
      <w:marRight w:val="0"/>
      <w:marTop w:val="0"/>
      <w:marBottom w:val="0"/>
      <w:divBdr>
        <w:top w:val="none" w:sz="0" w:space="0" w:color="auto"/>
        <w:left w:val="none" w:sz="0" w:space="0" w:color="auto"/>
        <w:bottom w:val="none" w:sz="0" w:space="0" w:color="auto"/>
        <w:right w:val="none" w:sz="0" w:space="0" w:color="auto"/>
      </w:divBdr>
    </w:div>
    <w:div w:id="197546663">
      <w:bodyDiv w:val="1"/>
      <w:marLeft w:val="0"/>
      <w:marRight w:val="0"/>
      <w:marTop w:val="0"/>
      <w:marBottom w:val="0"/>
      <w:divBdr>
        <w:top w:val="none" w:sz="0" w:space="0" w:color="auto"/>
        <w:left w:val="none" w:sz="0" w:space="0" w:color="auto"/>
        <w:bottom w:val="none" w:sz="0" w:space="0" w:color="auto"/>
        <w:right w:val="none" w:sz="0" w:space="0" w:color="auto"/>
      </w:divBdr>
    </w:div>
    <w:div w:id="218710793">
      <w:bodyDiv w:val="1"/>
      <w:marLeft w:val="0"/>
      <w:marRight w:val="0"/>
      <w:marTop w:val="0"/>
      <w:marBottom w:val="0"/>
      <w:divBdr>
        <w:top w:val="none" w:sz="0" w:space="0" w:color="auto"/>
        <w:left w:val="none" w:sz="0" w:space="0" w:color="auto"/>
        <w:bottom w:val="none" w:sz="0" w:space="0" w:color="auto"/>
        <w:right w:val="none" w:sz="0" w:space="0" w:color="auto"/>
      </w:divBdr>
    </w:div>
    <w:div w:id="227306826">
      <w:bodyDiv w:val="1"/>
      <w:marLeft w:val="0"/>
      <w:marRight w:val="0"/>
      <w:marTop w:val="0"/>
      <w:marBottom w:val="0"/>
      <w:divBdr>
        <w:top w:val="none" w:sz="0" w:space="0" w:color="auto"/>
        <w:left w:val="none" w:sz="0" w:space="0" w:color="auto"/>
        <w:bottom w:val="none" w:sz="0" w:space="0" w:color="auto"/>
        <w:right w:val="none" w:sz="0" w:space="0" w:color="auto"/>
      </w:divBdr>
    </w:div>
    <w:div w:id="241566128">
      <w:bodyDiv w:val="1"/>
      <w:marLeft w:val="0"/>
      <w:marRight w:val="0"/>
      <w:marTop w:val="0"/>
      <w:marBottom w:val="0"/>
      <w:divBdr>
        <w:top w:val="none" w:sz="0" w:space="0" w:color="auto"/>
        <w:left w:val="none" w:sz="0" w:space="0" w:color="auto"/>
        <w:bottom w:val="none" w:sz="0" w:space="0" w:color="auto"/>
        <w:right w:val="none" w:sz="0" w:space="0" w:color="auto"/>
      </w:divBdr>
    </w:div>
    <w:div w:id="249047331">
      <w:bodyDiv w:val="1"/>
      <w:marLeft w:val="0"/>
      <w:marRight w:val="0"/>
      <w:marTop w:val="0"/>
      <w:marBottom w:val="0"/>
      <w:divBdr>
        <w:top w:val="none" w:sz="0" w:space="0" w:color="auto"/>
        <w:left w:val="none" w:sz="0" w:space="0" w:color="auto"/>
        <w:bottom w:val="none" w:sz="0" w:space="0" w:color="auto"/>
        <w:right w:val="none" w:sz="0" w:space="0" w:color="auto"/>
      </w:divBdr>
    </w:div>
    <w:div w:id="265189488">
      <w:bodyDiv w:val="1"/>
      <w:marLeft w:val="0"/>
      <w:marRight w:val="0"/>
      <w:marTop w:val="0"/>
      <w:marBottom w:val="0"/>
      <w:divBdr>
        <w:top w:val="none" w:sz="0" w:space="0" w:color="auto"/>
        <w:left w:val="none" w:sz="0" w:space="0" w:color="auto"/>
        <w:bottom w:val="none" w:sz="0" w:space="0" w:color="auto"/>
        <w:right w:val="none" w:sz="0" w:space="0" w:color="auto"/>
      </w:divBdr>
    </w:div>
    <w:div w:id="277416865">
      <w:bodyDiv w:val="1"/>
      <w:marLeft w:val="0"/>
      <w:marRight w:val="0"/>
      <w:marTop w:val="0"/>
      <w:marBottom w:val="0"/>
      <w:divBdr>
        <w:top w:val="none" w:sz="0" w:space="0" w:color="auto"/>
        <w:left w:val="none" w:sz="0" w:space="0" w:color="auto"/>
        <w:bottom w:val="none" w:sz="0" w:space="0" w:color="auto"/>
        <w:right w:val="none" w:sz="0" w:space="0" w:color="auto"/>
      </w:divBdr>
    </w:div>
    <w:div w:id="282078069">
      <w:bodyDiv w:val="1"/>
      <w:marLeft w:val="0"/>
      <w:marRight w:val="0"/>
      <w:marTop w:val="0"/>
      <w:marBottom w:val="0"/>
      <w:divBdr>
        <w:top w:val="none" w:sz="0" w:space="0" w:color="auto"/>
        <w:left w:val="none" w:sz="0" w:space="0" w:color="auto"/>
        <w:bottom w:val="none" w:sz="0" w:space="0" w:color="auto"/>
        <w:right w:val="none" w:sz="0" w:space="0" w:color="auto"/>
      </w:divBdr>
    </w:div>
    <w:div w:id="289287330">
      <w:bodyDiv w:val="1"/>
      <w:marLeft w:val="0"/>
      <w:marRight w:val="0"/>
      <w:marTop w:val="0"/>
      <w:marBottom w:val="0"/>
      <w:divBdr>
        <w:top w:val="none" w:sz="0" w:space="0" w:color="auto"/>
        <w:left w:val="none" w:sz="0" w:space="0" w:color="auto"/>
        <w:bottom w:val="none" w:sz="0" w:space="0" w:color="auto"/>
        <w:right w:val="none" w:sz="0" w:space="0" w:color="auto"/>
      </w:divBdr>
      <w:divsChild>
        <w:div w:id="1082068746">
          <w:marLeft w:val="173"/>
          <w:marRight w:val="0"/>
          <w:marTop w:val="120"/>
          <w:marBottom w:val="0"/>
          <w:divBdr>
            <w:top w:val="none" w:sz="0" w:space="0" w:color="auto"/>
            <w:left w:val="none" w:sz="0" w:space="0" w:color="auto"/>
            <w:bottom w:val="none" w:sz="0" w:space="0" w:color="auto"/>
            <w:right w:val="none" w:sz="0" w:space="0" w:color="auto"/>
          </w:divBdr>
        </w:div>
        <w:div w:id="1908151861">
          <w:marLeft w:val="173"/>
          <w:marRight w:val="0"/>
          <w:marTop w:val="120"/>
          <w:marBottom w:val="0"/>
          <w:divBdr>
            <w:top w:val="none" w:sz="0" w:space="0" w:color="auto"/>
            <w:left w:val="none" w:sz="0" w:space="0" w:color="auto"/>
            <w:bottom w:val="none" w:sz="0" w:space="0" w:color="auto"/>
            <w:right w:val="none" w:sz="0" w:space="0" w:color="auto"/>
          </w:divBdr>
        </w:div>
      </w:divsChild>
    </w:div>
    <w:div w:id="293098112">
      <w:bodyDiv w:val="1"/>
      <w:marLeft w:val="0"/>
      <w:marRight w:val="0"/>
      <w:marTop w:val="0"/>
      <w:marBottom w:val="0"/>
      <w:divBdr>
        <w:top w:val="none" w:sz="0" w:space="0" w:color="auto"/>
        <w:left w:val="none" w:sz="0" w:space="0" w:color="auto"/>
        <w:bottom w:val="none" w:sz="0" w:space="0" w:color="auto"/>
        <w:right w:val="none" w:sz="0" w:space="0" w:color="auto"/>
      </w:divBdr>
      <w:divsChild>
        <w:div w:id="374045795">
          <w:marLeft w:val="547"/>
          <w:marRight w:val="0"/>
          <w:marTop w:val="0"/>
          <w:marBottom w:val="120"/>
          <w:divBdr>
            <w:top w:val="none" w:sz="0" w:space="0" w:color="auto"/>
            <w:left w:val="none" w:sz="0" w:space="0" w:color="auto"/>
            <w:bottom w:val="none" w:sz="0" w:space="0" w:color="auto"/>
            <w:right w:val="none" w:sz="0" w:space="0" w:color="auto"/>
          </w:divBdr>
        </w:div>
      </w:divsChild>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1952492">
      <w:bodyDiv w:val="1"/>
      <w:marLeft w:val="0"/>
      <w:marRight w:val="0"/>
      <w:marTop w:val="0"/>
      <w:marBottom w:val="0"/>
      <w:divBdr>
        <w:top w:val="none" w:sz="0" w:space="0" w:color="auto"/>
        <w:left w:val="none" w:sz="0" w:space="0" w:color="auto"/>
        <w:bottom w:val="none" w:sz="0" w:space="0" w:color="auto"/>
        <w:right w:val="none" w:sz="0" w:space="0" w:color="auto"/>
      </w:divBdr>
    </w:div>
    <w:div w:id="312568204">
      <w:bodyDiv w:val="1"/>
      <w:marLeft w:val="0"/>
      <w:marRight w:val="0"/>
      <w:marTop w:val="0"/>
      <w:marBottom w:val="0"/>
      <w:divBdr>
        <w:top w:val="none" w:sz="0" w:space="0" w:color="auto"/>
        <w:left w:val="none" w:sz="0" w:space="0" w:color="auto"/>
        <w:bottom w:val="none" w:sz="0" w:space="0" w:color="auto"/>
        <w:right w:val="none" w:sz="0" w:space="0" w:color="auto"/>
      </w:divBdr>
      <w:divsChild>
        <w:div w:id="118190939">
          <w:marLeft w:val="274"/>
          <w:marRight w:val="0"/>
          <w:marTop w:val="0"/>
          <w:marBottom w:val="60"/>
          <w:divBdr>
            <w:top w:val="none" w:sz="0" w:space="0" w:color="auto"/>
            <w:left w:val="none" w:sz="0" w:space="0" w:color="auto"/>
            <w:bottom w:val="none" w:sz="0" w:space="0" w:color="auto"/>
            <w:right w:val="none" w:sz="0" w:space="0" w:color="auto"/>
          </w:divBdr>
        </w:div>
        <w:div w:id="1639528120">
          <w:marLeft w:val="274"/>
          <w:marRight w:val="0"/>
          <w:marTop w:val="0"/>
          <w:marBottom w:val="60"/>
          <w:divBdr>
            <w:top w:val="none" w:sz="0" w:space="0" w:color="auto"/>
            <w:left w:val="none" w:sz="0" w:space="0" w:color="auto"/>
            <w:bottom w:val="none" w:sz="0" w:space="0" w:color="auto"/>
            <w:right w:val="none" w:sz="0" w:space="0" w:color="auto"/>
          </w:divBdr>
        </w:div>
      </w:divsChild>
    </w:div>
    <w:div w:id="319357720">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32683539">
      <w:bodyDiv w:val="1"/>
      <w:marLeft w:val="0"/>
      <w:marRight w:val="0"/>
      <w:marTop w:val="0"/>
      <w:marBottom w:val="0"/>
      <w:divBdr>
        <w:top w:val="none" w:sz="0" w:space="0" w:color="auto"/>
        <w:left w:val="none" w:sz="0" w:space="0" w:color="auto"/>
        <w:bottom w:val="none" w:sz="0" w:space="0" w:color="auto"/>
        <w:right w:val="none" w:sz="0" w:space="0" w:color="auto"/>
      </w:divBdr>
    </w:div>
    <w:div w:id="335696606">
      <w:bodyDiv w:val="1"/>
      <w:marLeft w:val="0"/>
      <w:marRight w:val="0"/>
      <w:marTop w:val="0"/>
      <w:marBottom w:val="0"/>
      <w:divBdr>
        <w:top w:val="none" w:sz="0" w:space="0" w:color="auto"/>
        <w:left w:val="none" w:sz="0" w:space="0" w:color="auto"/>
        <w:bottom w:val="none" w:sz="0" w:space="0" w:color="auto"/>
        <w:right w:val="none" w:sz="0" w:space="0" w:color="auto"/>
      </w:divBdr>
    </w:div>
    <w:div w:id="342054398">
      <w:bodyDiv w:val="1"/>
      <w:marLeft w:val="0"/>
      <w:marRight w:val="0"/>
      <w:marTop w:val="0"/>
      <w:marBottom w:val="0"/>
      <w:divBdr>
        <w:top w:val="none" w:sz="0" w:space="0" w:color="auto"/>
        <w:left w:val="none" w:sz="0" w:space="0" w:color="auto"/>
        <w:bottom w:val="none" w:sz="0" w:space="0" w:color="auto"/>
        <w:right w:val="none" w:sz="0" w:space="0" w:color="auto"/>
      </w:divBdr>
    </w:div>
    <w:div w:id="354695847">
      <w:bodyDiv w:val="1"/>
      <w:marLeft w:val="0"/>
      <w:marRight w:val="0"/>
      <w:marTop w:val="0"/>
      <w:marBottom w:val="0"/>
      <w:divBdr>
        <w:top w:val="none" w:sz="0" w:space="0" w:color="auto"/>
        <w:left w:val="none" w:sz="0" w:space="0" w:color="auto"/>
        <w:bottom w:val="none" w:sz="0" w:space="0" w:color="auto"/>
        <w:right w:val="none" w:sz="0" w:space="0" w:color="auto"/>
      </w:divBdr>
    </w:div>
    <w:div w:id="357314448">
      <w:bodyDiv w:val="1"/>
      <w:marLeft w:val="0"/>
      <w:marRight w:val="0"/>
      <w:marTop w:val="0"/>
      <w:marBottom w:val="0"/>
      <w:divBdr>
        <w:top w:val="none" w:sz="0" w:space="0" w:color="auto"/>
        <w:left w:val="none" w:sz="0" w:space="0" w:color="auto"/>
        <w:bottom w:val="none" w:sz="0" w:space="0" w:color="auto"/>
        <w:right w:val="none" w:sz="0" w:space="0" w:color="auto"/>
      </w:divBdr>
    </w:div>
    <w:div w:id="374158923">
      <w:bodyDiv w:val="1"/>
      <w:marLeft w:val="0"/>
      <w:marRight w:val="0"/>
      <w:marTop w:val="0"/>
      <w:marBottom w:val="0"/>
      <w:divBdr>
        <w:top w:val="none" w:sz="0" w:space="0" w:color="auto"/>
        <w:left w:val="none" w:sz="0" w:space="0" w:color="auto"/>
        <w:bottom w:val="none" w:sz="0" w:space="0" w:color="auto"/>
        <w:right w:val="none" w:sz="0" w:space="0" w:color="auto"/>
      </w:divBdr>
    </w:div>
    <w:div w:id="379983449">
      <w:bodyDiv w:val="1"/>
      <w:marLeft w:val="0"/>
      <w:marRight w:val="0"/>
      <w:marTop w:val="0"/>
      <w:marBottom w:val="0"/>
      <w:divBdr>
        <w:top w:val="none" w:sz="0" w:space="0" w:color="auto"/>
        <w:left w:val="none" w:sz="0" w:space="0" w:color="auto"/>
        <w:bottom w:val="none" w:sz="0" w:space="0" w:color="auto"/>
        <w:right w:val="none" w:sz="0" w:space="0" w:color="auto"/>
      </w:divBdr>
    </w:div>
    <w:div w:id="397173793">
      <w:bodyDiv w:val="1"/>
      <w:marLeft w:val="0"/>
      <w:marRight w:val="0"/>
      <w:marTop w:val="0"/>
      <w:marBottom w:val="0"/>
      <w:divBdr>
        <w:top w:val="none" w:sz="0" w:space="0" w:color="auto"/>
        <w:left w:val="none" w:sz="0" w:space="0" w:color="auto"/>
        <w:bottom w:val="none" w:sz="0" w:space="0" w:color="auto"/>
        <w:right w:val="none" w:sz="0" w:space="0" w:color="auto"/>
      </w:divBdr>
      <w:divsChild>
        <w:div w:id="561906851">
          <w:marLeft w:val="0"/>
          <w:marRight w:val="0"/>
          <w:marTop w:val="0"/>
          <w:marBottom w:val="0"/>
          <w:divBdr>
            <w:top w:val="none" w:sz="0" w:space="0" w:color="auto"/>
            <w:left w:val="none" w:sz="0" w:space="0" w:color="auto"/>
            <w:bottom w:val="none" w:sz="0" w:space="0" w:color="auto"/>
            <w:right w:val="none" w:sz="0" w:space="0" w:color="auto"/>
          </w:divBdr>
        </w:div>
      </w:divsChild>
    </w:div>
    <w:div w:id="425540584">
      <w:bodyDiv w:val="1"/>
      <w:marLeft w:val="0"/>
      <w:marRight w:val="0"/>
      <w:marTop w:val="0"/>
      <w:marBottom w:val="0"/>
      <w:divBdr>
        <w:top w:val="none" w:sz="0" w:space="0" w:color="auto"/>
        <w:left w:val="none" w:sz="0" w:space="0" w:color="auto"/>
        <w:bottom w:val="none" w:sz="0" w:space="0" w:color="auto"/>
        <w:right w:val="none" w:sz="0" w:space="0" w:color="auto"/>
      </w:divBdr>
    </w:div>
    <w:div w:id="440229261">
      <w:bodyDiv w:val="1"/>
      <w:marLeft w:val="0"/>
      <w:marRight w:val="0"/>
      <w:marTop w:val="0"/>
      <w:marBottom w:val="0"/>
      <w:divBdr>
        <w:top w:val="none" w:sz="0" w:space="0" w:color="auto"/>
        <w:left w:val="none" w:sz="0" w:space="0" w:color="auto"/>
        <w:bottom w:val="none" w:sz="0" w:space="0" w:color="auto"/>
        <w:right w:val="none" w:sz="0" w:space="0" w:color="auto"/>
      </w:divBdr>
    </w:div>
    <w:div w:id="442842342">
      <w:bodyDiv w:val="1"/>
      <w:marLeft w:val="0"/>
      <w:marRight w:val="0"/>
      <w:marTop w:val="0"/>
      <w:marBottom w:val="0"/>
      <w:divBdr>
        <w:top w:val="none" w:sz="0" w:space="0" w:color="auto"/>
        <w:left w:val="none" w:sz="0" w:space="0" w:color="auto"/>
        <w:bottom w:val="none" w:sz="0" w:space="0" w:color="auto"/>
        <w:right w:val="none" w:sz="0" w:space="0" w:color="auto"/>
      </w:divBdr>
    </w:div>
    <w:div w:id="445000420">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54907056">
      <w:bodyDiv w:val="1"/>
      <w:marLeft w:val="0"/>
      <w:marRight w:val="0"/>
      <w:marTop w:val="0"/>
      <w:marBottom w:val="0"/>
      <w:divBdr>
        <w:top w:val="none" w:sz="0" w:space="0" w:color="auto"/>
        <w:left w:val="none" w:sz="0" w:space="0" w:color="auto"/>
        <w:bottom w:val="none" w:sz="0" w:space="0" w:color="auto"/>
        <w:right w:val="none" w:sz="0" w:space="0" w:color="auto"/>
      </w:divBdr>
    </w:div>
    <w:div w:id="482739505">
      <w:bodyDiv w:val="1"/>
      <w:marLeft w:val="0"/>
      <w:marRight w:val="0"/>
      <w:marTop w:val="0"/>
      <w:marBottom w:val="0"/>
      <w:divBdr>
        <w:top w:val="none" w:sz="0" w:space="0" w:color="auto"/>
        <w:left w:val="none" w:sz="0" w:space="0" w:color="auto"/>
        <w:bottom w:val="none" w:sz="0" w:space="0" w:color="auto"/>
        <w:right w:val="none" w:sz="0" w:space="0" w:color="auto"/>
      </w:divBdr>
    </w:div>
    <w:div w:id="488206941">
      <w:bodyDiv w:val="1"/>
      <w:marLeft w:val="0"/>
      <w:marRight w:val="0"/>
      <w:marTop w:val="0"/>
      <w:marBottom w:val="0"/>
      <w:divBdr>
        <w:top w:val="none" w:sz="0" w:space="0" w:color="auto"/>
        <w:left w:val="none" w:sz="0" w:space="0" w:color="auto"/>
        <w:bottom w:val="none" w:sz="0" w:space="0" w:color="auto"/>
        <w:right w:val="none" w:sz="0" w:space="0" w:color="auto"/>
      </w:divBdr>
    </w:div>
    <w:div w:id="488904708">
      <w:bodyDiv w:val="1"/>
      <w:marLeft w:val="0"/>
      <w:marRight w:val="0"/>
      <w:marTop w:val="0"/>
      <w:marBottom w:val="0"/>
      <w:divBdr>
        <w:top w:val="none" w:sz="0" w:space="0" w:color="auto"/>
        <w:left w:val="none" w:sz="0" w:space="0" w:color="auto"/>
        <w:bottom w:val="none" w:sz="0" w:space="0" w:color="auto"/>
        <w:right w:val="none" w:sz="0" w:space="0" w:color="auto"/>
      </w:divBdr>
    </w:div>
    <w:div w:id="490758159">
      <w:bodyDiv w:val="1"/>
      <w:marLeft w:val="0"/>
      <w:marRight w:val="0"/>
      <w:marTop w:val="0"/>
      <w:marBottom w:val="0"/>
      <w:divBdr>
        <w:top w:val="none" w:sz="0" w:space="0" w:color="auto"/>
        <w:left w:val="none" w:sz="0" w:space="0" w:color="auto"/>
        <w:bottom w:val="none" w:sz="0" w:space="0" w:color="auto"/>
        <w:right w:val="none" w:sz="0" w:space="0" w:color="auto"/>
      </w:divBdr>
    </w:div>
    <w:div w:id="497885757">
      <w:bodyDiv w:val="1"/>
      <w:marLeft w:val="0"/>
      <w:marRight w:val="0"/>
      <w:marTop w:val="0"/>
      <w:marBottom w:val="0"/>
      <w:divBdr>
        <w:top w:val="none" w:sz="0" w:space="0" w:color="auto"/>
        <w:left w:val="none" w:sz="0" w:space="0" w:color="auto"/>
        <w:bottom w:val="none" w:sz="0" w:space="0" w:color="auto"/>
        <w:right w:val="none" w:sz="0" w:space="0" w:color="auto"/>
      </w:divBdr>
    </w:div>
    <w:div w:id="515845183">
      <w:bodyDiv w:val="1"/>
      <w:marLeft w:val="0"/>
      <w:marRight w:val="0"/>
      <w:marTop w:val="0"/>
      <w:marBottom w:val="0"/>
      <w:divBdr>
        <w:top w:val="none" w:sz="0" w:space="0" w:color="auto"/>
        <w:left w:val="none" w:sz="0" w:space="0" w:color="auto"/>
        <w:bottom w:val="none" w:sz="0" w:space="0" w:color="auto"/>
        <w:right w:val="none" w:sz="0" w:space="0" w:color="auto"/>
      </w:divBdr>
    </w:div>
    <w:div w:id="525287163">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32573131">
      <w:bodyDiv w:val="1"/>
      <w:marLeft w:val="0"/>
      <w:marRight w:val="0"/>
      <w:marTop w:val="0"/>
      <w:marBottom w:val="0"/>
      <w:divBdr>
        <w:top w:val="none" w:sz="0" w:space="0" w:color="auto"/>
        <w:left w:val="none" w:sz="0" w:space="0" w:color="auto"/>
        <w:bottom w:val="none" w:sz="0" w:space="0" w:color="auto"/>
        <w:right w:val="none" w:sz="0" w:space="0" w:color="auto"/>
      </w:divBdr>
    </w:div>
    <w:div w:id="538250494">
      <w:bodyDiv w:val="1"/>
      <w:marLeft w:val="0"/>
      <w:marRight w:val="0"/>
      <w:marTop w:val="0"/>
      <w:marBottom w:val="0"/>
      <w:divBdr>
        <w:top w:val="none" w:sz="0" w:space="0" w:color="auto"/>
        <w:left w:val="none" w:sz="0" w:space="0" w:color="auto"/>
        <w:bottom w:val="none" w:sz="0" w:space="0" w:color="auto"/>
        <w:right w:val="none" w:sz="0" w:space="0" w:color="auto"/>
      </w:divBdr>
    </w:div>
    <w:div w:id="541749081">
      <w:bodyDiv w:val="1"/>
      <w:marLeft w:val="0"/>
      <w:marRight w:val="0"/>
      <w:marTop w:val="0"/>
      <w:marBottom w:val="0"/>
      <w:divBdr>
        <w:top w:val="none" w:sz="0" w:space="0" w:color="auto"/>
        <w:left w:val="none" w:sz="0" w:space="0" w:color="auto"/>
        <w:bottom w:val="none" w:sz="0" w:space="0" w:color="auto"/>
        <w:right w:val="none" w:sz="0" w:space="0" w:color="auto"/>
      </w:divBdr>
    </w:div>
    <w:div w:id="549656660">
      <w:bodyDiv w:val="1"/>
      <w:marLeft w:val="0"/>
      <w:marRight w:val="0"/>
      <w:marTop w:val="0"/>
      <w:marBottom w:val="0"/>
      <w:divBdr>
        <w:top w:val="none" w:sz="0" w:space="0" w:color="auto"/>
        <w:left w:val="none" w:sz="0" w:space="0" w:color="auto"/>
        <w:bottom w:val="none" w:sz="0" w:space="0" w:color="auto"/>
        <w:right w:val="none" w:sz="0" w:space="0" w:color="auto"/>
      </w:divBdr>
    </w:div>
    <w:div w:id="561841103">
      <w:bodyDiv w:val="1"/>
      <w:marLeft w:val="0"/>
      <w:marRight w:val="0"/>
      <w:marTop w:val="0"/>
      <w:marBottom w:val="0"/>
      <w:divBdr>
        <w:top w:val="none" w:sz="0" w:space="0" w:color="auto"/>
        <w:left w:val="none" w:sz="0" w:space="0" w:color="auto"/>
        <w:bottom w:val="none" w:sz="0" w:space="0" w:color="auto"/>
        <w:right w:val="none" w:sz="0" w:space="0" w:color="auto"/>
      </w:divBdr>
    </w:div>
    <w:div w:id="563026149">
      <w:bodyDiv w:val="1"/>
      <w:marLeft w:val="0"/>
      <w:marRight w:val="0"/>
      <w:marTop w:val="0"/>
      <w:marBottom w:val="0"/>
      <w:divBdr>
        <w:top w:val="none" w:sz="0" w:space="0" w:color="auto"/>
        <w:left w:val="none" w:sz="0" w:space="0" w:color="auto"/>
        <w:bottom w:val="none" w:sz="0" w:space="0" w:color="auto"/>
        <w:right w:val="none" w:sz="0" w:space="0" w:color="auto"/>
      </w:divBdr>
    </w:div>
    <w:div w:id="565187339">
      <w:bodyDiv w:val="1"/>
      <w:marLeft w:val="0"/>
      <w:marRight w:val="0"/>
      <w:marTop w:val="0"/>
      <w:marBottom w:val="0"/>
      <w:divBdr>
        <w:top w:val="none" w:sz="0" w:space="0" w:color="auto"/>
        <w:left w:val="none" w:sz="0" w:space="0" w:color="auto"/>
        <w:bottom w:val="none" w:sz="0" w:space="0" w:color="auto"/>
        <w:right w:val="none" w:sz="0" w:space="0" w:color="auto"/>
      </w:divBdr>
    </w:div>
    <w:div w:id="574121504">
      <w:bodyDiv w:val="1"/>
      <w:marLeft w:val="0"/>
      <w:marRight w:val="0"/>
      <w:marTop w:val="0"/>
      <w:marBottom w:val="0"/>
      <w:divBdr>
        <w:top w:val="none" w:sz="0" w:space="0" w:color="auto"/>
        <w:left w:val="none" w:sz="0" w:space="0" w:color="auto"/>
        <w:bottom w:val="none" w:sz="0" w:space="0" w:color="auto"/>
        <w:right w:val="none" w:sz="0" w:space="0" w:color="auto"/>
      </w:divBdr>
    </w:div>
    <w:div w:id="598177577">
      <w:bodyDiv w:val="1"/>
      <w:marLeft w:val="0"/>
      <w:marRight w:val="0"/>
      <w:marTop w:val="0"/>
      <w:marBottom w:val="0"/>
      <w:divBdr>
        <w:top w:val="none" w:sz="0" w:space="0" w:color="auto"/>
        <w:left w:val="none" w:sz="0" w:space="0" w:color="auto"/>
        <w:bottom w:val="none" w:sz="0" w:space="0" w:color="auto"/>
        <w:right w:val="none" w:sz="0" w:space="0" w:color="auto"/>
      </w:divBdr>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03073367">
      <w:bodyDiv w:val="1"/>
      <w:marLeft w:val="0"/>
      <w:marRight w:val="0"/>
      <w:marTop w:val="0"/>
      <w:marBottom w:val="0"/>
      <w:divBdr>
        <w:top w:val="none" w:sz="0" w:space="0" w:color="auto"/>
        <w:left w:val="none" w:sz="0" w:space="0" w:color="auto"/>
        <w:bottom w:val="none" w:sz="0" w:space="0" w:color="auto"/>
        <w:right w:val="none" w:sz="0" w:space="0" w:color="auto"/>
      </w:divBdr>
    </w:div>
    <w:div w:id="604504894">
      <w:bodyDiv w:val="1"/>
      <w:marLeft w:val="0"/>
      <w:marRight w:val="0"/>
      <w:marTop w:val="0"/>
      <w:marBottom w:val="0"/>
      <w:divBdr>
        <w:top w:val="none" w:sz="0" w:space="0" w:color="auto"/>
        <w:left w:val="none" w:sz="0" w:space="0" w:color="auto"/>
        <w:bottom w:val="none" w:sz="0" w:space="0" w:color="auto"/>
        <w:right w:val="none" w:sz="0" w:space="0" w:color="auto"/>
      </w:divBdr>
    </w:div>
    <w:div w:id="616445388">
      <w:bodyDiv w:val="1"/>
      <w:marLeft w:val="0"/>
      <w:marRight w:val="0"/>
      <w:marTop w:val="0"/>
      <w:marBottom w:val="0"/>
      <w:divBdr>
        <w:top w:val="none" w:sz="0" w:space="0" w:color="auto"/>
        <w:left w:val="none" w:sz="0" w:space="0" w:color="auto"/>
        <w:bottom w:val="none" w:sz="0" w:space="0" w:color="auto"/>
        <w:right w:val="none" w:sz="0" w:space="0" w:color="auto"/>
      </w:divBdr>
    </w:div>
    <w:div w:id="618492595">
      <w:bodyDiv w:val="1"/>
      <w:marLeft w:val="0"/>
      <w:marRight w:val="0"/>
      <w:marTop w:val="0"/>
      <w:marBottom w:val="0"/>
      <w:divBdr>
        <w:top w:val="none" w:sz="0" w:space="0" w:color="auto"/>
        <w:left w:val="none" w:sz="0" w:space="0" w:color="auto"/>
        <w:bottom w:val="none" w:sz="0" w:space="0" w:color="auto"/>
        <w:right w:val="none" w:sz="0" w:space="0" w:color="auto"/>
      </w:divBdr>
    </w:div>
    <w:div w:id="634215112">
      <w:bodyDiv w:val="1"/>
      <w:marLeft w:val="0"/>
      <w:marRight w:val="0"/>
      <w:marTop w:val="0"/>
      <w:marBottom w:val="0"/>
      <w:divBdr>
        <w:top w:val="none" w:sz="0" w:space="0" w:color="auto"/>
        <w:left w:val="none" w:sz="0" w:space="0" w:color="auto"/>
        <w:bottom w:val="none" w:sz="0" w:space="0" w:color="auto"/>
        <w:right w:val="none" w:sz="0" w:space="0" w:color="auto"/>
      </w:divBdr>
    </w:div>
    <w:div w:id="642123583">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49135864">
      <w:bodyDiv w:val="1"/>
      <w:marLeft w:val="0"/>
      <w:marRight w:val="0"/>
      <w:marTop w:val="0"/>
      <w:marBottom w:val="0"/>
      <w:divBdr>
        <w:top w:val="none" w:sz="0" w:space="0" w:color="auto"/>
        <w:left w:val="none" w:sz="0" w:space="0" w:color="auto"/>
        <w:bottom w:val="none" w:sz="0" w:space="0" w:color="auto"/>
        <w:right w:val="none" w:sz="0" w:space="0" w:color="auto"/>
      </w:divBdr>
    </w:div>
    <w:div w:id="652611917">
      <w:bodyDiv w:val="1"/>
      <w:marLeft w:val="0"/>
      <w:marRight w:val="0"/>
      <w:marTop w:val="0"/>
      <w:marBottom w:val="0"/>
      <w:divBdr>
        <w:top w:val="none" w:sz="0" w:space="0" w:color="auto"/>
        <w:left w:val="none" w:sz="0" w:space="0" w:color="auto"/>
        <w:bottom w:val="none" w:sz="0" w:space="0" w:color="auto"/>
        <w:right w:val="none" w:sz="0" w:space="0" w:color="auto"/>
      </w:divBdr>
    </w:div>
    <w:div w:id="664867110">
      <w:bodyDiv w:val="1"/>
      <w:marLeft w:val="0"/>
      <w:marRight w:val="0"/>
      <w:marTop w:val="0"/>
      <w:marBottom w:val="0"/>
      <w:divBdr>
        <w:top w:val="none" w:sz="0" w:space="0" w:color="auto"/>
        <w:left w:val="none" w:sz="0" w:space="0" w:color="auto"/>
        <w:bottom w:val="none" w:sz="0" w:space="0" w:color="auto"/>
        <w:right w:val="none" w:sz="0" w:space="0" w:color="auto"/>
      </w:divBdr>
    </w:div>
    <w:div w:id="671378349">
      <w:bodyDiv w:val="1"/>
      <w:marLeft w:val="0"/>
      <w:marRight w:val="0"/>
      <w:marTop w:val="0"/>
      <w:marBottom w:val="0"/>
      <w:divBdr>
        <w:top w:val="none" w:sz="0" w:space="0" w:color="auto"/>
        <w:left w:val="none" w:sz="0" w:space="0" w:color="auto"/>
        <w:bottom w:val="none" w:sz="0" w:space="0" w:color="auto"/>
        <w:right w:val="none" w:sz="0" w:space="0" w:color="auto"/>
      </w:divBdr>
    </w:div>
    <w:div w:id="684404577">
      <w:bodyDiv w:val="1"/>
      <w:marLeft w:val="0"/>
      <w:marRight w:val="0"/>
      <w:marTop w:val="0"/>
      <w:marBottom w:val="0"/>
      <w:divBdr>
        <w:top w:val="none" w:sz="0" w:space="0" w:color="auto"/>
        <w:left w:val="none" w:sz="0" w:space="0" w:color="auto"/>
        <w:bottom w:val="none" w:sz="0" w:space="0" w:color="auto"/>
        <w:right w:val="none" w:sz="0" w:space="0" w:color="auto"/>
      </w:divBdr>
    </w:div>
    <w:div w:id="702632078">
      <w:bodyDiv w:val="1"/>
      <w:marLeft w:val="0"/>
      <w:marRight w:val="0"/>
      <w:marTop w:val="0"/>
      <w:marBottom w:val="0"/>
      <w:divBdr>
        <w:top w:val="none" w:sz="0" w:space="0" w:color="auto"/>
        <w:left w:val="none" w:sz="0" w:space="0" w:color="auto"/>
        <w:bottom w:val="none" w:sz="0" w:space="0" w:color="auto"/>
        <w:right w:val="none" w:sz="0" w:space="0" w:color="auto"/>
      </w:divBdr>
    </w:div>
    <w:div w:id="708146692">
      <w:bodyDiv w:val="1"/>
      <w:marLeft w:val="0"/>
      <w:marRight w:val="0"/>
      <w:marTop w:val="0"/>
      <w:marBottom w:val="0"/>
      <w:divBdr>
        <w:top w:val="none" w:sz="0" w:space="0" w:color="auto"/>
        <w:left w:val="none" w:sz="0" w:space="0" w:color="auto"/>
        <w:bottom w:val="none" w:sz="0" w:space="0" w:color="auto"/>
        <w:right w:val="none" w:sz="0" w:space="0" w:color="auto"/>
      </w:divBdr>
    </w:div>
    <w:div w:id="713309569">
      <w:bodyDiv w:val="1"/>
      <w:marLeft w:val="0"/>
      <w:marRight w:val="0"/>
      <w:marTop w:val="0"/>
      <w:marBottom w:val="0"/>
      <w:divBdr>
        <w:top w:val="none" w:sz="0" w:space="0" w:color="auto"/>
        <w:left w:val="none" w:sz="0" w:space="0" w:color="auto"/>
        <w:bottom w:val="none" w:sz="0" w:space="0" w:color="auto"/>
        <w:right w:val="none" w:sz="0" w:space="0" w:color="auto"/>
      </w:divBdr>
    </w:div>
    <w:div w:id="739979960">
      <w:bodyDiv w:val="1"/>
      <w:marLeft w:val="0"/>
      <w:marRight w:val="0"/>
      <w:marTop w:val="0"/>
      <w:marBottom w:val="0"/>
      <w:divBdr>
        <w:top w:val="none" w:sz="0" w:space="0" w:color="auto"/>
        <w:left w:val="none" w:sz="0" w:space="0" w:color="auto"/>
        <w:bottom w:val="none" w:sz="0" w:space="0" w:color="auto"/>
        <w:right w:val="none" w:sz="0" w:space="0" w:color="auto"/>
      </w:divBdr>
    </w:div>
    <w:div w:id="773939469">
      <w:bodyDiv w:val="1"/>
      <w:marLeft w:val="0"/>
      <w:marRight w:val="0"/>
      <w:marTop w:val="0"/>
      <w:marBottom w:val="0"/>
      <w:divBdr>
        <w:top w:val="none" w:sz="0" w:space="0" w:color="auto"/>
        <w:left w:val="none" w:sz="0" w:space="0" w:color="auto"/>
        <w:bottom w:val="none" w:sz="0" w:space="0" w:color="auto"/>
        <w:right w:val="none" w:sz="0" w:space="0" w:color="auto"/>
      </w:divBdr>
    </w:div>
    <w:div w:id="779377765">
      <w:bodyDiv w:val="1"/>
      <w:marLeft w:val="0"/>
      <w:marRight w:val="0"/>
      <w:marTop w:val="0"/>
      <w:marBottom w:val="0"/>
      <w:divBdr>
        <w:top w:val="none" w:sz="0" w:space="0" w:color="auto"/>
        <w:left w:val="none" w:sz="0" w:space="0" w:color="auto"/>
        <w:bottom w:val="none" w:sz="0" w:space="0" w:color="auto"/>
        <w:right w:val="none" w:sz="0" w:space="0" w:color="auto"/>
      </w:divBdr>
    </w:div>
    <w:div w:id="785466886">
      <w:bodyDiv w:val="1"/>
      <w:marLeft w:val="0"/>
      <w:marRight w:val="0"/>
      <w:marTop w:val="0"/>
      <w:marBottom w:val="0"/>
      <w:divBdr>
        <w:top w:val="none" w:sz="0" w:space="0" w:color="auto"/>
        <w:left w:val="none" w:sz="0" w:space="0" w:color="auto"/>
        <w:bottom w:val="none" w:sz="0" w:space="0" w:color="auto"/>
        <w:right w:val="none" w:sz="0" w:space="0" w:color="auto"/>
      </w:divBdr>
    </w:div>
    <w:div w:id="786313812">
      <w:bodyDiv w:val="1"/>
      <w:marLeft w:val="0"/>
      <w:marRight w:val="0"/>
      <w:marTop w:val="0"/>
      <w:marBottom w:val="0"/>
      <w:divBdr>
        <w:top w:val="none" w:sz="0" w:space="0" w:color="auto"/>
        <w:left w:val="none" w:sz="0" w:space="0" w:color="auto"/>
        <w:bottom w:val="none" w:sz="0" w:space="0" w:color="auto"/>
        <w:right w:val="none" w:sz="0" w:space="0" w:color="auto"/>
      </w:divBdr>
      <w:divsChild>
        <w:div w:id="503055501">
          <w:marLeft w:val="173"/>
          <w:marRight w:val="0"/>
          <w:marTop w:val="120"/>
          <w:marBottom w:val="60"/>
          <w:divBdr>
            <w:top w:val="none" w:sz="0" w:space="0" w:color="auto"/>
            <w:left w:val="none" w:sz="0" w:space="0" w:color="auto"/>
            <w:bottom w:val="none" w:sz="0" w:space="0" w:color="auto"/>
            <w:right w:val="none" w:sz="0" w:space="0" w:color="auto"/>
          </w:divBdr>
        </w:div>
        <w:div w:id="560482785">
          <w:marLeft w:val="173"/>
          <w:marRight w:val="0"/>
          <w:marTop w:val="120"/>
          <w:marBottom w:val="60"/>
          <w:divBdr>
            <w:top w:val="none" w:sz="0" w:space="0" w:color="auto"/>
            <w:left w:val="none" w:sz="0" w:space="0" w:color="auto"/>
            <w:bottom w:val="none" w:sz="0" w:space="0" w:color="auto"/>
            <w:right w:val="none" w:sz="0" w:space="0" w:color="auto"/>
          </w:divBdr>
        </w:div>
        <w:div w:id="1049576486">
          <w:marLeft w:val="173"/>
          <w:marRight w:val="0"/>
          <w:marTop w:val="120"/>
          <w:marBottom w:val="60"/>
          <w:divBdr>
            <w:top w:val="none" w:sz="0" w:space="0" w:color="auto"/>
            <w:left w:val="none" w:sz="0" w:space="0" w:color="auto"/>
            <w:bottom w:val="none" w:sz="0" w:space="0" w:color="auto"/>
            <w:right w:val="none" w:sz="0" w:space="0" w:color="auto"/>
          </w:divBdr>
        </w:div>
        <w:div w:id="1551380187">
          <w:marLeft w:val="173"/>
          <w:marRight w:val="0"/>
          <w:marTop w:val="120"/>
          <w:marBottom w:val="60"/>
          <w:divBdr>
            <w:top w:val="none" w:sz="0" w:space="0" w:color="auto"/>
            <w:left w:val="none" w:sz="0" w:space="0" w:color="auto"/>
            <w:bottom w:val="none" w:sz="0" w:space="0" w:color="auto"/>
            <w:right w:val="none" w:sz="0" w:space="0" w:color="auto"/>
          </w:divBdr>
        </w:div>
        <w:div w:id="1726758091">
          <w:marLeft w:val="173"/>
          <w:marRight w:val="0"/>
          <w:marTop w:val="120"/>
          <w:marBottom w:val="60"/>
          <w:divBdr>
            <w:top w:val="none" w:sz="0" w:space="0" w:color="auto"/>
            <w:left w:val="none" w:sz="0" w:space="0" w:color="auto"/>
            <w:bottom w:val="none" w:sz="0" w:space="0" w:color="auto"/>
            <w:right w:val="none" w:sz="0" w:space="0" w:color="auto"/>
          </w:divBdr>
        </w:div>
      </w:divsChild>
    </w:div>
    <w:div w:id="787774640">
      <w:bodyDiv w:val="1"/>
      <w:marLeft w:val="0"/>
      <w:marRight w:val="0"/>
      <w:marTop w:val="0"/>
      <w:marBottom w:val="0"/>
      <w:divBdr>
        <w:top w:val="none" w:sz="0" w:space="0" w:color="auto"/>
        <w:left w:val="none" w:sz="0" w:space="0" w:color="auto"/>
        <w:bottom w:val="none" w:sz="0" w:space="0" w:color="auto"/>
        <w:right w:val="none" w:sz="0" w:space="0" w:color="auto"/>
      </w:divBdr>
    </w:div>
    <w:div w:id="800266754">
      <w:bodyDiv w:val="1"/>
      <w:marLeft w:val="0"/>
      <w:marRight w:val="0"/>
      <w:marTop w:val="0"/>
      <w:marBottom w:val="0"/>
      <w:divBdr>
        <w:top w:val="none" w:sz="0" w:space="0" w:color="auto"/>
        <w:left w:val="none" w:sz="0" w:space="0" w:color="auto"/>
        <w:bottom w:val="none" w:sz="0" w:space="0" w:color="auto"/>
        <w:right w:val="none" w:sz="0" w:space="0" w:color="auto"/>
      </w:divBdr>
    </w:div>
    <w:div w:id="825589756">
      <w:bodyDiv w:val="1"/>
      <w:marLeft w:val="0"/>
      <w:marRight w:val="0"/>
      <w:marTop w:val="0"/>
      <w:marBottom w:val="0"/>
      <w:divBdr>
        <w:top w:val="none" w:sz="0" w:space="0" w:color="auto"/>
        <w:left w:val="none" w:sz="0" w:space="0" w:color="auto"/>
        <w:bottom w:val="none" w:sz="0" w:space="0" w:color="auto"/>
        <w:right w:val="none" w:sz="0" w:space="0" w:color="auto"/>
      </w:divBdr>
    </w:div>
    <w:div w:id="849949026">
      <w:bodyDiv w:val="1"/>
      <w:marLeft w:val="0"/>
      <w:marRight w:val="0"/>
      <w:marTop w:val="0"/>
      <w:marBottom w:val="0"/>
      <w:divBdr>
        <w:top w:val="none" w:sz="0" w:space="0" w:color="auto"/>
        <w:left w:val="none" w:sz="0" w:space="0" w:color="auto"/>
        <w:bottom w:val="none" w:sz="0" w:space="0" w:color="auto"/>
        <w:right w:val="none" w:sz="0" w:space="0" w:color="auto"/>
      </w:divBdr>
      <w:divsChild>
        <w:div w:id="1449205927">
          <w:marLeft w:val="173"/>
          <w:marRight w:val="0"/>
          <w:marTop w:val="120"/>
          <w:marBottom w:val="60"/>
          <w:divBdr>
            <w:top w:val="none" w:sz="0" w:space="0" w:color="auto"/>
            <w:left w:val="none" w:sz="0" w:space="0" w:color="auto"/>
            <w:bottom w:val="none" w:sz="0" w:space="0" w:color="auto"/>
            <w:right w:val="none" w:sz="0" w:space="0" w:color="auto"/>
          </w:divBdr>
        </w:div>
      </w:divsChild>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55342096">
      <w:bodyDiv w:val="1"/>
      <w:marLeft w:val="0"/>
      <w:marRight w:val="0"/>
      <w:marTop w:val="0"/>
      <w:marBottom w:val="0"/>
      <w:divBdr>
        <w:top w:val="none" w:sz="0" w:space="0" w:color="auto"/>
        <w:left w:val="none" w:sz="0" w:space="0" w:color="auto"/>
        <w:bottom w:val="none" w:sz="0" w:space="0" w:color="auto"/>
        <w:right w:val="none" w:sz="0" w:space="0" w:color="auto"/>
      </w:divBdr>
    </w:div>
    <w:div w:id="855535431">
      <w:bodyDiv w:val="1"/>
      <w:marLeft w:val="0"/>
      <w:marRight w:val="0"/>
      <w:marTop w:val="0"/>
      <w:marBottom w:val="0"/>
      <w:divBdr>
        <w:top w:val="none" w:sz="0" w:space="0" w:color="auto"/>
        <w:left w:val="none" w:sz="0" w:space="0" w:color="auto"/>
        <w:bottom w:val="none" w:sz="0" w:space="0" w:color="auto"/>
        <w:right w:val="none" w:sz="0" w:space="0" w:color="auto"/>
      </w:divBdr>
    </w:div>
    <w:div w:id="859970369">
      <w:bodyDiv w:val="1"/>
      <w:marLeft w:val="0"/>
      <w:marRight w:val="0"/>
      <w:marTop w:val="0"/>
      <w:marBottom w:val="0"/>
      <w:divBdr>
        <w:top w:val="none" w:sz="0" w:space="0" w:color="auto"/>
        <w:left w:val="none" w:sz="0" w:space="0" w:color="auto"/>
        <w:bottom w:val="none" w:sz="0" w:space="0" w:color="auto"/>
        <w:right w:val="none" w:sz="0" w:space="0" w:color="auto"/>
      </w:divBdr>
    </w:div>
    <w:div w:id="863175142">
      <w:bodyDiv w:val="1"/>
      <w:marLeft w:val="0"/>
      <w:marRight w:val="0"/>
      <w:marTop w:val="0"/>
      <w:marBottom w:val="0"/>
      <w:divBdr>
        <w:top w:val="none" w:sz="0" w:space="0" w:color="auto"/>
        <w:left w:val="none" w:sz="0" w:space="0" w:color="auto"/>
        <w:bottom w:val="none" w:sz="0" w:space="0" w:color="auto"/>
        <w:right w:val="none" w:sz="0" w:space="0" w:color="auto"/>
      </w:divBdr>
    </w:div>
    <w:div w:id="867836372">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73885381">
      <w:bodyDiv w:val="1"/>
      <w:marLeft w:val="0"/>
      <w:marRight w:val="0"/>
      <w:marTop w:val="0"/>
      <w:marBottom w:val="0"/>
      <w:divBdr>
        <w:top w:val="none" w:sz="0" w:space="0" w:color="auto"/>
        <w:left w:val="none" w:sz="0" w:space="0" w:color="auto"/>
        <w:bottom w:val="none" w:sz="0" w:space="0" w:color="auto"/>
        <w:right w:val="none" w:sz="0" w:space="0" w:color="auto"/>
      </w:divBdr>
    </w:div>
    <w:div w:id="878129569">
      <w:bodyDiv w:val="1"/>
      <w:marLeft w:val="0"/>
      <w:marRight w:val="0"/>
      <w:marTop w:val="0"/>
      <w:marBottom w:val="0"/>
      <w:divBdr>
        <w:top w:val="none" w:sz="0" w:space="0" w:color="auto"/>
        <w:left w:val="none" w:sz="0" w:space="0" w:color="auto"/>
        <w:bottom w:val="none" w:sz="0" w:space="0" w:color="auto"/>
        <w:right w:val="none" w:sz="0" w:space="0" w:color="auto"/>
      </w:divBdr>
    </w:div>
    <w:div w:id="878861248">
      <w:bodyDiv w:val="1"/>
      <w:marLeft w:val="0"/>
      <w:marRight w:val="0"/>
      <w:marTop w:val="0"/>
      <w:marBottom w:val="0"/>
      <w:divBdr>
        <w:top w:val="none" w:sz="0" w:space="0" w:color="auto"/>
        <w:left w:val="none" w:sz="0" w:space="0" w:color="auto"/>
        <w:bottom w:val="none" w:sz="0" w:space="0" w:color="auto"/>
        <w:right w:val="none" w:sz="0" w:space="0" w:color="auto"/>
      </w:divBdr>
    </w:div>
    <w:div w:id="891038390">
      <w:bodyDiv w:val="1"/>
      <w:marLeft w:val="0"/>
      <w:marRight w:val="0"/>
      <w:marTop w:val="0"/>
      <w:marBottom w:val="0"/>
      <w:divBdr>
        <w:top w:val="none" w:sz="0" w:space="0" w:color="auto"/>
        <w:left w:val="none" w:sz="0" w:space="0" w:color="auto"/>
        <w:bottom w:val="none" w:sz="0" w:space="0" w:color="auto"/>
        <w:right w:val="none" w:sz="0" w:space="0" w:color="auto"/>
      </w:divBdr>
      <w:divsChild>
        <w:div w:id="149174971">
          <w:marLeft w:val="994"/>
          <w:marRight w:val="0"/>
          <w:marTop w:val="0"/>
          <w:marBottom w:val="320"/>
          <w:divBdr>
            <w:top w:val="none" w:sz="0" w:space="0" w:color="auto"/>
            <w:left w:val="none" w:sz="0" w:space="0" w:color="auto"/>
            <w:bottom w:val="none" w:sz="0" w:space="0" w:color="auto"/>
            <w:right w:val="none" w:sz="0" w:space="0" w:color="auto"/>
          </w:divBdr>
        </w:div>
        <w:div w:id="226114176">
          <w:marLeft w:val="274"/>
          <w:marRight w:val="0"/>
          <w:marTop w:val="0"/>
          <w:marBottom w:val="60"/>
          <w:divBdr>
            <w:top w:val="none" w:sz="0" w:space="0" w:color="auto"/>
            <w:left w:val="none" w:sz="0" w:space="0" w:color="auto"/>
            <w:bottom w:val="none" w:sz="0" w:space="0" w:color="auto"/>
            <w:right w:val="none" w:sz="0" w:space="0" w:color="auto"/>
          </w:divBdr>
        </w:div>
        <w:div w:id="633023887">
          <w:marLeft w:val="994"/>
          <w:marRight w:val="0"/>
          <w:marTop w:val="0"/>
          <w:marBottom w:val="120"/>
          <w:divBdr>
            <w:top w:val="none" w:sz="0" w:space="0" w:color="auto"/>
            <w:left w:val="none" w:sz="0" w:space="0" w:color="auto"/>
            <w:bottom w:val="none" w:sz="0" w:space="0" w:color="auto"/>
            <w:right w:val="none" w:sz="0" w:space="0" w:color="auto"/>
          </w:divBdr>
        </w:div>
      </w:divsChild>
    </w:div>
    <w:div w:id="906653485">
      <w:bodyDiv w:val="1"/>
      <w:marLeft w:val="0"/>
      <w:marRight w:val="0"/>
      <w:marTop w:val="0"/>
      <w:marBottom w:val="0"/>
      <w:divBdr>
        <w:top w:val="none" w:sz="0" w:space="0" w:color="auto"/>
        <w:left w:val="none" w:sz="0" w:space="0" w:color="auto"/>
        <w:bottom w:val="none" w:sz="0" w:space="0" w:color="auto"/>
        <w:right w:val="none" w:sz="0" w:space="0" w:color="auto"/>
      </w:divBdr>
      <w:divsChild>
        <w:div w:id="663506135">
          <w:marLeft w:val="274"/>
          <w:marRight w:val="0"/>
          <w:marTop w:val="120"/>
          <w:marBottom w:val="120"/>
          <w:divBdr>
            <w:top w:val="none" w:sz="0" w:space="0" w:color="auto"/>
            <w:left w:val="none" w:sz="0" w:space="0" w:color="auto"/>
            <w:bottom w:val="none" w:sz="0" w:space="0" w:color="auto"/>
            <w:right w:val="none" w:sz="0" w:space="0" w:color="auto"/>
          </w:divBdr>
        </w:div>
        <w:div w:id="1015301013">
          <w:marLeft w:val="274"/>
          <w:marRight w:val="0"/>
          <w:marTop w:val="120"/>
          <w:marBottom w:val="120"/>
          <w:divBdr>
            <w:top w:val="none" w:sz="0" w:space="0" w:color="auto"/>
            <w:left w:val="none" w:sz="0" w:space="0" w:color="auto"/>
            <w:bottom w:val="none" w:sz="0" w:space="0" w:color="auto"/>
            <w:right w:val="none" w:sz="0" w:space="0" w:color="auto"/>
          </w:divBdr>
        </w:div>
        <w:div w:id="1071999902">
          <w:marLeft w:val="274"/>
          <w:marRight w:val="0"/>
          <w:marTop w:val="120"/>
          <w:marBottom w:val="120"/>
          <w:divBdr>
            <w:top w:val="none" w:sz="0" w:space="0" w:color="auto"/>
            <w:left w:val="none" w:sz="0" w:space="0" w:color="auto"/>
            <w:bottom w:val="none" w:sz="0" w:space="0" w:color="auto"/>
            <w:right w:val="none" w:sz="0" w:space="0" w:color="auto"/>
          </w:divBdr>
        </w:div>
        <w:div w:id="1154762754">
          <w:marLeft w:val="274"/>
          <w:marRight w:val="0"/>
          <w:marTop w:val="120"/>
          <w:marBottom w:val="120"/>
          <w:divBdr>
            <w:top w:val="none" w:sz="0" w:space="0" w:color="auto"/>
            <w:left w:val="none" w:sz="0" w:space="0" w:color="auto"/>
            <w:bottom w:val="none" w:sz="0" w:space="0" w:color="auto"/>
            <w:right w:val="none" w:sz="0" w:space="0" w:color="auto"/>
          </w:divBdr>
        </w:div>
      </w:divsChild>
    </w:div>
    <w:div w:id="908075650">
      <w:bodyDiv w:val="1"/>
      <w:marLeft w:val="0"/>
      <w:marRight w:val="0"/>
      <w:marTop w:val="0"/>
      <w:marBottom w:val="0"/>
      <w:divBdr>
        <w:top w:val="none" w:sz="0" w:space="0" w:color="auto"/>
        <w:left w:val="none" w:sz="0" w:space="0" w:color="auto"/>
        <w:bottom w:val="none" w:sz="0" w:space="0" w:color="auto"/>
        <w:right w:val="none" w:sz="0" w:space="0" w:color="auto"/>
      </w:divBdr>
    </w:div>
    <w:div w:id="928580650">
      <w:bodyDiv w:val="1"/>
      <w:marLeft w:val="0"/>
      <w:marRight w:val="0"/>
      <w:marTop w:val="0"/>
      <w:marBottom w:val="0"/>
      <w:divBdr>
        <w:top w:val="none" w:sz="0" w:space="0" w:color="auto"/>
        <w:left w:val="none" w:sz="0" w:space="0" w:color="auto"/>
        <w:bottom w:val="none" w:sz="0" w:space="0" w:color="auto"/>
        <w:right w:val="none" w:sz="0" w:space="0" w:color="auto"/>
      </w:divBdr>
    </w:div>
    <w:div w:id="929965104">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37517259">
      <w:bodyDiv w:val="1"/>
      <w:marLeft w:val="0"/>
      <w:marRight w:val="0"/>
      <w:marTop w:val="0"/>
      <w:marBottom w:val="0"/>
      <w:divBdr>
        <w:top w:val="none" w:sz="0" w:space="0" w:color="auto"/>
        <w:left w:val="none" w:sz="0" w:space="0" w:color="auto"/>
        <w:bottom w:val="none" w:sz="0" w:space="0" w:color="auto"/>
        <w:right w:val="none" w:sz="0" w:space="0" w:color="auto"/>
      </w:divBdr>
    </w:div>
    <w:div w:id="946425028">
      <w:bodyDiv w:val="1"/>
      <w:marLeft w:val="0"/>
      <w:marRight w:val="0"/>
      <w:marTop w:val="0"/>
      <w:marBottom w:val="0"/>
      <w:divBdr>
        <w:top w:val="none" w:sz="0" w:space="0" w:color="auto"/>
        <w:left w:val="none" w:sz="0" w:space="0" w:color="auto"/>
        <w:bottom w:val="none" w:sz="0" w:space="0" w:color="auto"/>
        <w:right w:val="none" w:sz="0" w:space="0" w:color="auto"/>
      </w:divBdr>
    </w:div>
    <w:div w:id="959259860">
      <w:bodyDiv w:val="1"/>
      <w:marLeft w:val="0"/>
      <w:marRight w:val="0"/>
      <w:marTop w:val="0"/>
      <w:marBottom w:val="0"/>
      <w:divBdr>
        <w:top w:val="none" w:sz="0" w:space="0" w:color="auto"/>
        <w:left w:val="none" w:sz="0" w:space="0" w:color="auto"/>
        <w:bottom w:val="none" w:sz="0" w:space="0" w:color="auto"/>
        <w:right w:val="none" w:sz="0" w:space="0" w:color="auto"/>
      </w:divBdr>
    </w:div>
    <w:div w:id="965307525">
      <w:bodyDiv w:val="1"/>
      <w:marLeft w:val="0"/>
      <w:marRight w:val="0"/>
      <w:marTop w:val="0"/>
      <w:marBottom w:val="0"/>
      <w:divBdr>
        <w:top w:val="none" w:sz="0" w:space="0" w:color="auto"/>
        <w:left w:val="none" w:sz="0" w:space="0" w:color="auto"/>
        <w:bottom w:val="none" w:sz="0" w:space="0" w:color="auto"/>
        <w:right w:val="none" w:sz="0" w:space="0" w:color="auto"/>
      </w:divBdr>
    </w:div>
    <w:div w:id="983507617">
      <w:bodyDiv w:val="1"/>
      <w:marLeft w:val="0"/>
      <w:marRight w:val="0"/>
      <w:marTop w:val="0"/>
      <w:marBottom w:val="0"/>
      <w:divBdr>
        <w:top w:val="none" w:sz="0" w:space="0" w:color="auto"/>
        <w:left w:val="none" w:sz="0" w:space="0" w:color="auto"/>
        <w:bottom w:val="none" w:sz="0" w:space="0" w:color="auto"/>
        <w:right w:val="none" w:sz="0" w:space="0" w:color="auto"/>
      </w:divBdr>
    </w:div>
    <w:div w:id="1010377551">
      <w:bodyDiv w:val="1"/>
      <w:marLeft w:val="0"/>
      <w:marRight w:val="0"/>
      <w:marTop w:val="0"/>
      <w:marBottom w:val="0"/>
      <w:divBdr>
        <w:top w:val="none" w:sz="0" w:space="0" w:color="auto"/>
        <w:left w:val="none" w:sz="0" w:space="0" w:color="auto"/>
        <w:bottom w:val="none" w:sz="0" w:space="0" w:color="auto"/>
        <w:right w:val="none" w:sz="0" w:space="0" w:color="auto"/>
      </w:divBdr>
    </w:div>
    <w:div w:id="1020741678">
      <w:bodyDiv w:val="1"/>
      <w:marLeft w:val="0"/>
      <w:marRight w:val="0"/>
      <w:marTop w:val="0"/>
      <w:marBottom w:val="0"/>
      <w:divBdr>
        <w:top w:val="none" w:sz="0" w:space="0" w:color="auto"/>
        <w:left w:val="none" w:sz="0" w:space="0" w:color="auto"/>
        <w:bottom w:val="none" w:sz="0" w:space="0" w:color="auto"/>
        <w:right w:val="none" w:sz="0" w:space="0" w:color="auto"/>
      </w:divBdr>
    </w:div>
    <w:div w:id="1026490956">
      <w:bodyDiv w:val="1"/>
      <w:marLeft w:val="0"/>
      <w:marRight w:val="0"/>
      <w:marTop w:val="0"/>
      <w:marBottom w:val="0"/>
      <w:divBdr>
        <w:top w:val="none" w:sz="0" w:space="0" w:color="auto"/>
        <w:left w:val="none" w:sz="0" w:space="0" w:color="auto"/>
        <w:bottom w:val="none" w:sz="0" w:space="0" w:color="auto"/>
        <w:right w:val="none" w:sz="0" w:space="0" w:color="auto"/>
      </w:divBdr>
    </w:div>
    <w:div w:id="1031765595">
      <w:bodyDiv w:val="1"/>
      <w:marLeft w:val="0"/>
      <w:marRight w:val="0"/>
      <w:marTop w:val="0"/>
      <w:marBottom w:val="0"/>
      <w:divBdr>
        <w:top w:val="none" w:sz="0" w:space="0" w:color="auto"/>
        <w:left w:val="none" w:sz="0" w:space="0" w:color="auto"/>
        <w:bottom w:val="none" w:sz="0" w:space="0" w:color="auto"/>
        <w:right w:val="none" w:sz="0" w:space="0" w:color="auto"/>
      </w:divBdr>
      <w:divsChild>
        <w:div w:id="348065991">
          <w:marLeft w:val="274"/>
          <w:marRight w:val="0"/>
          <w:marTop w:val="0"/>
          <w:marBottom w:val="120"/>
          <w:divBdr>
            <w:top w:val="none" w:sz="0" w:space="0" w:color="auto"/>
            <w:left w:val="none" w:sz="0" w:space="0" w:color="auto"/>
            <w:bottom w:val="none" w:sz="0" w:space="0" w:color="auto"/>
            <w:right w:val="none" w:sz="0" w:space="0" w:color="auto"/>
          </w:divBdr>
        </w:div>
        <w:div w:id="1219049264">
          <w:marLeft w:val="274"/>
          <w:marRight w:val="0"/>
          <w:marTop w:val="0"/>
          <w:marBottom w:val="120"/>
          <w:divBdr>
            <w:top w:val="none" w:sz="0" w:space="0" w:color="auto"/>
            <w:left w:val="none" w:sz="0" w:space="0" w:color="auto"/>
            <w:bottom w:val="none" w:sz="0" w:space="0" w:color="auto"/>
            <w:right w:val="none" w:sz="0" w:space="0" w:color="auto"/>
          </w:divBdr>
        </w:div>
        <w:div w:id="1524250481">
          <w:marLeft w:val="274"/>
          <w:marRight w:val="0"/>
          <w:marTop w:val="0"/>
          <w:marBottom w:val="120"/>
          <w:divBdr>
            <w:top w:val="none" w:sz="0" w:space="0" w:color="auto"/>
            <w:left w:val="none" w:sz="0" w:space="0" w:color="auto"/>
            <w:bottom w:val="none" w:sz="0" w:space="0" w:color="auto"/>
            <w:right w:val="none" w:sz="0" w:space="0" w:color="auto"/>
          </w:divBdr>
        </w:div>
      </w:divsChild>
    </w:div>
    <w:div w:id="1037387002">
      <w:bodyDiv w:val="1"/>
      <w:marLeft w:val="0"/>
      <w:marRight w:val="0"/>
      <w:marTop w:val="0"/>
      <w:marBottom w:val="0"/>
      <w:divBdr>
        <w:top w:val="none" w:sz="0" w:space="0" w:color="auto"/>
        <w:left w:val="none" w:sz="0" w:space="0" w:color="auto"/>
        <w:bottom w:val="none" w:sz="0" w:space="0" w:color="auto"/>
        <w:right w:val="none" w:sz="0" w:space="0" w:color="auto"/>
      </w:divBdr>
    </w:div>
    <w:div w:id="1039624674">
      <w:bodyDiv w:val="1"/>
      <w:marLeft w:val="0"/>
      <w:marRight w:val="0"/>
      <w:marTop w:val="0"/>
      <w:marBottom w:val="0"/>
      <w:divBdr>
        <w:top w:val="none" w:sz="0" w:space="0" w:color="auto"/>
        <w:left w:val="none" w:sz="0" w:space="0" w:color="auto"/>
        <w:bottom w:val="none" w:sz="0" w:space="0" w:color="auto"/>
        <w:right w:val="none" w:sz="0" w:space="0" w:color="auto"/>
      </w:divBdr>
    </w:div>
    <w:div w:id="1044332407">
      <w:bodyDiv w:val="1"/>
      <w:marLeft w:val="0"/>
      <w:marRight w:val="0"/>
      <w:marTop w:val="0"/>
      <w:marBottom w:val="0"/>
      <w:divBdr>
        <w:top w:val="none" w:sz="0" w:space="0" w:color="auto"/>
        <w:left w:val="none" w:sz="0" w:space="0" w:color="auto"/>
        <w:bottom w:val="none" w:sz="0" w:space="0" w:color="auto"/>
        <w:right w:val="none" w:sz="0" w:space="0" w:color="auto"/>
      </w:divBdr>
    </w:div>
    <w:div w:id="1059788027">
      <w:bodyDiv w:val="1"/>
      <w:marLeft w:val="0"/>
      <w:marRight w:val="0"/>
      <w:marTop w:val="0"/>
      <w:marBottom w:val="0"/>
      <w:divBdr>
        <w:top w:val="none" w:sz="0" w:space="0" w:color="auto"/>
        <w:left w:val="none" w:sz="0" w:space="0" w:color="auto"/>
        <w:bottom w:val="none" w:sz="0" w:space="0" w:color="auto"/>
        <w:right w:val="none" w:sz="0" w:space="0" w:color="auto"/>
      </w:divBdr>
    </w:div>
    <w:div w:id="1060789007">
      <w:bodyDiv w:val="1"/>
      <w:marLeft w:val="0"/>
      <w:marRight w:val="0"/>
      <w:marTop w:val="0"/>
      <w:marBottom w:val="0"/>
      <w:divBdr>
        <w:top w:val="none" w:sz="0" w:space="0" w:color="auto"/>
        <w:left w:val="none" w:sz="0" w:space="0" w:color="auto"/>
        <w:bottom w:val="none" w:sz="0" w:space="0" w:color="auto"/>
        <w:right w:val="none" w:sz="0" w:space="0" w:color="auto"/>
      </w:divBdr>
    </w:div>
    <w:div w:id="1062799031">
      <w:bodyDiv w:val="1"/>
      <w:marLeft w:val="0"/>
      <w:marRight w:val="0"/>
      <w:marTop w:val="0"/>
      <w:marBottom w:val="0"/>
      <w:divBdr>
        <w:top w:val="none" w:sz="0" w:space="0" w:color="auto"/>
        <w:left w:val="none" w:sz="0" w:space="0" w:color="auto"/>
        <w:bottom w:val="none" w:sz="0" w:space="0" w:color="auto"/>
        <w:right w:val="none" w:sz="0" w:space="0" w:color="auto"/>
      </w:divBdr>
      <w:divsChild>
        <w:div w:id="217085510">
          <w:marLeft w:val="1224"/>
          <w:marRight w:val="0"/>
          <w:marTop w:val="0"/>
          <w:marBottom w:val="60"/>
          <w:divBdr>
            <w:top w:val="none" w:sz="0" w:space="0" w:color="auto"/>
            <w:left w:val="none" w:sz="0" w:space="0" w:color="auto"/>
            <w:bottom w:val="none" w:sz="0" w:space="0" w:color="auto"/>
            <w:right w:val="none" w:sz="0" w:space="0" w:color="auto"/>
          </w:divBdr>
        </w:div>
        <w:div w:id="242297474">
          <w:marLeft w:val="1224"/>
          <w:marRight w:val="0"/>
          <w:marTop w:val="0"/>
          <w:marBottom w:val="60"/>
          <w:divBdr>
            <w:top w:val="none" w:sz="0" w:space="0" w:color="auto"/>
            <w:left w:val="none" w:sz="0" w:space="0" w:color="auto"/>
            <w:bottom w:val="none" w:sz="0" w:space="0" w:color="auto"/>
            <w:right w:val="none" w:sz="0" w:space="0" w:color="auto"/>
          </w:divBdr>
        </w:div>
        <w:div w:id="630985858">
          <w:marLeft w:val="1224"/>
          <w:marRight w:val="0"/>
          <w:marTop w:val="0"/>
          <w:marBottom w:val="60"/>
          <w:divBdr>
            <w:top w:val="none" w:sz="0" w:space="0" w:color="auto"/>
            <w:left w:val="none" w:sz="0" w:space="0" w:color="auto"/>
            <w:bottom w:val="none" w:sz="0" w:space="0" w:color="auto"/>
            <w:right w:val="none" w:sz="0" w:space="0" w:color="auto"/>
          </w:divBdr>
        </w:div>
        <w:div w:id="794519038">
          <w:marLeft w:val="274"/>
          <w:marRight w:val="0"/>
          <w:marTop w:val="0"/>
          <w:marBottom w:val="60"/>
          <w:divBdr>
            <w:top w:val="none" w:sz="0" w:space="0" w:color="auto"/>
            <w:left w:val="none" w:sz="0" w:space="0" w:color="auto"/>
            <w:bottom w:val="none" w:sz="0" w:space="0" w:color="auto"/>
            <w:right w:val="none" w:sz="0" w:space="0" w:color="auto"/>
          </w:divBdr>
        </w:div>
        <w:div w:id="2054500200">
          <w:marLeft w:val="274"/>
          <w:marRight w:val="0"/>
          <w:marTop w:val="0"/>
          <w:marBottom w:val="360"/>
          <w:divBdr>
            <w:top w:val="none" w:sz="0" w:space="0" w:color="auto"/>
            <w:left w:val="none" w:sz="0" w:space="0" w:color="auto"/>
            <w:bottom w:val="none" w:sz="0" w:space="0" w:color="auto"/>
            <w:right w:val="none" w:sz="0" w:space="0" w:color="auto"/>
          </w:divBdr>
        </w:div>
      </w:divsChild>
    </w:div>
    <w:div w:id="1070468722">
      <w:bodyDiv w:val="1"/>
      <w:marLeft w:val="0"/>
      <w:marRight w:val="0"/>
      <w:marTop w:val="0"/>
      <w:marBottom w:val="0"/>
      <w:divBdr>
        <w:top w:val="none" w:sz="0" w:space="0" w:color="auto"/>
        <w:left w:val="none" w:sz="0" w:space="0" w:color="auto"/>
        <w:bottom w:val="none" w:sz="0" w:space="0" w:color="auto"/>
        <w:right w:val="none" w:sz="0" w:space="0" w:color="auto"/>
      </w:divBdr>
    </w:div>
    <w:div w:id="1080172696">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08424895">
      <w:bodyDiv w:val="1"/>
      <w:marLeft w:val="0"/>
      <w:marRight w:val="0"/>
      <w:marTop w:val="0"/>
      <w:marBottom w:val="0"/>
      <w:divBdr>
        <w:top w:val="none" w:sz="0" w:space="0" w:color="auto"/>
        <w:left w:val="none" w:sz="0" w:space="0" w:color="auto"/>
        <w:bottom w:val="none" w:sz="0" w:space="0" w:color="auto"/>
        <w:right w:val="none" w:sz="0" w:space="0" w:color="auto"/>
      </w:divBdr>
    </w:div>
    <w:div w:id="1134642215">
      <w:bodyDiv w:val="1"/>
      <w:marLeft w:val="0"/>
      <w:marRight w:val="0"/>
      <w:marTop w:val="0"/>
      <w:marBottom w:val="0"/>
      <w:divBdr>
        <w:top w:val="none" w:sz="0" w:space="0" w:color="auto"/>
        <w:left w:val="none" w:sz="0" w:space="0" w:color="auto"/>
        <w:bottom w:val="none" w:sz="0" w:space="0" w:color="auto"/>
        <w:right w:val="none" w:sz="0" w:space="0" w:color="auto"/>
      </w:divBdr>
    </w:div>
    <w:div w:id="1148203396">
      <w:bodyDiv w:val="1"/>
      <w:marLeft w:val="0"/>
      <w:marRight w:val="0"/>
      <w:marTop w:val="0"/>
      <w:marBottom w:val="0"/>
      <w:divBdr>
        <w:top w:val="none" w:sz="0" w:space="0" w:color="auto"/>
        <w:left w:val="none" w:sz="0" w:space="0" w:color="auto"/>
        <w:bottom w:val="none" w:sz="0" w:space="0" w:color="auto"/>
        <w:right w:val="none" w:sz="0" w:space="0" w:color="auto"/>
      </w:divBdr>
    </w:div>
    <w:div w:id="1159690836">
      <w:bodyDiv w:val="1"/>
      <w:marLeft w:val="0"/>
      <w:marRight w:val="0"/>
      <w:marTop w:val="0"/>
      <w:marBottom w:val="0"/>
      <w:divBdr>
        <w:top w:val="none" w:sz="0" w:space="0" w:color="auto"/>
        <w:left w:val="none" w:sz="0" w:space="0" w:color="auto"/>
        <w:bottom w:val="none" w:sz="0" w:space="0" w:color="auto"/>
        <w:right w:val="none" w:sz="0" w:space="0" w:color="auto"/>
      </w:divBdr>
    </w:div>
    <w:div w:id="1161501571">
      <w:bodyDiv w:val="1"/>
      <w:marLeft w:val="0"/>
      <w:marRight w:val="0"/>
      <w:marTop w:val="0"/>
      <w:marBottom w:val="0"/>
      <w:divBdr>
        <w:top w:val="none" w:sz="0" w:space="0" w:color="auto"/>
        <w:left w:val="none" w:sz="0" w:space="0" w:color="auto"/>
        <w:bottom w:val="none" w:sz="0" w:space="0" w:color="auto"/>
        <w:right w:val="none" w:sz="0" w:space="0" w:color="auto"/>
      </w:divBdr>
    </w:div>
    <w:div w:id="1163353606">
      <w:bodyDiv w:val="1"/>
      <w:marLeft w:val="0"/>
      <w:marRight w:val="0"/>
      <w:marTop w:val="0"/>
      <w:marBottom w:val="0"/>
      <w:divBdr>
        <w:top w:val="none" w:sz="0" w:space="0" w:color="auto"/>
        <w:left w:val="none" w:sz="0" w:space="0" w:color="auto"/>
        <w:bottom w:val="none" w:sz="0" w:space="0" w:color="auto"/>
        <w:right w:val="none" w:sz="0" w:space="0" w:color="auto"/>
      </w:divBdr>
    </w:div>
    <w:div w:id="1167935659">
      <w:bodyDiv w:val="1"/>
      <w:marLeft w:val="0"/>
      <w:marRight w:val="0"/>
      <w:marTop w:val="0"/>
      <w:marBottom w:val="0"/>
      <w:divBdr>
        <w:top w:val="none" w:sz="0" w:space="0" w:color="auto"/>
        <w:left w:val="none" w:sz="0" w:space="0" w:color="auto"/>
        <w:bottom w:val="none" w:sz="0" w:space="0" w:color="auto"/>
        <w:right w:val="none" w:sz="0" w:space="0" w:color="auto"/>
      </w:divBdr>
      <w:divsChild>
        <w:div w:id="126778184">
          <w:marLeft w:val="274"/>
          <w:marRight w:val="0"/>
          <w:marTop w:val="0"/>
          <w:marBottom w:val="120"/>
          <w:divBdr>
            <w:top w:val="none" w:sz="0" w:space="0" w:color="auto"/>
            <w:left w:val="none" w:sz="0" w:space="0" w:color="auto"/>
            <w:bottom w:val="none" w:sz="0" w:space="0" w:color="auto"/>
            <w:right w:val="none" w:sz="0" w:space="0" w:color="auto"/>
          </w:divBdr>
        </w:div>
        <w:div w:id="779449544">
          <w:marLeft w:val="274"/>
          <w:marRight w:val="0"/>
          <w:marTop w:val="0"/>
          <w:marBottom w:val="120"/>
          <w:divBdr>
            <w:top w:val="none" w:sz="0" w:space="0" w:color="auto"/>
            <w:left w:val="none" w:sz="0" w:space="0" w:color="auto"/>
            <w:bottom w:val="none" w:sz="0" w:space="0" w:color="auto"/>
            <w:right w:val="none" w:sz="0" w:space="0" w:color="auto"/>
          </w:divBdr>
        </w:div>
        <w:div w:id="1675767676">
          <w:marLeft w:val="274"/>
          <w:marRight w:val="0"/>
          <w:marTop w:val="0"/>
          <w:marBottom w:val="120"/>
          <w:divBdr>
            <w:top w:val="none" w:sz="0" w:space="0" w:color="auto"/>
            <w:left w:val="none" w:sz="0" w:space="0" w:color="auto"/>
            <w:bottom w:val="none" w:sz="0" w:space="0" w:color="auto"/>
            <w:right w:val="none" w:sz="0" w:space="0" w:color="auto"/>
          </w:divBdr>
        </w:div>
      </w:divsChild>
    </w:div>
    <w:div w:id="1168012633">
      <w:bodyDiv w:val="1"/>
      <w:marLeft w:val="0"/>
      <w:marRight w:val="0"/>
      <w:marTop w:val="0"/>
      <w:marBottom w:val="0"/>
      <w:divBdr>
        <w:top w:val="none" w:sz="0" w:space="0" w:color="auto"/>
        <w:left w:val="none" w:sz="0" w:space="0" w:color="auto"/>
        <w:bottom w:val="none" w:sz="0" w:space="0" w:color="auto"/>
        <w:right w:val="none" w:sz="0" w:space="0" w:color="auto"/>
      </w:divBdr>
      <w:divsChild>
        <w:div w:id="766190178">
          <w:marLeft w:val="173"/>
          <w:marRight w:val="0"/>
          <w:marTop w:val="120"/>
          <w:marBottom w:val="0"/>
          <w:divBdr>
            <w:top w:val="none" w:sz="0" w:space="0" w:color="auto"/>
            <w:left w:val="none" w:sz="0" w:space="0" w:color="auto"/>
            <w:bottom w:val="none" w:sz="0" w:space="0" w:color="auto"/>
            <w:right w:val="none" w:sz="0" w:space="0" w:color="auto"/>
          </w:divBdr>
        </w:div>
        <w:div w:id="1599093375">
          <w:marLeft w:val="173"/>
          <w:marRight w:val="0"/>
          <w:marTop w:val="120"/>
          <w:marBottom w:val="0"/>
          <w:divBdr>
            <w:top w:val="none" w:sz="0" w:space="0" w:color="auto"/>
            <w:left w:val="none" w:sz="0" w:space="0" w:color="auto"/>
            <w:bottom w:val="none" w:sz="0" w:space="0" w:color="auto"/>
            <w:right w:val="none" w:sz="0" w:space="0" w:color="auto"/>
          </w:divBdr>
        </w:div>
        <w:div w:id="2106533934">
          <w:marLeft w:val="173"/>
          <w:marRight w:val="0"/>
          <w:marTop w:val="120"/>
          <w:marBottom w:val="0"/>
          <w:divBdr>
            <w:top w:val="none" w:sz="0" w:space="0" w:color="auto"/>
            <w:left w:val="none" w:sz="0" w:space="0" w:color="auto"/>
            <w:bottom w:val="none" w:sz="0" w:space="0" w:color="auto"/>
            <w:right w:val="none" w:sz="0" w:space="0" w:color="auto"/>
          </w:divBdr>
        </w:div>
      </w:divsChild>
    </w:div>
    <w:div w:id="1168329161">
      <w:bodyDiv w:val="1"/>
      <w:marLeft w:val="0"/>
      <w:marRight w:val="0"/>
      <w:marTop w:val="0"/>
      <w:marBottom w:val="0"/>
      <w:divBdr>
        <w:top w:val="none" w:sz="0" w:space="0" w:color="auto"/>
        <w:left w:val="none" w:sz="0" w:space="0" w:color="auto"/>
        <w:bottom w:val="none" w:sz="0" w:space="0" w:color="auto"/>
        <w:right w:val="none" w:sz="0" w:space="0" w:color="auto"/>
      </w:divBdr>
    </w:div>
    <w:div w:id="1188450948">
      <w:bodyDiv w:val="1"/>
      <w:marLeft w:val="0"/>
      <w:marRight w:val="0"/>
      <w:marTop w:val="0"/>
      <w:marBottom w:val="0"/>
      <w:divBdr>
        <w:top w:val="none" w:sz="0" w:space="0" w:color="auto"/>
        <w:left w:val="none" w:sz="0" w:space="0" w:color="auto"/>
        <w:bottom w:val="none" w:sz="0" w:space="0" w:color="auto"/>
        <w:right w:val="none" w:sz="0" w:space="0" w:color="auto"/>
      </w:divBdr>
    </w:div>
    <w:div w:id="1190144687">
      <w:bodyDiv w:val="1"/>
      <w:marLeft w:val="0"/>
      <w:marRight w:val="0"/>
      <w:marTop w:val="0"/>
      <w:marBottom w:val="0"/>
      <w:divBdr>
        <w:top w:val="none" w:sz="0" w:space="0" w:color="auto"/>
        <w:left w:val="none" w:sz="0" w:space="0" w:color="auto"/>
        <w:bottom w:val="none" w:sz="0" w:space="0" w:color="auto"/>
        <w:right w:val="none" w:sz="0" w:space="0" w:color="auto"/>
      </w:divBdr>
    </w:div>
    <w:div w:id="1193153912">
      <w:bodyDiv w:val="1"/>
      <w:marLeft w:val="0"/>
      <w:marRight w:val="0"/>
      <w:marTop w:val="0"/>
      <w:marBottom w:val="0"/>
      <w:divBdr>
        <w:top w:val="none" w:sz="0" w:space="0" w:color="auto"/>
        <w:left w:val="none" w:sz="0" w:space="0" w:color="auto"/>
        <w:bottom w:val="none" w:sz="0" w:space="0" w:color="auto"/>
        <w:right w:val="none" w:sz="0" w:space="0" w:color="auto"/>
      </w:divBdr>
    </w:div>
    <w:div w:id="1193420304">
      <w:bodyDiv w:val="1"/>
      <w:marLeft w:val="0"/>
      <w:marRight w:val="0"/>
      <w:marTop w:val="0"/>
      <w:marBottom w:val="0"/>
      <w:divBdr>
        <w:top w:val="none" w:sz="0" w:space="0" w:color="auto"/>
        <w:left w:val="none" w:sz="0" w:space="0" w:color="auto"/>
        <w:bottom w:val="none" w:sz="0" w:space="0" w:color="auto"/>
        <w:right w:val="none" w:sz="0" w:space="0" w:color="auto"/>
      </w:divBdr>
    </w:div>
    <w:div w:id="1194466413">
      <w:bodyDiv w:val="1"/>
      <w:marLeft w:val="0"/>
      <w:marRight w:val="0"/>
      <w:marTop w:val="0"/>
      <w:marBottom w:val="0"/>
      <w:divBdr>
        <w:top w:val="none" w:sz="0" w:space="0" w:color="auto"/>
        <w:left w:val="none" w:sz="0" w:space="0" w:color="auto"/>
        <w:bottom w:val="none" w:sz="0" w:space="0" w:color="auto"/>
        <w:right w:val="none" w:sz="0" w:space="0" w:color="auto"/>
      </w:divBdr>
      <w:divsChild>
        <w:div w:id="58332957">
          <w:marLeft w:val="274"/>
          <w:marRight w:val="0"/>
          <w:marTop w:val="0"/>
          <w:marBottom w:val="360"/>
          <w:divBdr>
            <w:top w:val="none" w:sz="0" w:space="0" w:color="auto"/>
            <w:left w:val="none" w:sz="0" w:space="0" w:color="auto"/>
            <w:bottom w:val="none" w:sz="0" w:space="0" w:color="auto"/>
            <w:right w:val="none" w:sz="0" w:space="0" w:color="auto"/>
          </w:divBdr>
        </w:div>
        <w:div w:id="294605547">
          <w:marLeft w:val="274"/>
          <w:marRight w:val="0"/>
          <w:marTop w:val="0"/>
          <w:marBottom w:val="60"/>
          <w:divBdr>
            <w:top w:val="none" w:sz="0" w:space="0" w:color="auto"/>
            <w:left w:val="none" w:sz="0" w:space="0" w:color="auto"/>
            <w:bottom w:val="none" w:sz="0" w:space="0" w:color="auto"/>
            <w:right w:val="none" w:sz="0" w:space="0" w:color="auto"/>
          </w:divBdr>
        </w:div>
        <w:div w:id="715355836">
          <w:marLeft w:val="274"/>
          <w:marRight w:val="0"/>
          <w:marTop w:val="0"/>
          <w:marBottom w:val="60"/>
          <w:divBdr>
            <w:top w:val="none" w:sz="0" w:space="0" w:color="auto"/>
            <w:left w:val="none" w:sz="0" w:space="0" w:color="auto"/>
            <w:bottom w:val="none" w:sz="0" w:space="0" w:color="auto"/>
            <w:right w:val="none" w:sz="0" w:space="0" w:color="auto"/>
          </w:divBdr>
        </w:div>
        <w:div w:id="1043794933">
          <w:marLeft w:val="274"/>
          <w:marRight w:val="0"/>
          <w:marTop w:val="0"/>
          <w:marBottom w:val="360"/>
          <w:divBdr>
            <w:top w:val="none" w:sz="0" w:space="0" w:color="auto"/>
            <w:left w:val="none" w:sz="0" w:space="0" w:color="auto"/>
            <w:bottom w:val="none" w:sz="0" w:space="0" w:color="auto"/>
            <w:right w:val="none" w:sz="0" w:space="0" w:color="auto"/>
          </w:divBdr>
        </w:div>
        <w:div w:id="1186140335">
          <w:marLeft w:val="274"/>
          <w:marRight w:val="0"/>
          <w:marTop w:val="0"/>
          <w:marBottom w:val="360"/>
          <w:divBdr>
            <w:top w:val="none" w:sz="0" w:space="0" w:color="auto"/>
            <w:left w:val="none" w:sz="0" w:space="0" w:color="auto"/>
            <w:bottom w:val="none" w:sz="0" w:space="0" w:color="auto"/>
            <w:right w:val="none" w:sz="0" w:space="0" w:color="auto"/>
          </w:divBdr>
        </w:div>
        <w:div w:id="1278415711">
          <w:marLeft w:val="994"/>
          <w:marRight w:val="0"/>
          <w:marTop w:val="0"/>
          <w:marBottom w:val="320"/>
          <w:divBdr>
            <w:top w:val="none" w:sz="0" w:space="0" w:color="auto"/>
            <w:left w:val="none" w:sz="0" w:space="0" w:color="auto"/>
            <w:bottom w:val="none" w:sz="0" w:space="0" w:color="auto"/>
            <w:right w:val="none" w:sz="0" w:space="0" w:color="auto"/>
          </w:divBdr>
        </w:div>
        <w:div w:id="1533304764">
          <w:marLeft w:val="1224"/>
          <w:marRight w:val="0"/>
          <w:marTop w:val="0"/>
          <w:marBottom w:val="320"/>
          <w:divBdr>
            <w:top w:val="none" w:sz="0" w:space="0" w:color="auto"/>
            <w:left w:val="none" w:sz="0" w:space="0" w:color="auto"/>
            <w:bottom w:val="none" w:sz="0" w:space="0" w:color="auto"/>
            <w:right w:val="none" w:sz="0" w:space="0" w:color="auto"/>
          </w:divBdr>
        </w:div>
        <w:div w:id="1736125678">
          <w:marLeft w:val="994"/>
          <w:marRight w:val="0"/>
          <w:marTop w:val="0"/>
          <w:marBottom w:val="120"/>
          <w:divBdr>
            <w:top w:val="none" w:sz="0" w:space="0" w:color="auto"/>
            <w:left w:val="none" w:sz="0" w:space="0" w:color="auto"/>
            <w:bottom w:val="none" w:sz="0" w:space="0" w:color="auto"/>
            <w:right w:val="none" w:sz="0" w:space="0" w:color="auto"/>
          </w:divBdr>
        </w:div>
        <w:div w:id="1846894406">
          <w:marLeft w:val="1224"/>
          <w:marRight w:val="0"/>
          <w:marTop w:val="0"/>
          <w:marBottom w:val="60"/>
          <w:divBdr>
            <w:top w:val="none" w:sz="0" w:space="0" w:color="auto"/>
            <w:left w:val="none" w:sz="0" w:space="0" w:color="auto"/>
            <w:bottom w:val="none" w:sz="0" w:space="0" w:color="auto"/>
            <w:right w:val="none" w:sz="0" w:space="0" w:color="auto"/>
          </w:divBdr>
        </w:div>
      </w:divsChild>
    </w:div>
    <w:div w:id="1202011264">
      <w:bodyDiv w:val="1"/>
      <w:marLeft w:val="0"/>
      <w:marRight w:val="0"/>
      <w:marTop w:val="0"/>
      <w:marBottom w:val="0"/>
      <w:divBdr>
        <w:top w:val="none" w:sz="0" w:space="0" w:color="auto"/>
        <w:left w:val="none" w:sz="0" w:space="0" w:color="auto"/>
        <w:bottom w:val="none" w:sz="0" w:space="0" w:color="auto"/>
        <w:right w:val="none" w:sz="0" w:space="0" w:color="auto"/>
      </w:divBdr>
    </w:div>
    <w:div w:id="1216165886">
      <w:bodyDiv w:val="1"/>
      <w:marLeft w:val="0"/>
      <w:marRight w:val="0"/>
      <w:marTop w:val="0"/>
      <w:marBottom w:val="0"/>
      <w:divBdr>
        <w:top w:val="none" w:sz="0" w:space="0" w:color="auto"/>
        <w:left w:val="none" w:sz="0" w:space="0" w:color="auto"/>
        <w:bottom w:val="none" w:sz="0" w:space="0" w:color="auto"/>
        <w:right w:val="none" w:sz="0" w:space="0" w:color="auto"/>
      </w:divBdr>
    </w:div>
    <w:div w:id="1219512015">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47885269">
      <w:bodyDiv w:val="1"/>
      <w:marLeft w:val="0"/>
      <w:marRight w:val="0"/>
      <w:marTop w:val="0"/>
      <w:marBottom w:val="0"/>
      <w:divBdr>
        <w:top w:val="none" w:sz="0" w:space="0" w:color="auto"/>
        <w:left w:val="none" w:sz="0" w:space="0" w:color="auto"/>
        <w:bottom w:val="none" w:sz="0" w:space="0" w:color="auto"/>
        <w:right w:val="none" w:sz="0" w:space="0" w:color="auto"/>
      </w:divBdr>
    </w:div>
    <w:div w:id="1264916838">
      <w:bodyDiv w:val="1"/>
      <w:marLeft w:val="0"/>
      <w:marRight w:val="0"/>
      <w:marTop w:val="0"/>
      <w:marBottom w:val="0"/>
      <w:divBdr>
        <w:top w:val="none" w:sz="0" w:space="0" w:color="auto"/>
        <w:left w:val="none" w:sz="0" w:space="0" w:color="auto"/>
        <w:bottom w:val="none" w:sz="0" w:space="0" w:color="auto"/>
        <w:right w:val="none" w:sz="0" w:space="0" w:color="auto"/>
      </w:divBdr>
    </w:div>
    <w:div w:id="1288968093">
      <w:bodyDiv w:val="1"/>
      <w:marLeft w:val="0"/>
      <w:marRight w:val="0"/>
      <w:marTop w:val="0"/>
      <w:marBottom w:val="0"/>
      <w:divBdr>
        <w:top w:val="none" w:sz="0" w:space="0" w:color="auto"/>
        <w:left w:val="none" w:sz="0" w:space="0" w:color="auto"/>
        <w:bottom w:val="none" w:sz="0" w:space="0" w:color="auto"/>
        <w:right w:val="none" w:sz="0" w:space="0" w:color="auto"/>
      </w:divBdr>
    </w:div>
    <w:div w:id="1297488861">
      <w:bodyDiv w:val="1"/>
      <w:marLeft w:val="0"/>
      <w:marRight w:val="0"/>
      <w:marTop w:val="0"/>
      <w:marBottom w:val="0"/>
      <w:divBdr>
        <w:top w:val="none" w:sz="0" w:space="0" w:color="auto"/>
        <w:left w:val="none" w:sz="0" w:space="0" w:color="auto"/>
        <w:bottom w:val="none" w:sz="0" w:space="0" w:color="auto"/>
        <w:right w:val="none" w:sz="0" w:space="0" w:color="auto"/>
      </w:divBdr>
    </w:div>
    <w:div w:id="1300305176">
      <w:bodyDiv w:val="1"/>
      <w:marLeft w:val="0"/>
      <w:marRight w:val="0"/>
      <w:marTop w:val="0"/>
      <w:marBottom w:val="0"/>
      <w:divBdr>
        <w:top w:val="none" w:sz="0" w:space="0" w:color="auto"/>
        <w:left w:val="none" w:sz="0" w:space="0" w:color="auto"/>
        <w:bottom w:val="none" w:sz="0" w:space="0" w:color="auto"/>
        <w:right w:val="none" w:sz="0" w:space="0" w:color="auto"/>
      </w:divBdr>
    </w:div>
    <w:div w:id="1304114424">
      <w:bodyDiv w:val="1"/>
      <w:marLeft w:val="0"/>
      <w:marRight w:val="0"/>
      <w:marTop w:val="0"/>
      <w:marBottom w:val="0"/>
      <w:divBdr>
        <w:top w:val="none" w:sz="0" w:space="0" w:color="auto"/>
        <w:left w:val="none" w:sz="0" w:space="0" w:color="auto"/>
        <w:bottom w:val="none" w:sz="0" w:space="0" w:color="auto"/>
        <w:right w:val="none" w:sz="0" w:space="0" w:color="auto"/>
      </w:divBdr>
    </w:div>
    <w:div w:id="1308634329">
      <w:bodyDiv w:val="1"/>
      <w:marLeft w:val="0"/>
      <w:marRight w:val="0"/>
      <w:marTop w:val="0"/>
      <w:marBottom w:val="0"/>
      <w:divBdr>
        <w:top w:val="none" w:sz="0" w:space="0" w:color="auto"/>
        <w:left w:val="none" w:sz="0" w:space="0" w:color="auto"/>
        <w:bottom w:val="none" w:sz="0" w:space="0" w:color="auto"/>
        <w:right w:val="none" w:sz="0" w:space="0" w:color="auto"/>
      </w:divBdr>
      <w:divsChild>
        <w:div w:id="388462610">
          <w:marLeft w:val="274"/>
          <w:marRight w:val="0"/>
          <w:marTop w:val="0"/>
          <w:marBottom w:val="360"/>
          <w:divBdr>
            <w:top w:val="none" w:sz="0" w:space="0" w:color="auto"/>
            <w:left w:val="none" w:sz="0" w:space="0" w:color="auto"/>
            <w:bottom w:val="none" w:sz="0" w:space="0" w:color="auto"/>
            <w:right w:val="none" w:sz="0" w:space="0" w:color="auto"/>
          </w:divBdr>
        </w:div>
        <w:div w:id="983119281">
          <w:marLeft w:val="274"/>
          <w:marRight w:val="0"/>
          <w:marTop w:val="0"/>
          <w:marBottom w:val="0"/>
          <w:divBdr>
            <w:top w:val="none" w:sz="0" w:space="0" w:color="auto"/>
            <w:left w:val="none" w:sz="0" w:space="0" w:color="auto"/>
            <w:bottom w:val="none" w:sz="0" w:space="0" w:color="auto"/>
            <w:right w:val="none" w:sz="0" w:space="0" w:color="auto"/>
          </w:divBdr>
        </w:div>
        <w:div w:id="1204101638">
          <w:marLeft w:val="274"/>
          <w:marRight w:val="0"/>
          <w:marTop w:val="0"/>
          <w:marBottom w:val="360"/>
          <w:divBdr>
            <w:top w:val="none" w:sz="0" w:space="0" w:color="auto"/>
            <w:left w:val="none" w:sz="0" w:space="0" w:color="auto"/>
            <w:bottom w:val="none" w:sz="0" w:space="0" w:color="auto"/>
            <w:right w:val="none" w:sz="0" w:space="0" w:color="auto"/>
          </w:divBdr>
        </w:div>
        <w:div w:id="1904679774">
          <w:marLeft w:val="274"/>
          <w:marRight w:val="0"/>
          <w:marTop w:val="0"/>
          <w:marBottom w:val="120"/>
          <w:divBdr>
            <w:top w:val="none" w:sz="0" w:space="0" w:color="auto"/>
            <w:left w:val="none" w:sz="0" w:space="0" w:color="auto"/>
            <w:bottom w:val="none" w:sz="0" w:space="0" w:color="auto"/>
            <w:right w:val="none" w:sz="0" w:space="0" w:color="auto"/>
          </w:divBdr>
        </w:div>
      </w:divsChild>
    </w:div>
    <w:div w:id="1309287630">
      <w:bodyDiv w:val="1"/>
      <w:marLeft w:val="0"/>
      <w:marRight w:val="0"/>
      <w:marTop w:val="0"/>
      <w:marBottom w:val="0"/>
      <w:divBdr>
        <w:top w:val="none" w:sz="0" w:space="0" w:color="auto"/>
        <w:left w:val="none" w:sz="0" w:space="0" w:color="auto"/>
        <w:bottom w:val="none" w:sz="0" w:space="0" w:color="auto"/>
        <w:right w:val="none" w:sz="0" w:space="0" w:color="auto"/>
      </w:divBdr>
    </w:div>
    <w:div w:id="1312715323">
      <w:bodyDiv w:val="1"/>
      <w:marLeft w:val="0"/>
      <w:marRight w:val="0"/>
      <w:marTop w:val="0"/>
      <w:marBottom w:val="0"/>
      <w:divBdr>
        <w:top w:val="none" w:sz="0" w:space="0" w:color="auto"/>
        <w:left w:val="none" w:sz="0" w:space="0" w:color="auto"/>
        <w:bottom w:val="none" w:sz="0" w:space="0" w:color="auto"/>
        <w:right w:val="none" w:sz="0" w:space="0" w:color="auto"/>
      </w:divBdr>
    </w:div>
    <w:div w:id="1334845437">
      <w:bodyDiv w:val="1"/>
      <w:marLeft w:val="0"/>
      <w:marRight w:val="0"/>
      <w:marTop w:val="0"/>
      <w:marBottom w:val="0"/>
      <w:divBdr>
        <w:top w:val="none" w:sz="0" w:space="0" w:color="auto"/>
        <w:left w:val="none" w:sz="0" w:space="0" w:color="auto"/>
        <w:bottom w:val="none" w:sz="0" w:space="0" w:color="auto"/>
        <w:right w:val="none" w:sz="0" w:space="0" w:color="auto"/>
      </w:divBdr>
    </w:div>
    <w:div w:id="1338507352">
      <w:bodyDiv w:val="1"/>
      <w:marLeft w:val="0"/>
      <w:marRight w:val="0"/>
      <w:marTop w:val="0"/>
      <w:marBottom w:val="0"/>
      <w:divBdr>
        <w:top w:val="none" w:sz="0" w:space="0" w:color="auto"/>
        <w:left w:val="none" w:sz="0" w:space="0" w:color="auto"/>
        <w:bottom w:val="none" w:sz="0" w:space="0" w:color="auto"/>
        <w:right w:val="none" w:sz="0" w:space="0" w:color="auto"/>
      </w:divBdr>
    </w:div>
    <w:div w:id="1345352890">
      <w:bodyDiv w:val="1"/>
      <w:marLeft w:val="0"/>
      <w:marRight w:val="0"/>
      <w:marTop w:val="0"/>
      <w:marBottom w:val="0"/>
      <w:divBdr>
        <w:top w:val="none" w:sz="0" w:space="0" w:color="auto"/>
        <w:left w:val="none" w:sz="0" w:space="0" w:color="auto"/>
        <w:bottom w:val="none" w:sz="0" w:space="0" w:color="auto"/>
        <w:right w:val="none" w:sz="0" w:space="0" w:color="auto"/>
      </w:divBdr>
    </w:div>
    <w:div w:id="1347830123">
      <w:bodyDiv w:val="1"/>
      <w:marLeft w:val="0"/>
      <w:marRight w:val="0"/>
      <w:marTop w:val="0"/>
      <w:marBottom w:val="0"/>
      <w:divBdr>
        <w:top w:val="none" w:sz="0" w:space="0" w:color="auto"/>
        <w:left w:val="none" w:sz="0" w:space="0" w:color="auto"/>
        <w:bottom w:val="none" w:sz="0" w:space="0" w:color="auto"/>
        <w:right w:val="none" w:sz="0" w:space="0" w:color="auto"/>
      </w:divBdr>
    </w:div>
    <w:div w:id="1351833417">
      <w:bodyDiv w:val="1"/>
      <w:marLeft w:val="0"/>
      <w:marRight w:val="0"/>
      <w:marTop w:val="0"/>
      <w:marBottom w:val="0"/>
      <w:divBdr>
        <w:top w:val="none" w:sz="0" w:space="0" w:color="auto"/>
        <w:left w:val="none" w:sz="0" w:space="0" w:color="auto"/>
        <w:bottom w:val="none" w:sz="0" w:space="0" w:color="auto"/>
        <w:right w:val="none" w:sz="0" w:space="0" w:color="auto"/>
      </w:divBdr>
    </w:div>
    <w:div w:id="1353915080">
      <w:bodyDiv w:val="1"/>
      <w:marLeft w:val="0"/>
      <w:marRight w:val="0"/>
      <w:marTop w:val="0"/>
      <w:marBottom w:val="0"/>
      <w:divBdr>
        <w:top w:val="none" w:sz="0" w:space="0" w:color="auto"/>
        <w:left w:val="none" w:sz="0" w:space="0" w:color="auto"/>
        <w:bottom w:val="none" w:sz="0" w:space="0" w:color="auto"/>
        <w:right w:val="none" w:sz="0" w:space="0" w:color="auto"/>
      </w:divBdr>
    </w:div>
    <w:div w:id="1367439093">
      <w:bodyDiv w:val="1"/>
      <w:marLeft w:val="0"/>
      <w:marRight w:val="0"/>
      <w:marTop w:val="0"/>
      <w:marBottom w:val="0"/>
      <w:divBdr>
        <w:top w:val="none" w:sz="0" w:space="0" w:color="auto"/>
        <w:left w:val="none" w:sz="0" w:space="0" w:color="auto"/>
        <w:bottom w:val="none" w:sz="0" w:space="0" w:color="auto"/>
        <w:right w:val="none" w:sz="0" w:space="0" w:color="auto"/>
      </w:divBdr>
    </w:div>
    <w:div w:id="1376926310">
      <w:bodyDiv w:val="1"/>
      <w:marLeft w:val="0"/>
      <w:marRight w:val="0"/>
      <w:marTop w:val="0"/>
      <w:marBottom w:val="0"/>
      <w:divBdr>
        <w:top w:val="none" w:sz="0" w:space="0" w:color="auto"/>
        <w:left w:val="none" w:sz="0" w:space="0" w:color="auto"/>
        <w:bottom w:val="none" w:sz="0" w:space="0" w:color="auto"/>
        <w:right w:val="none" w:sz="0" w:space="0" w:color="auto"/>
      </w:divBdr>
    </w:div>
    <w:div w:id="1381400451">
      <w:bodyDiv w:val="1"/>
      <w:marLeft w:val="0"/>
      <w:marRight w:val="0"/>
      <w:marTop w:val="0"/>
      <w:marBottom w:val="0"/>
      <w:divBdr>
        <w:top w:val="none" w:sz="0" w:space="0" w:color="auto"/>
        <w:left w:val="none" w:sz="0" w:space="0" w:color="auto"/>
        <w:bottom w:val="none" w:sz="0" w:space="0" w:color="auto"/>
        <w:right w:val="none" w:sz="0" w:space="0" w:color="auto"/>
      </w:divBdr>
      <w:divsChild>
        <w:div w:id="1711802941">
          <w:marLeft w:val="173"/>
          <w:marRight w:val="0"/>
          <w:marTop w:val="120"/>
          <w:marBottom w:val="60"/>
          <w:divBdr>
            <w:top w:val="none" w:sz="0" w:space="0" w:color="auto"/>
            <w:left w:val="none" w:sz="0" w:space="0" w:color="auto"/>
            <w:bottom w:val="none" w:sz="0" w:space="0" w:color="auto"/>
            <w:right w:val="none" w:sz="0" w:space="0" w:color="auto"/>
          </w:divBdr>
        </w:div>
        <w:div w:id="1876233202">
          <w:marLeft w:val="173"/>
          <w:marRight w:val="0"/>
          <w:marTop w:val="120"/>
          <w:marBottom w:val="60"/>
          <w:divBdr>
            <w:top w:val="none" w:sz="0" w:space="0" w:color="auto"/>
            <w:left w:val="none" w:sz="0" w:space="0" w:color="auto"/>
            <w:bottom w:val="none" w:sz="0" w:space="0" w:color="auto"/>
            <w:right w:val="none" w:sz="0" w:space="0" w:color="auto"/>
          </w:divBdr>
        </w:div>
      </w:divsChild>
    </w:div>
    <w:div w:id="1383335256">
      <w:bodyDiv w:val="1"/>
      <w:marLeft w:val="0"/>
      <w:marRight w:val="0"/>
      <w:marTop w:val="0"/>
      <w:marBottom w:val="0"/>
      <w:divBdr>
        <w:top w:val="none" w:sz="0" w:space="0" w:color="auto"/>
        <w:left w:val="none" w:sz="0" w:space="0" w:color="auto"/>
        <w:bottom w:val="none" w:sz="0" w:space="0" w:color="auto"/>
        <w:right w:val="none" w:sz="0" w:space="0" w:color="auto"/>
      </w:divBdr>
    </w:div>
    <w:div w:id="1392271601">
      <w:bodyDiv w:val="1"/>
      <w:marLeft w:val="0"/>
      <w:marRight w:val="0"/>
      <w:marTop w:val="0"/>
      <w:marBottom w:val="0"/>
      <w:divBdr>
        <w:top w:val="none" w:sz="0" w:space="0" w:color="auto"/>
        <w:left w:val="none" w:sz="0" w:space="0" w:color="auto"/>
        <w:bottom w:val="none" w:sz="0" w:space="0" w:color="auto"/>
        <w:right w:val="none" w:sz="0" w:space="0" w:color="auto"/>
      </w:divBdr>
    </w:div>
    <w:div w:id="1393885992">
      <w:bodyDiv w:val="1"/>
      <w:marLeft w:val="0"/>
      <w:marRight w:val="0"/>
      <w:marTop w:val="0"/>
      <w:marBottom w:val="0"/>
      <w:divBdr>
        <w:top w:val="none" w:sz="0" w:space="0" w:color="auto"/>
        <w:left w:val="none" w:sz="0" w:space="0" w:color="auto"/>
        <w:bottom w:val="none" w:sz="0" w:space="0" w:color="auto"/>
        <w:right w:val="none" w:sz="0" w:space="0" w:color="auto"/>
      </w:divBdr>
    </w:div>
    <w:div w:id="1407336000">
      <w:bodyDiv w:val="1"/>
      <w:marLeft w:val="0"/>
      <w:marRight w:val="0"/>
      <w:marTop w:val="0"/>
      <w:marBottom w:val="0"/>
      <w:divBdr>
        <w:top w:val="none" w:sz="0" w:space="0" w:color="auto"/>
        <w:left w:val="none" w:sz="0" w:space="0" w:color="auto"/>
        <w:bottom w:val="none" w:sz="0" w:space="0" w:color="auto"/>
        <w:right w:val="none" w:sz="0" w:space="0" w:color="auto"/>
      </w:divBdr>
    </w:div>
    <w:div w:id="1408654712">
      <w:bodyDiv w:val="1"/>
      <w:marLeft w:val="0"/>
      <w:marRight w:val="0"/>
      <w:marTop w:val="0"/>
      <w:marBottom w:val="0"/>
      <w:divBdr>
        <w:top w:val="none" w:sz="0" w:space="0" w:color="auto"/>
        <w:left w:val="none" w:sz="0" w:space="0" w:color="auto"/>
        <w:bottom w:val="none" w:sz="0" w:space="0" w:color="auto"/>
        <w:right w:val="none" w:sz="0" w:space="0" w:color="auto"/>
      </w:divBdr>
    </w:div>
    <w:div w:id="1410468933">
      <w:bodyDiv w:val="1"/>
      <w:marLeft w:val="0"/>
      <w:marRight w:val="0"/>
      <w:marTop w:val="0"/>
      <w:marBottom w:val="0"/>
      <w:divBdr>
        <w:top w:val="none" w:sz="0" w:space="0" w:color="auto"/>
        <w:left w:val="none" w:sz="0" w:space="0" w:color="auto"/>
        <w:bottom w:val="none" w:sz="0" w:space="0" w:color="auto"/>
        <w:right w:val="none" w:sz="0" w:space="0" w:color="auto"/>
      </w:divBdr>
      <w:divsChild>
        <w:div w:id="203518264">
          <w:marLeft w:val="274"/>
          <w:marRight w:val="0"/>
          <w:marTop w:val="0"/>
          <w:marBottom w:val="120"/>
          <w:divBdr>
            <w:top w:val="none" w:sz="0" w:space="0" w:color="auto"/>
            <w:left w:val="none" w:sz="0" w:space="0" w:color="auto"/>
            <w:bottom w:val="none" w:sz="0" w:space="0" w:color="auto"/>
            <w:right w:val="none" w:sz="0" w:space="0" w:color="auto"/>
          </w:divBdr>
        </w:div>
        <w:div w:id="787161705">
          <w:marLeft w:val="274"/>
          <w:marRight w:val="0"/>
          <w:marTop w:val="0"/>
          <w:marBottom w:val="120"/>
          <w:divBdr>
            <w:top w:val="none" w:sz="0" w:space="0" w:color="auto"/>
            <w:left w:val="none" w:sz="0" w:space="0" w:color="auto"/>
            <w:bottom w:val="none" w:sz="0" w:space="0" w:color="auto"/>
            <w:right w:val="none" w:sz="0" w:space="0" w:color="auto"/>
          </w:divBdr>
        </w:div>
        <w:div w:id="1203245993">
          <w:marLeft w:val="274"/>
          <w:marRight w:val="0"/>
          <w:marTop w:val="0"/>
          <w:marBottom w:val="120"/>
          <w:divBdr>
            <w:top w:val="none" w:sz="0" w:space="0" w:color="auto"/>
            <w:left w:val="none" w:sz="0" w:space="0" w:color="auto"/>
            <w:bottom w:val="none" w:sz="0" w:space="0" w:color="auto"/>
            <w:right w:val="none" w:sz="0" w:space="0" w:color="auto"/>
          </w:divBdr>
        </w:div>
        <w:div w:id="1263028040">
          <w:marLeft w:val="274"/>
          <w:marRight w:val="0"/>
          <w:marTop w:val="0"/>
          <w:marBottom w:val="120"/>
          <w:divBdr>
            <w:top w:val="none" w:sz="0" w:space="0" w:color="auto"/>
            <w:left w:val="none" w:sz="0" w:space="0" w:color="auto"/>
            <w:bottom w:val="none" w:sz="0" w:space="0" w:color="auto"/>
            <w:right w:val="none" w:sz="0" w:space="0" w:color="auto"/>
          </w:divBdr>
        </w:div>
        <w:div w:id="1312057326">
          <w:marLeft w:val="274"/>
          <w:marRight w:val="0"/>
          <w:marTop w:val="0"/>
          <w:marBottom w:val="120"/>
          <w:divBdr>
            <w:top w:val="none" w:sz="0" w:space="0" w:color="auto"/>
            <w:left w:val="none" w:sz="0" w:space="0" w:color="auto"/>
            <w:bottom w:val="none" w:sz="0" w:space="0" w:color="auto"/>
            <w:right w:val="none" w:sz="0" w:space="0" w:color="auto"/>
          </w:divBdr>
        </w:div>
      </w:divsChild>
    </w:div>
    <w:div w:id="1413772178">
      <w:bodyDiv w:val="1"/>
      <w:marLeft w:val="0"/>
      <w:marRight w:val="0"/>
      <w:marTop w:val="0"/>
      <w:marBottom w:val="0"/>
      <w:divBdr>
        <w:top w:val="none" w:sz="0" w:space="0" w:color="auto"/>
        <w:left w:val="none" w:sz="0" w:space="0" w:color="auto"/>
        <w:bottom w:val="none" w:sz="0" w:space="0" w:color="auto"/>
        <w:right w:val="none" w:sz="0" w:space="0" w:color="auto"/>
      </w:divBdr>
    </w:div>
    <w:div w:id="1430196302">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50929612">
      <w:bodyDiv w:val="1"/>
      <w:marLeft w:val="0"/>
      <w:marRight w:val="0"/>
      <w:marTop w:val="0"/>
      <w:marBottom w:val="0"/>
      <w:divBdr>
        <w:top w:val="none" w:sz="0" w:space="0" w:color="auto"/>
        <w:left w:val="none" w:sz="0" w:space="0" w:color="auto"/>
        <w:bottom w:val="none" w:sz="0" w:space="0" w:color="auto"/>
        <w:right w:val="none" w:sz="0" w:space="0" w:color="auto"/>
      </w:divBdr>
    </w:div>
    <w:div w:id="1459638494">
      <w:bodyDiv w:val="1"/>
      <w:marLeft w:val="0"/>
      <w:marRight w:val="0"/>
      <w:marTop w:val="0"/>
      <w:marBottom w:val="0"/>
      <w:divBdr>
        <w:top w:val="none" w:sz="0" w:space="0" w:color="auto"/>
        <w:left w:val="none" w:sz="0" w:space="0" w:color="auto"/>
        <w:bottom w:val="none" w:sz="0" w:space="0" w:color="auto"/>
        <w:right w:val="none" w:sz="0" w:space="0" w:color="auto"/>
      </w:divBdr>
    </w:div>
    <w:div w:id="1471560325">
      <w:bodyDiv w:val="1"/>
      <w:marLeft w:val="0"/>
      <w:marRight w:val="0"/>
      <w:marTop w:val="0"/>
      <w:marBottom w:val="0"/>
      <w:divBdr>
        <w:top w:val="none" w:sz="0" w:space="0" w:color="auto"/>
        <w:left w:val="none" w:sz="0" w:space="0" w:color="auto"/>
        <w:bottom w:val="none" w:sz="0" w:space="0" w:color="auto"/>
        <w:right w:val="none" w:sz="0" w:space="0" w:color="auto"/>
      </w:divBdr>
    </w:div>
    <w:div w:id="1473405661">
      <w:bodyDiv w:val="1"/>
      <w:marLeft w:val="0"/>
      <w:marRight w:val="0"/>
      <w:marTop w:val="0"/>
      <w:marBottom w:val="0"/>
      <w:divBdr>
        <w:top w:val="none" w:sz="0" w:space="0" w:color="auto"/>
        <w:left w:val="none" w:sz="0" w:space="0" w:color="auto"/>
        <w:bottom w:val="none" w:sz="0" w:space="0" w:color="auto"/>
        <w:right w:val="none" w:sz="0" w:space="0" w:color="auto"/>
      </w:divBdr>
      <w:divsChild>
        <w:div w:id="121929389">
          <w:marLeft w:val="173"/>
          <w:marRight w:val="0"/>
          <w:marTop w:val="0"/>
          <w:marBottom w:val="120"/>
          <w:divBdr>
            <w:top w:val="none" w:sz="0" w:space="0" w:color="auto"/>
            <w:left w:val="none" w:sz="0" w:space="0" w:color="auto"/>
            <w:bottom w:val="none" w:sz="0" w:space="0" w:color="auto"/>
            <w:right w:val="none" w:sz="0" w:space="0" w:color="auto"/>
          </w:divBdr>
        </w:div>
        <w:div w:id="190268122">
          <w:marLeft w:val="173"/>
          <w:marRight w:val="0"/>
          <w:marTop w:val="0"/>
          <w:marBottom w:val="120"/>
          <w:divBdr>
            <w:top w:val="none" w:sz="0" w:space="0" w:color="auto"/>
            <w:left w:val="none" w:sz="0" w:space="0" w:color="auto"/>
            <w:bottom w:val="none" w:sz="0" w:space="0" w:color="auto"/>
            <w:right w:val="none" w:sz="0" w:space="0" w:color="auto"/>
          </w:divBdr>
        </w:div>
        <w:div w:id="590050143">
          <w:marLeft w:val="662"/>
          <w:marRight w:val="0"/>
          <w:marTop w:val="0"/>
          <w:marBottom w:val="120"/>
          <w:divBdr>
            <w:top w:val="none" w:sz="0" w:space="0" w:color="auto"/>
            <w:left w:val="none" w:sz="0" w:space="0" w:color="auto"/>
            <w:bottom w:val="none" w:sz="0" w:space="0" w:color="auto"/>
            <w:right w:val="none" w:sz="0" w:space="0" w:color="auto"/>
          </w:divBdr>
        </w:div>
        <w:div w:id="671764287">
          <w:marLeft w:val="173"/>
          <w:marRight w:val="0"/>
          <w:marTop w:val="0"/>
          <w:marBottom w:val="120"/>
          <w:divBdr>
            <w:top w:val="none" w:sz="0" w:space="0" w:color="auto"/>
            <w:left w:val="none" w:sz="0" w:space="0" w:color="auto"/>
            <w:bottom w:val="none" w:sz="0" w:space="0" w:color="auto"/>
            <w:right w:val="none" w:sz="0" w:space="0" w:color="auto"/>
          </w:divBdr>
        </w:div>
        <w:div w:id="1355303863">
          <w:marLeft w:val="662"/>
          <w:marRight w:val="0"/>
          <w:marTop w:val="0"/>
          <w:marBottom w:val="120"/>
          <w:divBdr>
            <w:top w:val="none" w:sz="0" w:space="0" w:color="auto"/>
            <w:left w:val="none" w:sz="0" w:space="0" w:color="auto"/>
            <w:bottom w:val="none" w:sz="0" w:space="0" w:color="auto"/>
            <w:right w:val="none" w:sz="0" w:space="0" w:color="auto"/>
          </w:divBdr>
        </w:div>
        <w:div w:id="1403716315">
          <w:marLeft w:val="662"/>
          <w:marRight w:val="0"/>
          <w:marTop w:val="0"/>
          <w:marBottom w:val="120"/>
          <w:divBdr>
            <w:top w:val="none" w:sz="0" w:space="0" w:color="auto"/>
            <w:left w:val="none" w:sz="0" w:space="0" w:color="auto"/>
            <w:bottom w:val="none" w:sz="0" w:space="0" w:color="auto"/>
            <w:right w:val="none" w:sz="0" w:space="0" w:color="auto"/>
          </w:divBdr>
        </w:div>
      </w:divsChild>
    </w:div>
    <w:div w:id="1490903233">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498229621">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07358578">
      <w:bodyDiv w:val="1"/>
      <w:marLeft w:val="0"/>
      <w:marRight w:val="0"/>
      <w:marTop w:val="0"/>
      <w:marBottom w:val="0"/>
      <w:divBdr>
        <w:top w:val="none" w:sz="0" w:space="0" w:color="auto"/>
        <w:left w:val="none" w:sz="0" w:space="0" w:color="auto"/>
        <w:bottom w:val="none" w:sz="0" w:space="0" w:color="auto"/>
        <w:right w:val="none" w:sz="0" w:space="0" w:color="auto"/>
      </w:divBdr>
      <w:divsChild>
        <w:div w:id="834419168">
          <w:marLeft w:val="1224"/>
          <w:marRight w:val="0"/>
          <w:marTop w:val="0"/>
          <w:marBottom w:val="320"/>
          <w:divBdr>
            <w:top w:val="none" w:sz="0" w:space="0" w:color="auto"/>
            <w:left w:val="none" w:sz="0" w:space="0" w:color="auto"/>
            <w:bottom w:val="none" w:sz="0" w:space="0" w:color="auto"/>
            <w:right w:val="none" w:sz="0" w:space="0" w:color="auto"/>
          </w:divBdr>
        </w:div>
        <w:div w:id="847135812">
          <w:marLeft w:val="1224"/>
          <w:marRight w:val="0"/>
          <w:marTop w:val="0"/>
          <w:marBottom w:val="60"/>
          <w:divBdr>
            <w:top w:val="none" w:sz="0" w:space="0" w:color="auto"/>
            <w:left w:val="none" w:sz="0" w:space="0" w:color="auto"/>
            <w:bottom w:val="none" w:sz="0" w:space="0" w:color="auto"/>
            <w:right w:val="none" w:sz="0" w:space="0" w:color="auto"/>
          </w:divBdr>
        </w:div>
      </w:divsChild>
    </w:div>
    <w:div w:id="1514494820">
      <w:bodyDiv w:val="1"/>
      <w:marLeft w:val="0"/>
      <w:marRight w:val="0"/>
      <w:marTop w:val="0"/>
      <w:marBottom w:val="0"/>
      <w:divBdr>
        <w:top w:val="none" w:sz="0" w:space="0" w:color="auto"/>
        <w:left w:val="none" w:sz="0" w:space="0" w:color="auto"/>
        <w:bottom w:val="none" w:sz="0" w:space="0" w:color="auto"/>
        <w:right w:val="none" w:sz="0" w:space="0" w:color="auto"/>
      </w:divBdr>
      <w:divsChild>
        <w:div w:id="450057881">
          <w:marLeft w:val="360"/>
          <w:marRight w:val="0"/>
          <w:marTop w:val="0"/>
          <w:marBottom w:val="120"/>
          <w:divBdr>
            <w:top w:val="none" w:sz="0" w:space="0" w:color="auto"/>
            <w:left w:val="none" w:sz="0" w:space="0" w:color="auto"/>
            <w:bottom w:val="none" w:sz="0" w:space="0" w:color="auto"/>
            <w:right w:val="none" w:sz="0" w:space="0" w:color="auto"/>
          </w:divBdr>
        </w:div>
        <w:div w:id="891355395">
          <w:marLeft w:val="360"/>
          <w:marRight w:val="0"/>
          <w:marTop w:val="0"/>
          <w:marBottom w:val="120"/>
          <w:divBdr>
            <w:top w:val="none" w:sz="0" w:space="0" w:color="auto"/>
            <w:left w:val="none" w:sz="0" w:space="0" w:color="auto"/>
            <w:bottom w:val="none" w:sz="0" w:space="0" w:color="auto"/>
            <w:right w:val="none" w:sz="0" w:space="0" w:color="auto"/>
          </w:divBdr>
        </w:div>
        <w:div w:id="1070153436">
          <w:marLeft w:val="360"/>
          <w:marRight w:val="0"/>
          <w:marTop w:val="0"/>
          <w:marBottom w:val="120"/>
          <w:divBdr>
            <w:top w:val="none" w:sz="0" w:space="0" w:color="auto"/>
            <w:left w:val="none" w:sz="0" w:space="0" w:color="auto"/>
            <w:bottom w:val="none" w:sz="0" w:space="0" w:color="auto"/>
            <w:right w:val="none" w:sz="0" w:space="0" w:color="auto"/>
          </w:divBdr>
        </w:div>
        <w:div w:id="1582135176">
          <w:marLeft w:val="360"/>
          <w:marRight w:val="0"/>
          <w:marTop w:val="0"/>
          <w:marBottom w:val="120"/>
          <w:divBdr>
            <w:top w:val="none" w:sz="0" w:space="0" w:color="auto"/>
            <w:left w:val="none" w:sz="0" w:space="0" w:color="auto"/>
            <w:bottom w:val="none" w:sz="0" w:space="0" w:color="auto"/>
            <w:right w:val="none" w:sz="0" w:space="0" w:color="auto"/>
          </w:divBdr>
        </w:div>
        <w:div w:id="1654603339">
          <w:marLeft w:val="360"/>
          <w:marRight w:val="0"/>
          <w:marTop w:val="0"/>
          <w:marBottom w:val="120"/>
          <w:divBdr>
            <w:top w:val="none" w:sz="0" w:space="0" w:color="auto"/>
            <w:left w:val="none" w:sz="0" w:space="0" w:color="auto"/>
            <w:bottom w:val="none" w:sz="0" w:space="0" w:color="auto"/>
            <w:right w:val="none" w:sz="0" w:space="0" w:color="auto"/>
          </w:divBdr>
        </w:div>
        <w:div w:id="1834487264">
          <w:marLeft w:val="360"/>
          <w:marRight w:val="0"/>
          <w:marTop w:val="0"/>
          <w:marBottom w:val="120"/>
          <w:divBdr>
            <w:top w:val="none" w:sz="0" w:space="0" w:color="auto"/>
            <w:left w:val="none" w:sz="0" w:space="0" w:color="auto"/>
            <w:bottom w:val="none" w:sz="0" w:space="0" w:color="auto"/>
            <w:right w:val="none" w:sz="0" w:space="0" w:color="auto"/>
          </w:divBdr>
        </w:div>
        <w:div w:id="1992783052">
          <w:marLeft w:val="360"/>
          <w:marRight w:val="0"/>
          <w:marTop w:val="0"/>
          <w:marBottom w:val="120"/>
          <w:divBdr>
            <w:top w:val="none" w:sz="0" w:space="0" w:color="auto"/>
            <w:left w:val="none" w:sz="0" w:space="0" w:color="auto"/>
            <w:bottom w:val="none" w:sz="0" w:space="0" w:color="auto"/>
            <w:right w:val="none" w:sz="0" w:space="0" w:color="auto"/>
          </w:divBdr>
        </w:div>
      </w:divsChild>
    </w:div>
    <w:div w:id="1516112711">
      <w:bodyDiv w:val="1"/>
      <w:marLeft w:val="0"/>
      <w:marRight w:val="0"/>
      <w:marTop w:val="0"/>
      <w:marBottom w:val="0"/>
      <w:divBdr>
        <w:top w:val="none" w:sz="0" w:space="0" w:color="auto"/>
        <w:left w:val="none" w:sz="0" w:space="0" w:color="auto"/>
        <w:bottom w:val="none" w:sz="0" w:space="0" w:color="auto"/>
        <w:right w:val="none" w:sz="0" w:space="0" w:color="auto"/>
      </w:divBdr>
    </w:div>
    <w:div w:id="1524126344">
      <w:bodyDiv w:val="1"/>
      <w:marLeft w:val="0"/>
      <w:marRight w:val="0"/>
      <w:marTop w:val="0"/>
      <w:marBottom w:val="0"/>
      <w:divBdr>
        <w:top w:val="none" w:sz="0" w:space="0" w:color="auto"/>
        <w:left w:val="none" w:sz="0" w:space="0" w:color="auto"/>
        <w:bottom w:val="none" w:sz="0" w:space="0" w:color="auto"/>
        <w:right w:val="none" w:sz="0" w:space="0" w:color="auto"/>
      </w:divBdr>
    </w:div>
    <w:div w:id="1528257114">
      <w:bodyDiv w:val="1"/>
      <w:marLeft w:val="0"/>
      <w:marRight w:val="0"/>
      <w:marTop w:val="0"/>
      <w:marBottom w:val="0"/>
      <w:divBdr>
        <w:top w:val="none" w:sz="0" w:space="0" w:color="auto"/>
        <w:left w:val="none" w:sz="0" w:space="0" w:color="auto"/>
        <w:bottom w:val="none" w:sz="0" w:space="0" w:color="auto"/>
        <w:right w:val="none" w:sz="0" w:space="0" w:color="auto"/>
      </w:divBdr>
    </w:div>
    <w:div w:id="1528375935">
      <w:bodyDiv w:val="1"/>
      <w:marLeft w:val="0"/>
      <w:marRight w:val="0"/>
      <w:marTop w:val="0"/>
      <w:marBottom w:val="0"/>
      <w:divBdr>
        <w:top w:val="none" w:sz="0" w:space="0" w:color="auto"/>
        <w:left w:val="none" w:sz="0" w:space="0" w:color="auto"/>
        <w:bottom w:val="none" w:sz="0" w:space="0" w:color="auto"/>
        <w:right w:val="none" w:sz="0" w:space="0" w:color="auto"/>
      </w:divBdr>
    </w:div>
    <w:div w:id="1530797812">
      <w:bodyDiv w:val="1"/>
      <w:marLeft w:val="0"/>
      <w:marRight w:val="0"/>
      <w:marTop w:val="0"/>
      <w:marBottom w:val="0"/>
      <w:divBdr>
        <w:top w:val="none" w:sz="0" w:space="0" w:color="auto"/>
        <w:left w:val="none" w:sz="0" w:space="0" w:color="auto"/>
        <w:bottom w:val="none" w:sz="0" w:space="0" w:color="auto"/>
        <w:right w:val="none" w:sz="0" w:space="0" w:color="auto"/>
      </w:divBdr>
    </w:div>
    <w:div w:id="1544322369">
      <w:bodyDiv w:val="1"/>
      <w:marLeft w:val="0"/>
      <w:marRight w:val="0"/>
      <w:marTop w:val="0"/>
      <w:marBottom w:val="0"/>
      <w:divBdr>
        <w:top w:val="none" w:sz="0" w:space="0" w:color="auto"/>
        <w:left w:val="none" w:sz="0" w:space="0" w:color="auto"/>
        <w:bottom w:val="none" w:sz="0" w:space="0" w:color="auto"/>
        <w:right w:val="none" w:sz="0" w:space="0" w:color="auto"/>
      </w:divBdr>
    </w:div>
    <w:div w:id="1552695601">
      <w:bodyDiv w:val="1"/>
      <w:marLeft w:val="0"/>
      <w:marRight w:val="0"/>
      <w:marTop w:val="0"/>
      <w:marBottom w:val="0"/>
      <w:divBdr>
        <w:top w:val="none" w:sz="0" w:space="0" w:color="auto"/>
        <w:left w:val="none" w:sz="0" w:space="0" w:color="auto"/>
        <w:bottom w:val="none" w:sz="0" w:space="0" w:color="auto"/>
        <w:right w:val="none" w:sz="0" w:space="0" w:color="auto"/>
      </w:divBdr>
    </w:div>
    <w:div w:id="1555041034">
      <w:bodyDiv w:val="1"/>
      <w:marLeft w:val="0"/>
      <w:marRight w:val="0"/>
      <w:marTop w:val="0"/>
      <w:marBottom w:val="0"/>
      <w:divBdr>
        <w:top w:val="none" w:sz="0" w:space="0" w:color="auto"/>
        <w:left w:val="none" w:sz="0" w:space="0" w:color="auto"/>
        <w:bottom w:val="none" w:sz="0" w:space="0" w:color="auto"/>
        <w:right w:val="none" w:sz="0" w:space="0" w:color="auto"/>
      </w:divBdr>
      <w:divsChild>
        <w:div w:id="61489976">
          <w:marLeft w:val="0"/>
          <w:marRight w:val="0"/>
          <w:marTop w:val="0"/>
          <w:marBottom w:val="196"/>
          <w:divBdr>
            <w:top w:val="none" w:sz="0" w:space="0" w:color="auto"/>
            <w:left w:val="none" w:sz="0" w:space="0" w:color="auto"/>
            <w:bottom w:val="none" w:sz="0" w:space="0" w:color="auto"/>
            <w:right w:val="none" w:sz="0" w:space="0" w:color="auto"/>
          </w:divBdr>
        </w:div>
      </w:divsChild>
    </w:div>
    <w:div w:id="1565944193">
      <w:bodyDiv w:val="1"/>
      <w:marLeft w:val="0"/>
      <w:marRight w:val="0"/>
      <w:marTop w:val="0"/>
      <w:marBottom w:val="0"/>
      <w:divBdr>
        <w:top w:val="none" w:sz="0" w:space="0" w:color="auto"/>
        <w:left w:val="none" w:sz="0" w:space="0" w:color="auto"/>
        <w:bottom w:val="none" w:sz="0" w:space="0" w:color="auto"/>
        <w:right w:val="none" w:sz="0" w:space="0" w:color="auto"/>
      </w:divBdr>
    </w:div>
    <w:div w:id="1571965785">
      <w:bodyDiv w:val="1"/>
      <w:marLeft w:val="0"/>
      <w:marRight w:val="0"/>
      <w:marTop w:val="0"/>
      <w:marBottom w:val="0"/>
      <w:divBdr>
        <w:top w:val="none" w:sz="0" w:space="0" w:color="auto"/>
        <w:left w:val="none" w:sz="0" w:space="0" w:color="auto"/>
        <w:bottom w:val="none" w:sz="0" w:space="0" w:color="auto"/>
        <w:right w:val="none" w:sz="0" w:space="0" w:color="auto"/>
      </w:divBdr>
    </w:div>
    <w:div w:id="1585072821">
      <w:bodyDiv w:val="1"/>
      <w:marLeft w:val="0"/>
      <w:marRight w:val="0"/>
      <w:marTop w:val="0"/>
      <w:marBottom w:val="0"/>
      <w:divBdr>
        <w:top w:val="none" w:sz="0" w:space="0" w:color="auto"/>
        <w:left w:val="none" w:sz="0" w:space="0" w:color="auto"/>
        <w:bottom w:val="none" w:sz="0" w:space="0" w:color="auto"/>
        <w:right w:val="none" w:sz="0" w:space="0" w:color="auto"/>
      </w:divBdr>
    </w:div>
    <w:div w:id="1587302170">
      <w:bodyDiv w:val="1"/>
      <w:marLeft w:val="0"/>
      <w:marRight w:val="0"/>
      <w:marTop w:val="0"/>
      <w:marBottom w:val="0"/>
      <w:divBdr>
        <w:top w:val="none" w:sz="0" w:space="0" w:color="auto"/>
        <w:left w:val="none" w:sz="0" w:space="0" w:color="auto"/>
        <w:bottom w:val="none" w:sz="0" w:space="0" w:color="auto"/>
        <w:right w:val="none" w:sz="0" w:space="0" w:color="auto"/>
      </w:divBdr>
    </w:div>
    <w:div w:id="1598172097">
      <w:bodyDiv w:val="1"/>
      <w:marLeft w:val="0"/>
      <w:marRight w:val="0"/>
      <w:marTop w:val="0"/>
      <w:marBottom w:val="0"/>
      <w:divBdr>
        <w:top w:val="none" w:sz="0" w:space="0" w:color="auto"/>
        <w:left w:val="none" w:sz="0" w:space="0" w:color="auto"/>
        <w:bottom w:val="none" w:sz="0" w:space="0" w:color="auto"/>
        <w:right w:val="none" w:sz="0" w:space="0" w:color="auto"/>
      </w:divBdr>
    </w:div>
    <w:div w:id="1599563950">
      <w:bodyDiv w:val="1"/>
      <w:marLeft w:val="0"/>
      <w:marRight w:val="0"/>
      <w:marTop w:val="0"/>
      <w:marBottom w:val="0"/>
      <w:divBdr>
        <w:top w:val="none" w:sz="0" w:space="0" w:color="auto"/>
        <w:left w:val="none" w:sz="0" w:space="0" w:color="auto"/>
        <w:bottom w:val="none" w:sz="0" w:space="0" w:color="auto"/>
        <w:right w:val="none" w:sz="0" w:space="0" w:color="auto"/>
      </w:divBdr>
    </w:div>
    <w:div w:id="1605458218">
      <w:bodyDiv w:val="1"/>
      <w:marLeft w:val="0"/>
      <w:marRight w:val="0"/>
      <w:marTop w:val="0"/>
      <w:marBottom w:val="0"/>
      <w:divBdr>
        <w:top w:val="none" w:sz="0" w:space="0" w:color="auto"/>
        <w:left w:val="none" w:sz="0" w:space="0" w:color="auto"/>
        <w:bottom w:val="none" w:sz="0" w:space="0" w:color="auto"/>
        <w:right w:val="none" w:sz="0" w:space="0" w:color="auto"/>
      </w:divBdr>
    </w:div>
    <w:div w:id="1609779070">
      <w:bodyDiv w:val="1"/>
      <w:marLeft w:val="0"/>
      <w:marRight w:val="0"/>
      <w:marTop w:val="0"/>
      <w:marBottom w:val="0"/>
      <w:divBdr>
        <w:top w:val="none" w:sz="0" w:space="0" w:color="auto"/>
        <w:left w:val="none" w:sz="0" w:space="0" w:color="auto"/>
        <w:bottom w:val="none" w:sz="0" w:space="0" w:color="auto"/>
        <w:right w:val="none" w:sz="0" w:space="0" w:color="auto"/>
      </w:divBdr>
    </w:div>
    <w:div w:id="1618021405">
      <w:bodyDiv w:val="1"/>
      <w:marLeft w:val="0"/>
      <w:marRight w:val="0"/>
      <w:marTop w:val="0"/>
      <w:marBottom w:val="0"/>
      <w:divBdr>
        <w:top w:val="none" w:sz="0" w:space="0" w:color="auto"/>
        <w:left w:val="none" w:sz="0" w:space="0" w:color="auto"/>
        <w:bottom w:val="none" w:sz="0" w:space="0" w:color="auto"/>
        <w:right w:val="none" w:sz="0" w:space="0" w:color="auto"/>
      </w:divBdr>
      <w:divsChild>
        <w:div w:id="919413274">
          <w:marLeft w:val="547"/>
          <w:marRight w:val="0"/>
          <w:marTop w:val="0"/>
          <w:marBottom w:val="0"/>
          <w:divBdr>
            <w:top w:val="none" w:sz="0" w:space="0" w:color="auto"/>
            <w:left w:val="none" w:sz="0" w:space="0" w:color="auto"/>
            <w:bottom w:val="none" w:sz="0" w:space="0" w:color="auto"/>
            <w:right w:val="none" w:sz="0" w:space="0" w:color="auto"/>
          </w:divBdr>
        </w:div>
        <w:div w:id="2143376386">
          <w:marLeft w:val="547"/>
          <w:marRight w:val="0"/>
          <w:marTop w:val="0"/>
          <w:marBottom w:val="0"/>
          <w:divBdr>
            <w:top w:val="none" w:sz="0" w:space="0" w:color="auto"/>
            <w:left w:val="none" w:sz="0" w:space="0" w:color="auto"/>
            <w:bottom w:val="none" w:sz="0" w:space="0" w:color="auto"/>
            <w:right w:val="none" w:sz="0" w:space="0" w:color="auto"/>
          </w:divBdr>
        </w:div>
      </w:divsChild>
    </w:div>
    <w:div w:id="1618826297">
      <w:bodyDiv w:val="1"/>
      <w:marLeft w:val="0"/>
      <w:marRight w:val="0"/>
      <w:marTop w:val="0"/>
      <w:marBottom w:val="0"/>
      <w:divBdr>
        <w:top w:val="none" w:sz="0" w:space="0" w:color="auto"/>
        <w:left w:val="none" w:sz="0" w:space="0" w:color="auto"/>
        <w:bottom w:val="none" w:sz="0" w:space="0" w:color="auto"/>
        <w:right w:val="none" w:sz="0" w:space="0" w:color="auto"/>
      </w:divBdr>
    </w:div>
    <w:div w:id="1638685710">
      <w:bodyDiv w:val="1"/>
      <w:marLeft w:val="0"/>
      <w:marRight w:val="0"/>
      <w:marTop w:val="0"/>
      <w:marBottom w:val="0"/>
      <w:divBdr>
        <w:top w:val="none" w:sz="0" w:space="0" w:color="auto"/>
        <w:left w:val="none" w:sz="0" w:space="0" w:color="auto"/>
        <w:bottom w:val="none" w:sz="0" w:space="0" w:color="auto"/>
        <w:right w:val="none" w:sz="0" w:space="0" w:color="auto"/>
      </w:divBdr>
    </w:div>
    <w:div w:id="1639649581">
      <w:bodyDiv w:val="1"/>
      <w:marLeft w:val="0"/>
      <w:marRight w:val="0"/>
      <w:marTop w:val="0"/>
      <w:marBottom w:val="0"/>
      <w:divBdr>
        <w:top w:val="none" w:sz="0" w:space="0" w:color="auto"/>
        <w:left w:val="none" w:sz="0" w:space="0" w:color="auto"/>
        <w:bottom w:val="none" w:sz="0" w:space="0" w:color="auto"/>
        <w:right w:val="none" w:sz="0" w:space="0" w:color="auto"/>
      </w:divBdr>
    </w:div>
    <w:div w:id="1647978782">
      <w:bodyDiv w:val="1"/>
      <w:marLeft w:val="0"/>
      <w:marRight w:val="0"/>
      <w:marTop w:val="0"/>
      <w:marBottom w:val="0"/>
      <w:divBdr>
        <w:top w:val="none" w:sz="0" w:space="0" w:color="auto"/>
        <w:left w:val="none" w:sz="0" w:space="0" w:color="auto"/>
        <w:bottom w:val="none" w:sz="0" w:space="0" w:color="auto"/>
        <w:right w:val="none" w:sz="0" w:space="0" w:color="auto"/>
      </w:divBdr>
    </w:div>
    <w:div w:id="1668438409">
      <w:bodyDiv w:val="1"/>
      <w:marLeft w:val="0"/>
      <w:marRight w:val="0"/>
      <w:marTop w:val="0"/>
      <w:marBottom w:val="0"/>
      <w:divBdr>
        <w:top w:val="none" w:sz="0" w:space="0" w:color="auto"/>
        <w:left w:val="none" w:sz="0" w:space="0" w:color="auto"/>
        <w:bottom w:val="none" w:sz="0" w:space="0" w:color="auto"/>
        <w:right w:val="none" w:sz="0" w:space="0" w:color="auto"/>
      </w:divBdr>
    </w:div>
    <w:div w:id="1690836785">
      <w:bodyDiv w:val="1"/>
      <w:marLeft w:val="0"/>
      <w:marRight w:val="0"/>
      <w:marTop w:val="0"/>
      <w:marBottom w:val="0"/>
      <w:divBdr>
        <w:top w:val="none" w:sz="0" w:space="0" w:color="auto"/>
        <w:left w:val="none" w:sz="0" w:space="0" w:color="auto"/>
        <w:bottom w:val="none" w:sz="0" w:space="0" w:color="auto"/>
        <w:right w:val="none" w:sz="0" w:space="0" w:color="auto"/>
      </w:divBdr>
    </w:div>
    <w:div w:id="1695106350">
      <w:bodyDiv w:val="1"/>
      <w:marLeft w:val="0"/>
      <w:marRight w:val="0"/>
      <w:marTop w:val="0"/>
      <w:marBottom w:val="0"/>
      <w:divBdr>
        <w:top w:val="none" w:sz="0" w:space="0" w:color="auto"/>
        <w:left w:val="none" w:sz="0" w:space="0" w:color="auto"/>
        <w:bottom w:val="none" w:sz="0" w:space="0" w:color="auto"/>
        <w:right w:val="none" w:sz="0" w:space="0" w:color="auto"/>
      </w:divBdr>
      <w:divsChild>
        <w:div w:id="581138027">
          <w:marLeft w:val="662"/>
          <w:marRight w:val="0"/>
          <w:marTop w:val="120"/>
          <w:marBottom w:val="0"/>
          <w:divBdr>
            <w:top w:val="none" w:sz="0" w:space="0" w:color="auto"/>
            <w:left w:val="none" w:sz="0" w:space="0" w:color="auto"/>
            <w:bottom w:val="none" w:sz="0" w:space="0" w:color="auto"/>
            <w:right w:val="none" w:sz="0" w:space="0" w:color="auto"/>
          </w:divBdr>
        </w:div>
        <w:div w:id="736246232">
          <w:marLeft w:val="173"/>
          <w:marRight w:val="0"/>
          <w:marTop w:val="120"/>
          <w:marBottom w:val="0"/>
          <w:divBdr>
            <w:top w:val="none" w:sz="0" w:space="0" w:color="auto"/>
            <w:left w:val="none" w:sz="0" w:space="0" w:color="auto"/>
            <w:bottom w:val="none" w:sz="0" w:space="0" w:color="auto"/>
            <w:right w:val="none" w:sz="0" w:space="0" w:color="auto"/>
          </w:divBdr>
        </w:div>
        <w:div w:id="868176938">
          <w:marLeft w:val="662"/>
          <w:marRight w:val="0"/>
          <w:marTop w:val="120"/>
          <w:marBottom w:val="0"/>
          <w:divBdr>
            <w:top w:val="none" w:sz="0" w:space="0" w:color="auto"/>
            <w:left w:val="none" w:sz="0" w:space="0" w:color="auto"/>
            <w:bottom w:val="none" w:sz="0" w:space="0" w:color="auto"/>
            <w:right w:val="none" w:sz="0" w:space="0" w:color="auto"/>
          </w:divBdr>
        </w:div>
        <w:div w:id="911431266">
          <w:marLeft w:val="173"/>
          <w:marRight w:val="0"/>
          <w:marTop w:val="120"/>
          <w:marBottom w:val="0"/>
          <w:divBdr>
            <w:top w:val="none" w:sz="0" w:space="0" w:color="auto"/>
            <w:left w:val="none" w:sz="0" w:space="0" w:color="auto"/>
            <w:bottom w:val="none" w:sz="0" w:space="0" w:color="auto"/>
            <w:right w:val="none" w:sz="0" w:space="0" w:color="auto"/>
          </w:divBdr>
        </w:div>
        <w:div w:id="1567716505">
          <w:marLeft w:val="662"/>
          <w:marRight w:val="0"/>
          <w:marTop w:val="120"/>
          <w:marBottom w:val="0"/>
          <w:divBdr>
            <w:top w:val="none" w:sz="0" w:space="0" w:color="auto"/>
            <w:left w:val="none" w:sz="0" w:space="0" w:color="auto"/>
            <w:bottom w:val="none" w:sz="0" w:space="0" w:color="auto"/>
            <w:right w:val="none" w:sz="0" w:space="0" w:color="auto"/>
          </w:divBdr>
        </w:div>
        <w:div w:id="1908152164">
          <w:marLeft w:val="662"/>
          <w:marRight w:val="0"/>
          <w:marTop w:val="120"/>
          <w:marBottom w:val="0"/>
          <w:divBdr>
            <w:top w:val="none" w:sz="0" w:space="0" w:color="auto"/>
            <w:left w:val="none" w:sz="0" w:space="0" w:color="auto"/>
            <w:bottom w:val="none" w:sz="0" w:space="0" w:color="auto"/>
            <w:right w:val="none" w:sz="0" w:space="0" w:color="auto"/>
          </w:divBdr>
        </w:div>
      </w:divsChild>
    </w:div>
    <w:div w:id="1714497249">
      <w:bodyDiv w:val="1"/>
      <w:marLeft w:val="0"/>
      <w:marRight w:val="0"/>
      <w:marTop w:val="0"/>
      <w:marBottom w:val="0"/>
      <w:divBdr>
        <w:top w:val="none" w:sz="0" w:space="0" w:color="auto"/>
        <w:left w:val="none" w:sz="0" w:space="0" w:color="auto"/>
        <w:bottom w:val="none" w:sz="0" w:space="0" w:color="auto"/>
        <w:right w:val="none" w:sz="0" w:space="0" w:color="auto"/>
      </w:divBdr>
    </w:div>
    <w:div w:id="1727801239">
      <w:bodyDiv w:val="1"/>
      <w:marLeft w:val="0"/>
      <w:marRight w:val="0"/>
      <w:marTop w:val="0"/>
      <w:marBottom w:val="0"/>
      <w:divBdr>
        <w:top w:val="none" w:sz="0" w:space="0" w:color="auto"/>
        <w:left w:val="none" w:sz="0" w:space="0" w:color="auto"/>
        <w:bottom w:val="none" w:sz="0" w:space="0" w:color="auto"/>
        <w:right w:val="none" w:sz="0" w:space="0" w:color="auto"/>
      </w:divBdr>
    </w:div>
    <w:div w:id="1740204139">
      <w:bodyDiv w:val="1"/>
      <w:marLeft w:val="0"/>
      <w:marRight w:val="0"/>
      <w:marTop w:val="0"/>
      <w:marBottom w:val="0"/>
      <w:divBdr>
        <w:top w:val="none" w:sz="0" w:space="0" w:color="auto"/>
        <w:left w:val="none" w:sz="0" w:space="0" w:color="auto"/>
        <w:bottom w:val="none" w:sz="0" w:space="0" w:color="auto"/>
        <w:right w:val="none" w:sz="0" w:space="0" w:color="auto"/>
      </w:divBdr>
      <w:divsChild>
        <w:div w:id="295525837">
          <w:marLeft w:val="274"/>
          <w:marRight w:val="0"/>
          <w:marTop w:val="0"/>
          <w:marBottom w:val="120"/>
          <w:divBdr>
            <w:top w:val="none" w:sz="0" w:space="0" w:color="auto"/>
            <w:left w:val="none" w:sz="0" w:space="0" w:color="auto"/>
            <w:bottom w:val="none" w:sz="0" w:space="0" w:color="auto"/>
            <w:right w:val="none" w:sz="0" w:space="0" w:color="auto"/>
          </w:divBdr>
        </w:div>
        <w:div w:id="535847817">
          <w:marLeft w:val="274"/>
          <w:marRight w:val="0"/>
          <w:marTop w:val="0"/>
          <w:marBottom w:val="120"/>
          <w:divBdr>
            <w:top w:val="none" w:sz="0" w:space="0" w:color="auto"/>
            <w:left w:val="none" w:sz="0" w:space="0" w:color="auto"/>
            <w:bottom w:val="none" w:sz="0" w:space="0" w:color="auto"/>
            <w:right w:val="none" w:sz="0" w:space="0" w:color="auto"/>
          </w:divBdr>
        </w:div>
        <w:div w:id="1630699158">
          <w:marLeft w:val="274"/>
          <w:marRight w:val="0"/>
          <w:marTop w:val="0"/>
          <w:marBottom w:val="120"/>
          <w:divBdr>
            <w:top w:val="none" w:sz="0" w:space="0" w:color="auto"/>
            <w:left w:val="none" w:sz="0" w:space="0" w:color="auto"/>
            <w:bottom w:val="none" w:sz="0" w:space="0" w:color="auto"/>
            <w:right w:val="none" w:sz="0" w:space="0" w:color="auto"/>
          </w:divBdr>
        </w:div>
      </w:divsChild>
    </w:div>
    <w:div w:id="1742097296">
      <w:bodyDiv w:val="1"/>
      <w:marLeft w:val="0"/>
      <w:marRight w:val="0"/>
      <w:marTop w:val="0"/>
      <w:marBottom w:val="0"/>
      <w:divBdr>
        <w:top w:val="none" w:sz="0" w:space="0" w:color="auto"/>
        <w:left w:val="none" w:sz="0" w:space="0" w:color="auto"/>
        <w:bottom w:val="none" w:sz="0" w:space="0" w:color="auto"/>
        <w:right w:val="none" w:sz="0" w:space="0" w:color="auto"/>
      </w:divBdr>
    </w:div>
    <w:div w:id="1744528846">
      <w:bodyDiv w:val="1"/>
      <w:marLeft w:val="0"/>
      <w:marRight w:val="0"/>
      <w:marTop w:val="0"/>
      <w:marBottom w:val="0"/>
      <w:divBdr>
        <w:top w:val="none" w:sz="0" w:space="0" w:color="auto"/>
        <w:left w:val="none" w:sz="0" w:space="0" w:color="auto"/>
        <w:bottom w:val="none" w:sz="0" w:space="0" w:color="auto"/>
        <w:right w:val="none" w:sz="0" w:space="0" w:color="auto"/>
      </w:divBdr>
    </w:div>
    <w:div w:id="1749378688">
      <w:bodyDiv w:val="1"/>
      <w:marLeft w:val="0"/>
      <w:marRight w:val="0"/>
      <w:marTop w:val="0"/>
      <w:marBottom w:val="0"/>
      <w:divBdr>
        <w:top w:val="none" w:sz="0" w:space="0" w:color="auto"/>
        <w:left w:val="none" w:sz="0" w:space="0" w:color="auto"/>
        <w:bottom w:val="none" w:sz="0" w:space="0" w:color="auto"/>
        <w:right w:val="none" w:sz="0" w:space="0" w:color="auto"/>
      </w:divBdr>
      <w:divsChild>
        <w:div w:id="32996875">
          <w:marLeft w:val="0"/>
          <w:marRight w:val="0"/>
          <w:marTop w:val="0"/>
          <w:marBottom w:val="0"/>
          <w:divBdr>
            <w:top w:val="none" w:sz="0" w:space="0" w:color="auto"/>
            <w:left w:val="none" w:sz="0" w:space="0" w:color="auto"/>
            <w:bottom w:val="none" w:sz="0" w:space="0" w:color="auto"/>
            <w:right w:val="none" w:sz="0" w:space="0" w:color="auto"/>
          </w:divBdr>
          <w:divsChild>
            <w:div w:id="174922610">
              <w:marLeft w:val="0"/>
              <w:marRight w:val="0"/>
              <w:marTop w:val="0"/>
              <w:marBottom w:val="0"/>
              <w:divBdr>
                <w:top w:val="none" w:sz="0" w:space="0" w:color="auto"/>
                <w:left w:val="none" w:sz="0" w:space="0" w:color="auto"/>
                <w:bottom w:val="none" w:sz="0" w:space="0" w:color="auto"/>
                <w:right w:val="none" w:sz="0" w:space="0" w:color="auto"/>
              </w:divBdr>
            </w:div>
          </w:divsChild>
        </w:div>
        <w:div w:id="185867747">
          <w:marLeft w:val="0"/>
          <w:marRight w:val="0"/>
          <w:marTop w:val="0"/>
          <w:marBottom w:val="0"/>
          <w:divBdr>
            <w:top w:val="none" w:sz="0" w:space="0" w:color="auto"/>
            <w:left w:val="none" w:sz="0" w:space="0" w:color="auto"/>
            <w:bottom w:val="none" w:sz="0" w:space="0" w:color="auto"/>
            <w:right w:val="none" w:sz="0" w:space="0" w:color="auto"/>
          </w:divBdr>
          <w:divsChild>
            <w:div w:id="949702298">
              <w:marLeft w:val="0"/>
              <w:marRight w:val="0"/>
              <w:marTop w:val="0"/>
              <w:marBottom w:val="0"/>
              <w:divBdr>
                <w:top w:val="none" w:sz="0" w:space="0" w:color="auto"/>
                <w:left w:val="none" w:sz="0" w:space="0" w:color="auto"/>
                <w:bottom w:val="none" w:sz="0" w:space="0" w:color="auto"/>
                <w:right w:val="none" w:sz="0" w:space="0" w:color="auto"/>
              </w:divBdr>
            </w:div>
          </w:divsChild>
        </w:div>
        <w:div w:id="204483782">
          <w:marLeft w:val="0"/>
          <w:marRight w:val="0"/>
          <w:marTop w:val="0"/>
          <w:marBottom w:val="0"/>
          <w:divBdr>
            <w:top w:val="none" w:sz="0" w:space="0" w:color="auto"/>
            <w:left w:val="none" w:sz="0" w:space="0" w:color="auto"/>
            <w:bottom w:val="none" w:sz="0" w:space="0" w:color="auto"/>
            <w:right w:val="none" w:sz="0" w:space="0" w:color="auto"/>
          </w:divBdr>
          <w:divsChild>
            <w:div w:id="226571845">
              <w:marLeft w:val="0"/>
              <w:marRight w:val="0"/>
              <w:marTop w:val="0"/>
              <w:marBottom w:val="0"/>
              <w:divBdr>
                <w:top w:val="none" w:sz="0" w:space="0" w:color="auto"/>
                <w:left w:val="none" w:sz="0" w:space="0" w:color="auto"/>
                <w:bottom w:val="none" w:sz="0" w:space="0" w:color="auto"/>
                <w:right w:val="none" w:sz="0" w:space="0" w:color="auto"/>
              </w:divBdr>
            </w:div>
          </w:divsChild>
        </w:div>
        <w:div w:id="342439213">
          <w:marLeft w:val="0"/>
          <w:marRight w:val="0"/>
          <w:marTop w:val="0"/>
          <w:marBottom w:val="0"/>
          <w:divBdr>
            <w:top w:val="none" w:sz="0" w:space="0" w:color="auto"/>
            <w:left w:val="none" w:sz="0" w:space="0" w:color="auto"/>
            <w:bottom w:val="none" w:sz="0" w:space="0" w:color="auto"/>
            <w:right w:val="none" w:sz="0" w:space="0" w:color="auto"/>
          </w:divBdr>
          <w:divsChild>
            <w:div w:id="545526305">
              <w:marLeft w:val="0"/>
              <w:marRight w:val="0"/>
              <w:marTop w:val="0"/>
              <w:marBottom w:val="0"/>
              <w:divBdr>
                <w:top w:val="none" w:sz="0" w:space="0" w:color="auto"/>
                <w:left w:val="none" w:sz="0" w:space="0" w:color="auto"/>
                <w:bottom w:val="none" w:sz="0" w:space="0" w:color="auto"/>
                <w:right w:val="none" w:sz="0" w:space="0" w:color="auto"/>
              </w:divBdr>
            </w:div>
          </w:divsChild>
        </w:div>
        <w:div w:id="350690556">
          <w:marLeft w:val="0"/>
          <w:marRight w:val="0"/>
          <w:marTop w:val="0"/>
          <w:marBottom w:val="0"/>
          <w:divBdr>
            <w:top w:val="none" w:sz="0" w:space="0" w:color="auto"/>
            <w:left w:val="none" w:sz="0" w:space="0" w:color="auto"/>
            <w:bottom w:val="none" w:sz="0" w:space="0" w:color="auto"/>
            <w:right w:val="none" w:sz="0" w:space="0" w:color="auto"/>
          </w:divBdr>
          <w:divsChild>
            <w:div w:id="1954314999">
              <w:marLeft w:val="0"/>
              <w:marRight w:val="0"/>
              <w:marTop w:val="0"/>
              <w:marBottom w:val="0"/>
              <w:divBdr>
                <w:top w:val="none" w:sz="0" w:space="0" w:color="auto"/>
                <w:left w:val="none" w:sz="0" w:space="0" w:color="auto"/>
                <w:bottom w:val="none" w:sz="0" w:space="0" w:color="auto"/>
                <w:right w:val="none" w:sz="0" w:space="0" w:color="auto"/>
              </w:divBdr>
            </w:div>
          </w:divsChild>
        </w:div>
        <w:div w:id="603613521">
          <w:marLeft w:val="0"/>
          <w:marRight w:val="0"/>
          <w:marTop w:val="0"/>
          <w:marBottom w:val="0"/>
          <w:divBdr>
            <w:top w:val="none" w:sz="0" w:space="0" w:color="auto"/>
            <w:left w:val="none" w:sz="0" w:space="0" w:color="auto"/>
            <w:bottom w:val="none" w:sz="0" w:space="0" w:color="auto"/>
            <w:right w:val="none" w:sz="0" w:space="0" w:color="auto"/>
          </w:divBdr>
          <w:divsChild>
            <w:div w:id="109597256">
              <w:marLeft w:val="0"/>
              <w:marRight w:val="0"/>
              <w:marTop w:val="0"/>
              <w:marBottom w:val="0"/>
              <w:divBdr>
                <w:top w:val="none" w:sz="0" w:space="0" w:color="auto"/>
                <w:left w:val="none" w:sz="0" w:space="0" w:color="auto"/>
                <w:bottom w:val="none" w:sz="0" w:space="0" w:color="auto"/>
                <w:right w:val="none" w:sz="0" w:space="0" w:color="auto"/>
              </w:divBdr>
            </w:div>
          </w:divsChild>
        </w:div>
        <w:div w:id="636958719">
          <w:marLeft w:val="0"/>
          <w:marRight w:val="0"/>
          <w:marTop w:val="0"/>
          <w:marBottom w:val="0"/>
          <w:divBdr>
            <w:top w:val="none" w:sz="0" w:space="0" w:color="auto"/>
            <w:left w:val="none" w:sz="0" w:space="0" w:color="auto"/>
            <w:bottom w:val="none" w:sz="0" w:space="0" w:color="auto"/>
            <w:right w:val="none" w:sz="0" w:space="0" w:color="auto"/>
          </w:divBdr>
          <w:divsChild>
            <w:div w:id="1297368283">
              <w:marLeft w:val="0"/>
              <w:marRight w:val="0"/>
              <w:marTop w:val="0"/>
              <w:marBottom w:val="0"/>
              <w:divBdr>
                <w:top w:val="none" w:sz="0" w:space="0" w:color="auto"/>
                <w:left w:val="none" w:sz="0" w:space="0" w:color="auto"/>
                <w:bottom w:val="none" w:sz="0" w:space="0" w:color="auto"/>
                <w:right w:val="none" w:sz="0" w:space="0" w:color="auto"/>
              </w:divBdr>
            </w:div>
          </w:divsChild>
        </w:div>
        <w:div w:id="684213636">
          <w:marLeft w:val="0"/>
          <w:marRight w:val="0"/>
          <w:marTop w:val="0"/>
          <w:marBottom w:val="0"/>
          <w:divBdr>
            <w:top w:val="none" w:sz="0" w:space="0" w:color="auto"/>
            <w:left w:val="none" w:sz="0" w:space="0" w:color="auto"/>
            <w:bottom w:val="none" w:sz="0" w:space="0" w:color="auto"/>
            <w:right w:val="none" w:sz="0" w:space="0" w:color="auto"/>
          </w:divBdr>
          <w:divsChild>
            <w:div w:id="1057045603">
              <w:marLeft w:val="0"/>
              <w:marRight w:val="0"/>
              <w:marTop w:val="0"/>
              <w:marBottom w:val="0"/>
              <w:divBdr>
                <w:top w:val="none" w:sz="0" w:space="0" w:color="auto"/>
                <w:left w:val="none" w:sz="0" w:space="0" w:color="auto"/>
                <w:bottom w:val="none" w:sz="0" w:space="0" w:color="auto"/>
                <w:right w:val="none" w:sz="0" w:space="0" w:color="auto"/>
              </w:divBdr>
            </w:div>
          </w:divsChild>
        </w:div>
        <w:div w:id="857162764">
          <w:marLeft w:val="0"/>
          <w:marRight w:val="0"/>
          <w:marTop w:val="0"/>
          <w:marBottom w:val="0"/>
          <w:divBdr>
            <w:top w:val="none" w:sz="0" w:space="0" w:color="auto"/>
            <w:left w:val="none" w:sz="0" w:space="0" w:color="auto"/>
            <w:bottom w:val="none" w:sz="0" w:space="0" w:color="auto"/>
            <w:right w:val="none" w:sz="0" w:space="0" w:color="auto"/>
          </w:divBdr>
          <w:divsChild>
            <w:div w:id="459343867">
              <w:marLeft w:val="0"/>
              <w:marRight w:val="0"/>
              <w:marTop w:val="0"/>
              <w:marBottom w:val="0"/>
              <w:divBdr>
                <w:top w:val="none" w:sz="0" w:space="0" w:color="auto"/>
                <w:left w:val="none" w:sz="0" w:space="0" w:color="auto"/>
                <w:bottom w:val="none" w:sz="0" w:space="0" w:color="auto"/>
                <w:right w:val="none" w:sz="0" w:space="0" w:color="auto"/>
              </w:divBdr>
            </w:div>
          </w:divsChild>
        </w:div>
        <w:div w:id="967930278">
          <w:marLeft w:val="0"/>
          <w:marRight w:val="0"/>
          <w:marTop w:val="0"/>
          <w:marBottom w:val="0"/>
          <w:divBdr>
            <w:top w:val="none" w:sz="0" w:space="0" w:color="auto"/>
            <w:left w:val="none" w:sz="0" w:space="0" w:color="auto"/>
            <w:bottom w:val="none" w:sz="0" w:space="0" w:color="auto"/>
            <w:right w:val="none" w:sz="0" w:space="0" w:color="auto"/>
          </w:divBdr>
          <w:divsChild>
            <w:div w:id="1424229197">
              <w:marLeft w:val="0"/>
              <w:marRight w:val="0"/>
              <w:marTop w:val="0"/>
              <w:marBottom w:val="0"/>
              <w:divBdr>
                <w:top w:val="none" w:sz="0" w:space="0" w:color="auto"/>
                <w:left w:val="none" w:sz="0" w:space="0" w:color="auto"/>
                <w:bottom w:val="none" w:sz="0" w:space="0" w:color="auto"/>
                <w:right w:val="none" w:sz="0" w:space="0" w:color="auto"/>
              </w:divBdr>
            </w:div>
          </w:divsChild>
        </w:div>
        <w:div w:id="1042899877">
          <w:marLeft w:val="0"/>
          <w:marRight w:val="0"/>
          <w:marTop w:val="0"/>
          <w:marBottom w:val="0"/>
          <w:divBdr>
            <w:top w:val="none" w:sz="0" w:space="0" w:color="auto"/>
            <w:left w:val="none" w:sz="0" w:space="0" w:color="auto"/>
            <w:bottom w:val="none" w:sz="0" w:space="0" w:color="auto"/>
            <w:right w:val="none" w:sz="0" w:space="0" w:color="auto"/>
          </w:divBdr>
          <w:divsChild>
            <w:div w:id="1839224329">
              <w:marLeft w:val="0"/>
              <w:marRight w:val="0"/>
              <w:marTop w:val="0"/>
              <w:marBottom w:val="0"/>
              <w:divBdr>
                <w:top w:val="none" w:sz="0" w:space="0" w:color="auto"/>
                <w:left w:val="none" w:sz="0" w:space="0" w:color="auto"/>
                <w:bottom w:val="none" w:sz="0" w:space="0" w:color="auto"/>
                <w:right w:val="none" w:sz="0" w:space="0" w:color="auto"/>
              </w:divBdr>
            </w:div>
          </w:divsChild>
        </w:div>
        <w:div w:id="1046611861">
          <w:marLeft w:val="0"/>
          <w:marRight w:val="0"/>
          <w:marTop w:val="0"/>
          <w:marBottom w:val="0"/>
          <w:divBdr>
            <w:top w:val="none" w:sz="0" w:space="0" w:color="auto"/>
            <w:left w:val="none" w:sz="0" w:space="0" w:color="auto"/>
            <w:bottom w:val="none" w:sz="0" w:space="0" w:color="auto"/>
            <w:right w:val="none" w:sz="0" w:space="0" w:color="auto"/>
          </w:divBdr>
          <w:divsChild>
            <w:div w:id="11764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80803">
      <w:bodyDiv w:val="1"/>
      <w:marLeft w:val="0"/>
      <w:marRight w:val="0"/>
      <w:marTop w:val="0"/>
      <w:marBottom w:val="0"/>
      <w:divBdr>
        <w:top w:val="none" w:sz="0" w:space="0" w:color="auto"/>
        <w:left w:val="none" w:sz="0" w:space="0" w:color="auto"/>
        <w:bottom w:val="none" w:sz="0" w:space="0" w:color="auto"/>
        <w:right w:val="none" w:sz="0" w:space="0" w:color="auto"/>
      </w:divBdr>
    </w:div>
    <w:div w:id="1753353672">
      <w:bodyDiv w:val="1"/>
      <w:marLeft w:val="0"/>
      <w:marRight w:val="0"/>
      <w:marTop w:val="0"/>
      <w:marBottom w:val="0"/>
      <w:divBdr>
        <w:top w:val="none" w:sz="0" w:space="0" w:color="auto"/>
        <w:left w:val="none" w:sz="0" w:space="0" w:color="auto"/>
        <w:bottom w:val="none" w:sz="0" w:space="0" w:color="auto"/>
        <w:right w:val="none" w:sz="0" w:space="0" w:color="auto"/>
      </w:divBdr>
    </w:div>
    <w:div w:id="1771584419">
      <w:bodyDiv w:val="1"/>
      <w:marLeft w:val="0"/>
      <w:marRight w:val="0"/>
      <w:marTop w:val="0"/>
      <w:marBottom w:val="0"/>
      <w:divBdr>
        <w:top w:val="none" w:sz="0" w:space="0" w:color="auto"/>
        <w:left w:val="none" w:sz="0" w:space="0" w:color="auto"/>
        <w:bottom w:val="none" w:sz="0" w:space="0" w:color="auto"/>
        <w:right w:val="none" w:sz="0" w:space="0" w:color="auto"/>
      </w:divBdr>
    </w:div>
    <w:div w:id="1778208818">
      <w:bodyDiv w:val="1"/>
      <w:marLeft w:val="0"/>
      <w:marRight w:val="0"/>
      <w:marTop w:val="0"/>
      <w:marBottom w:val="0"/>
      <w:divBdr>
        <w:top w:val="none" w:sz="0" w:space="0" w:color="auto"/>
        <w:left w:val="none" w:sz="0" w:space="0" w:color="auto"/>
        <w:bottom w:val="none" w:sz="0" w:space="0" w:color="auto"/>
        <w:right w:val="none" w:sz="0" w:space="0" w:color="auto"/>
      </w:divBdr>
    </w:div>
    <w:div w:id="1785616197">
      <w:bodyDiv w:val="1"/>
      <w:marLeft w:val="0"/>
      <w:marRight w:val="0"/>
      <w:marTop w:val="0"/>
      <w:marBottom w:val="0"/>
      <w:divBdr>
        <w:top w:val="none" w:sz="0" w:space="0" w:color="auto"/>
        <w:left w:val="none" w:sz="0" w:space="0" w:color="auto"/>
        <w:bottom w:val="none" w:sz="0" w:space="0" w:color="auto"/>
        <w:right w:val="none" w:sz="0" w:space="0" w:color="auto"/>
      </w:divBdr>
      <w:divsChild>
        <w:div w:id="547883051">
          <w:marLeft w:val="173"/>
          <w:marRight w:val="0"/>
          <w:marTop w:val="0"/>
          <w:marBottom w:val="120"/>
          <w:divBdr>
            <w:top w:val="none" w:sz="0" w:space="0" w:color="auto"/>
            <w:left w:val="none" w:sz="0" w:space="0" w:color="auto"/>
            <w:bottom w:val="none" w:sz="0" w:space="0" w:color="auto"/>
            <w:right w:val="none" w:sz="0" w:space="0" w:color="auto"/>
          </w:divBdr>
        </w:div>
        <w:div w:id="1005208382">
          <w:marLeft w:val="173"/>
          <w:marRight w:val="0"/>
          <w:marTop w:val="0"/>
          <w:marBottom w:val="120"/>
          <w:divBdr>
            <w:top w:val="none" w:sz="0" w:space="0" w:color="auto"/>
            <w:left w:val="none" w:sz="0" w:space="0" w:color="auto"/>
            <w:bottom w:val="none" w:sz="0" w:space="0" w:color="auto"/>
            <w:right w:val="none" w:sz="0" w:space="0" w:color="auto"/>
          </w:divBdr>
        </w:div>
      </w:divsChild>
    </w:div>
    <w:div w:id="1786805077">
      <w:bodyDiv w:val="1"/>
      <w:marLeft w:val="0"/>
      <w:marRight w:val="0"/>
      <w:marTop w:val="0"/>
      <w:marBottom w:val="0"/>
      <w:divBdr>
        <w:top w:val="none" w:sz="0" w:space="0" w:color="auto"/>
        <w:left w:val="none" w:sz="0" w:space="0" w:color="auto"/>
        <w:bottom w:val="none" w:sz="0" w:space="0" w:color="auto"/>
        <w:right w:val="none" w:sz="0" w:space="0" w:color="auto"/>
      </w:divBdr>
    </w:div>
    <w:div w:id="1789350153">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790708119">
      <w:bodyDiv w:val="1"/>
      <w:marLeft w:val="0"/>
      <w:marRight w:val="0"/>
      <w:marTop w:val="0"/>
      <w:marBottom w:val="0"/>
      <w:divBdr>
        <w:top w:val="none" w:sz="0" w:space="0" w:color="auto"/>
        <w:left w:val="none" w:sz="0" w:space="0" w:color="auto"/>
        <w:bottom w:val="none" w:sz="0" w:space="0" w:color="auto"/>
        <w:right w:val="none" w:sz="0" w:space="0" w:color="auto"/>
      </w:divBdr>
    </w:div>
    <w:div w:id="1791048223">
      <w:bodyDiv w:val="1"/>
      <w:marLeft w:val="0"/>
      <w:marRight w:val="0"/>
      <w:marTop w:val="0"/>
      <w:marBottom w:val="0"/>
      <w:divBdr>
        <w:top w:val="none" w:sz="0" w:space="0" w:color="auto"/>
        <w:left w:val="none" w:sz="0" w:space="0" w:color="auto"/>
        <w:bottom w:val="none" w:sz="0" w:space="0" w:color="auto"/>
        <w:right w:val="none" w:sz="0" w:space="0" w:color="auto"/>
      </w:divBdr>
    </w:div>
    <w:div w:id="179524602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10249194">
      <w:bodyDiv w:val="1"/>
      <w:marLeft w:val="0"/>
      <w:marRight w:val="0"/>
      <w:marTop w:val="0"/>
      <w:marBottom w:val="0"/>
      <w:divBdr>
        <w:top w:val="none" w:sz="0" w:space="0" w:color="auto"/>
        <w:left w:val="none" w:sz="0" w:space="0" w:color="auto"/>
        <w:bottom w:val="none" w:sz="0" w:space="0" w:color="auto"/>
        <w:right w:val="none" w:sz="0" w:space="0" w:color="auto"/>
      </w:divBdr>
    </w:div>
    <w:div w:id="1816330887">
      <w:bodyDiv w:val="1"/>
      <w:marLeft w:val="0"/>
      <w:marRight w:val="0"/>
      <w:marTop w:val="0"/>
      <w:marBottom w:val="0"/>
      <w:divBdr>
        <w:top w:val="none" w:sz="0" w:space="0" w:color="auto"/>
        <w:left w:val="none" w:sz="0" w:space="0" w:color="auto"/>
        <w:bottom w:val="none" w:sz="0" w:space="0" w:color="auto"/>
        <w:right w:val="none" w:sz="0" w:space="0" w:color="auto"/>
      </w:divBdr>
    </w:div>
    <w:div w:id="1839881265">
      <w:bodyDiv w:val="1"/>
      <w:marLeft w:val="0"/>
      <w:marRight w:val="0"/>
      <w:marTop w:val="0"/>
      <w:marBottom w:val="0"/>
      <w:divBdr>
        <w:top w:val="none" w:sz="0" w:space="0" w:color="auto"/>
        <w:left w:val="none" w:sz="0" w:space="0" w:color="auto"/>
        <w:bottom w:val="none" w:sz="0" w:space="0" w:color="auto"/>
        <w:right w:val="none" w:sz="0" w:space="0" w:color="auto"/>
      </w:divBdr>
    </w:div>
    <w:div w:id="1853449596">
      <w:bodyDiv w:val="1"/>
      <w:marLeft w:val="0"/>
      <w:marRight w:val="0"/>
      <w:marTop w:val="0"/>
      <w:marBottom w:val="0"/>
      <w:divBdr>
        <w:top w:val="none" w:sz="0" w:space="0" w:color="auto"/>
        <w:left w:val="none" w:sz="0" w:space="0" w:color="auto"/>
        <w:bottom w:val="none" w:sz="0" w:space="0" w:color="auto"/>
        <w:right w:val="none" w:sz="0" w:space="0" w:color="auto"/>
      </w:divBdr>
    </w:div>
    <w:div w:id="1857033171">
      <w:bodyDiv w:val="1"/>
      <w:marLeft w:val="0"/>
      <w:marRight w:val="0"/>
      <w:marTop w:val="0"/>
      <w:marBottom w:val="0"/>
      <w:divBdr>
        <w:top w:val="none" w:sz="0" w:space="0" w:color="auto"/>
        <w:left w:val="none" w:sz="0" w:space="0" w:color="auto"/>
        <w:bottom w:val="none" w:sz="0" w:space="0" w:color="auto"/>
        <w:right w:val="none" w:sz="0" w:space="0" w:color="auto"/>
      </w:divBdr>
    </w:div>
    <w:div w:id="1858496321">
      <w:bodyDiv w:val="1"/>
      <w:marLeft w:val="0"/>
      <w:marRight w:val="0"/>
      <w:marTop w:val="0"/>
      <w:marBottom w:val="0"/>
      <w:divBdr>
        <w:top w:val="none" w:sz="0" w:space="0" w:color="auto"/>
        <w:left w:val="none" w:sz="0" w:space="0" w:color="auto"/>
        <w:bottom w:val="none" w:sz="0" w:space="0" w:color="auto"/>
        <w:right w:val="none" w:sz="0" w:space="0" w:color="auto"/>
      </w:divBdr>
      <w:divsChild>
        <w:div w:id="103038542">
          <w:marLeft w:val="274"/>
          <w:marRight w:val="0"/>
          <w:marTop w:val="0"/>
          <w:marBottom w:val="120"/>
          <w:divBdr>
            <w:top w:val="none" w:sz="0" w:space="0" w:color="auto"/>
            <w:left w:val="none" w:sz="0" w:space="0" w:color="auto"/>
            <w:bottom w:val="none" w:sz="0" w:space="0" w:color="auto"/>
            <w:right w:val="none" w:sz="0" w:space="0" w:color="auto"/>
          </w:divBdr>
        </w:div>
        <w:div w:id="172691765">
          <w:marLeft w:val="274"/>
          <w:marRight w:val="0"/>
          <w:marTop w:val="0"/>
          <w:marBottom w:val="120"/>
          <w:divBdr>
            <w:top w:val="none" w:sz="0" w:space="0" w:color="auto"/>
            <w:left w:val="none" w:sz="0" w:space="0" w:color="auto"/>
            <w:bottom w:val="none" w:sz="0" w:space="0" w:color="auto"/>
            <w:right w:val="none" w:sz="0" w:space="0" w:color="auto"/>
          </w:divBdr>
        </w:div>
        <w:div w:id="397367097">
          <w:marLeft w:val="274"/>
          <w:marRight w:val="0"/>
          <w:marTop w:val="0"/>
          <w:marBottom w:val="120"/>
          <w:divBdr>
            <w:top w:val="none" w:sz="0" w:space="0" w:color="auto"/>
            <w:left w:val="none" w:sz="0" w:space="0" w:color="auto"/>
            <w:bottom w:val="none" w:sz="0" w:space="0" w:color="auto"/>
            <w:right w:val="none" w:sz="0" w:space="0" w:color="auto"/>
          </w:divBdr>
        </w:div>
        <w:div w:id="1528057869">
          <w:marLeft w:val="274"/>
          <w:marRight w:val="0"/>
          <w:marTop w:val="0"/>
          <w:marBottom w:val="120"/>
          <w:divBdr>
            <w:top w:val="none" w:sz="0" w:space="0" w:color="auto"/>
            <w:left w:val="none" w:sz="0" w:space="0" w:color="auto"/>
            <w:bottom w:val="none" w:sz="0" w:space="0" w:color="auto"/>
            <w:right w:val="none" w:sz="0" w:space="0" w:color="auto"/>
          </w:divBdr>
        </w:div>
        <w:div w:id="1716730690">
          <w:marLeft w:val="274"/>
          <w:marRight w:val="0"/>
          <w:marTop w:val="0"/>
          <w:marBottom w:val="120"/>
          <w:divBdr>
            <w:top w:val="none" w:sz="0" w:space="0" w:color="auto"/>
            <w:left w:val="none" w:sz="0" w:space="0" w:color="auto"/>
            <w:bottom w:val="none" w:sz="0" w:space="0" w:color="auto"/>
            <w:right w:val="none" w:sz="0" w:space="0" w:color="auto"/>
          </w:divBdr>
        </w:div>
      </w:divsChild>
    </w:div>
    <w:div w:id="1884293714">
      <w:bodyDiv w:val="1"/>
      <w:marLeft w:val="0"/>
      <w:marRight w:val="0"/>
      <w:marTop w:val="0"/>
      <w:marBottom w:val="0"/>
      <w:divBdr>
        <w:top w:val="none" w:sz="0" w:space="0" w:color="auto"/>
        <w:left w:val="none" w:sz="0" w:space="0" w:color="auto"/>
        <w:bottom w:val="none" w:sz="0" w:space="0" w:color="auto"/>
        <w:right w:val="none" w:sz="0" w:space="0" w:color="auto"/>
      </w:divBdr>
      <w:divsChild>
        <w:div w:id="690684134">
          <w:marLeft w:val="0"/>
          <w:marRight w:val="0"/>
          <w:marTop w:val="0"/>
          <w:marBottom w:val="120"/>
          <w:divBdr>
            <w:top w:val="none" w:sz="0" w:space="0" w:color="auto"/>
            <w:left w:val="none" w:sz="0" w:space="0" w:color="auto"/>
            <w:bottom w:val="none" w:sz="0" w:space="0" w:color="auto"/>
            <w:right w:val="none" w:sz="0" w:space="0" w:color="auto"/>
          </w:divBdr>
        </w:div>
      </w:divsChild>
    </w:div>
    <w:div w:id="1904870285">
      <w:bodyDiv w:val="1"/>
      <w:marLeft w:val="0"/>
      <w:marRight w:val="0"/>
      <w:marTop w:val="0"/>
      <w:marBottom w:val="0"/>
      <w:divBdr>
        <w:top w:val="none" w:sz="0" w:space="0" w:color="auto"/>
        <w:left w:val="none" w:sz="0" w:space="0" w:color="auto"/>
        <w:bottom w:val="none" w:sz="0" w:space="0" w:color="auto"/>
        <w:right w:val="none" w:sz="0" w:space="0" w:color="auto"/>
      </w:divBdr>
    </w:div>
    <w:div w:id="1913812628">
      <w:bodyDiv w:val="1"/>
      <w:marLeft w:val="0"/>
      <w:marRight w:val="0"/>
      <w:marTop w:val="0"/>
      <w:marBottom w:val="0"/>
      <w:divBdr>
        <w:top w:val="none" w:sz="0" w:space="0" w:color="auto"/>
        <w:left w:val="none" w:sz="0" w:space="0" w:color="auto"/>
        <w:bottom w:val="none" w:sz="0" w:space="0" w:color="auto"/>
        <w:right w:val="none" w:sz="0" w:space="0" w:color="auto"/>
      </w:divBdr>
    </w:div>
    <w:div w:id="1940024073">
      <w:bodyDiv w:val="1"/>
      <w:marLeft w:val="0"/>
      <w:marRight w:val="0"/>
      <w:marTop w:val="0"/>
      <w:marBottom w:val="0"/>
      <w:divBdr>
        <w:top w:val="none" w:sz="0" w:space="0" w:color="auto"/>
        <w:left w:val="none" w:sz="0" w:space="0" w:color="auto"/>
        <w:bottom w:val="none" w:sz="0" w:space="0" w:color="auto"/>
        <w:right w:val="none" w:sz="0" w:space="0" w:color="auto"/>
      </w:divBdr>
    </w:div>
    <w:div w:id="1943296233">
      <w:bodyDiv w:val="1"/>
      <w:marLeft w:val="0"/>
      <w:marRight w:val="0"/>
      <w:marTop w:val="0"/>
      <w:marBottom w:val="0"/>
      <w:divBdr>
        <w:top w:val="none" w:sz="0" w:space="0" w:color="auto"/>
        <w:left w:val="none" w:sz="0" w:space="0" w:color="auto"/>
        <w:bottom w:val="none" w:sz="0" w:space="0" w:color="auto"/>
        <w:right w:val="none" w:sz="0" w:space="0" w:color="auto"/>
      </w:divBdr>
    </w:div>
    <w:div w:id="1955166811">
      <w:bodyDiv w:val="1"/>
      <w:marLeft w:val="0"/>
      <w:marRight w:val="0"/>
      <w:marTop w:val="0"/>
      <w:marBottom w:val="0"/>
      <w:divBdr>
        <w:top w:val="none" w:sz="0" w:space="0" w:color="auto"/>
        <w:left w:val="none" w:sz="0" w:space="0" w:color="auto"/>
        <w:bottom w:val="none" w:sz="0" w:space="0" w:color="auto"/>
        <w:right w:val="none" w:sz="0" w:space="0" w:color="auto"/>
      </w:divBdr>
    </w:div>
    <w:div w:id="1963421383">
      <w:bodyDiv w:val="1"/>
      <w:marLeft w:val="0"/>
      <w:marRight w:val="0"/>
      <w:marTop w:val="0"/>
      <w:marBottom w:val="0"/>
      <w:divBdr>
        <w:top w:val="none" w:sz="0" w:space="0" w:color="auto"/>
        <w:left w:val="none" w:sz="0" w:space="0" w:color="auto"/>
        <w:bottom w:val="none" w:sz="0" w:space="0" w:color="auto"/>
        <w:right w:val="none" w:sz="0" w:space="0" w:color="auto"/>
      </w:divBdr>
      <w:divsChild>
        <w:div w:id="666521284">
          <w:marLeft w:val="274"/>
          <w:marRight w:val="0"/>
          <w:marTop w:val="120"/>
          <w:marBottom w:val="0"/>
          <w:divBdr>
            <w:top w:val="none" w:sz="0" w:space="0" w:color="auto"/>
            <w:left w:val="none" w:sz="0" w:space="0" w:color="auto"/>
            <w:bottom w:val="none" w:sz="0" w:space="0" w:color="auto"/>
            <w:right w:val="none" w:sz="0" w:space="0" w:color="auto"/>
          </w:divBdr>
        </w:div>
        <w:div w:id="1105418109">
          <w:marLeft w:val="274"/>
          <w:marRight w:val="0"/>
          <w:marTop w:val="120"/>
          <w:marBottom w:val="0"/>
          <w:divBdr>
            <w:top w:val="none" w:sz="0" w:space="0" w:color="auto"/>
            <w:left w:val="none" w:sz="0" w:space="0" w:color="auto"/>
            <w:bottom w:val="none" w:sz="0" w:space="0" w:color="auto"/>
            <w:right w:val="none" w:sz="0" w:space="0" w:color="auto"/>
          </w:divBdr>
        </w:div>
        <w:div w:id="1657028877">
          <w:marLeft w:val="274"/>
          <w:marRight w:val="0"/>
          <w:marTop w:val="120"/>
          <w:marBottom w:val="0"/>
          <w:divBdr>
            <w:top w:val="none" w:sz="0" w:space="0" w:color="auto"/>
            <w:left w:val="none" w:sz="0" w:space="0" w:color="auto"/>
            <w:bottom w:val="none" w:sz="0" w:space="0" w:color="auto"/>
            <w:right w:val="none" w:sz="0" w:space="0" w:color="auto"/>
          </w:divBdr>
        </w:div>
        <w:div w:id="1684673452">
          <w:marLeft w:val="274"/>
          <w:marRight w:val="0"/>
          <w:marTop w:val="120"/>
          <w:marBottom w:val="0"/>
          <w:divBdr>
            <w:top w:val="none" w:sz="0" w:space="0" w:color="auto"/>
            <w:left w:val="none" w:sz="0" w:space="0" w:color="auto"/>
            <w:bottom w:val="none" w:sz="0" w:space="0" w:color="auto"/>
            <w:right w:val="none" w:sz="0" w:space="0" w:color="auto"/>
          </w:divBdr>
        </w:div>
      </w:divsChild>
    </w:div>
    <w:div w:id="2006665679">
      <w:bodyDiv w:val="1"/>
      <w:marLeft w:val="0"/>
      <w:marRight w:val="0"/>
      <w:marTop w:val="0"/>
      <w:marBottom w:val="0"/>
      <w:divBdr>
        <w:top w:val="none" w:sz="0" w:space="0" w:color="auto"/>
        <w:left w:val="none" w:sz="0" w:space="0" w:color="auto"/>
        <w:bottom w:val="none" w:sz="0" w:space="0" w:color="auto"/>
        <w:right w:val="none" w:sz="0" w:space="0" w:color="auto"/>
      </w:divBdr>
    </w:div>
    <w:div w:id="2016415445">
      <w:bodyDiv w:val="1"/>
      <w:marLeft w:val="0"/>
      <w:marRight w:val="0"/>
      <w:marTop w:val="0"/>
      <w:marBottom w:val="0"/>
      <w:divBdr>
        <w:top w:val="none" w:sz="0" w:space="0" w:color="auto"/>
        <w:left w:val="none" w:sz="0" w:space="0" w:color="auto"/>
        <w:bottom w:val="none" w:sz="0" w:space="0" w:color="auto"/>
        <w:right w:val="none" w:sz="0" w:space="0" w:color="auto"/>
      </w:divBdr>
    </w:div>
    <w:div w:id="2018381128">
      <w:bodyDiv w:val="1"/>
      <w:marLeft w:val="0"/>
      <w:marRight w:val="0"/>
      <w:marTop w:val="0"/>
      <w:marBottom w:val="0"/>
      <w:divBdr>
        <w:top w:val="none" w:sz="0" w:space="0" w:color="auto"/>
        <w:left w:val="none" w:sz="0" w:space="0" w:color="auto"/>
        <w:bottom w:val="none" w:sz="0" w:space="0" w:color="auto"/>
        <w:right w:val="none" w:sz="0" w:space="0" w:color="auto"/>
      </w:divBdr>
    </w:div>
    <w:div w:id="2021815636">
      <w:bodyDiv w:val="1"/>
      <w:marLeft w:val="0"/>
      <w:marRight w:val="0"/>
      <w:marTop w:val="0"/>
      <w:marBottom w:val="0"/>
      <w:divBdr>
        <w:top w:val="none" w:sz="0" w:space="0" w:color="auto"/>
        <w:left w:val="none" w:sz="0" w:space="0" w:color="auto"/>
        <w:bottom w:val="none" w:sz="0" w:space="0" w:color="auto"/>
        <w:right w:val="none" w:sz="0" w:space="0" w:color="auto"/>
      </w:divBdr>
    </w:div>
    <w:div w:id="2039356916">
      <w:bodyDiv w:val="1"/>
      <w:marLeft w:val="0"/>
      <w:marRight w:val="0"/>
      <w:marTop w:val="0"/>
      <w:marBottom w:val="0"/>
      <w:divBdr>
        <w:top w:val="none" w:sz="0" w:space="0" w:color="auto"/>
        <w:left w:val="none" w:sz="0" w:space="0" w:color="auto"/>
        <w:bottom w:val="none" w:sz="0" w:space="0" w:color="auto"/>
        <w:right w:val="none" w:sz="0" w:space="0" w:color="auto"/>
      </w:divBdr>
    </w:div>
    <w:div w:id="2047632195">
      <w:bodyDiv w:val="1"/>
      <w:marLeft w:val="0"/>
      <w:marRight w:val="0"/>
      <w:marTop w:val="0"/>
      <w:marBottom w:val="0"/>
      <w:divBdr>
        <w:top w:val="none" w:sz="0" w:space="0" w:color="auto"/>
        <w:left w:val="none" w:sz="0" w:space="0" w:color="auto"/>
        <w:bottom w:val="none" w:sz="0" w:space="0" w:color="auto"/>
        <w:right w:val="none" w:sz="0" w:space="0" w:color="auto"/>
      </w:divBdr>
    </w:div>
    <w:div w:id="2077387374">
      <w:bodyDiv w:val="1"/>
      <w:marLeft w:val="0"/>
      <w:marRight w:val="0"/>
      <w:marTop w:val="0"/>
      <w:marBottom w:val="0"/>
      <w:divBdr>
        <w:top w:val="none" w:sz="0" w:space="0" w:color="auto"/>
        <w:left w:val="none" w:sz="0" w:space="0" w:color="auto"/>
        <w:bottom w:val="none" w:sz="0" w:space="0" w:color="auto"/>
        <w:right w:val="none" w:sz="0" w:space="0" w:color="auto"/>
      </w:divBdr>
    </w:div>
    <w:div w:id="2082406971">
      <w:bodyDiv w:val="1"/>
      <w:marLeft w:val="0"/>
      <w:marRight w:val="0"/>
      <w:marTop w:val="0"/>
      <w:marBottom w:val="0"/>
      <w:divBdr>
        <w:top w:val="none" w:sz="0" w:space="0" w:color="auto"/>
        <w:left w:val="none" w:sz="0" w:space="0" w:color="auto"/>
        <w:bottom w:val="none" w:sz="0" w:space="0" w:color="auto"/>
        <w:right w:val="none" w:sz="0" w:space="0" w:color="auto"/>
      </w:divBdr>
    </w:div>
    <w:div w:id="2085906597">
      <w:bodyDiv w:val="1"/>
      <w:marLeft w:val="0"/>
      <w:marRight w:val="0"/>
      <w:marTop w:val="0"/>
      <w:marBottom w:val="0"/>
      <w:divBdr>
        <w:top w:val="none" w:sz="0" w:space="0" w:color="auto"/>
        <w:left w:val="none" w:sz="0" w:space="0" w:color="auto"/>
        <w:bottom w:val="none" w:sz="0" w:space="0" w:color="auto"/>
        <w:right w:val="none" w:sz="0" w:space="0" w:color="auto"/>
      </w:divBdr>
    </w:div>
    <w:div w:id="2093551999">
      <w:bodyDiv w:val="1"/>
      <w:marLeft w:val="0"/>
      <w:marRight w:val="0"/>
      <w:marTop w:val="0"/>
      <w:marBottom w:val="0"/>
      <w:divBdr>
        <w:top w:val="none" w:sz="0" w:space="0" w:color="auto"/>
        <w:left w:val="none" w:sz="0" w:space="0" w:color="auto"/>
        <w:bottom w:val="none" w:sz="0" w:space="0" w:color="auto"/>
        <w:right w:val="none" w:sz="0" w:space="0" w:color="auto"/>
      </w:divBdr>
    </w:div>
    <w:div w:id="2096125936">
      <w:bodyDiv w:val="1"/>
      <w:marLeft w:val="0"/>
      <w:marRight w:val="0"/>
      <w:marTop w:val="0"/>
      <w:marBottom w:val="0"/>
      <w:divBdr>
        <w:top w:val="none" w:sz="0" w:space="0" w:color="auto"/>
        <w:left w:val="none" w:sz="0" w:space="0" w:color="auto"/>
        <w:bottom w:val="none" w:sz="0" w:space="0" w:color="auto"/>
        <w:right w:val="none" w:sz="0" w:space="0" w:color="auto"/>
      </w:divBdr>
    </w:div>
    <w:div w:id="2097361858">
      <w:bodyDiv w:val="1"/>
      <w:marLeft w:val="0"/>
      <w:marRight w:val="0"/>
      <w:marTop w:val="0"/>
      <w:marBottom w:val="0"/>
      <w:divBdr>
        <w:top w:val="none" w:sz="0" w:space="0" w:color="auto"/>
        <w:left w:val="none" w:sz="0" w:space="0" w:color="auto"/>
        <w:bottom w:val="none" w:sz="0" w:space="0" w:color="auto"/>
        <w:right w:val="none" w:sz="0" w:space="0" w:color="auto"/>
      </w:divBdr>
    </w:div>
    <w:div w:id="2110656558">
      <w:bodyDiv w:val="1"/>
      <w:marLeft w:val="0"/>
      <w:marRight w:val="0"/>
      <w:marTop w:val="0"/>
      <w:marBottom w:val="0"/>
      <w:divBdr>
        <w:top w:val="none" w:sz="0" w:space="0" w:color="auto"/>
        <w:left w:val="none" w:sz="0" w:space="0" w:color="auto"/>
        <w:bottom w:val="none" w:sz="0" w:space="0" w:color="auto"/>
        <w:right w:val="none" w:sz="0" w:space="0" w:color="auto"/>
      </w:divBdr>
    </w:div>
    <w:div w:id="2111731451">
      <w:bodyDiv w:val="1"/>
      <w:marLeft w:val="0"/>
      <w:marRight w:val="0"/>
      <w:marTop w:val="0"/>
      <w:marBottom w:val="0"/>
      <w:divBdr>
        <w:top w:val="none" w:sz="0" w:space="0" w:color="auto"/>
        <w:left w:val="none" w:sz="0" w:space="0" w:color="auto"/>
        <w:bottom w:val="none" w:sz="0" w:space="0" w:color="auto"/>
        <w:right w:val="none" w:sz="0" w:space="0" w:color="auto"/>
      </w:divBdr>
    </w:div>
    <w:div w:id="2113085418">
      <w:bodyDiv w:val="1"/>
      <w:marLeft w:val="0"/>
      <w:marRight w:val="0"/>
      <w:marTop w:val="0"/>
      <w:marBottom w:val="0"/>
      <w:divBdr>
        <w:top w:val="none" w:sz="0" w:space="0" w:color="auto"/>
        <w:left w:val="none" w:sz="0" w:space="0" w:color="auto"/>
        <w:bottom w:val="none" w:sz="0" w:space="0" w:color="auto"/>
        <w:right w:val="none" w:sz="0" w:space="0" w:color="auto"/>
      </w:divBdr>
    </w:div>
    <w:div w:id="2130005780">
      <w:bodyDiv w:val="1"/>
      <w:marLeft w:val="0"/>
      <w:marRight w:val="0"/>
      <w:marTop w:val="0"/>
      <w:marBottom w:val="0"/>
      <w:divBdr>
        <w:top w:val="none" w:sz="0" w:space="0" w:color="auto"/>
        <w:left w:val="none" w:sz="0" w:space="0" w:color="auto"/>
        <w:bottom w:val="none" w:sz="0" w:space="0" w:color="auto"/>
        <w:right w:val="none" w:sz="0" w:space="0" w:color="auto"/>
      </w:divBdr>
    </w:div>
    <w:div w:id="213058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footer" Target="footer3.xml"/><Relationship Id="rId42" Type="http://schemas.openxmlformats.org/officeDocument/2006/relationships/image" Target="media/image18.emf"/><Relationship Id="rId47" Type="http://schemas.openxmlformats.org/officeDocument/2006/relationships/chart" Target="charts/chart7.xml"/><Relationship Id="rId63" Type="http://schemas.openxmlformats.org/officeDocument/2006/relationships/image" Target="media/image32.emf"/><Relationship Id="rId68" Type="http://schemas.openxmlformats.org/officeDocument/2006/relationships/image" Target="media/image37.emf"/><Relationship Id="rId16" Type="http://schemas.openxmlformats.org/officeDocument/2006/relationships/image" Target="media/image5.emf"/><Relationship Id="rId11" Type="http://schemas.openxmlformats.org/officeDocument/2006/relationships/endnotes" Target="endnotes.xml"/><Relationship Id="rId32" Type="http://schemas.openxmlformats.org/officeDocument/2006/relationships/image" Target="media/image9.emf"/><Relationship Id="rId37" Type="http://schemas.openxmlformats.org/officeDocument/2006/relationships/image" Target="media/image13.png"/><Relationship Id="rId53" Type="http://schemas.openxmlformats.org/officeDocument/2006/relationships/footer" Target="footer9.xml"/><Relationship Id="rId58" Type="http://schemas.openxmlformats.org/officeDocument/2006/relationships/image" Target="media/image27.emf"/><Relationship Id="rId74" Type="http://schemas.openxmlformats.org/officeDocument/2006/relationships/image" Target="media/image43.emf"/><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chart" Target="charts/chart2.xml"/><Relationship Id="rId30" Type="http://schemas.openxmlformats.org/officeDocument/2006/relationships/image" Target="media/image7.png"/><Relationship Id="rId35" Type="http://schemas.openxmlformats.org/officeDocument/2006/relationships/image" Target="media/image12.emf"/><Relationship Id="rId43" Type="http://schemas.openxmlformats.org/officeDocument/2006/relationships/image" Target="media/image19.emf"/><Relationship Id="rId48" Type="http://schemas.openxmlformats.org/officeDocument/2006/relationships/chart" Target="charts/chart8.xml"/><Relationship Id="rId56" Type="http://schemas.openxmlformats.org/officeDocument/2006/relationships/image" Target="media/image25.emf"/><Relationship Id="rId64" Type="http://schemas.openxmlformats.org/officeDocument/2006/relationships/image" Target="media/image33.emf"/><Relationship Id="rId69" Type="http://schemas.openxmlformats.org/officeDocument/2006/relationships/image" Target="media/image38.emf"/><Relationship Id="rId77" Type="http://schemas.openxmlformats.org/officeDocument/2006/relationships/chart" Target="charts/chart10.xml"/><Relationship Id="rId8" Type="http://schemas.openxmlformats.org/officeDocument/2006/relationships/settings" Target="settings.xml"/><Relationship Id="rId51" Type="http://schemas.openxmlformats.org/officeDocument/2006/relationships/image" Target="media/image22.png"/><Relationship Id="rId72" Type="http://schemas.openxmlformats.org/officeDocument/2006/relationships/image" Target="media/image41.emf"/><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1.xml"/><Relationship Id="rId25" Type="http://schemas.openxmlformats.org/officeDocument/2006/relationships/footer" Target="footer7.xml"/><Relationship Id="rId33" Type="http://schemas.openxmlformats.org/officeDocument/2006/relationships/image" Target="media/image10.png"/><Relationship Id="rId38" Type="http://schemas.openxmlformats.org/officeDocument/2006/relationships/image" Target="media/image14.emf"/><Relationship Id="rId46" Type="http://schemas.openxmlformats.org/officeDocument/2006/relationships/chart" Target="charts/chart6.xml"/><Relationship Id="rId59" Type="http://schemas.openxmlformats.org/officeDocument/2006/relationships/image" Target="media/image28.emf"/><Relationship Id="rId67" Type="http://schemas.openxmlformats.org/officeDocument/2006/relationships/image" Target="media/image36.emf"/><Relationship Id="rId20" Type="http://schemas.openxmlformats.org/officeDocument/2006/relationships/footer" Target="footer2.xml"/><Relationship Id="rId41" Type="http://schemas.openxmlformats.org/officeDocument/2006/relationships/image" Target="media/image17.emf"/><Relationship Id="rId54" Type="http://schemas.openxmlformats.org/officeDocument/2006/relationships/footer" Target="footer10.xml"/><Relationship Id="rId62" Type="http://schemas.openxmlformats.org/officeDocument/2006/relationships/image" Target="media/image31.emf"/><Relationship Id="rId70" Type="http://schemas.openxmlformats.org/officeDocument/2006/relationships/image" Target="media/image39.emf"/><Relationship Id="rId75"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chart" Target="charts/chart3.xml"/><Relationship Id="rId36" Type="http://schemas.openxmlformats.org/officeDocument/2006/relationships/chart" Target="charts/chart4.xml"/><Relationship Id="rId49" Type="http://schemas.openxmlformats.org/officeDocument/2006/relationships/image" Target="media/image21.png"/><Relationship Id="rId57" Type="http://schemas.openxmlformats.org/officeDocument/2006/relationships/image" Target="media/image26.emf"/><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20.emf"/><Relationship Id="rId52" Type="http://schemas.openxmlformats.org/officeDocument/2006/relationships/footer" Target="footer8.xml"/><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image" Target="media/image42.emf"/><Relationship Id="rId78" Type="http://schemas.openxmlformats.org/officeDocument/2006/relationships/hyperlink" Target="http://www.deloitte.com/au/deloitte-access-economics"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9" Type="http://schemas.openxmlformats.org/officeDocument/2006/relationships/image" Target="media/image15.emf"/><Relationship Id="rId34" Type="http://schemas.openxmlformats.org/officeDocument/2006/relationships/image" Target="media/image11.emf"/><Relationship Id="rId50" Type="http://schemas.openxmlformats.org/officeDocument/2006/relationships/chart" Target="charts/chart9.xml"/><Relationship Id="rId55" Type="http://schemas.openxmlformats.org/officeDocument/2006/relationships/image" Target="media/image24.emf"/><Relationship Id="rId76" Type="http://schemas.openxmlformats.org/officeDocument/2006/relationships/image" Target="media/image45.emf"/><Relationship Id="rId7" Type="http://schemas.openxmlformats.org/officeDocument/2006/relationships/styles" Target="styles.xml"/><Relationship Id="rId71" Type="http://schemas.openxmlformats.org/officeDocument/2006/relationships/image" Target="media/image40.emf"/><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6.xml"/><Relationship Id="rId40" Type="http://schemas.openxmlformats.org/officeDocument/2006/relationships/image" Target="media/image16.emf"/><Relationship Id="rId45" Type="http://schemas.openxmlformats.org/officeDocument/2006/relationships/chart" Target="charts/chart5.xml"/><Relationship Id="rId66" Type="http://schemas.openxmlformats.org/officeDocument/2006/relationships/image" Target="media/image35.emf"/></Relationships>
</file>

<file path=word/_rels/endnotes.xml.rels><?xml version="1.0" encoding="UTF-8" standalone="yes"?>
<Relationships xmlns="http://schemas.openxmlformats.org/package/2006/relationships"><Relationship Id="rId1" Type="http://schemas.openxmlformats.org/officeDocument/2006/relationships/hyperlink" Target="http://epress.anu.edu.au/wp-content/uploads/2011/06/4-2-NT-3.pdf"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23.emf"/></Relationships>
</file>

<file path=word/charts/_rels/chart1.xml.rels><?xml version="1.0" encoding="UTF-8" standalone="yes"?>
<Relationships xmlns="http://schemas.openxmlformats.org/package/2006/relationships"><Relationship Id="rId3" Type="http://schemas.openxmlformats.org/officeDocument/2006/relationships/oleObject" Target="https://ausdeloitte.sharepoint.com/sites/COVID-19BusinessSupportGrantsevaluation/Shared%20Documents/General/04.%20Working%20papers/03.%20Draft%20report/Chris%20charts.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ausdeloitte.sharepoint.com/sites/COVID-19BusinessSupportGrantsevaluation/Shared%20Documents/General/05.%20Business%20survey/Analysis/Survey%20result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pitman\AppData\Local\Microsoft\Windows\INetCache\Content.Outlook\NIBRCF1G\AEMR%20Checking%20Workbook_March_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usdeloitte.sharepoint.com/sites/COVID-19BusinessSupportGrantsevaluation/Shared%20Documents/General/04.%20Working%20papers/03.%20Draft%20report/Chris%20charts.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usdeloitte.sharepoint.com/sites/COVID-19BusinessSupportGrantsevaluation/Shared%20Documents/General/04.%20Working%20papers/03.%20Draft%20report/Chris%20charts.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hribates\Downloads\Chart%203a_%20Employed%20people%20who%20changed%20jobs%20during%20the%20year%20by%20sex.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oleObject" Target="https://ausdeloitte.sharepoint.com/sites/COVID-19BusinessSupportGrantsevaluation/Shared%20Documents/General/04.%20Working%20papers/03.%20Draft%20report/Chris%20charts.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1-0A61-4411-A66B-AFDE0A4C9FC0}"/>
              </c:ext>
            </c:extLst>
          </c:dPt>
          <c:cat>
            <c:strRef>
              <c:f>'Global gdp growth'!$B$14:$B$23</c:f>
              <c:strCache>
                <c:ptCount val="10"/>
                <c:pt idx="0">
                  <c:v>China</c:v>
                </c:pt>
                <c:pt idx="1">
                  <c:v>Emerging market economies</c:v>
                </c:pt>
                <c:pt idx="2">
                  <c:v>Australia</c:v>
                </c:pt>
                <c:pt idx="3">
                  <c:v>World</c:v>
                </c:pt>
                <c:pt idx="4">
                  <c:v>United States</c:v>
                </c:pt>
                <c:pt idx="5">
                  <c:v>Advanced economies</c:v>
                </c:pt>
                <c:pt idx="6">
                  <c:v>Japan</c:v>
                </c:pt>
                <c:pt idx="7">
                  <c:v>Canada</c:v>
                </c:pt>
                <c:pt idx="8">
                  <c:v>Euro area</c:v>
                </c:pt>
                <c:pt idx="9">
                  <c:v>United Kingdom</c:v>
                </c:pt>
              </c:strCache>
            </c:strRef>
          </c:cat>
          <c:val>
            <c:numRef>
              <c:f>'Global gdp growth'!$C$14:$C$23</c:f>
              <c:numCache>
                <c:formatCode>0%</c:formatCode>
                <c:ptCount val="10"/>
                <c:pt idx="0">
                  <c:v>2.3E-2</c:v>
                </c:pt>
                <c:pt idx="1">
                  <c:v>-2.1000000000000001E-2</c:v>
                </c:pt>
                <c:pt idx="2">
                  <c:v>-2.1000000000100001E-2</c:v>
                </c:pt>
                <c:pt idx="3">
                  <c:v>-3.2000000000000001E-2</c:v>
                </c:pt>
                <c:pt idx="4">
                  <c:v>-3.5000000000000003E-2</c:v>
                </c:pt>
                <c:pt idx="5">
                  <c:v>-4.5999999999999999E-2</c:v>
                </c:pt>
                <c:pt idx="6">
                  <c:v>-4.7E-2</c:v>
                </c:pt>
                <c:pt idx="7">
                  <c:v>-5.2999999999999999E-2</c:v>
                </c:pt>
                <c:pt idx="8">
                  <c:v>-6.5000000000000002E-2</c:v>
                </c:pt>
                <c:pt idx="9">
                  <c:v>-9.8000000000000004E-2</c:v>
                </c:pt>
              </c:numCache>
            </c:numRef>
          </c:val>
          <c:extLst>
            <c:ext xmlns:c16="http://schemas.microsoft.com/office/drawing/2014/chart" uri="{C3380CC4-5D6E-409C-BE32-E72D297353CC}">
              <c16:uniqueId val="{00000000-0A61-4411-A66B-AFDE0A4C9FC0}"/>
            </c:ext>
          </c:extLst>
        </c:ser>
        <c:dLbls>
          <c:showLegendKey val="0"/>
          <c:showVal val="0"/>
          <c:showCatName val="0"/>
          <c:showSerName val="0"/>
          <c:showPercent val="0"/>
          <c:showBubbleSize val="0"/>
        </c:dLbls>
        <c:gapWidth val="182"/>
        <c:axId val="51116000"/>
        <c:axId val="285642287"/>
      </c:barChart>
      <c:catAx>
        <c:axId val="51116000"/>
        <c:scaling>
          <c:orientation val="minMax"/>
        </c:scaling>
        <c:delete val="0"/>
        <c:axPos val="l"/>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5642287"/>
        <c:crosses val="autoZero"/>
        <c:auto val="1"/>
        <c:lblAlgn val="ctr"/>
        <c:lblOffset val="100"/>
        <c:noMultiLvlLbl val="0"/>
      </c:catAx>
      <c:valAx>
        <c:axId val="2856422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116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 charts'!$C$284</c:f>
              <c:strCache>
                <c:ptCount val="1"/>
                <c:pt idx="0">
                  <c:v>BCAP</c:v>
                </c:pt>
              </c:strCache>
            </c:strRef>
          </c:tx>
          <c:spPr>
            <a:solidFill>
              <a:schemeClr val="accent1"/>
            </a:solidFill>
            <a:ln>
              <a:noFill/>
            </a:ln>
            <a:effectLst/>
          </c:spPr>
          <c:invertIfNegative val="0"/>
          <c:cat>
            <c:strRef>
              <c:f>'Report charts'!$B$285:$B$290</c:f>
              <c:strCache>
                <c:ptCount val="6"/>
                <c:pt idx="0">
                  <c:v>Very satisfied</c:v>
                </c:pt>
                <c:pt idx="1">
                  <c:v>Satisfied</c:v>
                </c:pt>
                <c:pt idx="2">
                  <c:v>Neither satisfied nor dissatisfied</c:v>
                </c:pt>
                <c:pt idx="3">
                  <c:v>Dissatisfied</c:v>
                </c:pt>
                <c:pt idx="4">
                  <c:v>Very dissatisfied </c:v>
                </c:pt>
                <c:pt idx="5">
                  <c:v>Not sure / don't know</c:v>
                </c:pt>
              </c:strCache>
            </c:strRef>
          </c:cat>
          <c:val>
            <c:numRef>
              <c:f>'Report charts'!$C$285:$C$290</c:f>
              <c:numCache>
                <c:formatCode>0%</c:formatCode>
                <c:ptCount val="6"/>
                <c:pt idx="0">
                  <c:v>0.4606741573033708</c:v>
                </c:pt>
                <c:pt idx="1">
                  <c:v>0.3539325842696629</c:v>
                </c:pt>
                <c:pt idx="2">
                  <c:v>0.12921348314606743</c:v>
                </c:pt>
                <c:pt idx="3">
                  <c:v>1.1235955056179775E-2</c:v>
                </c:pt>
                <c:pt idx="4">
                  <c:v>3.3707865168539325E-2</c:v>
                </c:pt>
                <c:pt idx="5">
                  <c:v>1.1235955056179775E-2</c:v>
                </c:pt>
              </c:numCache>
            </c:numRef>
          </c:val>
          <c:extLst>
            <c:ext xmlns:c16="http://schemas.microsoft.com/office/drawing/2014/chart" uri="{C3380CC4-5D6E-409C-BE32-E72D297353CC}">
              <c16:uniqueId val="{00000000-A301-4897-B8D3-52A56C10AB95}"/>
            </c:ext>
          </c:extLst>
        </c:ser>
        <c:ser>
          <c:idx val="1"/>
          <c:order val="1"/>
          <c:tx>
            <c:strRef>
              <c:f>'Report charts'!$D$284</c:f>
              <c:strCache>
                <c:ptCount val="1"/>
                <c:pt idx="0">
                  <c:v>LHVF</c:v>
                </c:pt>
              </c:strCache>
            </c:strRef>
          </c:tx>
          <c:spPr>
            <a:solidFill>
              <a:schemeClr val="accent2"/>
            </a:solidFill>
            <a:ln>
              <a:noFill/>
            </a:ln>
            <a:effectLst/>
          </c:spPr>
          <c:invertIfNegative val="0"/>
          <c:cat>
            <c:strRef>
              <c:f>'Report charts'!$B$285:$B$290</c:f>
              <c:strCache>
                <c:ptCount val="6"/>
                <c:pt idx="0">
                  <c:v>Very satisfied</c:v>
                </c:pt>
                <c:pt idx="1">
                  <c:v>Satisfied</c:v>
                </c:pt>
                <c:pt idx="2">
                  <c:v>Neither satisfied nor dissatisfied</c:v>
                </c:pt>
                <c:pt idx="3">
                  <c:v>Dissatisfied</c:v>
                </c:pt>
                <c:pt idx="4">
                  <c:v>Very dissatisfied </c:v>
                </c:pt>
                <c:pt idx="5">
                  <c:v>Not sure / don't know</c:v>
                </c:pt>
              </c:strCache>
            </c:strRef>
          </c:cat>
          <c:val>
            <c:numRef>
              <c:f>'Report charts'!$D$285:$D$290</c:f>
              <c:numCache>
                <c:formatCode>0%</c:formatCode>
                <c:ptCount val="6"/>
                <c:pt idx="0">
                  <c:v>0.42408376963350786</c:v>
                </c:pt>
                <c:pt idx="1">
                  <c:v>0.37696335078534032</c:v>
                </c:pt>
                <c:pt idx="2">
                  <c:v>0.10471204188481675</c:v>
                </c:pt>
                <c:pt idx="3">
                  <c:v>3.6649214659685861E-2</c:v>
                </c:pt>
                <c:pt idx="4">
                  <c:v>5.2356020942408377E-2</c:v>
                </c:pt>
                <c:pt idx="5">
                  <c:v>5.235602094240838E-3</c:v>
                </c:pt>
              </c:numCache>
            </c:numRef>
          </c:val>
          <c:extLst>
            <c:ext xmlns:c16="http://schemas.microsoft.com/office/drawing/2014/chart" uri="{C3380CC4-5D6E-409C-BE32-E72D297353CC}">
              <c16:uniqueId val="{00000001-A301-4897-B8D3-52A56C10AB95}"/>
            </c:ext>
          </c:extLst>
        </c:ser>
        <c:dLbls>
          <c:showLegendKey val="0"/>
          <c:showVal val="0"/>
          <c:showCatName val="0"/>
          <c:showSerName val="0"/>
          <c:showPercent val="0"/>
          <c:showBubbleSize val="0"/>
        </c:dLbls>
        <c:gapWidth val="219"/>
        <c:overlap val="-27"/>
        <c:axId val="118234640"/>
        <c:axId val="1682598143"/>
      </c:barChart>
      <c:catAx>
        <c:axId val="11823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2598143"/>
        <c:crosses val="autoZero"/>
        <c:auto val="1"/>
        <c:lblAlgn val="ctr"/>
        <c:lblOffset val="100"/>
        <c:noMultiLvlLbl val="0"/>
      </c:catAx>
      <c:valAx>
        <c:axId val="1682598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823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'Chart data'!$DS$12:$FX$12</c:f>
              <c:numCache>
                <c:formatCode>mmm\-yy</c:formatCode>
                <c:ptCount val="58"/>
                <c:pt idx="0">
                  <c:v>40238</c:v>
                </c:pt>
                <c:pt idx="1">
                  <c:v>40330</c:v>
                </c:pt>
                <c:pt idx="2">
                  <c:v>40422</c:v>
                </c:pt>
                <c:pt idx="3">
                  <c:v>40513</c:v>
                </c:pt>
                <c:pt idx="4">
                  <c:v>40603</c:v>
                </c:pt>
                <c:pt idx="5">
                  <c:v>40695</c:v>
                </c:pt>
                <c:pt idx="6">
                  <c:v>40787</c:v>
                </c:pt>
                <c:pt idx="7">
                  <c:v>40878</c:v>
                </c:pt>
                <c:pt idx="8">
                  <c:v>40969</c:v>
                </c:pt>
                <c:pt idx="9">
                  <c:v>41061</c:v>
                </c:pt>
                <c:pt idx="10">
                  <c:v>41153</c:v>
                </c:pt>
                <c:pt idx="11">
                  <c:v>41244</c:v>
                </c:pt>
                <c:pt idx="12">
                  <c:v>41334</c:v>
                </c:pt>
                <c:pt idx="13">
                  <c:v>41426</c:v>
                </c:pt>
                <c:pt idx="14">
                  <c:v>41518</c:v>
                </c:pt>
                <c:pt idx="15">
                  <c:v>41609</c:v>
                </c:pt>
                <c:pt idx="16">
                  <c:v>41699</c:v>
                </c:pt>
                <c:pt idx="17">
                  <c:v>41791</c:v>
                </c:pt>
                <c:pt idx="18">
                  <c:v>41883</c:v>
                </c:pt>
                <c:pt idx="19">
                  <c:v>41974</c:v>
                </c:pt>
                <c:pt idx="20">
                  <c:v>42064</c:v>
                </c:pt>
                <c:pt idx="21">
                  <c:v>42156</c:v>
                </c:pt>
                <c:pt idx="22">
                  <c:v>42248</c:v>
                </c:pt>
                <c:pt idx="23">
                  <c:v>42339</c:v>
                </c:pt>
                <c:pt idx="24">
                  <c:v>42430</c:v>
                </c:pt>
                <c:pt idx="25">
                  <c:v>42522</c:v>
                </c:pt>
                <c:pt idx="26">
                  <c:v>42614</c:v>
                </c:pt>
                <c:pt idx="27">
                  <c:v>42705</c:v>
                </c:pt>
                <c:pt idx="28">
                  <c:v>42795</c:v>
                </c:pt>
                <c:pt idx="29">
                  <c:v>42887</c:v>
                </c:pt>
                <c:pt idx="30">
                  <c:v>42979</c:v>
                </c:pt>
                <c:pt idx="31">
                  <c:v>43070</c:v>
                </c:pt>
                <c:pt idx="32">
                  <c:v>43160</c:v>
                </c:pt>
                <c:pt idx="33">
                  <c:v>43252</c:v>
                </c:pt>
                <c:pt idx="34">
                  <c:v>43344</c:v>
                </c:pt>
                <c:pt idx="35">
                  <c:v>43435</c:v>
                </c:pt>
                <c:pt idx="36">
                  <c:v>43525</c:v>
                </c:pt>
                <c:pt idx="37">
                  <c:v>43617</c:v>
                </c:pt>
                <c:pt idx="38">
                  <c:v>43709</c:v>
                </c:pt>
                <c:pt idx="39">
                  <c:v>43800</c:v>
                </c:pt>
                <c:pt idx="40">
                  <c:v>43891</c:v>
                </c:pt>
                <c:pt idx="41">
                  <c:v>43983</c:v>
                </c:pt>
                <c:pt idx="42">
                  <c:v>44075</c:v>
                </c:pt>
                <c:pt idx="43">
                  <c:v>44166</c:v>
                </c:pt>
                <c:pt idx="44">
                  <c:v>44256</c:v>
                </c:pt>
                <c:pt idx="45">
                  <c:v>44348</c:v>
                </c:pt>
                <c:pt idx="46">
                  <c:v>44440</c:v>
                </c:pt>
                <c:pt idx="47">
                  <c:v>44531</c:v>
                </c:pt>
                <c:pt idx="48">
                  <c:v>44621</c:v>
                </c:pt>
                <c:pt idx="49">
                  <c:v>44713</c:v>
                </c:pt>
                <c:pt idx="50">
                  <c:v>44805</c:v>
                </c:pt>
                <c:pt idx="51">
                  <c:v>44896</c:v>
                </c:pt>
                <c:pt idx="52">
                  <c:v>44986</c:v>
                </c:pt>
                <c:pt idx="53">
                  <c:v>45078</c:v>
                </c:pt>
                <c:pt idx="54">
                  <c:v>45170</c:v>
                </c:pt>
                <c:pt idx="55">
                  <c:v>45261</c:v>
                </c:pt>
                <c:pt idx="56">
                  <c:v>45352</c:v>
                </c:pt>
                <c:pt idx="57">
                  <c:v>45444</c:v>
                </c:pt>
              </c:numCache>
            </c:numRef>
          </c:cat>
          <c:val>
            <c:numRef>
              <c:f>'Chart data'!$DS$69:$FX$69</c:f>
              <c:numCache>
                <c:formatCode>0.0%</c:formatCode>
                <c:ptCount val="58"/>
                <c:pt idx="0">
                  <c:v>2.2992692154052197E-2</c:v>
                </c:pt>
                <c:pt idx="1">
                  <c:v>2.2208786873612496E-2</c:v>
                </c:pt>
                <c:pt idx="2">
                  <c:v>2.584103159408091E-2</c:v>
                </c:pt>
                <c:pt idx="3">
                  <c:v>2.646590515749403E-2</c:v>
                </c:pt>
                <c:pt idx="4">
                  <c:v>1.8894924831459381E-2</c:v>
                </c:pt>
                <c:pt idx="5">
                  <c:v>2.5183659394888647E-2</c:v>
                </c:pt>
                <c:pt idx="6">
                  <c:v>3.2306272351445786E-2</c:v>
                </c:pt>
                <c:pt idx="7">
                  <c:v>3.4238645381604593E-2</c:v>
                </c:pt>
                <c:pt idx="8">
                  <c:v>4.7680130573672042E-2</c:v>
                </c:pt>
                <c:pt idx="9">
                  <c:v>4.2445275554595208E-2</c:v>
                </c:pt>
                <c:pt idx="10">
                  <c:v>3.4144455452721933E-2</c:v>
                </c:pt>
                <c:pt idx="11">
                  <c:v>2.807527024295231E-2</c:v>
                </c:pt>
                <c:pt idx="12">
                  <c:v>2.2699152843257631E-2</c:v>
                </c:pt>
                <c:pt idx="13">
                  <c:v>1.9558277384366329E-2</c:v>
                </c:pt>
                <c:pt idx="14">
                  <c:v>2.1794730178691379E-2</c:v>
                </c:pt>
                <c:pt idx="15">
                  <c:v>2.5194253274555267E-2</c:v>
                </c:pt>
                <c:pt idx="16">
                  <c:v>2.8067665376199313E-2</c:v>
                </c:pt>
                <c:pt idx="17">
                  <c:v>2.9186463483387382E-2</c:v>
                </c:pt>
                <c:pt idx="18">
                  <c:v>2.5300613700999453E-2</c:v>
                </c:pt>
                <c:pt idx="19">
                  <c:v>2.0974218416477397E-2</c:v>
                </c:pt>
                <c:pt idx="20">
                  <c:v>2.2843927796651675E-2</c:v>
                </c:pt>
                <c:pt idx="21">
                  <c:v>1.9009703399753608E-2</c:v>
                </c:pt>
                <c:pt idx="22">
                  <c:v>2.4947991224406163E-2</c:v>
                </c:pt>
                <c:pt idx="23">
                  <c:v>2.7100238157280687E-2</c:v>
                </c:pt>
                <c:pt idx="24">
                  <c:v>2.6767670704427093E-2</c:v>
                </c:pt>
                <c:pt idx="25">
                  <c:v>3.2300159872102441E-2</c:v>
                </c:pt>
                <c:pt idx="26">
                  <c:v>2.2322894617104128E-2</c:v>
                </c:pt>
                <c:pt idx="27">
                  <c:v>2.7439342179531812E-2</c:v>
                </c:pt>
                <c:pt idx="28">
                  <c:v>2.1743705666848578E-2</c:v>
                </c:pt>
                <c:pt idx="29">
                  <c:v>2.1279108259786295E-2</c:v>
                </c:pt>
                <c:pt idx="30">
                  <c:v>3.0233719188659025E-2</c:v>
                </c:pt>
                <c:pt idx="31">
                  <c:v>2.353857727226627E-2</c:v>
                </c:pt>
                <c:pt idx="32">
                  <c:v>3.0561605743079534E-2</c:v>
                </c:pt>
                <c:pt idx="33">
                  <c:v>3.1901887007041996E-2</c:v>
                </c:pt>
                <c:pt idx="34">
                  <c:v>2.6784473269997333E-2</c:v>
                </c:pt>
                <c:pt idx="35">
                  <c:v>2.4788859880759073E-2</c:v>
                </c:pt>
                <c:pt idx="36">
                  <c:v>2.0061368540664981E-2</c:v>
                </c:pt>
                <c:pt idx="37">
                  <c:v>1.5759067571663454E-2</c:v>
                </c:pt>
                <c:pt idx="38">
                  <c:v>1.7226492615126876E-2</c:v>
                </c:pt>
                <c:pt idx="39">
                  <c:v>1.9568553810329403E-2</c:v>
                </c:pt>
                <c:pt idx="40">
                  <c:v>1.1709380930436719E-2</c:v>
                </c:pt>
                <c:pt idx="41">
                  <c:v>-6.140182724372667E-2</c:v>
                </c:pt>
                <c:pt idx="42">
                  <c:v>-3.1900373151103723E-2</c:v>
                </c:pt>
                <c:pt idx="43">
                  <c:v>-3.5887265658840484E-3</c:v>
                </c:pt>
                <c:pt idx="44">
                  <c:v>1.997180956753164E-2</c:v>
                </c:pt>
                <c:pt idx="45">
                  <c:v>0.10575113051553831</c:v>
                </c:pt>
                <c:pt idx="46">
                  <c:v>4.6067883255067388E-2</c:v>
                </c:pt>
                <c:pt idx="47">
                  <c:v>5.3514619473350677E-2</c:v>
                </c:pt>
                <c:pt idx="48">
                  <c:v>3.6293916905338452E-2</c:v>
                </c:pt>
                <c:pt idx="49">
                  <c:v>3.5358261151391179E-2</c:v>
                </c:pt>
                <c:pt idx="50">
                  <c:v>5.761308103193552E-2</c:v>
                </c:pt>
                <c:pt idx="51">
                  <c:v>2.3823489292047473E-2</c:v>
                </c:pt>
                <c:pt idx="52">
                  <c:v>2.4690541145812039E-2</c:v>
                </c:pt>
                <c:pt idx="53">
                  <c:v>2.1097664211219058E-2</c:v>
                </c:pt>
                <c:pt idx="54">
                  <c:v>2.1345579099365297E-2</c:v>
                </c:pt>
                <c:pt idx="55">
                  <c:v>1.5485001299021306E-2</c:v>
                </c:pt>
                <c:pt idx="56">
                  <c:v>1.2232500606913499E-2</c:v>
                </c:pt>
                <c:pt idx="57">
                  <c:v>1.0463938363579839E-2</c:v>
                </c:pt>
              </c:numCache>
            </c:numRef>
          </c:val>
          <c:smooth val="0"/>
          <c:extLst>
            <c:ext xmlns:c16="http://schemas.microsoft.com/office/drawing/2014/chart" uri="{C3380CC4-5D6E-409C-BE32-E72D297353CC}">
              <c16:uniqueId val="{00000000-4577-4805-9A4E-DCD7BD55D9B4}"/>
            </c:ext>
          </c:extLst>
        </c:ser>
        <c:dLbls>
          <c:showLegendKey val="0"/>
          <c:showVal val="0"/>
          <c:showCatName val="0"/>
          <c:showSerName val="0"/>
          <c:showPercent val="0"/>
          <c:showBubbleSize val="0"/>
        </c:dLbls>
        <c:smooth val="0"/>
        <c:axId val="1743667328"/>
        <c:axId val="1660210832"/>
      </c:lineChart>
      <c:dateAx>
        <c:axId val="1743667328"/>
        <c:scaling>
          <c:orientation val="minMax"/>
        </c:scaling>
        <c:delete val="0"/>
        <c:axPos val="b"/>
        <c:numFmt formatCode="mmm\-yy"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0210832"/>
        <c:crosses val="autoZero"/>
        <c:auto val="1"/>
        <c:lblOffset val="100"/>
        <c:baseTimeUnit val="months"/>
        <c:majorUnit val="12"/>
        <c:majorTimeUnit val="months"/>
      </c:dateAx>
      <c:valAx>
        <c:axId val="1660210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4366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'Contributions to gdp'!$L$33</c:f>
              <c:strCache>
                <c:ptCount val="1"/>
                <c:pt idx="0">
                  <c:v>Australia</c:v>
                </c:pt>
              </c:strCache>
            </c:strRef>
          </c:tx>
          <c:spPr>
            <a:solidFill>
              <a:schemeClr val="accent2"/>
            </a:solidFill>
            <a:ln>
              <a:noFill/>
            </a:ln>
            <a:effectLst/>
          </c:spPr>
          <c:invertIfNegative val="0"/>
          <c:cat>
            <c:strRef>
              <c:f>'Contributions to gdp'!$J$34:$J$40</c:f>
              <c:strCache>
                <c:ptCount val="7"/>
                <c:pt idx="0">
                  <c:v>Private consumption</c:v>
                </c:pt>
                <c:pt idx="1">
                  <c:v>GSP</c:v>
                </c:pt>
                <c:pt idx="2">
                  <c:v>Business investment</c:v>
                </c:pt>
                <c:pt idx="3">
                  <c:v>Dwelling investment</c:v>
                </c:pt>
                <c:pt idx="4">
                  <c:v>Public investment</c:v>
                </c:pt>
                <c:pt idx="5">
                  <c:v>Net exports</c:v>
                </c:pt>
                <c:pt idx="6">
                  <c:v>General government consumption</c:v>
                </c:pt>
              </c:strCache>
            </c:strRef>
          </c:cat>
          <c:val>
            <c:numRef>
              <c:f>'Contributions to gdp'!$L$34:$L$40</c:f>
              <c:numCache>
                <c:formatCode>General</c:formatCode>
                <c:ptCount val="7"/>
                <c:pt idx="0">
                  <c:v>-3.134221005750408E-2</c:v>
                </c:pt>
                <c:pt idx="1">
                  <c:v>-2.1754205975856391E-2</c:v>
                </c:pt>
                <c:pt idx="2">
                  <c:v>-3.9098906280506445E-3</c:v>
                </c:pt>
                <c:pt idx="3">
                  <c:v>-2.4188735683841759E-3</c:v>
                </c:pt>
                <c:pt idx="4">
                  <c:v>-3.2693703284842278E-4</c:v>
                </c:pt>
                <c:pt idx="5">
                  <c:v>-4.5748160864071555E-3</c:v>
                </c:pt>
                <c:pt idx="6">
                  <c:v>1.5536416180712373E-2</c:v>
                </c:pt>
              </c:numCache>
            </c:numRef>
          </c:val>
          <c:extLst>
            <c:ext xmlns:c16="http://schemas.microsoft.com/office/drawing/2014/chart" uri="{C3380CC4-5D6E-409C-BE32-E72D297353CC}">
              <c16:uniqueId val="{00000000-9A81-4B91-8FDC-E7B2F148AA7B}"/>
            </c:ext>
          </c:extLst>
        </c:ser>
        <c:ser>
          <c:idx val="0"/>
          <c:order val="1"/>
          <c:tx>
            <c:strRef>
              <c:f>'Contributions to gdp'!$C$33</c:f>
              <c:strCache>
                <c:ptCount val="1"/>
                <c:pt idx="0">
                  <c:v>Victoria</c:v>
                </c:pt>
              </c:strCache>
            </c:strRef>
          </c:tx>
          <c:spPr>
            <a:solidFill>
              <a:schemeClr val="accent1"/>
            </a:solidFill>
            <a:ln>
              <a:noFill/>
            </a:ln>
            <a:effectLst/>
          </c:spPr>
          <c:invertIfNegative val="0"/>
          <c:cat>
            <c:strRef>
              <c:f>'Contributions to gdp'!$J$34:$J$40</c:f>
              <c:strCache>
                <c:ptCount val="7"/>
                <c:pt idx="0">
                  <c:v>Private consumption</c:v>
                </c:pt>
                <c:pt idx="1">
                  <c:v>GSP</c:v>
                </c:pt>
                <c:pt idx="2">
                  <c:v>Business investment</c:v>
                </c:pt>
                <c:pt idx="3">
                  <c:v>Dwelling investment</c:v>
                </c:pt>
                <c:pt idx="4">
                  <c:v>Public investment</c:v>
                </c:pt>
                <c:pt idx="5">
                  <c:v>Net exports</c:v>
                </c:pt>
                <c:pt idx="6">
                  <c:v>General government consumption</c:v>
                </c:pt>
              </c:strCache>
            </c:strRef>
          </c:cat>
          <c:val>
            <c:numRef>
              <c:f>'Contributions to gdp'!$K$34:$K$40</c:f>
              <c:numCache>
                <c:formatCode>General</c:formatCode>
                <c:ptCount val="7"/>
                <c:pt idx="0">
                  <c:v>-6.3031324668124375E-2</c:v>
                </c:pt>
                <c:pt idx="1">
                  <c:v>-4.9130125602100685E-2</c:v>
                </c:pt>
                <c:pt idx="2">
                  <c:v>-7.433979321178087E-3</c:v>
                </c:pt>
                <c:pt idx="3">
                  <c:v>-2.8748920030205651E-3</c:v>
                </c:pt>
                <c:pt idx="4">
                  <c:v>2.3561934458649191E-3</c:v>
                </c:pt>
                <c:pt idx="5">
                  <c:v>1.720945212911142E-2</c:v>
                </c:pt>
                <c:pt idx="6">
                  <c:v>1.9853344774694245E-2</c:v>
                </c:pt>
              </c:numCache>
            </c:numRef>
          </c:val>
          <c:extLst>
            <c:ext xmlns:c16="http://schemas.microsoft.com/office/drawing/2014/chart" uri="{C3380CC4-5D6E-409C-BE32-E72D297353CC}">
              <c16:uniqueId val="{00000001-9A81-4B91-8FDC-E7B2F148AA7B}"/>
            </c:ext>
          </c:extLst>
        </c:ser>
        <c:dLbls>
          <c:showLegendKey val="0"/>
          <c:showVal val="0"/>
          <c:showCatName val="0"/>
          <c:showSerName val="0"/>
          <c:showPercent val="0"/>
          <c:showBubbleSize val="0"/>
        </c:dLbls>
        <c:gapWidth val="182"/>
        <c:axId val="394794384"/>
        <c:axId val="337235360"/>
      </c:barChart>
      <c:catAx>
        <c:axId val="394794384"/>
        <c:scaling>
          <c:orientation val="minMax"/>
        </c:scaling>
        <c:delete val="0"/>
        <c:axPos val="l"/>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7235360"/>
        <c:crosses val="autoZero"/>
        <c:auto val="1"/>
        <c:lblAlgn val="ctr"/>
        <c:lblOffset val="100"/>
        <c:noMultiLvlLbl val="0"/>
      </c:catAx>
      <c:valAx>
        <c:axId val="337235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479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77437949804233E-2"/>
          <c:y val="4.4097222222222225E-2"/>
          <c:w val="0.91566677373707561"/>
          <c:h val="0.75777604166666668"/>
        </c:manualLayout>
      </c:layout>
      <c:lineChart>
        <c:grouping val="standard"/>
        <c:varyColors val="0"/>
        <c:ser>
          <c:idx val="0"/>
          <c:order val="0"/>
          <c:tx>
            <c:strRef>
              <c:f>'[Victoria Business Confidence.xlsx]Sheet1'!$B$3</c:f>
              <c:strCache>
                <c:ptCount val="1"/>
                <c:pt idx="0">
                  <c:v>Business Conditions</c:v>
                </c:pt>
              </c:strCache>
            </c:strRef>
          </c:tx>
          <c:spPr>
            <a:ln w="28575" cap="rnd">
              <a:solidFill>
                <a:schemeClr val="accent1"/>
              </a:solidFill>
              <a:round/>
            </a:ln>
            <a:effectLst/>
          </c:spPr>
          <c:marker>
            <c:symbol val="none"/>
          </c:marker>
          <c:cat>
            <c:numRef>
              <c:f>'[Victoria Business Confidence.xlsx]Sheet1'!$C$2:$AY$2</c:f>
              <c:numCache>
                <c:formatCode>mmm\-yy</c:formatCode>
                <c:ptCount val="49"/>
                <c:pt idx="0">
                  <c:v>43617</c:v>
                </c:pt>
                <c:pt idx="1">
                  <c:v>43647</c:v>
                </c:pt>
                <c:pt idx="2">
                  <c:v>43678</c:v>
                </c:pt>
                <c:pt idx="3">
                  <c:v>43709</c:v>
                </c:pt>
                <c:pt idx="4">
                  <c:v>43739</c:v>
                </c:pt>
                <c:pt idx="5">
                  <c:v>43770</c:v>
                </c:pt>
                <c:pt idx="6">
                  <c:v>43800</c:v>
                </c:pt>
                <c:pt idx="7">
                  <c:v>43831</c:v>
                </c:pt>
                <c:pt idx="8">
                  <c:v>43862</c:v>
                </c:pt>
                <c:pt idx="9">
                  <c:v>43891</c:v>
                </c:pt>
                <c:pt idx="10">
                  <c:v>43922</c:v>
                </c:pt>
                <c:pt idx="11">
                  <c:v>43952</c:v>
                </c:pt>
                <c:pt idx="12">
                  <c:v>43983</c:v>
                </c:pt>
                <c:pt idx="13">
                  <c:v>44013</c:v>
                </c:pt>
                <c:pt idx="14">
                  <c:v>44044</c:v>
                </c:pt>
                <c:pt idx="15">
                  <c:v>44075</c:v>
                </c:pt>
                <c:pt idx="16">
                  <c:v>44105</c:v>
                </c:pt>
                <c:pt idx="17">
                  <c:v>44136</c:v>
                </c:pt>
                <c:pt idx="18">
                  <c:v>44166</c:v>
                </c:pt>
                <c:pt idx="19">
                  <c:v>44197</c:v>
                </c:pt>
                <c:pt idx="20">
                  <c:v>44228</c:v>
                </c:pt>
                <c:pt idx="21">
                  <c:v>44256</c:v>
                </c:pt>
                <c:pt idx="22">
                  <c:v>44287</c:v>
                </c:pt>
                <c:pt idx="23">
                  <c:v>44317</c:v>
                </c:pt>
                <c:pt idx="24">
                  <c:v>44348</c:v>
                </c:pt>
                <c:pt idx="25">
                  <c:v>44378</c:v>
                </c:pt>
                <c:pt idx="26">
                  <c:v>44409</c:v>
                </c:pt>
                <c:pt idx="27">
                  <c:v>44440</c:v>
                </c:pt>
                <c:pt idx="28">
                  <c:v>44470</c:v>
                </c:pt>
                <c:pt idx="29">
                  <c:v>44501</c:v>
                </c:pt>
                <c:pt idx="30">
                  <c:v>44531</c:v>
                </c:pt>
                <c:pt idx="31">
                  <c:v>44562</c:v>
                </c:pt>
                <c:pt idx="32">
                  <c:v>44593</c:v>
                </c:pt>
                <c:pt idx="33">
                  <c:v>44621</c:v>
                </c:pt>
                <c:pt idx="34">
                  <c:v>44652</c:v>
                </c:pt>
                <c:pt idx="35">
                  <c:v>44682</c:v>
                </c:pt>
                <c:pt idx="36">
                  <c:v>44713</c:v>
                </c:pt>
                <c:pt idx="37">
                  <c:v>44743</c:v>
                </c:pt>
                <c:pt idx="38">
                  <c:v>44774</c:v>
                </c:pt>
                <c:pt idx="39">
                  <c:v>44805</c:v>
                </c:pt>
                <c:pt idx="40">
                  <c:v>44835</c:v>
                </c:pt>
                <c:pt idx="41">
                  <c:v>44866</c:v>
                </c:pt>
                <c:pt idx="42">
                  <c:v>44896</c:v>
                </c:pt>
                <c:pt idx="43">
                  <c:v>44927</c:v>
                </c:pt>
                <c:pt idx="44">
                  <c:v>44958</c:v>
                </c:pt>
                <c:pt idx="45">
                  <c:v>44986</c:v>
                </c:pt>
                <c:pt idx="46">
                  <c:v>45017</c:v>
                </c:pt>
                <c:pt idx="47">
                  <c:v>45047</c:v>
                </c:pt>
                <c:pt idx="48">
                  <c:v>45078</c:v>
                </c:pt>
              </c:numCache>
            </c:numRef>
          </c:cat>
          <c:val>
            <c:numRef>
              <c:f>'[Victoria Business Confidence.xlsx]Sheet1'!$C$3:$AY$3</c:f>
              <c:numCache>
                <c:formatCode>General</c:formatCode>
                <c:ptCount val="49"/>
                <c:pt idx="0">
                  <c:v>4</c:v>
                </c:pt>
                <c:pt idx="1">
                  <c:v>1</c:v>
                </c:pt>
                <c:pt idx="2">
                  <c:v>-3</c:v>
                </c:pt>
                <c:pt idx="3">
                  <c:v>-1</c:v>
                </c:pt>
                <c:pt idx="4">
                  <c:v>3</c:v>
                </c:pt>
                <c:pt idx="5">
                  <c:v>10</c:v>
                </c:pt>
                <c:pt idx="6">
                  <c:v>6</c:v>
                </c:pt>
                <c:pt idx="7">
                  <c:v>1</c:v>
                </c:pt>
                <c:pt idx="8">
                  <c:v>2</c:v>
                </c:pt>
                <c:pt idx="9">
                  <c:v>-25</c:v>
                </c:pt>
                <c:pt idx="10">
                  <c:v>-38</c:v>
                </c:pt>
                <c:pt idx="11">
                  <c:v>-24</c:v>
                </c:pt>
                <c:pt idx="12">
                  <c:v>-10</c:v>
                </c:pt>
                <c:pt idx="13">
                  <c:v>-4</c:v>
                </c:pt>
                <c:pt idx="14">
                  <c:v>-11</c:v>
                </c:pt>
                <c:pt idx="15">
                  <c:v>-13</c:v>
                </c:pt>
                <c:pt idx="16">
                  <c:v>-1</c:v>
                </c:pt>
                <c:pt idx="17">
                  <c:v>-3</c:v>
                </c:pt>
                <c:pt idx="18">
                  <c:v>12</c:v>
                </c:pt>
                <c:pt idx="19">
                  <c:v>11</c:v>
                </c:pt>
                <c:pt idx="20">
                  <c:v>12</c:v>
                </c:pt>
                <c:pt idx="21">
                  <c:v>21</c:v>
                </c:pt>
                <c:pt idx="22">
                  <c:v>26</c:v>
                </c:pt>
                <c:pt idx="23">
                  <c:v>35</c:v>
                </c:pt>
                <c:pt idx="24">
                  <c:v>17</c:v>
                </c:pt>
                <c:pt idx="25">
                  <c:v>13</c:v>
                </c:pt>
                <c:pt idx="26">
                  <c:v>13</c:v>
                </c:pt>
                <c:pt idx="27">
                  <c:v>2</c:v>
                </c:pt>
                <c:pt idx="28">
                  <c:v>1</c:v>
                </c:pt>
                <c:pt idx="29">
                  <c:v>3</c:v>
                </c:pt>
                <c:pt idx="30">
                  <c:v>14</c:v>
                </c:pt>
                <c:pt idx="31">
                  <c:v>-4</c:v>
                </c:pt>
                <c:pt idx="32">
                  <c:v>6</c:v>
                </c:pt>
                <c:pt idx="33">
                  <c:v>18</c:v>
                </c:pt>
                <c:pt idx="34">
                  <c:v>12</c:v>
                </c:pt>
                <c:pt idx="35">
                  <c:v>15</c:v>
                </c:pt>
                <c:pt idx="36">
                  <c:v>14</c:v>
                </c:pt>
                <c:pt idx="37">
                  <c:v>18</c:v>
                </c:pt>
                <c:pt idx="38">
                  <c:v>22</c:v>
                </c:pt>
                <c:pt idx="39">
                  <c:v>30</c:v>
                </c:pt>
                <c:pt idx="40">
                  <c:v>18</c:v>
                </c:pt>
                <c:pt idx="41">
                  <c:v>19</c:v>
                </c:pt>
                <c:pt idx="42">
                  <c:v>10</c:v>
                </c:pt>
                <c:pt idx="43">
                  <c:v>8</c:v>
                </c:pt>
                <c:pt idx="44">
                  <c:v>13</c:v>
                </c:pt>
                <c:pt idx="45">
                  <c:v>12</c:v>
                </c:pt>
                <c:pt idx="46">
                  <c:v>11</c:v>
                </c:pt>
                <c:pt idx="47">
                  <c:v>8</c:v>
                </c:pt>
                <c:pt idx="48">
                  <c:v>15</c:v>
                </c:pt>
              </c:numCache>
            </c:numRef>
          </c:val>
          <c:smooth val="0"/>
          <c:extLst>
            <c:ext xmlns:c16="http://schemas.microsoft.com/office/drawing/2014/chart" uri="{C3380CC4-5D6E-409C-BE32-E72D297353CC}">
              <c16:uniqueId val="{00000000-2BB3-418D-A9F6-573E87F4A084}"/>
            </c:ext>
          </c:extLst>
        </c:ser>
        <c:ser>
          <c:idx val="1"/>
          <c:order val="1"/>
          <c:tx>
            <c:strRef>
              <c:f>'[Victoria Business Confidence.xlsx]Sheet1'!$B$4</c:f>
              <c:strCache>
                <c:ptCount val="1"/>
                <c:pt idx="0">
                  <c:v>Business Confidence</c:v>
                </c:pt>
              </c:strCache>
            </c:strRef>
          </c:tx>
          <c:spPr>
            <a:ln w="28575" cap="rnd">
              <a:solidFill>
                <a:schemeClr val="accent2"/>
              </a:solidFill>
              <a:round/>
            </a:ln>
            <a:effectLst/>
          </c:spPr>
          <c:marker>
            <c:symbol val="none"/>
          </c:marker>
          <c:cat>
            <c:numRef>
              <c:f>'[Victoria Business Confidence.xlsx]Sheet1'!$C$2:$AY$2</c:f>
              <c:numCache>
                <c:formatCode>mmm\-yy</c:formatCode>
                <c:ptCount val="49"/>
                <c:pt idx="0">
                  <c:v>43617</c:v>
                </c:pt>
                <c:pt idx="1">
                  <c:v>43647</c:v>
                </c:pt>
                <c:pt idx="2">
                  <c:v>43678</c:v>
                </c:pt>
                <c:pt idx="3">
                  <c:v>43709</c:v>
                </c:pt>
                <c:pt idx="4">
                  <c:v>43739</c:v>
                </c:pt>
                <c:pt idx="5">
                  <c:v>43770</c:v>
                </c:pt>
                <c:pt idx="6">
                  <c:v>43800</c:v>
                </c:pt>
                <c:pt idx="7">
                  <c:v>43831</c:v>
                </c:pt>
                <c:pt idx="8">
                  <c:v>43862</c:v>
                </c:pt>
                <c:pt idx="9">
                  <c:v>43891</c:v>
                </c:pt>
                <c:pt idx="10">
                  <c:v>43922</c:v>
                </c:pt>
                <c:pt idx="11">
                  <c:v>43952</c:v>
                </c:pt>
                <c:pt idx="12">
                  <c:v>43983</c:v>
                </c:pt>
                <c:pt idx="13">
                  <c:v>44013</c:v>
                </c:pt>
                <c:pt idx="14">
                  <c:v>44044</c:v>
                </c:pt>
                <c:pt idx="15">
                  <c:v>44075</c:v>
                </c:pt>
                <c:pt idx="16">
                  <c:v>44105</c:v>
                </c:pt>
                <c:pt idx="17">
                  <c:v>44136</c:v>
                </c:pt>
                <c:pt idx="18">
                  <c:v>44166</c:v>
                </c:pt>
                <c:pt idx="19">
                  <c:v>44197</c:v>
                </c:pt>
                <c:pt idx="20">
                  <c:v>44228</c:v>
                </c:pt>
                <c:pt idx="21">
                  <c:v>44256</c:v>
                </c:pt>
                <c:pt idx="22">
                  <c:v>44287</c:v>
                </c:pt>
                <c:pt idx="23">
                  <c:v>44317</c:v>
                </c:pt>
                <c:pt idx="24">
                  <c:v>44348</c:v>
                </c:pt>
                <c:pt idx="25">
                  <c:v>44378</c:v>
                </c:pt>
                <c:pt idx="26">
                  <c:v>44409</c:v>
                </c:pt>
                <c:pt idx="27">
                  <c:v>44440</c:v>
                </c:pt>
                <c:pt idx="28">
                  <c:v>44470</c:v>
                </c:pt>
                <c:pt idx="29">
                  <c:v>44501</c:v>
                </c:pt>
                <c:pt idx="30">
                  <c:v>44531</c:v>
                </c:pt>
                <c:pt idx="31">
                  <c:v>44562</c:v>
                </c:pt>
                <c:pt idx="32">
                  <c:v>44593</c:v>
                </c:pt>
                <c:pt idx="33">
                  <c:v>44621</c:v>
                </c:pt>
                <c:pt idx="34">
                  <c:v>44652</c:v>
                </c:pt>
                <c:pt idx="35">
                  <c:v>44682</c:v>
                </c:pt>
                <c:pt idx="36">
                  <c:v>44713</c:v>
                </c:pt>
                <c:pt idx="37">
                  <c:v>44743</c:v>
                </c:pt>
                <c:pt idx="38">
                  <c:v>44774</c:v>
                </c:pt>
                <c:pt idx="39">
                  <c:v>44805</c:v>
                </c:pt>
                <c:pt idx="40">
                  <c:v>44835</c:v>
                </c:pt>
                <c:pt idx="41">
                  <c:v>44866</c:v>
                </c:pt>
                <c:pt idx="42">
                  <c:v>44896</c:v>
                </c:pt>
                <c:pt idx="43">
                  <c:v>44927</c:v>
                </c:pt>
                <c:pt idx="44">
                  <c:v>44958</c:v>
                </c:pt>
                <c:pt idx="45">
                  <c:v>44986</c:v>
                </c:pt>
                <c:pt idx="46">
                  <c:v>45017</c:v>
                </c:pt>
                <c:pt idx="47">
                  <c:v>45047</c:v>
                </c:pt>
                <c:pt idx="48">
                  <c:v>45078</c:v>
                </c:pt>
              </c:numCache>
            </c:numRef>
          </c:cat>
          <c:val>
            <c:numRef>
              <c:f>'[Victoria Business Confidence.xlsx]Sheet1'!$C$4:$AY$4</c:f>
              <c:numCache>
                <c:formatCode>General</c:formatCode>
                <c:ptCount val="49"/>
                <c:pt idx="0">
                  <c:v>2</c:v>
                </c:pt>
                <c:pt idx="1">
                  <c:v>1</c:v>
                </c:pt>
                <c:pt idx="2">
                  <c:v>3</c:v>
                </c:pt>
                <c:pt idx="3">
                  <c:v>-3</c:v>
                </c:pt>
                <c:pt idx="4">
                  <c:v>-2</c:v>
                </c:pt>
                <c:pt idx="5">
                  <c:v>-2</c:v>
                </c:pt>
                <c:pt idx="6">
                  <c:v>-7</c:v>
                </c:pt>
                <c:pt idx="7">
                  <c:v>-1</c:v>
                </c:pt>
                <c:pt idx="8">
                  <c:v>-4</c:v>
                </c:pt>
                <c:pt idx="9">
                  <c:v>-64</c:v>
                </c:pt>
                <c:pt idx="10">
                  <c:v>-53</c:v>
                </c:pt>
                <c:pt idx="11">
                  <c:v>-21</c:v>
                </c:pt>
                <c:pt idx="12">
                  <c:v>-7</c:v>
                </c:pt>
                <c:pt idx="13">
                  <c:v>-28</c:v>
                </c:pt>
                <c:pt idx="14">
                  <c:v>-18</c:v>
                </c:pt>
                <c:pt idx="15">
                  <c:v>-12</c:v>
                </c:pt>
                <c:pt idx="16">
                  <c:v>9</c:v>
                </c:pt>
                <c:pt idx="17">
                  <c:v>22</c:v>
                </c:pt>
                <c:pt idx="18">
                  <c:v>7</c:v>
                </c:pt>
                <c:pt idx="19">
                  <c:v>11</c:v>
                </c:pt>
                <c:pt idx="20">
                  <c:v>14</c:v>
                </c:pt>
                <c:pt idx="21">
                  <c:v>17</c:v>
                </c:pt>
                <c:pt idx="22">
                  <c:v>20</c:v>
                </c:pt>
                <c:pt idx="23">
                  <c:v>15</c:v>
                </c:pt>
                <c:pt idx="24">
                  <c:v>14</c:v>
                </c:pt>
                <c:pt idx="25">
                  <c:v>1</c:v>
                </c:pt>
                <c:pt idx="26">
                  <c:v>-11</c:v>
                </c:pt>
                <c:pt idx="27">
                  <c:v>5</c:v>
                </c:pt>
                <c:pt idx="28">
                  <c:v>23</c:v>
                </c:pt>
                <c:pt idx="29">
                  <c:v>15</c:v>
                </c:pt>
                <c:pt idx="30">
                  <c:v>-10</c:v>
                </c:pt>
                <c:pt idx="31">
                  <c:v>3</c:v>
                </c:pt>
                <c:pt idx="32">
                  <c:v>13</c:v>
                </c:pt>
                <c:pt idx="33">
                  <c:v>16</c:v>
                </c:pt>
                <c:pt idx="34">
                  <c:v>12</c:v>
                </c:pt>
                <c:pt idx="35">
                  <c:v>3</c:v>
                </c:pt>
                <c:pt idx="36">
                  <c:v>-1</c:v>
                </c:pt>
                <c:pt idx="37">
                  <c:v>15</c:v>
                </c:pt>
                <c:pt idx="38">
                  <c:v>9</c:v>
                </c:pt>
                <c:pt idx="39">
                  <c:v>10</c:v>
                </c:pt>
                <c:pt idx="40">
                  <c:v>-4</c:v>
                </c:pt>
                <c:pt idx="41">
                  <c:v>-8</c:v>
                </c:pt>
                <c:pt idx="42">
                  <c:v>-2</c:v>
                </c:pt>
                <c:pt idx="43">
                  <c:v>11</c:v>
                </c:pt>
                <c:pt idx="44">
                  <c:v>-2</c:v>
                </c:pt>
                <c:pt idx="45">
                  <c:v>0</c:v>
                </c:pt>
                <c:pt idx="46">
                  <c:v>0</c:v>
                </c:pt>
                <c:pt idx="47">
                  <c:v>-4</c:v>
                </c:pt>
                <c:pt idx="48">
                  <c:v>-4</c:v>
                </c:pt>
              </c:numCache>
            </c:numRef>
          </c:val>
          <c:smooth val="0"/>
          <c:extLst>
            <c:ext xmlns:c16="http://schemas.microsoft.com/office/drawing/2014/chart" uri="{C3380CC4-5D6E-409C-BE32-E72D297353CC}">
              <c16:uniqueId val="{00000001-2BB3-418D-A9F6-573E87F4A084}"/>
            </c:ext>
          </c:extLst>
        </c:ser>
        <c:dLbls>
          <c:showLegendKey val="0"/>
          <c:showVal val="0"/>
          <c:showCatName val="0"/>
          <c:showSerName val="0"/>
          <c:showPercent val="0"/>
          <c:showBubbleSize val="0"/>
        </c:dLbls>
        <c:smooth val="0"/>
        <c:axId val="645092992"/>
        <c:axId val="645093952"/>
      </c:lineChart>
      <c:dateAx>
        <c:axId val="645092992"/>
        <c:scaling>
          <c:orientation val="minMax"/>
        </c:scaling>
        <c:delete val="0"/>
        <c:axPos val="b"/>
        <c:numFmt formatCode="mmm\-yy"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093952"/>
        <c:crosses val="autoZero"/>
        <c:auto val="1"/>
        <c:lblOffset val="100"/>
        <c:baseTimeUnit val="months"/>
        <c:majorUnit val="6"/>
        <c:majorTimeUnit val="months"/>
      </c:dateAx>
      <c:valAx>
        <c:axId val="64509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50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Sheet1!$A$39:$A$55</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Sheet1!$E$39:$E$55</c:f>
              <c:numCache>
                <c:formatCode>0%</c:formatCode>
                <c:ptCount val="17"/>
                <c:pt idx="0">
                  <c:v>0.115</c:v>
                </c:pt>
                <c:pt idx="1">
                  <c:v>0.115</c:v>
                </c:pt>
                <c:pt idx="2">
                  <c:v>8.8000000000000009E-2</c:v>
                </c:pt>
                <c:pt idx="3">
                  <c:v>8.8000000000000009E-2</c:v>
                </c:pt>
                <c:pt idx="4">
                  <c:v>0.105</c:v>
                </c:pt>
                <c:pt idx="5">
                  <c:v>9.1999999999999998E-2</c:v>
                </c:pt>
                <c:pt idx="6">
                  <c:v>9.1999999999999998E-2</c:v>
                </c:pt>
                <c:pt idx="7">
                  <c:v>7.9000000000000001E-2</c:v>
                </c:pt>
                <c:pt idx="8">
                  <c:v>0.08</c:v>
                </c:pt>
                <c:pt idx="9">
                  <c:v>7.6999999999999999E-2</c:v>
                </c:pt>
                <c:pt idx="10">
                  <c:v>8.1000000000000003E-2</c:v>
                </c:pt>
                <c:pt idx="11">
                  <c:v>8.4000000000000005E-2</c:v>
                </c:pt>
                <c:pt idx="12">
                  <c:v>8.1000000000000003E-2</c:v>
                </c:pt>
                <c:pt idx="13">
                  <c:v>7.4999999999999997E-2</c:v>
                </c:pt>
                <c:pt idx="14">
                  <c:v>9.5000000000000001E-2</c:v>
                </c:pt>
                <c:pt idx="15">
                  <c:v>9.6000000000000002E-2</c:v>
                </c:pt>
                <c:pt idx="16">
                  <c:v>0.08</c:v>
                </c:pt>
              </c:numCache>
            </c:numRef>
          </c:val>
          <c:smooth val="0"/>
          <c:extLst>
            <c:ext xmlns:c16="http://schemas.microsoft.com/office/drawing/2014/chart" uri="{C3380CC4-5D6E-409C-BE32-E72D297353CC}">
              <c16:uniqueId val="{00000000-C5E5-4FBB-BED7-CDE060617D8C}"/>
            </c:ext>
          </c:extLst>
        </c:ser>
        <c:dLbls>
          <c:showLegendKey val="0"/>
          <c:showVal val="0"/>
          <c:showCatName val="0"/>
          <c:showSerName val="0"/>
          <c:showPercent val="0"/>
          <c:showBubbleSize val="0"/>
        </c:dLbls>
        <c:smooth val="0"/>
        <c:axId val="1570336031"/>
        <c:axId val="1570352351"/>
      </c:lineChart>
      <c:catAx>
        <c:axId val="1570336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70352351"/>
        <c:crosses val="autoZero"/>
        <c:auto val="1"/>
        <c:lblAlgn val="ctr"/>
        <c:lblOffset val="100"/>
        <c:tickLblSkip val="2"/>
        <c:noMultiLvlLbl val="0"/>
      </c:catAx>
      <c:valAx>
        <c:axId val="1570352351"/>
        <c:scaling>
          <c:orientation val="minMax"/>
          <c:min val="7.0000000000000007E-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70336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Losat!$J$4</c:f>
              <c:strCache>
                <c:ptCount val="1"/>
                <c:pt idx="0">
                  <c:v>Victoria Employee of own business</c:v>
                </c:pt>
              </c:strCache>
            </c:strRef>
          </c:tx>
          <c:spPr>
            <a:solidFill>
              <a:schemeClr val="accent1"/>
            </a:solidFill>
            <a:ln>
              <a:noFill/>
            </a:ln>
            <a:effectLst/>
          </c:spPr>
          <c:invertIfNegative val="0"/>
          <c:cat>
            <c:numRef>
              <c:f>Losat!$H$6:$H$8</c:f>
              <c:numCache>
                <c:formatCode>General</c:formatCode>
                <c:ptCount val="3"/>
                <c:pt idx="0">
                  <c:v>2019</c:v>
                </c:pt>
                <c:pt idx="1">
                  <c:v>2020</c:v>
                </c:pt>
                <c:pt idx="2">
                  <c:v>2021</c:v>
                </c:pt>
              </c:numCache>
            </c:numRef>
          </c:cat>
          <c:val>
            <c:numRef>
              <c:f>Losat!$J$6:$J$8</c:f>
              <c:numCache>
                <c:formatCode>General</c:formatCode>
                <c:ptCount val="3"/>
                <c:pt idx="0">
                  <c:v>8.1481481481481506</c:v>
                </c:pt>
                <c:pt idx="1">
                  <c:v>8.0296296296296301</c:v>
                </c:pt>
                <c:pt idx="2">
                  <c:v>7.93333333333333</c:v>
                </c:pt>
              </c:numCache>
            </c:numRef>
          </c:val>
          <c:extLst>
            <c:ext xmlns:c16="http://schemas.microsoft.com/office/drawing/2014/chart" uri="{C3380CC4-5D6E-409C-BE32-E72D297353CC}">
              <c16:uniqueId val="{00000000-0E46-4718-A8AC-6FBCE5598BF2}"/>
            </c:ext>
          </c:extLst>
        </c:ser>
        <c:ser>
          <c:idx val="2"/>
          <c:order val="2"/>
          <c:tx>
            <c:strRef>
              <c:f>Losat!$K$4</c:f>
              <c:strCache>
                <c:ptCount val="1"/>
                <c:pt idx="0">
                  <c:v>Victoria Employer/Self-employed</c:v>
                </c:pt>
              </c:strCache>
            </c:strRef>
          </c:tx>
          <c:spPr>
            <a:solidFill>
              <a:schemeClr val="accent4"/>
            </a:solidFill>
            <a:ln>
              <a:noFill/>
            </a:ln>
            <a:effectLst/>
          </c:spPr>
          <c:invertIfNegative val="0"/>
          <c:cat>
            <c:numRef>
              <c:f>Losat!$H$6:$H$8</c:f>
              <c:numCache>
                <c:formatCode>General</c:formatCode>
                <c:ptCount val="3"/>
                <c:pt idx="0">
                  <c:v>2019</c:v>
                </c:pt>
                <c:pt idx="1">
                  <c:v>2020</c:v>
                </c:pt>
                <c:pt idx="2">
                  <c:v>2021</c:v>
                </c:pt>
              </c:numCache>
            </c:numRef>
          </c:cat>
          <c:val>
            <c:numRef>
              <c:f>Losat!$K$6:$K$8</c:f>
              <c:numCache>
                <c:formatCode>General</c:formatCode>
                <c:ptCount val="3"/>
                <c:pt idx="0">
                  <c:v>7.9749999999999996</c:v>
                </c:pt>
                <c:pt idx="1">
                  <c:v>8</c:v>
                </c:pt>
                <c:pt idx="2">
                  <c:v>7.99</c:v>
                </c:pt>
              </c:numCache>
            </c:numRef>
          </c:val>
          <c:extLst>
            <c:ext xmlns:c16="http://schemas.microsoft.com/office/drawing/2014/chart" uri="{C3380CC4-5D6E-409C-BE32-E72D297353CC}">
              <c16:uniqueId val="{00000001-0E46-4718-A8AC-6FBCE5598BF2}"/>
            </c:ext>
          </c:extLst>
        </c:ser>
        <c:ser>
          <c:idx val="4"/>
          <c:order val="4"/>
          <c:tx>
            <c:strRef>
              <c:f>Losat!$M$4</c:f>
              <c:strCache>
                <c:ptCount val="1"/>
                <c:pt idx="0">
                  <c:v>Other States Employee of own business</c:v>
                </c:pt>
              </c:strCache>
            </c:strRef>
          </c:tx>
          <c:spPr>
            <a:solidFill>
              <a:schemeClr val="accent2"/>
            </a:solidFill>
            <a:ln>
              <a:noFill/>
            </a:ln>
            <a:effectLst/>
          </c:spPr>
          <c:invertIfNegative val="0"/>
          <c:cat>
            <c:numRef>
              <c:f>Losat!$H$6:$H$8</c:f>
              <c:numCache>
                <c:formatCode>General</c:formatCode>
                <c:ptCount val="3"/>
                <c:pt idx="0">
                  <c:v>2019</c:v>
                </c:pt>
                <c:pt idx="1">
                  <c:v>2020</c:v>
                </c:pt>
                <c:pt idx="2">
                  <c:v>2021</c:v>
                </c:pt>
              </c:numCache>
            </c:numRef>
          </c:cat>
          <c:val>
            <c:numRef>
              <c:f>Losat!$M$6:$M$8</c:f>
              <c:numCache>
                <c:formatCode>General</c:formatCode>
                <c:ptCount val="3"/>
                <c:pt idx="0">
                  <c:v>8.2429022082018903</c:v>
                </c:pt>
                <c:pt idx="1">
                  <c:v>8.2807570977918008</c:v>
                </c:pt>
                <c:pt idx="2">
                  <c:v>8.1671924290220801</c:v>
                </c:pt>
              </c:numCache>
            </c:numRef>
          </c:val>
          <c:extLst>
            <c:ext xmlns:c16="http://schemas.microsoft.com/office/drawing/2014/chart" uri="{C3380CC4-5D6E-409C-BE32-E72D297353CC}">
              <c16:uniqueId val="{00000002-0E46-4718-A8AC-6FBCE5598BF2}"/>
            </c:ext>
          </c:extLst>
        </c:ser>
        <c:ser>
          <c:idx val="5"/>
          <c:order val="5"/>
          <c:tx>
            <c:strRef>
              <c:f>Losat!$N$4</c:f>
              <c:strCache>
                <c:ptCount val="1"/>
                <c:pt idx="0">
                  <c:v>Other States Employer/Self-employed</c:v>
                </c:pt>
              </c:strCache>
            </c:strRef>
          </c:tx>
          <c:spPr>
            <a:solidFill>
              <a:schemeClr val="tx2"/>
            </a:solidFill>
            <a:ln>
              <a:noFill/>
            </a:ln>
            <a:effectLst/>
          </c:spPr>
          <c:invertIfNegative val="0"/>
          <c:cat>
            <c:numRef>
              <c:f>Losat!$H$6:$H$8</c:f>
              <c:numCache>
                <c:formatCode>General</c:formatCode>
                <c:ptCount val="3"/>
                <c:pt idx="0">
                  <c:v>2019</c:v>
                </c:pt>
                <c:pt idx="1">
                  <c:v>2020</c:v>
                </c:pt>
                <c:pt idx="2">
                  <c:v>2021</c:v>
                </c:pt>
              </c:numCache>
            </c:numRef>
          </c:cat>
          <c:val>
            <c:numRef>
              <c:f>Losat!$N$6:$N$8</c:f>
              <c:numCache>
                <c:formatCode>General</c:formatCode>
                <c:ptCount val="3"/>
                <c:pt idx="0">
                  <c:v>7.9430147058823497</c:v>
                </c:pt>
                <c:pt idx="1">
                  <c:v>7.9908088235294104</c:v>
                </c:pt>
                <c:pt idx="2">
                  <c:v>8.0514705882352899</c:v>
                </c:pt>
              </c:numCache>
            </c:numRef>
          </c:val>
          <c:extLst>
            <c:ext xmlns:c16="http://schemas.microsoft.com/office/drawing/2014/chart" uri="{C3380CC4-5D6E-409C-BE32-E72D297353CC}">
              <c16:uniqueId val="{00000003-0E46-4718-A8AC-6FBCE5598BF2}"/>
            </c:ext>
          </c:extLst>
        </c:ser>
        <c:dLbls>
          <c:showLegendKey val="0"/>
          <c:showVal val="0"/>
          <c:showCatName val="0"/>
          <c:showSerName val="0"/>
          <c:showPercent val="0"/>
          <c:showBubbleSize val="0"/>
        </c:dLbls>
        <c:gapWidth val="150"/>
        <c:axId val="450692496"/>
        <c:axId val="450692976"/>
        <c:extLst>
          <c:ext xmlns:c15="http://schemas.microsoft.com/office/drawing/2012/chart" uri="{02D57815-91ED-43cb-92C2-25804820EDAC}">
            <c15:filteredBarSeries>
              <c15:ser>
                <c:idx val="0"/>
                <c:order val="0"/>
                <c:tx>
                  <c:strRef>
                    <c:extLst>
                      <c:ext uri="{02D57815-91ED-43cb-92C2-25804820EDAC}">
                        <c15:formulaRef>
                          <c15:sqref>Losat!$I$4</c15:sqref>
                        </c15:formulaRef>
                      </c:ext>
                    </c:extLst>
                    <c:strCache>
                      <c:ptCount val="1"/>
                      <c:pt idx="0">
                        <c:v>Victoria Employee</c:v>
                      </c:pt>
                    </c:strCache>
                  </c:strRef>
                </c:tx>
                <c:spPr>
                  <a:solidFill>
                    <a:schemeClr val="accent1"/>
                  </a:solidFill>
                  <a:ln>
                    <a:noFill/>
                  </a:ln>
                  <a:effectLst/>
                </c:spPr>
                <c:invertIfNegative val="0"/>
                <c:cat>
                  <c:numRef>
                    <c:extLst>
                      <c:ext uri="{02D57815-91ED-43cb-92C2-25804820EDAC}">
                        <c15:formulaRef>
                          <c15:sqref>Losat!$H$6:$H$8</c15:sqref>
                        </c15:formulaRef>
                      </c:ext>
                    </c:extLst>
                    <c:numCache>
                      <c:formatCode>General</c:formatCode>
                      <c:ptCount val="3"/>
                      <c:pt idx="0">
                        <c:v>2019</c:v>
                      </c:pt>
                      <c:pt idx="1">
                        <c:v>2020</c:v>
                      </c:pt>
                      <c:pt idx="2">
                        <c:v>2021</c:v>
                      </c:pt>
                    </c:numCache>
                  </c:numRef>
                </c:cat>
                <c:val>
                  <c:numRef>
                    <c:extLst>
                      <c:ext uri="{02D57815-91ED-43cb-92C2-25804820EDAC}">
                        <c15:formulaRef>
                          <c15:sqref>Losat!$I$6:$I$8</c15:sqref>
                        </c15:formulaRef>
                      </c:ext>
                    </c:extLst>
                    <c:numCache>
                      <c:formatCode>General</c:formatCode>
                      <c:ptCount val="3"/>
                      <c:pt idx="0">
                        <c:v>7.9515810276679799</c:v>
                      </c:pt>
                      <c:pt idx="1">
                        <c:v>7.98171936758893</c:v>
                      </c:pt>
                      <c:pt idx="2">
                        <c:v>7.9253952569169996</c:v>
                      </c:pt>
                    </c:numCache>
                  </c:numRef>
                </c:val>
                <c:extLst>
                  <c:ext xmlns:c16="http://schemas.microsoft.com/office/drawing/2014/chart" uri="{C3380CC4-5D6E-409C-BE32-E72D297353CC}">
                    <c16:uniqueId val="{00000004-0E46-4718-A8AC-6FBCE5598BF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Losat!$L$4</c15:sqref>
                        </c15:formulaRef>
                      </c:ext>
                    </c:extLst>
                    <c:strCache>
                      <c:ptCount val="1"/>
                      <c:pt idx="0">
                        <c:v>Other States Employee</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Losat!$H$6:$H$8</c15:sqref>
                        </c15:formulaRef>
                      </c:ext>
                    </c:extLst>
                    <c:numCache>
                      <c:formatCode>General</c:formatCode>
                      <c:ptCount val="3"/>
                      <c:pt idx="0">
                        <c:v>2019</c:v>
                      </c:pt>
                      <c:pt idx="1">
                        <c:v>2020</c:v>
                      </c:pt>
                      <c:pt idx="2">
                        <c:v>2021</c:v>
                      </c:pt>
                    </c:numCache>
                  </c:numRef>
                </c:cat>
                <c:val>
                  <c:numRef>
                    <c:extLst xmlns:c15="http://schemas.microsoft.com/office/drawing/2012/chart">
                      <c:ext xmlns:c15="http://schemas.microsoft.com/office/drawing/2012/chart" uri="{02D57815-91ED-43cb-92C2-25804820EDAC}">
                        <c15:formulaRef>
                          <c15:sqref>Losat!$L$6:$L$8</c15:sqref>
                        </c15:formulaRef>
                      </c:ext>
                    </c:extLst>
                    <c:numCache>
                      <c:formatCode>General</c:formatCode>
                      <c:ptCount val="3"/>
                      <c:pt idx="0">
                        <c:v>7.9699428360685998</c:v>
                      </c:pt>
                      <c:pt idx="1">
                        <c:v>7.9898580121703899</c:v>
                      </c:pt>
                      <c:pt idx="2">
                        <c:v>7.9677300387239498</c:v>
                      </c:pt>
                    </c:numCache>
                  </c:numRef>
                </c:val>
                <c:extLst xmlns:c15="http://schemas.microsoft.com/office/drawing/2012/chart">
                  <c:ext xmlns:c16="http://schemas.microsoft.com/office/drawing/2014/chart" uri="{C3380CC4-5D6E-409C-BE32-E72D297353CC}">
                    <c16:uniqueId val="{00000005-0E46-4718-A8AC-6FBCE5598BF2}"/>
                  </c:ext>
                </c:extLst>
              </c15:ser>
            </c15:filteredBarSeries>
          </c:ext>
        </c:extLst>
      </c:barChart>
      <c:catAx>
        <c:axId val="45069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0692976"/>
        <c:crosses val="autoZero"/>
        <c:auto val="1"/>
        <c:lblAlgn val="ctr"/>
        <c:lblOffset val="100"/>
        <c:noMultiLvlLbl val="0"/>
      </c:catAx>
      <c:valAx>
        <c:axId val="45069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069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Ghmh!$J$4</c:f>
              <c:strCache>
                <c:ptCount val="1"/>
                <c:pt idx="0">
                  <c:v>Victoria Employee of own business</c:v>
                </c:pt>
              </c:strCache>
            </c:strRef>
          </c:tx>
          <c:spPr>
            <a:solidFill>
              <a:schemeClr val="accent1"/>
            </a:solidFill>
            <a:ln>
              <a:noFill/>
            </a:ln>
            <a:effectLst/>
          </c:spPr>
          <c:invertIfNegative val="0"/>
          <c:cat>
            <c:numRef>
              <c:f>Ghmh!$H$6:$H$8</c:f>
              <c:numCache>
                <c:formatCode>General</c:formatCode>
                <c:ptCount val="3"/>
                <c:pt idx="0">
                  <c:v>2019</c:v>
                </c:pt>
                <c:pt idx="1">
                  <c:v>2020</c:v>
                </c:pt>
                <c:pt idx="2">
                  <c:v>2021</c:v>
                </c:pt>
              </c:numCache>
            </c:numRef>
          </c:cat>
          <c:val>
            <c:numRef>
              <c:f>Ghmh!$J$6:$J$8</c:f>
              <c:numCache>
                <c:formatCode>General</c:formatCode>
                <c:ptCount val="3"/>
                <c:pt idx="0">
                  <c:v>76.336842105263202</c:v>
                </c:pt>
                <c:pt idx="1">
                  <c:v>74.863157894736801</c:v>
                </c:pt>
                <c:pt idx="2">
                  <c:v>73</c:v>
                </c:pt>
              </c:numCache>
            </c:numRef>
          </c:val>
          <c:extLst>
            <c:ext xmlns:c16="http://schemas.microsoft.com/office/drawing/2014/chart" uri="{C3380CC4-5D6E-409C-BE32-E72D297353CC}">
              <c16:uniqueId val="{00000000-839C-4501-A615-76009158D123}"/>
            </c:ext>
          </c:extLst>
        </c:ser>
        <c:ser>
          <c:idx val="2"/>
          <c:order val="2"/>
          <c:tx>
            <c:strRef>
              <c:f>Ghmh!$K$4</c:f>
              <c:strCache>
                <c:ptCount val="1"/>
                <c:pt idx="0">
                  <c:v>Victoria Employer/Self-employed</c:v>
                </c:pt>
              </c:strCache>
            </c:strRef>
          </c:tx>
          <c:spPr>
            <a:solidFill>
              <a:schemeClr val="accent4"/>
            </a:solidFill>
            <a:ln>
              <a:noFill/>
            </a:ln>
            <a:effectLst/>
          </c:spPr>
          <c:invertIfNegative val="0"/>
          <c:cat>
            <c:numRef>
              <c:f>Ghmh!$H$6:$H$8</c:f>
              <c:numCache>
                <c:formatCode>General</c:formatCode>
                <c:ptCount val="3"/>
                <c:pt idx="0">
                  <c:v>2019</c:v>
                </c:pt>
                <c:pt idx="1">
                  <c:v>2020</c:v>
                </c:pt>
                <c:pt idx="2">
                  <c:v>2021</c:v>
                </c:pt>
              </c:numCache>
            </c:numRef>
          </c:cat>
          <c:val>
            <c:numRef>
              <c:f>Ghmh!$K$6:$K$8</c:f>
              <c:numCache>
                <c:formatCode>General</c:formatCode>
                <c:ptCount val="3"/>
                <c:pt idx="0">
                  <c:v>76.622641509434004</c:v>
                </c:pt>
                <c:pt idx="1">
                  <c:v>75.538784067085999</c:v>
                </c:pt>
                <c:pt idx="2">
                  <c:v>73.459119496855394</c:v>
                </c:pt>
              </c:numCache>
            </c:numRef>
          </c:val>
          <c:extLst>
            <c:ext xmlns:c16="http://schemas.microsoft.com/office/drawing/2014/chart" uri="{C3380CC4-5D6E-409C-BE32-E72D297353CC}">
              <c16:uniqueId val="{00000001-839C-4501-A615-76009158D123}"/>
            </c:ext>
          </c:extLst>
        </c:ser>
        <c:ser>
          <c:idx val="4"/>
          <c:order val="4"/>
          <c:tx>
            <c:strRef>
              <c:f>Ghmh!$M$4</c:f>
              <c:strCache>
                <c:ptCount val="1"/>
                <c:pt idx="0">
                  <c:v>Other States Employee of own business</c:v>
                </c:pt>
              </c:strCache>
            </c:strRef>
          </c:tx>
          <c:spPr>
            <a:solidFill>
              <a:schemeClr val="accent2"/>
            </a:solidFill>
            <a:ln>
              <a:noFill/>
            </a:ln>
            <a:effectLst/>
          </c:spPr>
          <c:invertIfNegative val="0"/>
          <c:cat>
            <c:numRef>
              <c:f>Ghmh!$H$6:$H$8</c:f>
              <c:numCache>
                <c:formatCode>General</c:formatCode>
                <c:ptCount val="3"/>
                <c:pt idx="0">
                  <c:v>2019</c:v>
                </c:pt>
                <c:pt idx="1">
                  <c:v>2020</c:v>
                </c:pt>
                <c:pt idx="2">
                  <c:v>2021</c:v>
                </c:pt>
              </c:numCache>
            </c:numRef>
          </c:cat>
          <c:val>
            <c:numRef>
              <c:f>Ghmh!$M$6:$M$8</c:f>
              <c:numCache>
                <c:formatCode>General</c:formatCode>
                <c:ptCount val="3"/>
                <c:pt idx="0">
                  <c:v>79.117391304347805</c:v>
                </c:pt>
                <c:pt idx="1">
                  <c:v>77.382608695652195</c:v>
                </c:pt>
                <c:pt idx="2">
                  <c:v>77.0695652173913</c:v>
                </c:pt>
              </c:numCache>
            </c:numRef>
          </c:val>
          <c:extLst>
            <c:ext xmlns:c16="http://schemas.microsoft.com/office/drawing/2014/chart" uri="{C3380CC4-5D6E-409C-BE32-E72D297353CC}">
              <c16:uniqueId val="{00000002-839C-4501-A615-76009158D123}"/>
            </c:ext>
          </c:extLst>
        </c:ser>
        <c:ser>
          <c:idx val="5"/>
          <c:order val="5"/>
          <c:tx>
            <c:strRef>
              <c:f>Ghmh!$N$4</c:f>
              <c:strCache>
                <c:ptCount val="1"/>
                <c:pt idx="0">
                  <c:v>Other States Employer/Self-employed</c:v>
                </c:pt>
              </c:strCache>
            </c:strRef>
          </c:tx>
          <c:spPr>
            <a:solidFill>
              <a:schemeClr val="tx2"/>
            </a:solidFill>
            <a:ln>
              <a:noFill/>
            </a:ln>
            <a:effectLst/>
          </c:spPr>
          <c:invertIfNegative val="0"/>
          <c:cat>
            <c:numRef>
              <c:f>Ghmh!$H$6:$H$8</c:f>
              <c:numCache>
                <c:formatCode>General</c:formatCode>
                <c:ptCount val="3"/>
                <c:pt idx="0">
                  <c:v>2019</c:v>
                </c:pt>
                <c:pt idx="1">
                  <c:v>2020</c:v>
                </c:pt>
                <c:pt idx="2">
                  <c:v>2021</c:v>
                </c:pt>
              </c:numCache>
            </c:numRef>
          </c:cat>
          <c:val>
            <c:numRef>
              <c:f>Ghmh!$N$6:$N$8</c:f>
              <c:numCache>
                <c:formatCode>General</c:formatCode>
                <c:ptCount val="3"/>
                <c:pt idx="0">
                  <c:v>74.375</c:v>
                </c:pt>
                <c:pt idx="1">
                  <c:v>74.318452380952394</c:v>
                </c:pt>
                <c:pt idx="2">
                  <c:v>74.441964285714306</c:v>
                </c:pt>
              </c:numCache>
            </c:numRef>
          </c:val>
          <c:extLst>
            <c:ext xmlns:c16="http://schemas.microsoft.com/office/drawing/2014/chart" uri="{C3380CC4-5D6E-409C-BE32-E72D297353CC}">
              <c16:uniqueId val="{00000003-839C-4501-A615-76009158D123}"/>
            </c:ext>
          </c:extLst>
        </c:ser>
        <c:dLbls>
          <c:showLegendKey val="0"/>
          <c:showVal val="0"/>
          <c:showCatName val="0"/>
          <c:showSerName val="0"/>
          <c:showPercent val="0"/>
          <c:showBubbleSize val="0"/>
        </c:dLbls>
        <c:gapWidth val="150"/>
        <c:axId val="949095392"/>
        <c:axId val="949092512"/>
        <c:extLst>
          <c:ext xmlns:c15="http://schemas.microsoft.com/office/drawing/2012/chart" uri="{02D57815-91ED-43cb-92C2-25804820EDAC}">
            <c15:filteredBarSeries>
              <c15:ser>
                <c:idx val="0"/>
                <c:order val="0"/>
                <c:tx>
                  <c:strRef>
                    <c:extLst>
                      <c:ext uri="{02D57815-91ED-43cb-92C2-25804820EDAC}">
                        <c15:formulaRef>
                          <c15:sqref>Ghmh!$I$4</c15:sqref>
                        </c15:formulaRef>
                      </c:ext>
                    </c:extLst>
                    <c:strCache>
                      <c:ptCount val="1"/>
                      <c:pt idx="0">
                        <c:v>Victoria Employee</c:v>
                      </c:pt>
                    </c:strCache>
                  </c:strRef>
                </c:tx>
                <c:spPr>
                  <a:solidFill>
                    <a:schemeClr val="accent1"/>
                  </a:solidFill>
                  <a:ln>
                    <a:noFill/>
                  </a:ln>
                  <a:effectLst/>
                </c:spPr>
                <c:invertIfNegative val="0"/>
                <c:cat>
                  <c:numRef>
                    <c:extLst>
                      <c:ext uri="{02D57815-91ED-43cb-92C2-25804820EDAC}">
                        <c15:formulaRef>
                          <c15:sqref>Ghmh!$H$6:$H$8</c15:sqref>
                        </c15:formulaRef>
                      </c:ext>
                    </c:extLst>
                    <c:numCache>
                      <c:formatCode>General</c:formatCode>
                      <c:ptCount val="3"/>
                      <c:pt idx="0">
                        <c:v>2019</c:v>
                      </c:pt>
                      <c:pt idx="1">
                        <c:v>2020</c:v>
                      </c:pt>
                      <c:pt idx="2">
                        <c:v>2021</c:v>
                      </c:pt>
                    </c:numCache>
                  </c:numRef>
                </c:cat>
                <c:val>
                  <c:numRef>
                    <c:extLst>
                      <c:ext uri="{02D57815-91ED-43cb-92C2-25804820EDAC}">
                        <c15:formulaRef>
                          <c15:sqref>Ghmh!$I$6:$I$8</c15:sqref>
                        </c15:formulaRef>
                      </c:ext>
                    </c:extLst>
                    <c:numCache>
                      <c:formatCode>General</c:formatCode>
                      <c:ptCount val="3"/>
                      <c:pt idx="0">
                        <c:v>74.012820512820497</c:v>
                      </c:pt>
                      <c:pt idx="1">
                        <c:v>70.890720390720404</c:v>
                      </c:pt>
                      <c:pt idx="2">
                        <c:v>70.057387057387103</c:v>
                      </c:pt>
                    </c:numCache>
                  </c:numRef>
                </c:val>
                <c:extLst>
                  <c:ext xmlns:c16="http://schemas.microsoft.com/office/drawing/2014/chart" uri="{C3380CC4-5D6E-409C-BE32-E72D297353CC}">
                    <c16:uniqueId val="{00000004-839C-4501-A615-76009158D12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Ghmh!$L$4</c15:sqref>
                        </c15:formulaRef>
                      </c:ext>
                    </c:extLst>
                    <c:strCache>
                      <c:ptCount val="1"/>
                      <c:pt idx="0">
                        <c:v>Other States Employee</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Ghmh!$H$6:$H$8</c15:sqref>
                        </c15:formulaRef>
                      </c:ext>
                    </c:extLst>
                    <c:numCache>
                      <c:formatCode>General</c:formatCode>
                      <c:ptCount val="3"/>
                      <c:pt idx="0">
                        <c:v>2019</c:v>
                      </c:pt>
                      <c:pt idx="1">
                        <c:v>2020</c:v>
                      </c:pt>
                      <c:pt idx="2">
                        <c:v>2021</c:v>
                      </c:pt>
                    </c:numCache>
                  </c:numRef>
                </c:cat>
                <c:val>
                  <c:numRef>
                    <c:extLst xmlns:c15="http://schemas.microsoft.com/office/drawing/2012/chart">
                      <c:ext xmlns:c15="http://schemas.microsoft.com/office/drawing/2012/chart" uri="{02D57815-91ED-43cb-92C2-25804820EDAC}">
                        <c15:formulaRef>
                          <c15:sqref>Ghmh!$L$6:$L$8</c15:sqref>
                        </c15:formulaRef>
                      </c:ext>
                    </c:extLst>
                    <c:numCache>
                      <c:formatCode>General</c:formatCode>
                      <c:ptCount val="3"/>
                      <c:pt idx="0">
                        <c:v>73.843119474042197</c:v>
                      </c:pt>
                      <c:pt idx="1">
                        <c:v>72.516587319579799</c:v>
                      </c:pt>
                      <c:pt idx="2">
                        <c:v>72.010957454847699</c:v>
                      </c:pt>
                    </c:numCache>
                  </c:numRef>
                </c:val>
                <c:extLst xmlns:c15="http://schemas.microsoft.com/office/drawing/2012/chart">
                  <c:ext xmlns:c16="http://schemas.microsoft.com/office/drawing/2014/chart" uri="{C3380CC4-5D6E-409C-BE32-E72D297353CC}">
                    <c16:uniqueId val="{00000005-839C-4501-A615-76009158D123}"/>
                  </c:ext>
                </c:extLst>
              </c15:ser>
            </c15:filteredBarSeries>
          </c:ext>
        </c:extLst>
      </c:barChart>
      <c:catAx>
        <c:axId val="94909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9092512"/>
        <c:crosses val="autoZero"/>
        <c:auto val="1"/>
        <c:lblAlgn val="ctr"/>
        <c:lblOffset val="100"/>
        <c:noMultiLvlLbl val="0"/>
      </c:catAx>
      <c:valAx>
        <c:axId val="94909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909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Jompi!$J$4</c:f>
              <c:strCache>
                <c:ptCount val="1"/>
                <c:pt idx="0">
                  <c:v>Victoria Employee of own business</c:v>
                </c:pt>
              </c:strCache>
            </c:strRef>
          </c:tx>
          <c:spPr>
            <a:solidFill>
              <a:schemeClr val="accent1"/>
            </a:solidFill>
            <a:ln>
              <a:noFill/>
            </a:ln>
            <a:effectLst/>
          </c:spPr>
          <c:invertIfNegative val="0"/>
          <c:cat>
            <c:numRef>
              <c:f>Jompi!$H$6:$H$8</c:f>
              <c:numCache>
                <c:formatCode>General</c:formatCode>
                <c:ptCount val="3"/>
                <c:pt idx="0">
                  <c:v>2019</c:v>
                </c:pt>
                <c:pt idx="1">
                  <c:v>2020</c:v>
                </c:pt>
                <c:pt idx="2">
                  <c:v>2021</c:v>
                </c:pt>
              </c:numCache>
            </c:numRef>
          </c:cat>
          <c:val>
            <c:numRef>
              <c:f>Jompi!$J$6:$J$8</c:f>
              <c:numCache>
                <c:formatCode>General</c:formatCode>
                <c:ptCount val="3"/>
                <c:pt idx="0">
                  <c:v>2.3835616438356202</c:v>
                </c:pt>
                <c:pt idx="1">
                  <c:v>2.1917808219178099</c:v>
                </c:pt>
                <c:pt idx="2">
                  <c:v>2.2328767123287698</c:v>
                </c:pt>
              </c:numCache>
            </c:numRef>
          </c:val>
          <c:extLst>
            <c:ext xmlns:c16="http://schemas.microsoft.com/office/drawing/2014/chart" uri="{C3380CC4-5D6E-409C-BE32-E72D297353CC}">
              <c16:uniqueId val="{00000000-D7AA-4F64-87D9-CB65221AE9DF}"/>
            </c:ext>
          </c:extLst>
        </c:ser>
        <c:ser>
          <c:idx val="2"/>
          <c:order val="2"/>
          <c:tx>
            <c:strRef>
              <c:f>Jompi!$K$4</c:f>
              <c:strCache>
                <c:ptCount val="1"/>
                <c:pt idx="0">
                  <c:v>Victoria Employer/Self-employed</c:v>
                </c:pt>
              </c:strCache>
            </c:strRef>
          </c:tx>
          <c:spPr>
            <a:solidFill>
              <a:schemeClr val="accent4"/>
            </a:solidFill>
            <a:ln>
              <a:noFill/>
            </a:ln>
            <a:effectLst/>
          </c:spPr>
          <c:invertIfNegative val="0"/>
          <c:cat>
            <c:numRef>
              <c:f>Jompi!$H$6:$H$8</c:f>
              <c:numCache>
                <c:formatCode>General</c:formatCode>
                <c:ptCount val="3"/>
                <c:pt idx="0">
                  <c:v>2019</c:v>
                </c:pt>
                <c:pt idx="1">
                  <c:v>2020</c:v>
                </c:pt>
                <c:pt idx="2">
                  <c:v>2021</c:v>
                </c:pt>
              </c:numCache>
            </c:numRef>
          </c:cat>
          <c:val>
            <c:numRef>
              <c:f>Jompi!$K$6:$K$8</c:f>
              <c:numCache>
                <c:formatCode>General</c:formatCode>
                <c:ptCount val="3"/>
                <c:pt idx="0">
                  <c:v>2.2637362637362601</c:v>
                </c:pt>
                <c:pt idx="1">
                  <c:v>2.2747252747252702</c:v>
                </c:pt>
                <c:pt idx="2">
                  <c:v>2.0879120879120898</c:v>
                </c:pt>
              </c:numCache>
            </c:numRef>
          </c:val>
          <c:extLst>
            <c:ext xmlns:c16="http://schemas.microsoft.com/office/drawing/2014/chart" uri="{C3380CC4-5D6E-409C-BE32-E72D297353CC}">
              <c16:uniqueId val="{00000001-D7AA-4F64-87D9-CB65221AE9DF}"/>
            </c:ext>
          </c:extLst>
        </c:ser>
        <c:ser>
          <c:idx val="4"/>
          <c:order val="4"/>
          <c:tx>
            <c:strRef>
              <c:f>Jompi!$M$4</c:f>
              <c:strCache>
                <c:ptCount val="1"/>
                <c:pt idx="0">
                  <c:v>Other States Employee of own business</c:v>
                </c:pt>
              </c:strCache>
            </c:strRef>
          </c:tx>
          <c:spPr>
            <a:solidFill>
              <a:schemeClr val="accent2"/>
            </a:solidFill>
            <a:ln>
              <a:noFill/>
            </a:ln>
            <a:effectLst/>
          </c:spPr>
          <c:invertIfNegative val="0"/>
          <c:cat>
            <c:numRef>
              <c:f>Jompi!$H$6:$H$8</c:f>
              <c:numCache>
                <c:formatCode>General</c:formatCode>
                <c:ptCount val="3"/>
                <c:pt idx="0">
                  <c:v>2019</c:v>
                </c:pt>
                <c:pt idx="1">
                  <c:v>2020</c:v>
                </c:pt>
                <c:pt idx="2">
                  <c:v>2021</c:v>
                </c:pt>
              </c:numCache>
            </c:numRef>
          </c:cat>
          <c:val>
            <c:numRef>
              <c:f>Jompi!$M$6:$M$8</c:f>
              <c:numCache>
                <c:formatCode>General</c:formatCode>
                <c:ptCount val="3"/>
                <c:pt idx="0">
                  <c:v>2.3922651933701702</c:v>
                </c:pt>
                <c:pt idx="1">
                  <c:v>2.50828729281768</c:v>
                </c:pt>
                <c:pt idx="2">
                  <c:v>2.4475138121547002</c:v>
                </c:pt>
              </c:numCache>
            </c:numRef>
          </c:val>
          <c:extLst>
            <c:ext xmlns:c16="http://schemas.microsoft.com/office/drawing/2014/chart" uri="{C3380CC4-5D6E-409C-BE32-E72D297353CC}">
              <c16:uniqueId val="{00000002-D7AA-4F64-87D9-CB65221AE9DF}"/>
            </c:ext>
          </c:extLst>
        </c:ser>
        <c:ser>
          <c:idx val="5"/>
          <c:order val="5"/>
          <c:tx>
            <c:strRef>
              <c:f>Jompi!$N$4</c:f>
              <c:strCache>
                <c:ptCount val="1"/>
                <c:pt idx="0">
                  <c:v>Other States Employer/Self-employed</c:v>
                </c:pt>
              </c:strCache>
            </c:strRef>
          </c:tx>
          <c:spPr>
            <a:solidFill>
              <a:schemeClr val="tx2"/>
            </a:solidFill>
            <a:ln>
              <a:noFill/>
            </a:ln>
            <a:effectLst/>
          </c:spPr>
          <c:invertIfNegative val="0"/>
          <c:cat>
            <c:numRef>
              <c:f>Jompi!$H$6:$H$8</c:f>
              <c:numCache>
                <c:formatCode>General</c:formatCode>
                <c:ptCount val="3"/>
                <c:pt idx="0">
                  <c:v>2019</c:v>
                </c:pt>
                <c:pt idx="1">
                  <c:v>2020</c:v>
                </c:pt>
                <c:pt idx="2">
                  <c:v>2021</c:v>
                </c:pt>
              </c:numCache>
            </c:numRef>
          </c:cat>
          <c:val>
            <c:numRef>
              <c:f>Jompi!$N$6:$N$8</c:f>
              <c:numCache>
                <c:formatCode>General</c:formatCode>
                <c:ptCount val="3"/>
                <c:pt idx="0">
                  <c:v>2.51219512195122</c:v>
                </c:pt>
                <c:pt idx="1">
                  <c:v>2.6097560975609801</c:v>
                </c:pt>
                <c:pt idx="2">
                  <c:v>2.38327526132404</c:v>
                </c:pt>
              </c:numCache>
            </c:numRef>
          </c:val>
          <c:extLst>
            <c:ext xmlns:c16="http://schemas.microsoft.com/office/drawing/2014/chart" uri="{C3380CC4-5D6E-409C-BE32-E72D297353CC}">
              <c16:uniqueId val="{00000003-D7AA-4F64-87D9-CB65221AE9DF}"/>
            </c:ext>
          </c:extLst>
        </c:ser>
        <c:dLbls>
          <c:showLegendKey val="0"/>
          <c:showVal val="0"/>
          <c:showCatName val="0"/>
          <c:showSerName val="0"/>
          <c:showPercent val="0"/>
          <c:showBubbleSize val="0"/>
        </c:dLbls>
        <c:gapWidth val="150"/>
        <c:axId val="905136864"/>
        <c:axId val="905141664"/>
        <c:extLst>
          <c:ext xmlns:c15="http://schemas.microsoft.com/office/drawing/2012/chart" uri="{02D57815-91ED-43cb-92C2-25804820EDAC}">
            <c15:filteredBarSeries>
              <c15:ser>
                <c:idx val="0"/>
                <c:order val="0"/>
                <c:tx>
                  <c:strRef>
                    <c:extLst>
                      <c:ext uri="{02D57815-91ED-43cb-92C2-25804820EDAC}">
                        <c15:formulaRef>
                          <c15:sqref>Jompi!$I$4</c15:sqref>
                        </c15:formulaRef>
                      </c:ext>
                    </c:extLst>
                    <c:strCache>
                      <c:ptCount val="1"/>
                      <c:pt idx="0">
                        <c:v>Victoria Employee</c:v>
                      </c:pt>
                    </c:strCache>
                  </c:strRef>
                </c:tx>
                <c:spPr>
                  <a:solidFill>
                    <a:schemeClr val="accent1"/>
                  </a:solidFill>
                  <a:ln>
                    <a:noFill/>
                  </a:ln>
                  <a:effectLst/>
                </c:spPr>
                <c:invertIfNegative val="0"/>
                <c:cat>
                  <c:numRef>
                    <c:extLst>
                      <c:ext uri="{02D57815-91ED-43cb-92C2-25804820EDAC}">
                        <c15:formulaRef>
                          <c15:sqref>Jompi!$H$6:$H$8</c15:sqref>
                        </c15:formulaRef>
                      </c:ext>
                    </c:extLst>
                    <c:numCache>
                      <c:formatCode>General</c:formatCode>
                      <c:ptCount val="3"/>
                      <c:pt idx="0">
                        <c:v>2019</c:v>
                      </c:pt>
                      <c:pt idx="1">
                        <c:v>2020</c:v>
                      </c:pt>
                      <c:pt idx="2">
                        <c:v>2021</c:v>
                      </c:pt>
                    </c:numCache>
                  </c:numRef>
                </c:cat>
                <c:val>
                  <c:numRef>
                    <c:extLst>
                      <c:ext uri="{02D57815-91ED-43cb-92C2-25804820EDAC}">
                        <c15:formulaRef>
                          <c15:sqref>Jompi!$I$6:$I$8</c15:sqref>
                        </c15:formulaRef>
                      </c:ext>
                    </c:extLst>
                    <c:numCache>
                      <c:formatCode>General</c:formatCode>
                      <c:ptCount val="3"/>
                      <c:pt idx="0">
                        <c:v>2.5044679122664499</c:v>
                      </c:pt>
                      <c:pt idx="1">
                        <c:v>2.55158407798538</c:v>
                      </c:pt>
                      <c:pt idx="2">
                        <c:v>2.60438667749797</c:v>
                      </c:pt>
                    </c:numCache>
                  </c:numRef>
                </c:val>
                <c:extLst>
                  <c:ext xmlns:c16="http://schemas.microsoft.com/office/drawing/2014/chart" uri="{C3380CC4-5D6E-409C-BE32-E72D297353CC}">
                    <c16:uniqueId val="{00000004-D7AA-4F64-87D9-CB65221AE9D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Jompi!$L$4</c15:sqref>
                        </c15:formulaRef>
                      </c:ext>
                    </c:extLst>
                    <c:strCache>
                      <c:ptCount val="1"/>
                      <c:pt idx="0">
                        <c:v>Other States Employee</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Jompi!$H$6:$H$8</c15:sqref>
                        </c15:formulaRef>
                      </c:ext>
                    </c:extLst>
                    <c:numCache>
                      <c:formatCode>General</c:formatCode>
                      <c:ptCount val="3"/>
                      <c:pt idx="0">
                        <c:v>2019</c:v>
                      </c:pt>
                      <c:pt idx="1">
                        <c:v>2020</c:v>
                      </c:pt>
                      <c:pt idx="2">
                        <c:v>2021</c:v>
                      </c:pt>
                    </c:numCache>
                  </c:numRef>
                </c:cat>
                <c:val>
                  <c:numRef>
                    <c:extLst xmlns:c15="http://schemas.microsoft.com/office/drawing/2012/chart">
                      <c:ext xmlns:c15="http://schemas.microsoft.com/office/drawing/2012/chart" uri="{02D57815-91ED-43cb-92C2-25804820EDAC}">
                        <c15:formulaRef>
                          <c15:sqref>Jompi!$L$6:$L$8</c15:sqref>
                        </c15:formulaRef>
                      </c:ext>
                    </c:extLst>
                    <c:numCache>
                      <c:formatCode>General</c:formatCode>
                      <c:ptCount val="3"/>
                      <c:pt idx="0">
                        <c:v>2.55627962085308</c:v>
                      </c:pt>
                      <c:pt idx="1">
                        <c:v>2.6786137440758302</c:v>
                      </c:pt>
                      <c:pt idx="2">
                        <c:v>2.59478672985782</c:v>
                      </c:pt>
                    </c:numCache>
                  </c:numRef>
                </c:val>
                <c:extLst xmlns:c15="http://schemas.microsoft.com/office/drawing/2012/chart">
                  <c:ext xmlns:c16="http://schemas.microsoft.com/office/drawing/2014/chart" uri="{C3380CC4-5D6E-409C-BE32-E72D297353CC}">
                    <c16:uniqueId val="{00000005-D7AA-4F64-87D9-CB65221AE9DF}"/>
                  </c:ext>
                </c:extLst>
              </c15:ser>
            </c15:filteredBarSeries>
          </c:ext>
        </c:extLst>
      </c:barChart>
      <c:catAx>
        <c:axId val="9051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5141664"/>
        <c:crosses val="autoZero"/>
        <c:auto val="1"/>
        <c:lblAlgn val="ctr"/>
        <c:lblOffset val="100"/>
        <c:noMultiLvlLbl val="0"/>
      </c:catAx>
      <c:valAx>
        <c:axId val="905141664"/>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513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77437949804233E-2"/>
          <c:y val="4.4097222222222225E-2"/>
          <c:w val="0.91566677373707561"/>
          <c:h val="0.75777604166666668"/>
        </c:manualLayout>
      </c:layout>
      <c:lineChart>
        <c:grouping val="standard"/>
        <c:varyColors val="0"/>
        <c:ser>
          <c:idx val="0"/>
          <c:order val="0"/>
          <c:tx>
            <c:strRef>
              <c:f>'[Victoria Business Confidence.xlsx]Sheet1'!$B$3</c:f>
              <c:strCache>
                <c:ptCount val="1"/>
                <c:pt idx="0">
                  <c:v>Business Conditions</c:v>
                </c:pt>
              </c:strCache>
            </c:strRef>
          </c:tx>
          <c:spPr>
            <a:ln w="28575" cap="rnd">
              <a:solidFill>
                <a:schemeClr val="accent1"/>
              </a:solidFill>
              <a:round/>
            </a:ln>
            <a:effectLst/>
          </c:spPr>
          <c:marker>
            <c:symbol val="none"/>
          </c:marker>
          <c:cat>
            <c:numRef>
              <c:f>'[Victoria Business Confidence.xlsx]Sheet1'!$C$2:$AY$2</c:f>
              <c:numCache>
                <c:formatCode>mmm\-yy</c:formatCode>
                <c:ptCount val="49"/>
                <c:pt idx="0">
                  <c:v>43617</c:v>
                </c:pt>
                <c:pt idx="1">
                  <c:v>43647</c:v>
                </c:pt>
                <c:pt idx="2">
                  <c:v>43678</c:v>
                </c:pt>
                <c:pt idx="3">
                  <c:v>43709</c:v>
                </c:pt>
                <c:pt idx="4">
                  <c:v>43739</c:v>
                </c:pt>
                <c:pt idx="5">
                  <c:v>43770</c:v>
                </c:pt>
                <c:pt idx="6">
                  <c:v>43800</c:v>
                </c:pt>
                <c:pt idx="7">
                  <c:v>43831</c:v>
                </c:pt>
                <c:pt idx="8">
                  <c:v>43862</c:v>
                </c:pt>
                <c:pt idx="9">
                  <c:v>43891</c:v>
                </c:pt>
                <c:pt idx="10">
                  <c:v>43922</c:v>
                </c:pt>
                <c:pt idx="11">
                  <c:v>43952</c:v>
                </c:pt>
                <c:pt idx="12">
                  <c:v>43983</c:v>
                </c:pt>
                <c:pt idx="13">
                  <c:v>44013</c:v>
                </c:pt>
                <c:pt idx="14">
                  <c:v>44044</c:v>
                </c:pt>
                <c:pt idx="15">
                  <c:v>44075</c:v>
                </c:pt>
                <c:pt idx="16">
                  <c:v>44105</c:v>
                </c:pt>
                <c:pt idx="17">
                  <c:v>44136</c:v>
                </c:pt>
                <c:pt idx="18">
                  <c:v>44166</c:v>
                </c:pt>
                <c:pt idx="19">
                  <c:v>44197</c:v>
                </c:pt>
                <c:pt idx="20">
                  <c:v>44228</c:v>
                </c:pt>
                <c:pt idx="21">
                  <c:v>44256</c:v>
                </c:pt>
                <c:pt idx="22">
                  <c:v>44287</c:v>
                </c:pt>
                <c:pt idx="23">
                  <c:v>44317</c:v>
                </c:pt>
                <c:pt idx="24">
                  <c:v>44348</c:v>
                </c:pt>
                <c:pt idx="25">
                  <c:v>44378</c:v>
                </c:pt>
                <c:pt idx="26">
                  <c:v>44409</c:v>
                </c:pt>
                <c:pt idx="27">
                  <c:v>44440</c:v>
                </c:pt>
                <c:pt idx="28">
                  <c:v>44470</c:v>
                </c:pt>
                <c:pt idx="29">
                  <c:v>44501</c:v>
                </c:pt>
                <c:pt idx="30">
                  <c:v>44531</c:v>
                </c:pt>
                <c:pt idx="31">
                  <c:v>44562</c:v>
                </c:pt>
                <c:pt idx="32">
                  <c:v>44593</c:v>
                </c:pt>
                <c:pt idx="33">
                  <c:v>44621</c:v>
                </c:pt>
                <c:pt idx="34">
                  <c:v>44652</c:v>
                </c:pt>
                <c:pt idx="35">
                  <c:v>44682</c:v>
                </c:pt>
                <c:pt idx="36">
                  <c:v>44713</c:v>
                </c:pt>
                <c:pt idx="37">
                  <c:v>44743</c:v>
                </c:pt>
                <c:pt idx="38">
                  <c:v>44774</c:v>
                </c:pt>
                <c:pt idx="39">
                  <c:v>44805</c:v>
                </c:pt>
                <c:pt idx="40">
                  <c:v>44835</c:v>
                </c:pt>
                <c:pt idx="41">
                  <c:v>44866</c:v>
                </c:pt>
                <c:pt idx="42">
                  <c:v>44896</c:v>
                </c:pt>
                <c:pt idx="43">
                  <c:v>44927</c:v>
                </c:pt>
                <c:pt idx="44">
                  <c:v>44958</c:v>
                </c:pt>
                <c:pt idx="45">
                  <c:v>44986</c:v>
                </c:pt>
                <c:pt idx="46">
                  <c:v>45017</c:v>
                </c:pt>
                <c:pt idx="47">
                  <c:v>45047</c:v>
                </c:pt>
                <c:pt idx="48">
                  <c:v>45078</c:v>
                </c:pt>
              </c:numCache>
            </c:numRef>
          </c:cat>
          <c:val>
            <c:numRef>
              <c:f>'[Victoria Business Confidence.xlsx]Sheet1'!$C$3:$AY$3</c:f>
              <c:numCache>
                <c:formatCode>General</c:formatCode>
                <c:ptCount val="49"/>
                <c:pt idx="0">
                  <c:v>4</c:v>
                </c:pt>
                <c:pt idx="1">
                  <c:v>1</c:v>
                </c:pt>
                <c:pt idx="2">
                  <c:v>-3</c:v>
                </c:pt>
                <c:pt idx="3">
                  <c:v>-1</c:v>
                </c:pt>
                <c:pt idx="4">
                  <c:v>3</c:v>
                </c:pt>
                <c:pt idx="5">
                  <c:v>10</c:v>
                </c:pt>
                <c:pt idx="6">
                  <c:v>6</c:v>
                </c:pt>
                <c:pt idx="7">
                  <c:v>1</c:v>
                </c:pt>
                <c:pt idx="8">
                  <c:v>2</c:v>
                </c:pt>
                <c:pt idx="9">
                  <c:v>-25</c:v>
                </c:pt>
                <c:pt idx="10">
                  <c:v>-38</c:v>
                </c:pt>
                <c:pt idx="11">
                  <c:v>-24</c:v>
                </c:pt>
                <c:pt idx="12">
                  <c:v>-10</c:v>
                </c:pt>
                <c:pt idx="13">
                  <c:v>-4</c:v>
                </c:pt>
                <c:pt idx="14">
                  <c:v>-11</c:v>
                </c:pt>
                <c:pt idx="15">
                  <c:v>-13</c:v>
                </c:pt>
                <c:pt idx="16">
                  <c:v>-1</c:v>
                </c:pt>
                <c:pt idx="17">
                  <c:v>-3</c:v>
                </c:pt>
                <c:pt idx="18">
                  <c:v>12</c:v>
                </c:pt>
                <c:pt idx="19">
                  <c:v>11</c:v>
                </c:pt>
                <c:pt idx="20">
                  <c:v>12</c:v>
                </c:pt>
                <c:pt idx="21">
                  <c:v>21</c:v>
                </c:pt>
                <c:pt idx="22">
                  <c:v>26</c:v>
                </c:pt>
                <c:pt idx="23">
                  <c:v>35</c:v>
                </c:pt>
                <c:pt idx="24">
                  <c:v>17</c:v>
                </c:pt>
                <c:pt idx="25">
                  <c:v>13</c:v>
                </c:pt>
                <c:pt idx="26">
                  <c:v>13</c:v>
                </c:pt>
                <c:pt idx="27">
                  <c:v>2</c:v>
                </c:pt>
                <c:pt idx="28">
                  <c:v>1</c:v>
                </c:pt>
                <c:pt idx="29">
                  <c:v>3</c:v>
                </c:pt>
                <c:pt idx="30">
                  <c:v>14</c:v>
                </c:pt>
                <c:pt idx="31">
                  <c:v>-4</c:v>
                </c:pt>
                <c:pt idx="32">
                  <c:v>6</c:v>
                </c:pt>
                <c:pt idx="33">
                  <c:v>18</c:v>
                </c:pt>
                <c:pt idx="34">
                  <c:v>12</c:v>
                </c:pt>
                <c:pt idx="35">
                  <c:v>15</c:v>
                </c:pt>
                <c:pt idx="36">
                  <c:v>14</c:v>
                </c:pt>
                <c:pt idx="37">
                  <c:v>18</c:v>
                </c:pt>
                <c:pt idx="38">
                  <c:v>22</c:v>
                </c:pt>
                <c:pt idx="39">
                  <c:v>30</c:v>
                </c:pt>
                <c:pt idx="40">
                  <c:v>18</c:v>
                </c:pt>
                <c:pt idx="41">
                  <c:v>19</c:v>
                </c:pt>
                <c:pt idx="42">
                  <c:v>10</c:v>
                </c:pt>
                <c:pt idx="43">
                  <c:v>8</c:v>
                </c:pt>
                <c:pt idx="44">
                  <c:v>13</c:v>
                </c:pt>
                <c:pt idx="45">
                  <c:v>12</c:v>
                </c:pt>
                <c:pt idx="46">
                  <c:v>11</c:v>
                </c:pt>
                <c:pt idx="47">
                  <c:v>8</c:v>
                </c:pt>
                <c:pt idx="48">
                  <c:v>15</c:v>
                </c:pt>
              </c:numCache>
            </c:numRef>
          </c:val>
          <c:smooth val="0"/>
          <c:extLst>
            <c:ext xmlns:c16="http://schemas.microsoft.com/office/drawing/2014/chart" uri="{C3380CC4-5D6E-409C-BE32-E72D297353CC}">
              <c16:uniqueId val="{00000000-E18C-4D0E-9F2A-3E87BFB98790}"/>
            </c:ext>
          </c:extLst>
        </c:ser>
        <c:ser>
          <c:idx val="1"/>
          <c:order val="1"/>
          <c:tx>
            <c:strRef>
              <c:f>'[Victoria Business Confidence.xlsx]Sheet1'!$B$4</c:f>
              <c:strCache>
                <c:ptCount val="1"/>
                <c:pt idx="0">
                  <c:v>Business Confidence</c:v>
                </c:pt>
              </c:strCache>
            </c:strRef>
          </c:tx>
          <c:spPr>
            <a:ln w="28575" cap="rnd">
              <a:solidFill>
                <a:schemeClr val="accent2"/>
              </a:solidFill>
              <a:round/>
            </a:ln>
            <a:effectLst/>
          </c:spPr>
          <c:marker>
            <c:symbol val="none"/>
          </c:marker>
          <c:cat>
            <c:numRef>
              <c:f>'[Victoria Business Confidence.xlsx]Sheet1'!$C$2:$AY$2</c:f>
              <c:numCache>
                <c:formatCode>mmm\-yy</c:formatCode>
                <c:ptCount val="49"/>
                <c:pt idx="0">
                  <c:v>43617</c:v>
                </c:pt>
                <c:pt idx="1">
                  <c:v>43647</c:v>
                </c:pt>
                <c:pt idx="2">
                  <c:v>43678</c:v>
                </c:pt>
                <c:pt idx="3">
                  <c:v>43709</c:v>
                </c:pt>
                <c:pt idx="4">
                  <c:v>43739</c:v>
                </c:pt>
                <c:pt idx="5">
                  <c:v>43770</c:v>
                </c:pt>
                <c:pt idx="6">
                  <c:v>43800</c:v>
                </c:pt>
                <c:pt idx="7">
                  <c:v>43831</c:v>
                </c:pt>
                <c:pt idx="8">
                  <c:v>43862</c:v>
                </c:pt>
                <c:pt idx="9">
                  <c:v>43891</c:v>
                </c:pt>
                <c:pt idx="10">
                  <c:v>43922</c:v>
                </c:pt>
                <c:pt idx="11">
                  <c:v>43952</c:v>
                </c:pt>
                <c:pt idx="12">
                  <c:v>43983</c:v>
                </c:pt>
                <c:pt idx="13">
                  <c:v>44013</c:v>
                </c:pt>
                <c:pt idx="14">
                  <c:v>44044</c:v>
                </c:pt>
                <c:pt idx="15">
                  <c:v>44075</c:v>
                </c:pt>
                <c:pt idx="16">
                  <c:v>44105</c:v>
                </c:pt>
                <c:pt idx="17">
                  <c:v>44136</c:v>
                </c:pt>
                <c:pt idx="18">
                  <c:v>44166</c:v>
                </c:pt>
                <c:pt idx="19">
                  <c:v>44197</c:v>
                </c:pt>
                <c:pt idx="20">
                  <c:v>44228</c:v>
                </c:pt>
                <c:pt idx="21">
                  <c:v>44256</c:v>
                </c:pt>
                <c:pt idx="22">
                  <c:v>44287</c:v>
                </c:pt>
                <c:pt idx="23">
                  <c:v>44317</c:v>
                </c:pt>
                <c:pt idx="24">
                  <c:v>44348</c:v>
                </c:pt>
                <c:pt idx="25">
                  <c:v>44378</c:v>
                </c:pt>
                <c:pt idx="26">
                  <c:v>44409</c:v>
                </c:pt>
                <c:pt idx="27">
                  <c:v>44440</c:v>
                </c:pt>
                <c:pt idx="28">
                  <c:v>44470</c:v>
                </c:pt>
                <c:pt idx="29">
                  <c:v>44501</c:v>
                </c:pt>
                <c:pt idx="30">
                  <c:v>44531</c:v>
                </c:pt>
                <c:pt idx="31">
                  <c:v>44562</c:v>
                </c:pt>
                <c:pt idx="32">
                  <c:v>44593</c:v>
                </c:pt>
                <c:pt idx="33">
                  <c:v>44621</c:v>
                </c:pt>
                <c:pt idx="34">
                  <c:v>44652</c:v>
                </c:pt>
                <c:pt idx="35">
                  <c:v>44682</c:v>
                </c:pt>
                <c:pt idx="36">
                  <c:v>44713</c:v>
                </c:pt>
                <c:pt idx="37">
                  <c:v>44743</c:v>
                </c:pt>
                <c:pt idx="38">
                  <c:v>44774</c:v>
                </c:pt>
                <c:pt idx="39">
                  <c:v>44805</c:v>
                </c:pt>
                <c:pt idx="40">
                  <c:v>44835</c:v>
                </c:pt>
                <c:pt idx="41">
                  <c:v>44866</c:v>
                </c:pt>
                <c:pt idx="42">
                  <c:v>44896</c:v>
                </c:pt>
                <c:pt idx="43">
                  <c:v>44927</c:v>
                </c:pt>
                <c:pt idx="44">
                  <c:v>44958</c:v>
                </c:pt>
                <c:pt idx="45">
                  <c:v>44986</c:v>
                </c:pt>
                <c:pt idx="46">
                  <c:v>45017</c:v>
                </c:pt>
                <c:pt idx="47">
                  <c:v>45047</c:v>
                </c:pt>
                <c:pt idx="48">
                  <c:v>45078</c:v>
                </c:pt>
              </c:numCache>
            </c:numRef>
          </c:cat>
          <c:val>
            <c:numRef>
              <c:f>'[Victoria Business Confidence.xlsx]Sheet1'!$C$4:$AY$4</c:f>
              <c:numCache>
                <c:formatCode>General</c:formatCode>
                <c:ptCount val="49"/>
                <c:pt idx="0">
                  <c:v>2</c:v>
                </c:pt>
                <c:pt idx="1">
                  <c:v>1</c:v>
                </c:pt>
                <c:pt idx="2">
                  <c:v>3</c:v>
                </c:pt>
                <c:pt idx="3">
                  <c:v>-3</c:v>
                </c:pt>
                <c:pt idx="4">
                  <c:v>-2</c:v>
                </c:pt>
                <c:pt idx="5">
                  <c:v>-2</c:v>
                </c:pt>
                <c:pt idx="6">
                  <c:v>-7</c:v>
                </c:pt>
                <c:pt idx="7">
                  <c:v>-1</c:v>
                </c:pt>
                <c:pt idx="8">
                  <c:v>-4</c:v>
                </c:pt>
                <c:pt idx="9">
                  <c:v>-64</c:v>
                </c:pt>
                <c:pt idx="10">
                  <c:v>-53</c:v>
                </c:pt>
                <c:pt idx="11">
                  <c:v>-21</c:v>
                </c:pt>
                <c:pt idx="12">
                  <c:v>-7</c:v>
                </c:pt>
                <c:pt idx="13">
                  <c:v>-28</c:v>
                </c:pt>
                <c:pt idx="14">
                  <c:v>-18</c:v>
                </c:pt>
                <c:pt idx="15">
                  <c:v>-12</c:v>
                </c:pt>
                <c:pt idx="16">
                  <c:v>9</c:v>
                </c:pt>
                <c:pt idx="17">
                  <c:v>22</c:v>
                </c:pt>
                <c:pt idx="18">
                  <c:v>7</c:v>
                </c:pt>
                <c:pt idx="19">
                  <c:v>11</c:v>
                </c:pt>
                <c:pt idx="20">
                  <c:v>14</c:v>
                </c:pt>
                <c:pt idx="21">
                  <c:v>17</c:v>
                </c:pt>
                <c:pt idx="22">
                  <c:v>20</c:v>
                </c:pt>
                <c:pt idx="23">
                  <c:v>15</c:v>
                </c:pt>
                <c:pt idx="24">
                  <c:v>14</c:v>
                </c:pt>
                <c:pt idx="25">
                  <c:v>1</c:v>
                </c:pt>
                <c:pt idx="26">
                  <c:v>-11</c:v>
                </c:pt>
                <c:pt idx="27">
                  <c:v>5</c:v>
                </c:pt>
                <c:pt idx="28">
                  <c:v>23</c:v>
                </c:pt>
                <c:pt idx="29">
                  <c:v>15</c:v>
                </c:pt>
                <c:pt idx="30">
                  <c:v>-10</c:v>
                </c:pt>
                <c:pt idx="31">
                  <c:v>3</c:v>
                </c:pt>
                <c:pt idx="32">
                  <c:v>13</c:v>
                </c:pt>
                <c:pt idx="33">
                  <c:v>16</c:v>
                </c:pt>
                <c:pt idx="34">
                  <c:v>12</c:v>
                </c:pt>
                <c:pt idx="35">
                  <c:v>3</c:v>
                </c:pt>
                <c:pt idx="36">
                  <c:v>-1</c:v>
                </c:pt>
                <c:pt idx="37">
                  <c:v>15</c:v>
                </c:pt>
                <c:pt idx="38">
                  <c:v>9</c:v>
                </c:pt>
                <c:pt idx="39">
                  <c:v>10</c:v>
                </c:pt>
                <c:pt idx="40">
                  <c:v>-4</c:v>
                </c:pt>
                <c:pt idx="41">
                  <c:v>-8</c:v>
                </c:pt>
                <c:pt idx="42">
                  <c:v>-2</c:v>
                </c:pt>
                <c:pt idx="43">
                  <c:v>11</c:v>
                </c:pt>
                <c:pt idx="44">
                  <c:v>-2</c:v>
                </c:pt>
                <c:pt idx="45">
                  <c:v>0</c:v>
                </c:pt>
                <c:pt idx="46">
                  <c:v>0</c:v>
                </c:pt>
                <c:pt idx="47">
                  <c:v>-4</c:v>
                </c:pt>
                <c:pt idx="48">
                  <c:v>-4</c:v>
                </c:pt>
              </c:numCache>
            </c:numRef>
          </c:val>
          <c:smooth val="0"/>
          <c:extLst>
            <c:ext xmlns:c16="http://schemas.microsoft.com/office/drawing/2014/chart" uri="{C3380CC4-5D6E-409C-BE32-E72D297353CC}">
              <c16:uniqueId val="{00000001-E18C-4D0E-9F2A-3E87BFB98790}"/>
            </c:ext>
          </c:extLst>
        </c:ser>
        <c:dLbls>
          <c:showLegendKey val="0"/>
          <c:showVal val="0"/>
          <c:showCatName val="0"/>
          <c:showSerName val="0"/>
          <c:showPercent val="0"/>
          <c:showBubbleSize val="0"/>
        </c:dLbls>
        <c:smooth val="0"/>
        <c:axId val="645092992"/>
        <c:axId val="645093952"/>
      </c:lineChart>
      <c:dateAx>
        <c:axId val="645092992"/>
        <c:scaling>
          <c:orientation val="minMax"/>
        </c:scaling>
        <c:delete val="0"/>
        <c:axPos val="b"/>
        <c:numFmt formatCode="mmm\-yy"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5093952"/>
        <c:crosses val="autoZero"/>
        <c:auto val="1"/>
        <c:lblOffset val="100"/>
        <c:baseTimeUnit val="months"/>
        <c:majorUnit val="6"/>
        <c:majorTimeUnit val="months"/>
      </c:dateAx>
      <c:valAx>
        <c:axId val="64509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50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494BF9C7F3484294EC2E3778D2C52A"/>
        <w:category>
          <w:name w:val="General"/>
          <w:gallery w:val="placeholder"/>
        </w:category>
        <w:types>
          <w:type w:val="bbPlcHdr"/>
        </w:types>
        <w:behaviors>
          <w:behavior w:val="content"/>
        </w:behaviors>
        <w:guid w:val="{DC91BF74-31AF-4B6B-911D-7E43ECA563DE}"/>
      </w:docPartPr>
      <w:docPartBody>
        <w:p w:rsidR="008E4D45" w:rsidRDefault="0031761E">
          <w:pPr>
            <w:pStyle w:val="D2494BF9C7F3484294EC2E3778D2C52A"/>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Arial"/>
    <w:panose1 w:val="00000000000000000000"/>
    <w:charset w:val="00"/>
    <w:family w:val="modern"/>
    <w:notTrueType/>
    <w:pitch w:val="variable"/>
    <w:sig w:usb0="A10002FF" w:usb1="4000005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16"/>
    <w:rsid w:val="00000730"/>
    <w:rsid w:val="00003840"/>
    <w:rsid w:val="0002423C"/>
    <w:rsid w:val="000336C9"/>
    <w:rsid w:val="00042400"/>
    <w:rsid w:val="00045635"/>
    <w:rsid w:val="00047653"/>
    <w:rsid w:val="00047D75"/>
    <w:rsid w:val="00052F1D"/>
    <w:rsid w:val="00070A0B"/>
    <w:rsid w:val="00080DFC"/>
    <w:rsid w:val="00087772"/>
    <w:rsid w:val="00095316"/>
    <w:rsid w:val="000A0C69"/>
    <w:rsid w:val="000A6D7F"/>
    <w:rsid w:val="000A6F60"/>
    <w:rsid w:val="000B1545"/>
    <w:rsid w:val="000C06D1"/>
    <w:rsid w:val="000C1FD2"/>
    <w:rsid w:val="000C3638"/>
    <w:rsid w:val="000C4A5B"/>
    <w:rsid w:val="000D6AD7"/>
    <w:rsid w:val="000D6ADB"/>
    <w:rsid w:val="001023D9"/>
    <w:rsid w:val="00115D30"/>
    <w:rsid w:val="00121DD3"/>
    <w:rsid w:val="00122175"/>
    <w:rsid w:val="001239DD"/>
    <w:rsid w:val="00125B6D"/>
    <w:rsid w:val="00132E75"/>
    <w:rsid w:val="00133465"/>
    <w:rsid w:val="001478DE"/>
    <w:rsid w:val="00161694"/>
    <w:rsid w:val="00181B33"/>
    <w:rsid w:val="00183C82"/>
    <w:rsid w:val="0019500D"/>
    <w:rsid w:val="001A34FC"/>
    <w:rsid w:val="001B0AA7"/>
    <w:rsid w:val="001B537B"/>
    <w:rsid w:val="001B7ED1"/>
    <w:rsid w:val="001C72EB"/>
    <w:rsid w:val="001D3D93"/>
    <w:rsid w:val="001D66BA"/>
    <w:rsid w:val="001E5255"/>
    <w:rsid w:val="001F2D9D"/>
    <w:rsid w:val="001F3A58"/>
    <w:rsid w:val="001F3E47"/>
    <w:rsid w:val="0022105D"/>
    <w:rsid w:val="002269A3"/>
    <w:rsid w:val="002375D7"/>
    <w:rsid w:val="002559F9"/>
    <w:rsid w:val="002726DD"/>
    <w:rsid w:val="002761AC"/>
    <w:rsid w:val="00287A03"/>
    <w:rsid w:val="0029212F"/>
    <w:rsid w:val="00292BFA"/>
    <w:rsid w:val="00294F3A"/>
    <w:rsid w:val="002B3451"/>
    <w:rsid w:val="002E1566"/>
    <w:rsid w:val="002E2C05"/>
    <w:rsid w:val="002E35F7"/>
    <w:rsid w:val="0031761E"/>
    <w:rsid w:val="00327589"/>
    <w:rsid w:val="00334469"/>
    <w:rsid w:val="0034265E"/>
    <w:rsid w:val="00342CB5"/>
    <w:rsid w:val="003430E2"/>
    <w:rsid w:val="00343876"/>
    <w:rsid w:val="003527EA"/>
    <w:rsid w:val="00361108"/>
    <w:rsid w:val="003637F9"/>
    <w:rsid w:val="003A011A"/>
    <w:rsid w:val="003A7A5D"/>
    <w:rsid w:val="003C67CE"/>
    <w:rsid w:val="003C6B88"/>
    <w:rsid w:val="003F09DF"/>
    <w:rsid w:val="00411FBA"/>
    <w:rsid w:val="004212EF"/>
    <w:rsid w:val="00441B51"/>
    <w:rsid w:val="004523DA"/>
    <w:rsid w:val="004551B3"/>
    <w:rsid w:val="004558B0"/>
    <w:rsid w:val="004558E4"/>
    <w:rsid w:val="00460616"/>
    <w:rsid w:val="00460C1A"/>
    <w:rsid w:val="004679F0"/>
    <w:rsid w:val="00476961"/>
    <w:rsid w:val="004813A0"/>
    <w:rsid w:val="00482D02"/>
    <w:rsid w:val="00491EFA"/>
    <w:rsid w:val="00491F04"/>
    <w:rsid w:val="00497B37"/>
    <w:rsid w:val="004A04C2"/>
    <w:rsid w:val="004A45B9"/>
    <w:rsid w:val="004B4CCA"/>
    <w:rsid w:val="004C1E92"/>
    <w:rsid w:val="004C267C"/>
    <w:rsid w:val="004D5830"/>
    <w:rsid w:val="004F3F41"/>
    <w:rsid w:val="00500ACA"/>
    <w:rsid w:val="00513F44"/>
    <w:rsid w:val="00540F95"/>
    <w:rsid w:val="00551B65"/>
    <w:rsid w:val="0055778D"/>
    <w:rsid w:val="00573F6E"/>
    <w:rsid w:val="00580C0F"/>
    <w:rsid w:val="0059331B"/>
    <w:rsid w:val="005A4D4B"/>
    <w:rsid w:val="005D3780"/>
    <w:rsid w:val="005F410D"/>
    <w:rsid w:val="005F6DDB"/>
    <w:rsid w:val="00640ADC"/>
    <w:rsid w:val="006470E2"/>
    <w:rsid w:val="006876B2"/>
    <w:rsid w:val="00687A13"/>
    <w:rsid w:val="0069622D"/>
    <w:rsid w:val="006A25BF"/>
    <w:rsid w:val="006A6B81"/>
    <w:rsid w:val="006C75BA"/>
    <w:rsid w:val="006E7B05"/>
    <w:rsid w:val="00726268"/>
    <w:rsid w:val="007561A0"/>
    <w:rsid w:val="00761EC6"/>
    <w:rsid w:val="00771945"/>
    <w:rsid w:val="00784389"/>
    <w:rsid w:val="007849C3"/>
    <w:rsid w:val="007879F9"/>
    <w:rsid w:val="00796DBB"/>
    <w:rsid w:val="007B55A1"/>
    <w:rsid w:val="007C1F9F"/>
    <w:rsid w:val="007C58C9"/>
    <w:rsid w:val="007D0913"/>
    <w:rsid w:val="007E24A5"/>
    <w:rsid w:val="007F072E"/>
    <w:rsid w:val="0080460B"/>
    <w:rsid w:val="008219EA"/>
    <w:rsid w:val="0083097A"/>
    <w:rsid w:val="00832EEC"/>
    <w:rsid w:val="00843B3E"/>
    <w:rsid w:val="00845B0C"/>
    <w:rsid w:val="00846FD8"/>
    <w:rsid w:val="008513F9"/>
    <w:rsid w:val="00863915"/>
    <w:rsid w:val="008A7681"/>
    <w:rsid w:val="008D2EB2"/>
    <w:rsid w:val="008D5C4D"/>
    <w:rsid w:val="008D6FFA"/>
    <w:rsid w:val="008E4D45"/>
    <w:rsid w:val="008F0237"/>
    <w:rsid w:val="00901C28"/>
    <w:rsid w:val="0092356D"/>
    <w:rsid w:val="00924C62"/>
    <w:rsid w:val="009359A4"/>
    <w:rsid w:val="00962C67"/>
    <w:rsid w:val="009711F6"/>
    <w:rsid w:val="0097450F"/>
    <w:rsid w:val="00990CA1"/>
    <w:rsid w:val="0099403A"/>
    <w:rsid w:val="009B5FB9"/>
    <w:rsid w:val="009D12B1"/>
    <w:rsid w:val="009E1CB2"/>
    <w:rsid w:val="009E397B"/>
    <w:rsid w:val="009E672E"/>
    <w:rsid w:val="009F7572"/>
    <w:rsid w:val="00A0738F"/>
    <w:rsid w:val="00A10BB3"/>
    <w:rsid w:val="00A12866"/>
    <w:rsid w:val="00A4528E"/>
    <w:rsid w:val="00A5146E"/>
    <w:rsid w:val="00A761A5"/>
    <w:rsid w:val="00A90694"/>
    <w:rsid w:val="00AA352D"/>
    <w:rsid w:val="00AA41D6"/>
    <w:rsid w:val="00AA6666"/>
    <w:rsid w:val="00AA66CA"/>
    <w:rsid w:val="00AB262D"/>
    <w:rsid w:val="00AC2A90"/>
    <w:rsid w:val="00AC35AC"/>
    <w:rsid w:val="00AC637B"/>
    <w:rsid w:val="00AD0164"/>
    <w:rsid w:val="00AF5940"/>
    <w:rsid w:val="00B169A1"/>
    <w:rsid w:val="00B16FE0"/>
    <w:rsid w:val="00B17311"/>
    <w:rsid w:val="00B349F4"/>
    <w:rsid w:val="00B353A9"/>
    <w:rsid w:val="00B417DF"/>
    <w:rsid w:val="00B50D1D"/>
    <w:rsid w:val="00B531D2"/>
    <w:rsid w:val="00B531D8"/>
    <w:rsid w:val="00B7132C"/>
    <w:rsid w:val="00B7718F"/>
    <w:rsid w:val="00B807DF"/>
    <w:rsid w:val="00B82FC3"/>
    <w:rsid w:val="00B853BA"/>
    <w:rsid w:val="00B90015"/>
    <w:rsid w:val="00B90355"/>
    <w:rsid w:val="00B92471"/>
    <w:rsid w:val="00BA0462"/>
    <w:rsid w:val="00BB3144"/>
    <w:rsid w:val="00BD0EE3"/>
    <w:rsid w:val="00BE1FF9"/>
    <w:rsid w:val="00C104F5"/>
    <w:rsid w:val="00C10863"/>
    <w:rsid w:val="00C17F85"/>
    <w:rsid w:val="00C20A55"/>
    <w:rsid w:val="00C22174"/>
    <w:rsid w:val="00C34B4F"/>
    <w:rsid w:val="00C40A76"/>
    <w:rsid w:val="00C66102"/>
    <w:rsid w:val="00C730A6"/>
    <w:rsid w:val="00C73357"/>
    <w:rsid w:val="00C8048A"/>
    <w:rsid w:val="00C84753"/>
    <w:rsid w:val="00C9219D"/>
    <w:rsid w:val="00CA4A21"/>
    <w:rsid w:val="00CB4A4B"/>
    <w:rsid w:val="00CB5D53"/>
    <w:rsid w:val="00CC7D95"/>
    <w:rsid w:val="00CE0403"/>
    <w:rsid w:val="00D0254E"/>
    <w:rsid w:val="00D121D2"/>
    <w:rsid w:val="00D2798C"/>
    <w:rsid w:val="00D326B6"/>
    <w:rsid w:val="00D35545"/>
    <w:rsid w:val="00D3663D"/>
    <w:rsid w:val="00D44E17"/>
    <w:rsid w:val="00D46D0D"/>
    <w:rsid w:val="00D656D3"/>
    <w:rsid w:val="00D74B04"/>
    <w:rsid w:val="00D918F8"/>
    <w:rsid w:val="00D93E4A"/>
    <w:rsid w:val="00DA05E2"/>
    <w:rsid w:val="00DC27AE"/>
    <w:rsid w:val="00DD2320"/>
    <w:rsid w:val="00DF1791"/>
    <w:rsid w:val="00E0652F"/>
    <w:rsid w:val="00E1324A"/>
    <w:rsid w:val="00E321A7"/>
    <w:rsid w:val="00E4194E"/>
    <w:rsid w:val="00E449E6"/>
    <w:rsid w:val="00E568B5"/>
    <w:rsid w:val="00E64936"/>
    <w:rsid w:val="00E71EC9"/>
    <w:rsid w:val="00EA20CC"/>
    <w:rsid w:val="00EC4363"/>
    <w:rsid w:val="00ED721F"/>
    <w:rsid w:val="00EE1B8B"/>
    <w:rsid w:val="00EE78CE"/>
    <w:rsid w:val="00EF3BB1"/>
    <w:rsid w:val="00F11FE2"/>
    <w:rsid w:val="00F31C49"/>
    <w:rsid w:val="00F31E63"/>
    <w:rsid w:val="00F3224C"/>
    <w:rsid w:val="00F35361"/>
    <w:rsid w:val="00F4417E"/>
    <w:rsid w:val="00F44424"/>
    <w:rsid w:val="00F46936"/>
    <w:rsid w:val="00F532CA"/>
    <w:rsid w:val="00F6277A"/>
    <w:rsid w:val="00F67C4E"/>
    <w:rsid w:val="00F67D11"/>
    <w:rsid w:val="00F81F38"/>
    <w:rsid w:val="00F85549"/>
    <w:rsid w:val="00F91DF0"/>
    <w:rsid w:val="00FA26D2"/>
    <w:rsid w:val="00FA2842"/>
    <w:rsid w:val="00FA2AD8"/>
    <w:rsid w:val="00FC4A34"/>
    <w:rsid w:val="00FD6070"/>
    <w:rsid w:val="00FE6C0B"/>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styleId="PlaceholderText">
    <w:name w:val="Placeholder Text"/>
    <w:basedOn w:val="DefaultParagraphFont"/>
    <w:uiPriority w:val="99"/>
    <w:semiHidden/>
    <w:rsid w:val="00482D02"/>
    <w:rPr>
      <w:color w:val="808080"/>
      <w:lang w:val="en-GB"/>
    </w:rPr>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D2494BF9C7F3484294EC2E3778D2C52A">
    <w:name w:val="D2494BF9C7F3484294EC2E3778D2C52A"/>
    <w:pPr>
      <w:spacing w:after="160" w:line="259" w:lineRule="auto"/>
    </w:pPr>
    <w:rPr>
      <w:kern w:val="2"/>
      <w:lang w:val="en-AU"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word/theme/themeOverride1.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mbria"/>
      <a:ea typeface=""/>
      <a:cs typeface=""/>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mbria"/>
      <a:ea typeface=""/>
      <a:cs typeface=""/>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mbria"/>
      <a:ea typeface=""/>
      <a:cs typeface=""/>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5C099911287241AA69EC3B5D56868F" ma:contentTypeVersion="10" ma:contentTypeDescription="Create a new document." ma:contentTypeScope="" ma:versionID="27b89c9c17f5554e7fedba3f638b92e1">
  <xsd:schema xmlns:xsd="http://www.w3.org/2001/XMLSchema" xmlns:xs="http://www.w3.org/2001/XMLSchema" xmlns:p="http://schemas.microsoft.com/office/2006/metadata/properties" xmlns:ns2="edcc97f6-bc6a-437c-b2ee-96ffd46df644" xmlns:ns3="8aa310fc-63bb-4692-947e-3ee0cbc0a3f7" targetNamespace="http://schemas.microsoft.com/office/2006/metadata/properties" ma:root="true" ma:fieldsID="62cd18a175be6c663c843b5e942afd72" ns2:_="" ns3:_="">
    <xsd:import namespace="edcc97f6-bc6a-437c-b2ee-96ffd46df644"/>
    <xsd:import namespace="8aa310fc-63bb-4692-947e-3ee0cbc0a3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c97f6-bc6a-437c-b2ee-96ffd46df6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a310fc-63bb-4692-947e-3ee0cbc0a3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5539A-5E1E-46BB-931C-2244B8AE06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B5A67F-38AC-423E-AF50-8100EFA4B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c97f6-bc6a-437c-b2ee-96ffd46df644"/>
    <ds:schemaRef ds:uri="8aa310fc-63bb-4692-947e-3ee0cbc0a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069EF1-F25F-4C0F-8009-1FC8F6CFD56A}">
  <ds:schemaRefs>
    <ds:schemaRef ds:uri="http://schemas.microsoft.com/sharepoint/v3/contenttype/forms"/>
  </ds:schemaRefs>
</ds:datastoreItem>
</file>

<file path=customXml/itemProps4.xml><?xml version="1.0" encoding="utf-8"?>
<ds:datastoreItem xmlns:ds="http://schemas.openxmlformats.org/officeDocument/2006/customXml" ds:itemID="{07C169E8-2B81-4732-89B1-C7402D0DD12F}">
  <ds:schemaRefs>
    <ds:schemaRef ds:uri="http://www.w3.org/2001/XMLSchema"/>
  </ds:schemaRefs>
</ds:datastoreItem>
</file>

<file path=customXml/itemProps5.xml><?xml version="1.0" encoding="utf-8"?>
<ds:datastoreItem xmlns:ds="http://schemas.openxmlformats.org/officeDocument/2006/customXml" ds:itemID="{821A25DB-2451-47BB-BC38-4DB013C8072D}">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5</TotalTime>
  <Pages>122</Pages>
  <Words>43044</Words>
  <Characters>245357</Characters>
  <Application>Microsoft Office Word</Application>
  <DocSecurity>0</DocSecurity>
  <Lines>2044</Lines>
  <Paragraphs>575</Paragraphs>
  <ScaleCrop>false</ScaleCrop>
  <HeadingPairs>
    <vt:vector size="2" baseType="variant">
      <vt:variant>
        <vt:lpstr>Title</vt:lpstr>
      </vt:variant>
      <vt:variant>
        <vt:i4>1</vt:i4>
      </vt:variant>
    </vt:vector>
  </HeadingPairs>
  <TitlesOfParts>
    <vt:vector size="1" baseType="lpstr">
      <vt:lpstr>Independent evaluation of the Victorian COVID-19 Business Support Grants - FINAL REPORT</vt:lpstr>
    </vt:vector>
  </TitlesOfParts>
  <Company/>
  <LinksUpToDate>false</LinksUpToDate>
  <CharactersWithSpaces>287826</CharactersWithSpaces>
  <SharedDoc>false</SharedDoc>
  <HLinks>
    <vt:vector size="138" baseType="variant">
      <vt:variant>
        <vt:i4>1507407</vt:i4>
      </vt:variant>
      <vt:variant>
        <vt:i4>381</vt:i4>
      </vt:variant>
      <vt:variant>
        <vt:i4>0</vt:i4>
      </vt:variant>
      <vt:variant>
        <vt:i4>5</vt:i4>
      </vt:variant>
      <vt:variant>
        <vt:lpwstr>http://www.deloitte.com/au/deloitte-access-economics</vt:lpwstr>
      </vt:variant>
      <vt:variant>
        <vt:lpwstr/>
      </vt:variant>
      <vt:variant>
        <vt:i4>1703993</vt:i4>
      </vt:variant>
      <vt:variant>
        <vt:i4>150</vt:i4>
      </vt:variant>
      <vt:variant>
        <vt:i4>0</vt:i4>
      </vt:variant>
      <vt:variant>
        <vt:i4>5</vt:i4>
      </vt:variant>
      <vt:variant>
        <vt:lpwstr/>
      </vt:variant>
      <vt:variant>
        <vt:lpwstr>_Toc149148504</vt:lpwstr>
      </vt:variant>
      <vt:variant>
        <vt:i4>1507381</vt:i4>
      </vt:variant>
      <vt:variant>
        <vt:i4>116</vt:i4>
      </vt:variant>
      <vt:variant>
        <vt:i4>0</vt:i4>
      </vt:variant>
      <vt:variant>
        <vt:i4>5</vt:i4>
      </vt:variant>
      <vt:variant>
        <vt:lpwstr/>
      </vt:variant>
      <vt:variant>
        <vt:lpwstr>_Toc176516343</vt:lpwstr>
      </vt:variant>
      <vt:variant>
        <vt:i4>1507381</vt:i4>
      </vt:variant>
      <vt:variant>
        <vt:i4>110</vt:i4>
      </vt:variant>
      <vt:variant>
        <vt:i4>0</vt:i4>
      </vt:variant>
      <vt:variant>
        <vt:i4>5</vt:i4>
      </vt:variant>
      <vt:variant>
        <vt:lpwstr/>
      </vt:variant>
      <vt:variant>
        <vt:lpwstr>_Toc176516342</vt:lpwstr>
      </vt:variant>
      <vt:variant>
        <vt:i4>1507381</vt:i4>
      </vt:variant>
      <vt:variant>
        <vt:i4>104</vt:i4>
      </vt:variant>
      <vt:variant>
        <vt:i4>0</vt:i4>
      </vt:variant>
      <vt:variant>
        <vt:i4>5</vt:i4>
      </vt:variant>
      <vt:variant>
        <vt:lpwstr/>
      </vt:variant>
      <vt:variant>
        <vt:lpwstr>_Toc176516341</vt:lpwstr>
      </vt:variant>
      <vt:variant>
        <vt:i4>1048629</vt:i4>
      </vt:variant>
      <vt:variant>
        <vt:i4>98</vt:i4>
      </vt:variant>
      <vt:variant>
        <vt:i4>0</vt:i4>
      </vt:variant>
      <vt:variant>
        <vt:i4>5</vt:i4>
      </vt:variant>
      <vt:variant>
        <vt:lpwstr/>
      </vt:variant>
      <vt:variant>
        <vt:lpwstr>_Toc176516338</vt:lpwstr>
      </vt:variant>
      <vt:variant>
        <vt:i4>1114165</vt:i4>
      </vt:variant>
      <vt:variant>
        <vt:i4>92</vt:i4>
      </vt:variant>
      <vt:variant>
        <vt:i4>0</vt:i4>
      </vt:variant>
      <vt:variant>
        <vt:i4>5</vt:i4>
      </vt:variant>
      <vt:variant>
        <vt:lpwstr/>
      </vt:variant>
      <vt:variant>
        <vt:lpwstr>_Toc176516325</vt:lpwstr>
      </vt:variant>
      <vt:variant>
        <vt:i4>1114165</vt:i4>
      </vt:variant>
      <vt:variant>
        <vt:i4>86</vt:i4>
      </vt:variant>
      <vt:variant>
        <vt:i4>0</vt:i4>
      </vt:variant>
      <vt:variant>
        <vt:i4>5</vt:i4>
      </vt:variant>
      <vt:variant>
        <vt:lpwstr/>
      </vt:variant>
      <vt:variant>
        <vt:lpwstr>_Toc176516322</vt:lpwstr>
      </vt:variant>
      <vt:variant>
        <vt:i4>1114165</vt:i4>
      </vt:variant>
      <vt:variant>
        <vt:i4>80</vt:i4>
      </vt:variant>
      <vt:variant>
        <vt:i4>0</vt:i4>
      </vt:variant>
      <vt:variant>
        <vt:i4>5</vt:i4>
      </vt:variant>
      <vt:variant>
        <vt:lpwstr/>
      </vt:variant>
      <vt:variant>
        <vt:lpwstr>_Toc176516321</vt:lpwstr>
      </vt:variant>
      <vt:variant>
        <vt:i4>1179701</vt:i4>
      </vt:variant>
      <vt:variant>
        <vt:i4>74</vt:i4>
      </vt:variant>
      <vt:variant>
        <vt:i4>0</vt:i4>
      </vt:variant>
      <vt:variant>
        <vt:i4>5</vt:i4>
      </vt:variant>
      <vt:variant>
        <vt:lpwstr/>
      </vt:variant>
      <vt:variant>
        <vt:lpwstr>_Toc176516313</vt:lpwstr>
      </vt:variant>
      <vt:variant>
        <vt:i4>1179701</vt:i4>
      </vt:variant>
      <vt:variant>
        <vt:i4>68</vt:i4>
      </vt:variant>
      <vt:variant>
        <vt:i4>0</vt:i4>
      </vt:variant>
      <vt:variant>
        <vt:i4>5</vt:i4>
      </vt:variant>
      <vt:variant>
        <vt:lpwstr/>
      </vt:variant>
      <vt:variant>
        <vt:lpwstr>_Toc176516312</vt:lpwstr>
      </vt:variant>
      <vt:variant>
        <vt:i4>1245237</vt:i4>
      </vt:variant>
      <vt:variant>
        <vt:i4>62</vt:i4>
      </vt:variant>
      <vt:variant>
        <vt:i4>0</vt:i4>
      </vt:variant>
      <vt:variant>
        <vt:i4>5</vt:i4>
      </vt:variant>
      <vt:variant>
        <vt:lpwstr/>
      </vt:variant>
      <vt:variant>
        <vt:lpwstr>_Toc176516300</vt:lpwstr>
      </vt:variant>
      <vt:variant>
        <vt:i4>1703988</vt:i4>
      </vt:variant>
      <vt:variant>
        <vt:i4>56</vt:i4>
      </vt:variant>
      <vt:variant>
        <vt:i4>0</vt:i4>
      </vt:variant>
      <vt:variant>
        <vt:i4>5</vt:i4>
      </vt:variant>
      <vt:variant>
        <vt:lpwstr/>
      </vt:variant>
      <vt:variant>
        <vt:lpwstr>_Toc176516296</vt:lpwstr>
      </vt:variant>
      <vt:variant>
        <vt:i4>1703988</vt:i4>
      </vt:variant>
      <vt:variant>
        <vt:i4>50</vt:i4>
      </vt:variant>
      <vt:variant>
        <vt:i4>0</vt:i4>
      </vt:variant>
      <vt:variant>
        <vt:i4>5</vt:i4>
      </vt:variant>
      <vt:variant>
        <vt:lpwstr/>
      </vt:variant>
      <vt:variant>
        <vt:lpwstr>_Toc176516291</vt:lpwstr>
      </vt:variant>
      <vt:variant>
        <vt:i4>1310772</vt:i4>
      </vt:variant>
      <vt:variant>
        <vt:i4>44</vt:i4>
      </vt:variant>
      <vt:variant>
        <vt:i4>0</vt:i4>
      </vt:variant>
      <vt:variant>
        <vt:i4>5</vt:i4>
      </vt:variant>
      <vt:variant>
        <vt:lpwstr/>
      </vt:variant>
      <vt:variant>
        <vt:lpwstr>_Toc176516278</vt:lpwstr>
      </vt:variant>
      <vt:variant>
        <vt:i4>1376308</vt:i4>
      </vt:variant>
      <vt:variant>
        <vt:i4>38</vt:i4>
      </vt:variant>
      <vt:variant>
        <vt:i4>0</vt:i4>
      </vt:variant>
      <vt:variant>
        <vt:i4>5</vt:i4>
      </vt:variant>
      <vt:variant>
        <vt:lpwstr/>
      </vt:variant>
      <vt:variant>
        <vt:lpwstr>_Toc176516267</vt:lpwstr>
      </vt:variant>
      <vt:variant>
        <vt:i4>1441844</vt:i4>
      </vt:variant>
      <vt:variant>
        <vt:i4>32</vt:i4>
      </vt:variant>
      <vt:variant>
        <vt:i4>0</vt:i4>
      </vt:variant>
      <vt:variant>
        <vt:i4>5</vt:i4>
      </vt:variant>
      <vt:variant>
        <vt:lpwstr/>
      </vt:variant>
      <vt:variant>
        <vt:lpwstr>_Toc176516259</vt:lpwstr>
      </vt:variant>
      <vt:variant>
        <vt:i4>1441844</vt:i4>
      </vt:variant>
      <vt:variant>
        <vt:i4>26</vt:i4>
      </vt:variant>
      <vt:variant>
        <vt:i4>0</vt:i4>
      </vt:variant>
      <vt:variant>
        <vt:i4>5</vt:i4>
      </vt:variant>
      <vt:variant>
        <vt:lpwstr/>
      </vt:variant>
      <vt:variant>
        <vt:lpwstr>_Toc176516254</vt:lpwstr>
      </vt:variant>
      <vt:variant>
        <vt:i4>1441844</vt:i4>
      </vt:variant>
      <vt:variant>
        <vt:i4>20</vt:i4>
      </vt:variant>
      <vt:variant>
        <vt:i4>0</vt:i4>
      </vt:variant>
      <vt:variant>
        <vt:i4>5</vt:i4>
      </vt:variant>
      <vt:variant>
        <vt:lpwstr/>
      </vt:variant>
      <vt:variant>
        <vt:lpwstr>_Toc176516253</vt:lpwstr>
      </vt:variant>
      <vt:variant>
        <vt:i4>1048628</vt:i4>
      </vt:variant>
      <vt:variant>
        <vt:i4>14</vt:i4>
      </vt:variant>
      <vt:variant>
        <vt:i4>0</vt:i4>
      </vt:variant>
      <vt:variant>
        <vt:i4>5</vt:i4>
      </vt:variant>
      <vt:variant>
        <vt:lpwstr/>
      </vt:variant>
      <vt:variant>
        <vt:lpwstr>_Toc176516239</vt:lpwstr>
      </vt:variant>
      <vt:variant>
        <vt:i4>1114164</vt:i4>
      </vt:variant>
      <vt:variant>
        <vt:i4>8</vt:i4>
      </vt:variant>
      <vt:variant>
        <vt:i4>0</vt:i4>
      </vt:variant>
      <vt:variant>
        <vt:i4>5</vt:i4>
      </vt:variant>
      <vt:variant>
        <vt:lpwstr/>
      </vt:variant>
      <vt:variant>
        <vt:lpwstr>_Toc176516222</vt:lpwstr>
      </vt:variant>
      <vt:variant>
        <vt:i4>1114164</vt:i4>
      </vt:variant>
      <vt:variant>
        <vt:i4>2</vt:i4>
      </vt:variant>
      <vt:variant>
        <vt:i4>0</vt:i4>
      </vt:variant>
      <vt:variant>
        <vt:i4>5</vt:i4>
      </vt:variant>
      <vt:variant>
        <vt:lpwstr/>
      </vt:variant>
      <vt:variant>
        <vt:lpwstr>_Toc176516221</vt:lpwstr>
      </vt:variant>
      <vt:variant>
        <vt:i4>327767</vt:i4>
      </vt:variant>
      <vt:variant>
        <vt:i4>0</vt:i4>
      </vt:variant>
      <vt:variant>
        <vt:i4>0</vt:i4>
      </vt:variant>
      <vt:variant>
        <vt:i4>5</vt:i4>
      </vt:variant>
      <vt:variant>
        <vt:lpwstr>http://epress.anu.edu.au/wp-content/uploads/2011/06/4-2-NT-3.pdf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 of the Victorian COVID-19 Business Support Grants - FINAL REPORT</dc:title>
  <dc:subject/>
  <dc:creator>Bates, Chris</dc:creator>
  <cp:keywords/>
  <cp:lastModifiedBy>Chen, Kathryn</cp:lastModifiedBy>
  <cp:revision>3</cp:revision>
  <cp:lastPrinted>2025-06-13T08:40:00Z</cp:lastPrinted>
  <dcterms:created xsi:type="dcterms:W3CDTF">2025-07-11T06:34:00Z</dcterms:created>
  <dcterms:modified xsi:type="dcterms:W3CDTF">2025-07-11T06:38:00Z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2019-04-23T06:49:33.9845782</vt:lpwstr>
  </property>
  <property fmtid="{D5CDD505-2E9C-101B-9397-08002B2CF9AE}" pid="5" name="CustomerId">
    <vt:lpwstr>deloitteaus</vt:lpwstr>
  </property>
  <property fmtid="{D5CDD505-2E9C-101B-9397-08002B2CF9AE}" pid="6" name="TemplateId">
    <vt:lpwstr>636915989739845782</vt:lpwstr>
  </property>
  <property fmtid="{D5CDD505-2E9C-101B-9397-08002B2CF9AE}" pid="7" name="UserProfileId">
    <vt:lpwstr>638136575801294541</vt:lpwstr>
  </property>
  <property fmtid="{D5CDD505-2E9C-101B-9397-08002B2CF9AE}" pid="8" name="MSIP_Label_ea60d57e-af5b-4752-ac57-3e4f28ca11dc_Enabled">
    <vt:lpwstr>true</vt:lpwstr>
  </property>
  <property fmtid="{D5CDD505-2E9C-101B-9397-08002B2CF9AE}" pid="9" name="MSIP_Label_ea60d57e-af5b-4752-ac57-3e4f28ca11dc_SetDate">
    <vt:lpwstr>2023-03-21T00:33:29Z</vt:lpwstr>
  </property>
  <property fmtid="{D5CDD505-2E9C-101B-9397-08002B2CF9AE}" pid="10" name="MSIP_Label_ea60d57e-af5b-4752-ac57-3e4f28ca11dc_Method">
    <vt:lpwstr>Standard</vt:lpwstr>
  </property>
  <property fmtid="{D5CDD505-2E9C-101B-9397-08002B2CF9AE}" pid="11" name="MSIP_Label_ea60d57e-af5b-4752-ac57-3e4f28ca11dc_Name">
    <vt:lpwstr>ea60d57e-af5b-4752-ac57-3e4f28ca11dc</vt:lpwstr>
  </property>
  <property fmtid="{D5CDD505-2E9C-101B-9397-08002B2CF9AE}" pid="12" name="MSIP_Label_ea60d57e-af5b-4752-ac57-3e4f28ca11dc_SiteId">
    <vt:lpwstr>36da45f1-dd2c-4d1f-af13-5abe46b99921</vt:lpwstr>
  </property>
  <property fmtid="{D5CDD505-2E9C-101B-9397-08002B2CF9AE}" pid="13" name="MSIP_Label_ea60d57e-af5b-4752-ac57-3e4f28ca11dc_ActionId">
    <vt:lpwstr>49670889-8cb7-4410-8ce0-5eb4b41062ae</vt:lpwstr>
  </property>
  <property fmtid="{D5CDD505-2E9C-101B-9397-08002B2CF9AE}" pid="14" name="MSIP_Label_ea60d57e-af5b-4752-ac57-3e4f28ca11dc_ContentBits">
    <vt:lpwstr>0</vt:lpwstr>
  </property>
  <property fmtid="{D5CDD505-2E9C-101B-9397-08002B2CF9AE}" pid="15" name="ContentTypeId">
    <vt:lpwstr>0x0101004D5C099911287241AA69EC3B5D56868F</vt:lpwstr>
  </property>
  <property fmtid="{D5CDD505-2E9C-101B-9397-08002B2CF9AE}" pid="16" name="MediaServiceImageTags">
    <vt:lpwstr/>
  </property>
  <property fmtid="{D5CDD505-2E9C-101B-9397-08002B2CF9AE}" pid="17" name="MSIP_Label_7158ebbd-6c5e-441f-bfc9-4eb8c11e3978_Enabled">
    <vt:lpwstr>true</vt:lpwstr>
  </property>
  <property fmtid="{D5CDD505-2E9C-101B-9397-08002B2CF9AE}" pid="18" name="MSIP_Label_7158ebbd-6c5e-441f-bfc9-4eb8c11e3978_SetDate">
    <vt:lpwstr>2023-06-14T22:05:30Z</vt:lpwstr>
  </property>
  <property fmtid="{D5CDD505-2E9C-101B-9397-08002B2CF9AE}" pid="19" name="MSIP_Label_7158ebbd-6c5e-441f-bfc9-4eb8c11e3978_Method">
    <vt:lpwstr>Privileged</vt:lpwstr>
  </property>
  <property fmtid="{D5CDD505-2E9C-101B-9397-08002B2CF9AE}" pid="20" name="MSIP_Label_7158ebbd-6c5e-441f-bfc9-4eb8c11e3978_Name">
    <vt:lpwstr>7158ebbd-6c5e-441f-bfc9-4eb8c11e3978</vt:lpwstr>
  </property>
  <property fmtid="{D5CDD505-2E9C-101B-9397-08002B2CF9AE}" pid="21" name="MSIP_Label_7158ebbd-6c5e-441f-bfc9-4eb8c11e3978_SiteId">
    <vt:lpwstr>722ea0be-3e1c-4b11-ad6f-9401d6856e24</vt:lpwstr>
  </property>
  <property fmtid="{D5CDD505-2E9C-101B-9397-08002B2CF9AE}" pid="22" name="MSIP_Label_7158ebbd-6c5e-441f-bfc9-4eb8c11e3978_ActionId">
    <vt:lpwstr>27a5eb1d-baa9-4e58-aa3e-0a17830d0e8f</vt:lpwstr>
  </property>
  <property fmtid="{D5CDD505-2E9C-101B-9397-08002B2CF9AE}" pid="23" name="MSIP_Label_7158ebbd-6c5e-441f-bfc9-4eb8c11e3978_ContentBits">
    <vt:lpwstr>2</vt:lpwstr>
  </property>
</Properties>
</file>