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F360B" w14:textId="77777777" w:rsidR="00EE5BB8" w:rsidRPr="00C6052E" w:rsidRDefault="00EE5BB8" w:rsidP="00EE5BB8">
      <w:pPr>
        <w:spacing w:after="480"/>
      </w:pPr>
      <w:r w:rsidRPr="00C6052E">
        <w:rPr>
          <w:noProof/>
        </w:rPr>
        <w:drawing>
          <wp:inline distT="0" distB="0" distL="0" distR="0" wp14:anchorId="3CB5BBD1" wp14:editId="22F30F74">
            <wp:extent cx="1867217" cy="552298"/>
            <wp:effectExtent l="0" t="0" r="0" b="635"/>
            <wp:docPr id="1030573417" name="Picture 118" descr="Victoria State Government&#10;Department of Jobs, Skills, Industry and Reg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573417" name="Picture 118" descr="Victoria State Government&#10;Department of Jobs, Skills, Industry and Region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4" t="11550" b="12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623" cy="55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491A8B" w14:textId="08D6EECE" w:rsidR="00EE5BB8" w:rsidRPr="00C6052E" w:rsidRDefault="00EE5BB8" w:rsidP="00EE5BB8">
      <w:pPr>
        <w:pStyle w:val="Title"/>
        <w:spacing w:after="720"/>
      </w:pPr>
      <w:r w:rsidRPr="00C6052E">
        <w:t>Annual</w:t>
      </w:r>
      <w:r w:rsidR="00177848" w:rsidRPr="00C6052E">
        <w:t xml:space="preserve"> </w:t>
      </w:r>
      <w:r w:rsidRPr="00C6052E">
        <w:t>Report</w:t>
      </w:r>
      <w:r w:rsidR="00177848" w:rsidRPr="00C6052E">
        <w:t xml:space="preserve"> </w:t>
      </w:r>
      <w:r w:rsidRPr="00C6052E">
        <w:t>2024/2025</w:t>
      </w:r>
    </w:p>
    <w:p w14:paraId="7F8C007D" w14:textId="6FD14093" w:rsidR="00EE5BB8" w:rsidRPr="00C6052E" w:rsidRDefault="00EE5BB8" w:rsidP="00EE5BB8">
      <w:pPr>
        <w:spacing w:after="480"/>
      </w:pPr>
      <w:r w:rsidRPr="00C6052E">
        <w:t>We</w:t>
      </w:r>
      <w:r w:rsidR="00177848" w:rsidRPr="00C6052E">
        <w:t xml:space="preserve"> </w:t>
      </w:r>
      <w:r w:rsidRPr="00C6052E">
        <w:t>acknowledge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traditional</w:t>
      </w:r>
      <w:r w:rsidR="00177848" w:rsidRPr="00C6052E">
        <w:t xml:space="preserve"> </w:t>
      </w:r>
      <w:r w:rsidRPr="00C6052E">
        <w:t>Aboriginal</w:t>
      </w:r>
      <w:r w:rsidR="00177848" w:rsidRPr="00C6052E">
        <w:t xml:space="preserve"> </w:t>
      </w:r>
      <w:r w:rsidRPr="00C6052E">
        <w:t>owners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Country</w:t>
      </w:r>
      <w:r w:rsidR="00177848" w:rsidRPr="00C6052E">
        <w:t xml:space="preserve"> </w:t>
      </w:r>
      <w:r w:rsidRPr="00C6052E">
        <w:t>throughout</w:t>
      </w:r>
      <w:r w:rsidR="00177848" w:rsidRPr="00C6052E">
        <w:t xml:space="preserve"> </w:t>
      </w:r>
      <w:r w:rsidRPr="00C6052E">
        <w:t>Victoria,</w:t>
      </w:r>
      <w:r w:rsidR="00177848" w:rsidRPr="00C6052E">
        <w:t xml:space="preserve"> </w:t>
      </w:r>
      <w:r w:rsidRPr="00C6052E">
        <w:t>their</w:t>
      </w:r>
      <w:r w:rsidR="00177848" w:rsidRPr="00C6052E">
        <w:t xml:space="preserve"> </w:t>
      </w:r>
      <w:r w:rsidRPr="00C6052E">
        <w:t>ongoing</w:t>
      </w:r>
      <w:r w:rsidR="00177848" w:rsidRPr="00C6052E">
        <w:t xml:space="preserve"> </w:t>
      </w:r>
      <w:r w:rsidRPr="00C6052E">
        <w:t>connection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land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we</w:t>
      </w:r>
      <w:r w:rsidR="00177848" w:rsidRPr="00C6052E">
        <w:t xml:space="preserve"> </w:t>
      </w:r>
      <w:r w:rsidRPr="00C6052E">
        <w:t>pay</w:t>
      </w:r>
      <w:r w:rsidR="00177848" w:rsidRPr="00C6052E">
        <w:t xml:space="preserve"> </w:t>
      </w:r>
      <w:r w:rsidRPr="00C6052E">
        <w:t>our</w:t>
      </w:r>
      <w:r w:rsidR="00177848" w:rsidRPr="00C6052E">
        <w:t xml:space="preserve"> </w:t>
      </w:r>
      <w:r w:rsidRPr="00C6052E">
        <w:t>respects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their</w:t>
      </w:r>
      <w:r w:rsidR="00177848" w:rsidRPr="00C6052E">
        <w:t xml:space="preserve"> </w:t>
      </w:r>
      <w:r w:rsidRPr="00C6052E">
        <w:t>culture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their</w:t>
      </w:r>
      <w:r w:rsidR="00177848" w:rsidRPr="00C6052E">
        <w:t xml:space="preserve"> </w:t>
      </w:r>
      <w:r w:rsidRPr="00C6052E">
        <w:t>Elders</w:t>
      </w:r>
      <w:r w:rsidR="00177848" w:rsidRPr="00C6052E">
        <w:t xml:space="preserve"> </w:t>
      </w:r>
      <w:r w:rsidRPr="00C6052E">
        <w:t>past,</w:t>
      </w:r>
      <w:r w:rsidR="00177848" w:rsidRPr="00C6052E">
        <w:t xml:space="preserve"> </w:t>
      </w:r>
      <w:r w:rsidRPr="00C6052E">
        <w:t>present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future.</w:t>
      </w:r>
    </w:p>
    <w:p w14:paraId="38FBABE1" w14:textId="77777777" w:rsidR="00EE5BB8" w:rsidRPr="00C6052E" w:rsidRDefault="00EE5BB8" w:rsidP="00EE5BB8">
      <w:pPr>
        <w:pStyle w:val="Contentsheading"/>
        <w:rPr>
          <w:color w:val="auto"/>
        </w:rPr>
      </w:pPr>
      <w:r w:rsidRPr="00C6052E">
        <w:rPr>
          <w:color w:val="auto"/>
        </w:rPr>
        <w:t>Contents</w:t>
      </w:r>
    </w:p>
    <w:p w14:paraId="2CC0DD43" w14:textId="2ABEB8EE" w:rsidR="00EA7C7C" w:rsidRDefault="00E0291D">
      <w:pPr>
        <w:pStyle w:val="TOC1"/>
        <w:rPr>
          <w:rFonts w:eastAsiaTheme="minorEastAsia"/>
          <w:b w:val="0"/>
          <w:noProof/>
          <w:kern w:val="2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2,2,Heading 1 Numbered,2,Heading 2 Numbered,2" </w:instrText>
      </w:r>
      <w:r>
        <w:fldChar w:fldCharType="separate"/>
      </w:r>
      <w:hyperlink w:anchor="_Toc214375823" w:history="1">
        <w:r w:rsidR="00EA7C7C" w:rsidRPr="001A32CE">
          <w:rPr>
            <w:rStyle w:val="Hyperlink"/>
            <w:noProof/>
          </w:rPr>
          <w:t>01 Overview</w:t>
        </w:r>
        <w:r w:rsidR="00EA7C7C">
          <w:rPr>
            <w:noProof/>
            <w:webHidden/>
          </w:rPr>
          <w:tab/>
        </w:r>
        <w:r w:rsidR="00EA7C7C">
          <w:rPr>
            <w:noProof/>
            <w:webHidden/>
          </w:rPr>
          <w:fldChar w:fldCharType="begin"/>
        </w:r>
        <w:r w:rsidR="00EA7C7C">
          <w:rPr>
            <w:noProof/>
            <w:webHidden/>
          </w:rPr>
          <w:instrText xml:space="preserve"> PAGEREF _Toc214375823 \h </w:instrText>
        </w:r>
        <w:r w:rsidR="00EA7C7C">
          <w:rPr>
            <w:noProof/>
            <w:webHidden/>
          </w:rPr>
        </w:r>
        <w:r w:rsidR="00EA7C7C">
          <w:rPr>
            <w:noProof/>
            <w:webHidden/>
          </w:rPr>
          <w:fldChar w:fldCharType="separate"/>
        </w:r>
        <w:r w:rsidR="00EA7C7C">
          <w:rPr>
            <w:noProof/>
            <w:webHidden/>
          </w:rPr>
          <w:t>2</w:t>
        </w:r>
        <w:r w:rsidR="00EA7C7C">
          <w:rPr>
            <w:noProof/>
            <w:webHidden/>
          </w:rPr>
          <w:fldChar w:fldCharType="end"/>
        </w:r>
      </w:hyperlink>
    </w:p>
    <w:p w14:paraId="7DF513DA" w14:textId="51B94C3E" w:rsidR="00EA7C7C" w:rsidRDefault="00EA7C7C">
      <w:pPr>
        <w:pStyle w:val="TOC2"/>
        <w:tabs>
          <w:tab w:val="right" w:leader="dot" w:pos="9629"/>
        </w:tabs>
        <w:rPr>
          <w:rFonts w:eastAsiaTheme="minorEastAsia"/>
          <w:noProof/>
          <w:kern w:val="2"/>
          <w:szCs w:val="24"/>
          <w:lang w:eastAsia="en-AU"/>
          <w14:ligatures w14:val="standardContextual"/>
        </w:rPr>
      </w:pPr>
      <w:hyperlink w:anchor="_Toc214375824" w:history="1">
        <w:r w:rsidRPr="001A32CE">
          <w:rPr>
            <w:rStyle w:val="Hyperlink"/>
            <w:noProof/>
          </w:rPr>
          <w:t>Secretary’s Foreword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_Toc214375824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E077B18" w14:textId="69556797" w:rsidR="00EA7C7C" w:rsidRDefault="00EA7C7C">
      <w:pPr>
        <w:pStyle w:val="TOC2"/>
        <w:tabs>
          <w:tab w:val="right" w:leader="dot" w:pos="9629"/>
        </w:tabs>
        <w:rPr>
          <w:rFonts w:eastAsiaTheme="minorEastAsia"/>
          <w:noProof/>
          <w:kern w:val="2"/>
          <w:szCs w:val="24"/>
          <w:lang w:eastAsia="en-AU"/>
          <w14:ligatures w14:val="standardContextual"/>
        </w:rPr>
      </w:pPr>
      <w:hyperlink w:anchor="_Toc214375825" w:history="1">
        <w:r w:rsidRPr="001A32CE">
          <w:rPr>
            <w:rStyle w:val="Hyperlink"/>
            <w:noProof/>
          </w:rPr>
          <w:t>Accountable Officer’s Declaration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_Toc214375825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00A2CF2" w14:textId="58254DF8" w:rsidR="00EA7C7C" w:rsidRDefault="00EA7C7C">
      <w:pPr>
        <w:pStyle w:val="TOC2"/>
        <w:tabs>
          <w:tab w:val="right" w:leader="dot" w:pos="9629"/>
        </w:tabs>
        <w:rPr>
          <w:rFonts w:eastAsiaTheme="minorEastAsia"/>
          <w:noProof/>
          <w:kern w:val="2"/>
          <w:szCs w:val="24"/>
          <w:lang w:eastAsia="en-AU"/>
          <w14:ligatures w14:val="standardContextual"/>
        </w:rPr>
      </w:pPr>
      <w:hyperlink w:anchor="_Toc214375826" w:history="1">
        <w:r w:rsidRPr="001A32CE">
          <w:rPr>
            <w:rStyle w:val="Hyperlink"/>
            <w:noProof/>
          </w:rPr>
          <w:t>About the department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_Toc214375826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16B28F6" w14:textId="1C829C65" w:rsidR="00EA7C7C" w:rsidRDefault="00EA7C7C">
      <w:pPr>
        <w:pStyle w:val="TOC2"/>
        <w:tabs>
          <w:tab w:val="right" w:leader="dot" w:pos="9629"/>
        </w:tabs>
        <w:rPr>
          <w:rFonts w:eastAsiaTheme="minorEastAsia"/>
          <w:noProof/>
          <w:kern w:val="2"/>
          <w:szCs w:val="24"/>
          <w:lang w:eastAsia="en-AU"/>
          <w14:ligatures w14:val="standardContextual"/>
        </w:rPr>
      </w:pPr>
      <w:hyperlink w:anchor="_Toc214375827" w:history="1">
        <w:r w:rsidRPr="001A32CE">
          <w:rPr>
            <w:rStyle w:val="Hyperlink"/>
            <w:noProof/>
          </w:rPr>
          <w:t>Changes to the department during 2024–25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_Toc214375827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70F5888" w14:textId="4961C0A8" w:rsidR="00EA7C7C" w:rsidRDefault="00EA7C7C">
      <w:pPr>
        <w:pStyle w:val="TOC2"/>
        <w:tabs>
          <w:tab w:val="right" w:leader="dot" w:pos="9629"/>
        </w:tabs>
        <w:rPr>
          <w:rFonts w:eastAsiaTheme="minorEastAsia"/>
          <w:noProof/>
          <w:kern w:val="2"/>
          <w:szCs w:val="24"/>
          <w:lang w:eastAsia="en-AU"/>
          <w14:ligatures w14:val="standardContextual"/>
        </w:rPr>
      </w:pPr>
      <w:hyperlink w:anchor="_Toc214375828" w:history="1">
        <w:r w:rsidRPr="001A32CE">
          <w:rPr>
            <w:rStyle w:val="Hyperlink"/>
            <w:noProof/>
          </w:rPr>
          <w:t>Direct costs attributable to machinery of government changes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_Toc214375828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2C43A36" w14:textId="2420392C" w:rsidR="00EA7C7C" w:rsidRDefault="00EA7C7C">
      <w:pPr>
        <w:pStyle w:val="TOC2"/>
        <w:tabs>
          <w:tab w:val="right" w:leader="dot" w:pos="9629"/>
        </w:tabs>
        <w:rPr>
          <w:rFonts w:eastAsiaTheme="minorEastAsia"/>
          <w:noProof/>
          <w:kern w:val="2"/>
          <w:szCs w:val="24"/>
          <w:lang w:eastAsia="en-AU"/>
          <w14:ligatures w14:val="standardContextual"/>
        </w:rPr>
      </w:pPr>
      <w:hyperlink w:anchor="_Toc214375829" w:history="1">
        <w:r w:rsidRPr="001A32CE">
          <w:rPr>
            <w:rStyle w:val="Hyperlink"/>
            <w:noProof/>
          </w:rPr>
          <w:t>Subsequent events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_Toc214375829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CFA1D88" w14:textId="7CC13F3E" w:rsidR="00EA7C7C" w:rsidRDefault="00EA7C7C">
      <w:pPr>
        <w:pStyle w:val="TOC2"/>
        <w:tabs>
          <w:tab w:val="right" w:leader="dot" w:pos="9629"/>
        </w:tabs>
        <w:rPr>
          <w:rFonts w:eastAsiaTheme="minorEastAsia"/>
          <w:noProof/>
          <w:kern w:val="2"/>
          <w:szCs w:val="24"/>
          <w:lang w:eastAsia="en-AU"/>
          <w14:ligatures w14:val="standardContextual"/>
        </w:rPr>
      </w:pPr>
      <w:hyperlink w:anchor="_Toc214375830" w:history="1">
        <w:r w:rsidRPr="001A32CE">
          <w:rPr>
            <w:rStyle w:val="Hyperlink"/>
            <w:noProof/>
          </w:rPr>
          <w:t>Ministers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_Toc214375830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24BC42C" w14:textId="60FCA6EF" w:rsidR="00EA7C7C" w:rsidRDefault="00EA7C7C">
      <w:pPr>
        <w:pStyle w:val="TOC2"/>
        <w:tabs>
          <w:tab w:val="right" w:leader="dot" w:pos="9629"/>
        </w:tabs>
        <w:rPr>
          <w:rFonts w:eastAsiaTheme="minorEastAsia"/>
          <w:noProof/>
          <w:kern w:val="2"/>
          <w:szCs w:val="24"/>
          <w:lang w:eastAsia="en-AU"/>
          <w14:ligatures w14:val="standardContextual"/>
        </w:rPr>
      </w:pPr>
      <w:hyperlink w:anchor="_Toc214375831" w:history="1">
        <w:r w:rsidRPr="001A32CE">
          <w:rPr>
            <w:rStyle w:val="Hyperlink"/>
            <w:noProof/>
          </w:rPr>
          <w:t>Legislation administered by the department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_Toc214375831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FB196B1" w14:textId="3EBCA3BF" w:rsidR="00EA7C7C" w:rsidRDefault="00EA7C7C">
      <w:pPr>
        <w:pStyle w:val="TOC2"/>
        <w:tabs>
          <w:tab w:val="right" w:leader="dot" w:pos="9629"/>
        </w:tabs>
        <w:rPr>
          <w:rFonts w:eastAsiaTheme="minorEastAsia"/>
          <w:noProof/>
          <w:kern w:val="2"/>
          <w:szCs w:val="24"/>
          <w:lang w:eastAsia="en-AU"/>
          <w14:ligatures w14:val="standardContextual"/>
        </w:rPr>
      </w:pPr>
      <w:hyperlink w:anchor="_Toc214375832" w:history="1">
        <w:r w:rsidRPr="001A32CE">
          <w:rPr>
            <w:rStyle w:val="Hyperlink"/>
            <w:noProof/>
          </w:rPr>
          <w:t>Executive Board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_Toc214375832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AEEBB72" w14:textId="42A9A899" w:rsidR="00EA7C7C" w:rsidRDefault="00EA7C7C">
      <w:pPr>
        <w:pStyle w:val="TOC2"/>
        <w:tabs>
          <w:tab w:val="right" w:leader="dot" w:pos="9629"/>
        </w:tabs>
        <w:rPr>
          <w:rFonts w:eastAsiaTheme="minorEastAsia"/>
          <w:noProof/>
          <w:kern w:val="2"/>
          <w:szCs w:val="24"/>
          <w:lang w:eastAsia="en-AU"/>
          <w14:ligatures w14:val="standardContextual"/>
        </w:rPr>
      </w:pPr>
      <w:hyperlink w:anchor="_Toc214375833" w:history="1">
        <w:r w:rsidRPr="001A32CE">
          <w:rPr>
            <w:rStyle w:val="Hyperlink"/>
            <w:noProof/>
          </w:rPr>
          <w:t>Audit and Risk Committee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_Toc214375833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399F8A1" w14:textId="37B50A77" w:rsidR="00EA7C7C" w:rsidRDefault="00EA7C7C">
      <w:pPr>
        <w:pStyle w:val="TOC2"/>
        <w:tabs>
          <w:tab w:val="right" w:leader="dot" w:pos="9629"/>
        </w:tabs>
        <w:rPr>
          <w:rFonts w:eastAsiaTheme="minorEastAsia"/>
          <w:noProof/>
          <w:kern w:val="2"/>
          <w:szCs w:val="24"/>
          <w:lang w:eastAsia="en-AU"/>
          <w14:ligatures w14:val="standardContextual"/>
        </w:rPr>
      </w:pPr>
      <w:hyperlink w:anchor="_Toc214375834" w:history="1">
        <w:r w:rsidRPr="001A32CE">
          <w:rPr>
            <w:rStyle w:val="Hyperlink"/>
            <w:noProof/>
          </w:rPr>
          <w:t>Entities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_Toc214375834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4E407D7" w14:textId="5F8D9E83" w:rsidR="00EA7C7C" w:rsidRDefault="00EA7C7C">
      <w:pPr>
        <w:pStyle w:val="TOC2"/>
        <w:tabs>
          <w:tab w:val="right" w:leader="dot" w:pos="9629"/>
        </w:tabs>
        <w:rPr>
          <w:rFonts w:eastAsiaTheme="minorEastAsia"/>
          <w:noProof/>
          <w:kern w:val="2"/>
          <w:szCs w:val="24"/>
          <w:lang w:eastAsia="en-AU"/>
          <w14:ligatures w14:val="standardContextual"/>
        </w:rPr>
      </w:pPr>
      <w:hyperlink w:anchor="_Toc214375835" w:history="1">
        <w:r w:rsidRPr="001A32CE">
          <w:rPr>
            <w:rStyle w:val="Hyperlink"/>
            <w:noProof/>
          </w:rPr>
          <w:t>Departmental groups at 30 June 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_Toc214375835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B0D844B" w14:textId="42025C98" w:rsidR="00EA7C7C" w:rsidRDefault="00EA7C7C">
      <w:pPr>
        <w:pStyle w:val="TOC2"/>
        <w:tabs>
          <w:tab w:val="right" w:leader="dot" w:pos="9629"/>
        </w:tabs>
        <w:rPr>
          <w:rFonts w:eastAsiaTheme="minorEastAsia"/>
          <w:noProof/>
          <w:kern w:val="2"/>
          <w:szCs w:val="24"/>
          <w:lang w:eastAsia="en-AU"/>
          <w14:ligatures w14:val="standardContextual"/>
        </w:rPr>
      </w:pPr>
      <w:hyperlink w:anchor="_Toc214375836" w:history="1">
        <w:r w:rsidRPr="001A32CE">
          <w:rPr>
            <w:rStyle w:val="Hyperlink"/>
            <w:noProof/>
          </w:rPr>
          <w:t>Achievements 2024–25 – aligned to DJSIR’s Strategic 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_Toc214375836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DE9753F" w14:textId="40990C22" w:rsidR="00EE5BB8" w:rsidRPr="00C6052E" w:rsidRDefault="00E0291D" w:rsidP="00E0291D">
      <w:r>
        <w:fldChar w:fldCharType="end"/>
      </w:r>
    </w:p>
    <w:p w14:paraId="4B79F935" w14:textId="77777777" w:rsidR="00EE5BB8" w:rsidRPr="00C6052E" w:rsidRDefault="00EE5BB8" w:rsidP="00EE5BB8">
      <w:r w:rsidRPr="00C6052E">
        <w:br w:type="page"/>
      </w:r>
    </w:p>
    <w:p w14:paraId="215A3455" w14:textId="25DDE377" w:rsidR="00EE5BB8" w:rsidRPr="00C6052E" w:rsidRDefault="00EE5BB8" w:rsidP="00EE5BB8">
      <w:pPr>
        <w:pStyle w:val="Heading1"/>
      </w:pPr>
      <w:bookmarkStart w:id="0" w:name="_Toc214375823"/>
      <w:r w:rsidRPr="00C6052E">
        <w:lastRenderedPageBreak/>
        <w:t>01</w:t>
      </w:r>
      <w:r w:rsidR="00177848" w:rsidRPr="00C6052E">
        <w:t xml:space="preserve"> </w:t>
      </w:r>
      <w:r w:rsidRPr="00C6052E">
        <w:t>Overview</w:t>
      </w:r>
      <w:bookmarkEnd w:id="0"/>
    </w:p>
    <w:p w14:paraId="1C966D15" w14:textId="69990DC1" w:rsidR="00EE5BB8" w:rsidRPr="00C6052E" w:rsidRDefault="00EE5BB8" w:rsidP="00EE5BB8">
      <w:pPr>
        <w:pStyle w:val="Heading2"/>
        <w:rPr>
          <w:rFonts w:eastAsia="Times New Roman"/>
        </w:rPr>
      </w:pPr>
      <w:bookmarkStart w:id="1" w:name="_Toc214375824"/>
      <w:r w:rsidRPr="00C6052E">
        <w:t>Secretary’s</w:t>
      </w:r>
      <w:r w:rsidR="00177848" w:rsidRPr="00C6052E">
        <w:t xml:space="preserve"> </w:t>
      </w:r>
      <w:r w:rsidRPr="00C6052E">
        <w:t>Foreword</w:t>
      </w:r>
      <w:bookmarkEnd w:id="1"/>
    </w:p>
    <w:p w14:paraId="51E38E0D" w14:textId="0646C8FA" w:rsidR="00EE5BB8" w:rsidRPr="00C6052E" w:rsidRDefault="00EE5BB8" w:rsidP="00EE5BB8">
      <w:r w:rsidRPr="00C6052E">
        <w:t>In</w:t>
      </w:r>
      <w:r w:rsidR="00177848" w:rsidRPr="00C6052E">
        <w:t xml:space="preserve"> </w:t>
      </w:r>
      <w:r w:rsidRPr="00C6052E">
        <w:t>2024–25,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Jobs,</w:t>
      </w:r>
      <w:r w:rsidR="00177848" w:rsidRPr="00C6052E">
        <w:t xml:space="preserve"> </w:t>
      </w:r>
      <w:r w:rsidRPr="00C6052E">
        <w:t>Skills,</w:t>
      </w:r>
      <w:r w:rsidR="00177848" w:rsidRPr="00C6052E">
        <w:t xml:space="preserve"> </w:t>
      </w:r>
      <w:r w:rsidRPr="00C6052E">
        <w:t>Industry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Regions</w:t>
      </w:r>
      <w:r w:rsidR="00177848" w:rsidRPr="00C6052E">
        <w:t xml:space="preserve"> </w:t>
      </w:r>
      <w:r w:rsidRPr="00C6052E">
        <w:t>(DJSIR)</w:t>
      </w:r>
      <w:r w:rsidR="00177848" w:rsidRPr="00C6052E">
        <w:t xml:space="preserve"> </w:t>
      </w:r>
      <w:r w:rsidRPr="00C6052E">
        <w:t>advanced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economic</w:t>
      </w:r>
      <w:r w:rsidR="00177848" w:rsidRPr="00C6052E">
        <w:t xml:space="preserve"> </w:t>
      </w:r>
      <w:r w:rsidRPr="00C6052E">
        <w:t>agenda</w:t>
      </w:r>
      <w:r w:rsidR="00177848" w:rsidRPr="00C6052E">
        <w:t xml:space="preserve"> </w:t>
      </w:r>
      <w:r w:rsidRPr="00C6052E">
        <w:t>through</w:t>
      </w:r>
      <w:r w:rsidR="00177848" w:rsidRPr="00C6052E">
        <w:t xml:space="preserve"> </w:t>
      </w:r>
      <w:r w:rsidRPr="00C6052E">
        <w:t>targeted</w:t>
      </w:r>
      <w:r w:rsidR="00177848" w:rsidRPr="00C6052E">
        <w:t xml:space="preserve"> </w:t>
      </w:r>
      <w:r w:rsidRPr="00C6052E">
        <w:t>programs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built</w:t>
      </w:r>
      <w:r w:rsidR="00177848" w:rsidRPr="00C6052E">
        <w:t xml:space="preserve"> </w:t>
      </w:r>
      <w:r w:rsidRPr="00C6052E">
        <w:t>workforce</w:t>
      </w:r>
      <w:r w:rsidR="00177848" w:rsidRPr="00C6052E">
        <w:t xml:space="preserve"> </w:t>
      </w:r>
      <w:r w:rsidRPr="00C6052E">
        <w:t>capability,</w:t>
      </w:r>
      <w:r w:rsidR="00177848" w:rsidRPr="00C6052E">
        <w:t xml:space="preserve"> </w:t>
      </w:r>
      <w:r w:rsidRPr="00C6052E">
        <w:t>supported</w:t>
      </w:r>
      <w:r w:rsidR="00177848" w:rsidRPr="00C6052E">
        <w:t xml:space="preserve"> </w:t>
      </w:r>
      <w:r w:rsidRPr="00C6052E">
        <w:t>business</w:t>
      </w:r>
      <w:r w:rsidR="00177848" w:rsidRPr="00C6052E">
        <w:t xml:space="preserve"> </w:t>
      </w:r>
      <w:r w:rsidRPr="00C6052E">
        <w:t>growth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revitalised</w:t>
      </w:r>
      <w:r w:rsidR="00177848" w:rsidRPr="00C6052E">
        <w:t xml:space="preserve"> </w:t>
      </w:r>
      <w:r w:rsidRPr="00C6052E">
        <w:t>communities.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work</w:t>
      </w:r>
      <w:r w:rsidR="00177848" w:rsidRPr="00C6052E">
        <w:t xml:space="preserve"> </w:t>
      </w:r>
      <w:r w:rsidRPr="00C6052E">
        <w:t>helped</w:t>
      </w:r>
      <w:r w:rsidR="00177848" w:rsidRPr="00C6052E">
        <w:t xml:space="preserve"> </w:t>
      </w:r>
      <w:r w:rsidRPr="00C6052E">
        <w:t>deliver</w:t>
      </w:r>
      <w:r w:rsidR="00177848" w:rsidRPr="00C6052E">
        <w:t xml:space="preserve"> </w:t>
      </w:r>
      <w:r w:rsidRPr="00C6052E">
        <w:t>increased</w:t>
      </w:r>
      <w:r w:rsidR="00177848" w:rsidRPr="00C6052E">
        <w:t xml:space="preserve"> </w:t>
      </w:r>
      <w:r w:rsidRPr="00C6052E">
        <w:t>investment,</w:t>
      </w:r>
      <w:r w:rsidR="00177848" w:rsidRPr="00C6052E">
        <w:t xml:space="preserve"> </w:t>
      </w:r>
      <w:r w:rsidRPr="00C6052E">
        <w:t>new</w:t>
      </w:r>
      <w:r w:rsidR="00177848" w:rsidRPr="00C6052E">
        <w:t xml:space="preserve"> </w:t>
      </w:r>
      <w:r w:rsidRPr="00C6052E">
        <w:t>jobs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long-term</w:t>
      </w:r>
      <w:r w:rsidR="00177848" w:rsidRPr="00C6052E">
        <w:t xml:space="preserve"> </w:t>
      </w:r>
      <w:r w:rsidRPr="00C6052E">
        <w:t>benefits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communities</w:t>
      </w:r>
      <w:r w:rsidR="00177848" w:rsidRPr="00C6052E">
        <w:t xml:space="preserve"> </w:t>
      </w:r>
      <w:r w:rsidRPr="00C6052E">
        <w:t>across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state.</w:t>
      </w:r>
      <w:r w:rsidR="00177848" w:rsidRPr="00C6052E">
        <w:t xml:space="preserve"> </w:t>
      </w:r>
    </w:p>
    <w:p w14:paraId="21CD773E" w14:textId="693FFAF6" w:rsidR="00EE5BB8" w:rsidRPr="00C6052E" w:rsidRDefault="00EE5BB8" w:rsidP="00EE5BB8">
      <w:r w:rsidRPr="00C6052E">
        <w:rPr>
          <w:spacing w:val="-2"/>
        </w:rPr>
        <w:t>Whilst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delivering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on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the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Victorian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Government’s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economic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growth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agenda,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the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department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has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also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navigated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complex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fiscal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environment,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shifting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global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markets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and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the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growing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need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for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future-ready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skilled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workforce.</w:t>
      </w:r>
      <w:r w:rsidR="00177848" w:rsidRPr="00C6052E">
        <w:rPr>
          <w:spacing w:val="-2"/>
        </w:rPr>
        <w:t xml:space="preserve"> </w:t>
      </w:r>
    </w:p>
    <w:p w14:paraId="62645C4A" w14:textId="5FD992C2" w:rsidR="00EE5BB8" w:rsidRPr="00C6052E" w:rsidRDefault="00EE5BB8" w:rsidP="00EE5BB8">
      <w:r w:rsidRPr="00C6052E">
        <w:t>Among</w:t>
      </w:r>
      <w:r w:rsidR="00177848" w:rsidRPr="00C6052E">
        <w:t xml:space="preserve"> </w:t>
      </w:r>
      <w:r w:rsidRPr="00C6052E">
        <w:t>many</w:t>
      </w:r>
      <w:r w:rsidR="00177848" w:rsidRPr="00C6052E">
        <w:t xml:space="preserve"> </w:t>
      </w:r>
      <w:r w:rsidRPr="00C6052E">
        <w:t>achievements,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helping</w:t>
      </w:r>
      <w:r w:rsidR="00177848" w:rsidRPr="00C6052E">
        <w:t xml:space="preserve"> </w:t>
      </w:r>
      <w:r w:rsidRPr="00C6052E">
        <w:t>drive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implementation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Government’s</w:t>
      </w:r>
      <w:r w:rsidR="00177848" w:rsidRPr="00C6052E">
        <w:t xml:space="preserve"> </w:t>
      </w:r>
      <w:r w:rsidRPr="00C6052E">
        <w:t>Economic</w:t>
      </w:r>
      <w:r w:rsidR="00177848" w:rsidRPr="00C6052E">
        <w:t xml:space="preserve"> </w:t>
      </w:r>
      <w:r w:rsidRPr="00C6052E">
        <w:t>Growth</w:t>
      </w:r>
      <w:r w:rsidR="00177848" w:rsidRPr="00C6052E">
        <w:t xml:space="preserve"> </w:t>
      </w:r>
      <w:r w:rsidRPr="00C6052E">
        <w:t>Statement,</w:t>
      </w:r>
      <w:r w:rsidR="00177848" w:rsidRPr="00C6052E">
        <w:t xml:space="preserve"> </w:t>
      </w:r>
      <w:r w:rsidRPr="00C6052E">
        <w:t>following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launch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December</w:t>
      </w:r>
      <w:r w:rsidR="00177848" w:rsidRPr="00C6052E">
        <w:t xml:space="preserve"> </w:t>
      </w:r>
      <w:r w:rsidRPr="00C6052E">
        <w:t>2024.</w:t>
      </w:r>
      <w:r w:rsidR="00177848" w:rsidRPr="00C6052E">
        <w:t xml:space="preserve"> </w:t>
      </w:r>
      <w:r w:rsidRPr="00C6052E">
        <w:t>More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half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Statement’s</w:t>
      </w:r>
      <w:r w:rsidR="00177848" w:rsidRPr="00C6052E">
        <w:t xml:space="preserve"> </w:t>
      </w:r>
      <w:r w:rsidRPr="00C6052E">
        <w:t>initiatives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being</w:t>
      </w:r>
      <w:r w:rsidR="00177848" w:rsidRPr="00C6052E">
        <w:t xml:space="preserve"> </w:t>
      </w:r>
      <w:r w:rsidRPr="00C6052E">
        <w:t>led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department,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many</w:t>
      </w:r>
      <w:r w:rsidR="00177848" w:rsidRPr="00C6052E">
        <w:t xml:space="preserve"> </w:t>
      </w:r>
      <w:r w:rsidRPr="00C6052E">
        <w:t>already</w:t>
      </w:r>
      <w:r w:rsidR="00177848" w:rsidRPr="00C6052E">
        <w:t xml:space="preserve"> </w:t>
      </w:r>
      <w:r w:rsidRPr="00C6052E">
        <w:t>delivering</w:t>
      </w:r>
      <w:r w:rsidR="00177848" w:rsidRPr="00C6052E">
        <w:t xml:space="preserve"> </w:t>
      </w:r>
      <w:r w:rsidRPr="00C6052E">
        <w:t>improved</w:t>
      </w:r>
      <w:r w:rsidR="00177848" w:rsidRPr="00C6052E">
        <w:t xml:space="preserve"> </w:t>
      </w:r>
      <w:r w:rsidRPr="00C6052E">
        <w:t>conditions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economic</w:t>
      </w:r>
      <w:r w:rsidR="00177848" w:rsidRPr="00C6052E">
        <w:t xml:space="preserve"> </w:t>
      </w:r>
      <w:r w:rsidRPr="00C6052E">
        <w:t>growth.</w:t>
      </w:r>
    </w:p>
    <w:p w14:paraId="3F3569C2" w14:textId="5677F51C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also</w:t>
      </w:r>
      <w:r w:rsidR="00177848" w:rsidRPr="00C6052E">
        <w:t xml:space="preserve"> </w:t>
      </w:r>
      <w:r w:rsidRPr="00C6052E">
        <w:t>delivering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Industry</w:t>
      </w:r>
      <w:r w:rsidR="00177848" w:rsidRPr="00C6052E">
        <w:t xml:space="preserve"> </w:t>
      </w:r>
      <w:r w:rsidRPr="00C6052E">
        <w:t>Policy,</w:t>
      </w:r>
      <w:r w:rsidR="00177848" w:rsidRPr="00C6052E">
        <w:t xml:space="preserve"> </w:t>
      </w:r>
      <w:r w:rsidRPr="00C6052E">
        <w:t>which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launched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June</w:t>
      </w:r>
      <w:r w:rsidR="00177848" w:rsidRPr="00C6052E">
        <w:t xml:space="preserve"> </w:t>
      </w:r>
      <w:r w:rsidRPr="00C6052E">
        <w:t>2025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sets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new</w:t>
      </w:r>
      <w:r w:rsidR="00177848" w:rsidRPr="00C6052E">
        <w:t xml:space="preserve"> </w:t>
      </w:r>
      <w:r w:rsidRPr="00C6052E">
        <w:t>direction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Government’s</w:t>
      </w:r>
      <w:r w:rsidR="00177848" w:rsidRPr="00C6052E">
        <w:t xml:space="preserve"> </w:t>
      </w:r>
      <w:r w:rsidRPr="00C6052E">
        <w:t>relationship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industry,</w:t>
      </w:r>
      <w:r w:rsidR="00177848" w:rsidRPr="00C6052E">
        <w:t xml:space="preserve"> </w:t>
      </w:r>
      <w:r w:rsidRPr="00C6052E">
        <w:t>focusing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competitiveness,</w:t>
      </w:r>
      <w:r w:rsidR="00177848" w:rsidRPr="00C6052E">
        <w:t xml:space="preserve"> </w:t>
      </w:r>
      <w:r w:rsidRPr="00C6052E">
        <w:t>productivity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economic</w:t>
      </w:r>
      <w:r w:rsidR="00177848" w:rsidRPr="00C6052E">
        <w:t xml:space="preserve"> </w:t>
      </w:r>
      <w:r w:rsidRPr="00C6052E">
        <w:t>resilience.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comes</w:t>
      </w:r>
      <w:r w:rsidR="00177848" w:rsidRPr="00C6052E">
        <w:t xml:space="preserve"> </w:t>
      </w:r>
      <w:r w:rsidRPr="00C6052E">
        <w:t>alongside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delivery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range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priorities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projects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showcased</w:t>
      </w:r>
      <w:r w:rsidR="00177848" w:rsidRPr="00C6052E">
        <w:t xml:space="preserve"> </w:t>
      </w:r>
      <w:r w:rsidRPr="00C6052E">
        <w:t>our</w:t>
      </w:r>
      <w:r w:rsidR="00177848" w:rsidRPr="00C6052E">
        <w:t xml:space="preserve"> </w:t>
      </w:r>
      <w:r w:rsidRPr="00C6052E">
        <w:t>world-class</w:t>
      </w:r>
      <w:r w:rsidR="00177848" w:rsidRPr="00C6052E">
        <w:t xml:space="preserve"> </w:t>
      </w:r>
      <w:r w:rsidRPr="00C6052E">
        <w:t>research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innovation</w:t>
      </w:r>
      <w:r w:rsidR="00177848" w:rsidRPr="00C6052E">
        <w:t xml:space="preserve"> </w:t>
      </w:r>
      <w:r w:rsidRPr="00C6052E">
        <w:t>capabilities,</w:t>
      </w:r>
      <w:r w:rsidR="00177848" w:rsidRPr="00C6052E">
        <w:t xml:space="preserve"> </w:t>
      </w:r>
      <w:r w:rsidRPr="00C6052E">
        <w:t>brought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more</w:t>
      </w:r>
      <w:r w:rsidR="00177848" w:rsidRPr="00C6052E">
        <w:t xml:space="preserve"> </w:t>
      </w:r>
      <w:r w:rsidRPr="00C6052E">
        <w:t>international</w:t>
      </w:r>
      <w:r w:rsidR="00177848" w:rsidRPr="00C6052E">
        <w:t xml:space="preserve"> </w:t>
      </w:r>
      <w:r w:rsidRPr="00C6052E">
        <w:t>students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investors,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connected</w:t>
      </w:r>
      <w:r w:rsidR="00177848" w:rsidRPr="00C6052E">
        <w:t xml:space="preserve"> </w:t>
      </w:r>
      <w:r w:rsidRPr="00C6052E">
        <w:t>our</w:t>
      </w:r>
      <w:r w:rsidR="00177848" w:rsidRPr="00C6052E">
        <w:t xml:space="preserve"> </w:t>
      </w:r>
      <w:r w:rsidRPr="00C6052E">
        <w:t>industries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global</w:t>
      </w:r>
      <w:r w:rsidR="00177848" w:rsidRPr="00C6052E">
        <w:t xml:space="preserve"> </w:t>
      </w:r>
      <w:r w:rsidRPr="00C6052E">
        <w:t>markets.</w:t>
      </w:r>
    </w:p>
    <w:p w14:paraId="7F27205F" w14:textId="65ADF94E" w:rsidR="00EE5BB8" w:rsidRPr="00C6052E" w:rsidRDefault="00EE5BB8" w:rsidP="00EE5BB8">
      <w:r w:rsidRPr="00C6052E">
        <w:t>With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focus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strengthening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talent</w:t>
      </w:r>
      <w:r w:rsidR="00177848" w:rsidRPr="00C6052E">
        <w:t xml:space="preserve"> </w:t>
      </w:r>
      <w:r w:rsidRPr="00C6052E">
        <w:t>pipeline,</w:t>
      </w:r>
      <w:r w:rsidR="00177848" w:rsidRPr="00C6052E">
        <w:t xml:space="preserve"> </w:t>
      </w:r>
      <w:r w:rsidRPr="00C6052E">
        <w:t>we</w:t>
      </w:r>
      <w:r w:rsidR="00177848" w:rsidRPr="00C6052E">
        <w:t xml:space="preserve"> </w:t>
      </w:r>
      <w:r w:rsidRPr="00C6052E">
        <w:t>helped</w:t>
      </w:r>
      <w:r w:rsidR="00177848" w:rsidRPr="00C6052E">
        <w:t xml:space="preserve"> </w:t>
      </w:r>
      <w:r w:rsidRPr="00C6052E">
        <w:t>more</w:t>
      </w:r>
      <w:r w:rsidR="00177848" w:rsidRPr="00C6052E">
        <w:t xml:space="preserve"> </w:t>
      </w:r>
      <w:r w:rsidRPr="00C6052E">
        <w:t>Victorians,</w:t>
      </w:r>
      <w:r w:rsidR="00177848" w:rsidRPr="00C6052E">
        <w:t xml:space="preserve"> </w:t>
      </w:r>
      <w:r w:rsidRPr="00C6052E">
        <w:t>including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our</w:t>
      </w:r>
      <w:r w:rsidR="00177848" w:rsidRPr="00C6052E">
        <w:t xml:space="preserve"> </w:t>
      </w:r>
      <w:r w:rsidRPr="00C6052E">
        <w:t>regions,</w:t>
      </w:r>
      <w:r w:rsidR="00177848" w:rsidRPr="00C6052E">
        <w:t xml:space="preserve"> </w:t>
      </w:r>
      <w:r w:rsidRPr="00C6052E">
        <w:t>gain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skills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qualifications</w:t>
      </w:r>
      <w:r w:rsidR="00177848" w:rsidRPr="00C6052E">
        <w:t xml:space="preserve"> </w:t>
      </w:r>
      <w:r w:rsidRPr="00C6052E">
        <w:t>they</w:t>
      </w:r>
      <w:r w:rsidR="00177848" w:rsidRPr="00C6052E">
        <w:t xml:space="preserve"> </w:t>
      </w:r>
      <w:r w:rsidRPr="00C6052E">
        <w:t>need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join</w:t>
      </w:r>
      <w:r w:rsidR="00177848" w:rsidRPr="00C6052E">
        <w:t xml:space="preserve"> </w:t>
      </w:r>
      <w:r w:rsidRPr="00C6052E">
        <w:t>priority</w:t>
      </w:r>
      <w:r w:rsidR="00177848" w:rsidRPr="00C6052E">
        <w:t xml:space="preserve"> </w:t>
      </w:r>
      <w:r w:rsidRPr="00C6052E">
        <w:t>sectors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find</w:t>
      </w:r>
      <w:r w:rsidR="00177848" w:rsidRPr="00C6052E">
        <w:t xml:space="preserve"> </w:t>
      </w:r>
      <w:r w:rsidRPr="00C6052E">
        <w:t>good</w:t>
      </w:r>
      <w:r w:rsidR="00177848" w:rsidRPr="00C6052E">
        <w:t xml:space="preserve"> </w:t>
      </w:r>
      <w:r w:rsidRPr="00C6052E">
        <w:t>jobs,</w:t>
      </w:r>
      <w:r w:rsidR="00177848" w:rsidRPr="00C6052E">
        <w:t xml:space="preserve"> </w:t>
      </w:r>
      <w:r w:rsidRPr="00C6052E">
        <w:t>including</w:t>
      </w:r>
      <w:r w:rsidR="00177848" w:rsidRPr="00C6052E">
        <w:t xml:space="preserve"> </w:t>
      </w:r>
      <w:r w:rsidRPr="00C6052E">
        <w:t>through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Free</w:t>
      </w:r>
      <w:r w:rsidR="00177848" w:rsidRPr="00C6052E">
        <w:t xml:space="preserve"> </w:t>
      </w:r>
      <w:r w:rsidRPr="00C6052E">
        <w:t>TAFE</w:t>
      </w:r>
      <w:r w:rsidR="00177848" w:rsidRPr="00C6052E">
        <w:t xml:space="preserve"> </w:t>
      </w:r>
      <w:r w:rsidRPr="00C6052E">
        <w:t>program.</w:t>
      </w:r>
    </w:p>
    <w:p w14:paraId="1B11E81B" w14:textId="1162AF88" w:rsidR="00EE5BB8" w:rsidRPr="00C6052E" w:rsidRDefault="00EE5BB8" w:rsidP="00EE5BB8">
      <w:r w:rsidRPr="00C6052E">
        <w:t>In</w:t>
      </w:r>
      <w:r w:rsidR="00177848" w:rsidRPr="00C6052E">
        <w:t xml:space="preserve"> </w:t>
      </w:r>
      <w:r w:rsidRPr="00C6052E">
        <w:t>our</w:t>
      </w:r>
      <w:r w:rsidR="00177848" w:rsidRPr="00C6052E">
        <w:t xml:space="preserve"> </w:t>
      </w:r>
      <w:r w:rsidRPr="00C6052E">
        <w:t>continued</w:t>
      </w:r>
      <w:r w:rsidR="00177848" w:rsidRPr="00C6052E">
        <w:t xml:space="preserve"> </w:t>
      </w:r>
      <w:r w:rsidRPr="00C6052E">
        <w:t>commitment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Aboriginal</w:t>
      </w:r>
      <w:r w:rsidR="00177848" w:rsidRPr="00C6052E">
        <w:t xml:space="preserve"> </w:t>
      </w:r>
      <w:r w:rsidRPr="00C6052E">
        <w:t>self-determination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rPr>
          <w:i/>
          <w:iCs/>
        </w:rPr>
        <w:t>Yuma</w:t>
      </w:r>
      <w:r w:rsidR="00177848" w:rsidRPr="00C6052E">
        <w:rPr>
          <w:i/>
          <w:iCs/>
        </w:rPr>
        <w:t xml:space="preserve"> </w:t>
      </w:r>
      <w:proofErr w:type="spellStart"/>
      <w:r w:rsidRPr="00C6052E">
        <w:rPr>
          <w:i/>
          <w:iCs/>
        </w:rPr>
        <w:t>Yirramboi</w:t>
      </w:r>
      <w:proofErr w:type="spellEnd"/>
      <w:r w:rsidR="00177848" w:rsidRPr="00C6052E">
        <w:rPr>
          <w:i/>
          <w:iCs/>
        </w:rPr>
        <w:t xml:space="preserve"> </w:t>
      </w:r>
      <w:r w:rsidRPr="00C6052E">
        <w:rPr>
          <w:i/>
          <w:iCs/>
        </w:rPr>
        <w:t>Strategy</w:t>
      </w:r>
      <w:r w:rsidRPr="00C6052E">
        <w:t>,</w:t>
      </w:r>
      <w:r w:rsidR="00177848" w:rsidRPr="00C6052E">
        <w:t xml:space="preserve"> </w:t>
      </w:r>
      <w:r w:rsidRPr="00C6052E">
        <w:t>we</w:t>
      </w:r>
      <w:r w:rsidR="00177848" w:rsidRPr="00C6052E">
        <w:t xml:space="preserve"> </w:t>
      </w:r>
      <w:r w:rsidRPr="00C6052E">
        <w:t>supported</w:t>
      </w:r>
      <w:r w:rsidR="00177848" w:rsidRPr="00C6052E">
        <w:t xml:space="preserve"> </w:t>
      </w:r>
      <w:r w:rsidRPr="00C6052E">
        <w:t>Aboriginal</w:t>
      </w:r>
      <w:r w:rsidR="00177848" w:rsidRPr="00C6052E">
        <w:t xml:space="preserve"> </w:t>
      </w:r>
      <w:r w:rsidRPr="00C6052E">
        <w:t>businesses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grow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generate</w:t>
      </w:r>
      <w:r w:rsidR="00177848" w:rsidRPr="00C6052E">
        <w:t xml:space="preserve"> </w:t>
      </w:r>
      <w:r w:rsidRPr="00C6052E">
        <w:t>greater</w:t>
      </w:r>
      <w:r w:rsidR="00177848" w:rsidRPr="00C6052E">
        <w:t xml:space="preserve"> </w:t>
      </w:r>
      <w:r w:rsidRPr="00C6052E">
        <w:t>individual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collective</w:t>
      </w:r>
      <w:r w:rsidR="00177848" w:rsidRPr="00C6052E">
        <w:t xml:space="preserve"> </w:t>
      </w:r>
      <w:r w:rsidRPr="00C6052E">
        <w:t>wealth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Aboriginal</w:t>
      </w:r>
      <w:r w:rsidR="00177848" w:rsidRPr="00C6052E">
        <w:t xml:space="preserve"> </w:t>
      </w:r>
      <w:r w:rsidRPr="00C6052E">
        <w:t>Victorians.</w:t>
      </w:r>
      <w:r w:rsidR="00177848" w:rsidRPr="00C6052E">
        <w:t xml:space="preserve"> </w:t>
      </w:r>
      <w:r w:rsidRPr="00C6052E">
        <w:t>We</w:t>
      </w:r>
      <w:r w:rsidR="00177848" w:rsidRPr="00C6052E">
        <w:t xml:space="preserve"> </w:t>
      </w:r>
      <w:r w:rsidRPr="00C6052E">
        <w:t>also</w:t>
      </w:r>
      <w:r w:rsidR="00177848" w:rsidRPr="00C6052E">
        <w:t xml:space="preserve"> </w:t>
      </w:r>
      <w:r w:rsidRPr="00C6052E">
        <w:t>released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department's</w:t>
      </w:r>
      <w:r w:rsidR="00177848" w:rsidRPr="00C6052E">
        <w:t xml:space="preserve"> </w:t>
      </w:r>
      <w:r w:rsidRPr="00C6052E">
        <w:t>first</w:t>
      </w:r>
      <w:r w:rsidR="00177848" w:rsidRPr="00C6052E">
        <w:t xml:space="preserve"> </w:t>
      </w:r>
      <w:r w:rsidRPr="00C6052E">
        <w:t>cultural</w:t>
      </w:r>
      <w:r w:rsidR="00177848" w:rsidRPr="00C6052E">
        <w:t xml:space="preserve"> </w:t>
      </w:r>
      <w:r w:rsidRPr="00C6052E">
        <w:t>safety</w:t>
      </w:r>
      <w:r w:rsidR="00177848" w:rsidRPr="00C6052E">
        <w:t xml:space="preserve"> </w:t>
      </w:r>
      <w:r w:rsidRPr="00C6052E">
        <w:t>strategy,</w:t>
      </w:r>
      <w:r w:rsidR="00177848" w:rsidRPr="00C6052E">
        <w:t xml:space="preserve"> </w:t>
      </w:r>
      <w:r w:rsidRPr="00C6052E">
        <w:t>which</w:t>
      </w:r>
      <w:r w:rsidR="00177848" w:rsidRPr="00C6052E">
        <w:t xml:space="preserve"> </w:t>
      </w:r>
      <w:r w:rsidRPr="00C6052E">
        <w:t>ensures</w:t>
      </w:r>
      <w:r w:rsidR="00177848" w:rsidRPr="00C6052E">
        <w:t xml:space="preserve"> </w:t>
      </w:r>
      <w:r w:rsidRPr="00C6052E">
        <w:t>we</w:t>
      </w:r>
      <w:r w:rsidR="00177848" w:rsidRPr="00C6052E">
        <w:t xml:space="preserve"> </w:t>
      </w:r>
      <w:r w:rsidRPr="00C6052E">
        <w:t>act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engage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culturally</w:t>
      </w:r>
      <w:r w:rsidR="00177848" w:rsidRPr="00C6052E">
        <w:t xml:space="preserve"> </w:t>
      </w:r>
      <w:r w:rsidRPr="00C6052E">
        <w:t>safe</w:t>
      </w:r>
      <w:r w:rsidR="00177848" w:rsidRPr="00C6052E">
        <w:t xml:space="preserve"> </w:t>
      </w:r>
      <w:r w:rsidRPr="00C6052E">
        <w:t>manner</w:t>
      </w:r>
      <w:r w:rsidR="00177848" w:rsidRPr="00C6052E">
        <w:t xml:space="preserve"> </w:t>
      </w:r>
      <w:r w:rsidRPr="00C6052E">
        <w:rPr>
          <w:spacing w:val="-2"/>
        </w:rPr>
        <w:t>–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whether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with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our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staff,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stakeholders,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or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the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community.</w:t>
      </w:r>
    </w:p>
    <w:p w14:paraId="19021693" w14:textId="6D61F818" w:rsidR="00EE5BB8" w:rsidRPr="00C6052E" w:rsidRDefault="00EE5BB8" w:rsidP="00EE5BB8">
      <w:r w:rsidRPr="00C6052E">
        <w:t>We</w:t>
      </w:r>
      <w:r w:rsidR="00177848" w:rsidRPr="00C6052E">
        <w:t xml:space="preserve"> </w:t>
      </w:r>
      <w:r w:rsidRPr="00C6052E">
        <w:t>boosted</w:t>
      </w:r>
      <w:r w:rsidR="00177848" w:rsidRPr="00C6052E">
        <w:t xml:space="preserve"> </w:t>
      </w:r>
      <w:r w:rsidRPr="00C6052E">
        <w:t>Victoria’s</w:t>
      </w:r>
      <w:r w:rsidR="00177848" w:rsidRPr="00C6052E">
        <w:t xml:space="preserve"> </w:t>
      </w:r>
      <w:r w:rsidRPr="00C6052E">
        <w:t>visitor</w:t>
      </w:r>
      <w:r w:rsidR="00177848" w:rsidRPr="00C6052E">
        <w:t xml:space="preserve"> </w:t>
      </w:r>
      <w:r w:rsidRPr="00C6052E">
        <w:t>economy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proofErr w:type="gramStart"/>
      <w:r w:rsidRPr="00C6052E">
        <w:t>industries,</w:t>
      </w:r>
      <w:r w:rsidR="00177848" w:rsidRPr="00C6052E">
        <w:t xml:space="preserve"> </w:t>
      </w:r>
      <w:r w:rsidRPr="00C6052E">
        <w:t>and</w:t>
      </w:r>
      <w:proofErr w:type="gramEnd"/>
      <w:r w:rsidR="00177848" w:rsidRPr="00C6052E">
        <w:t xml:space="preserve"> </w:t>
      </w:r>
      <w:r w:rsidRPr="00C6052E">
        <w:t>expanded</w:t>
      </w:r>
      <w:r w:rsidR="00177848" w:rsidRPr="00C6052E">
        <w:t xml:space="preserve"> </w:t>
      </w:r>
      <w:r w:rsidRPr="00C6052E">
        <w:t>opportunities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Victorians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enjoy</w:t>
      </w:r>
      <w:r w:rsidR="00177848" w:rsidRPr="00C6052E">
        <w:t xml:space="preserve"> </w:t>
      </w:r>
      <w:r w:rsidRPr="00C6052E">
        <w:t>sports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outdoor</w:t>
      </w:r>
      <w:r w:rsidR="00177848" w:rsidRPr="00C6052E">
        <w:t xml:space="preserve"> </w:t>
      </w:r>
      <w:r w:rsidRPr="00C6052E">
        <w:t>recreation.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investing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these</w:t>
      </w:r>
      <w:r w:rsidR="00177848" w:rsidRPr="00C6052E">
        <w:t xml:space="preserve"> </w:t>
      </w:r>
      <w:r w:rsidRPr="00C6052E">
        <w:t>sectors,</w:t>
      </w:r>
      <w:r w:rsidR="00177848" w:rsidRPr="00C6052E">
        <w:t xml:space="preserve"> </w:t>
      </w:r>
      <w:r w:rsidRPr="00C6052E">
        <w:t>we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maintained</w:t>
      </w:r>
      <w:r w:rsidR="00177848" w:rsidRPr="00C6052E">
        <w:t xml:space="preserve"> </w:t>
      </w:r>
      <w:r w:rsidRPr="00C6052E">
        <w:t>Victoria’s</w:t>
      </w:r>
      <w:r w:rsidR="00177848" w:rsidRPr="00C6052E">
        <w:t xml:space="preserve"> </w:t>
      </w:r>
      <w:r w:rsidRPr="00C6052E">
        <w:t>position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leading</w:t>
      </w:r>
      <w:r w:rsidR="00177848" w:rsidRPr="00C6052E">
        <w:t xml:space="preserve"> </w:t>
      </w:r>
      <w:r w:rsidRPr="00C6052E">
        <w:t>cultural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major</w:t>
      </w:r>
      <w:r w:rsidR="00177848" w:rsidRPr="00C6052E">
        <w:t xml:space="preserve"> </w:t>
      </w:r>
      <w:r w:rsidRPr="00C6052E">
        <w:t>events</w:t>
      </w:r>
      <w:r w:rsidR="00177848" w:rsidRPr="00C6052E">
        <w:t xml:space="preserve"> </w:t>
      </w:r>
      <w:r w:rsidRPr="00C6052E">
        <w:t>destination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invites</w:t>
      </w:r>
      <w:r w:rsidR="00177848" w:rsidRPr="00C6052E">
        <w:t xml:space="preserve"> </w:t>
      </w:r>
      <w:r w:rsidRPr="00C6052E">
        <w:t>visitors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Victorians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experience</w:t>
      </w:r>
      <w:r w:rsidR="00177848" w:rsidRPr="00C6052E">
        <w:t xml:space="preserve"> </w:t>
      </w:r>
      <w:r w:rsidRPr="00C6052E">
        <w:t>everything</w:t>
      </w:r>
      <w:r w:rsidR="00177848" w:rsidRPr="00C6052E">
        <w:t xml:space="preserve"> </w:t>
      </w:r>
      <w:r w:rsidRPr="00C6052E">
        <w:t>our</w:t>
      </w:r>
      <w:r w:rsidR="00177848" w:rsidRPr="00C6052E">
        <w:t xml:space="preserve"> </w:t>
      </w:r>
      <w:r w:rsidRPr="00C6052E">
        <w:t>cities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regions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offer.</w:t>
      </w:r>
      <w:r w:rsidR="00177848" w:rsidRPr="00C6052E">
        <w:t xml:space="preserve"> </w:t>
      </w:r>
    </w:p>
    <w:p w14:paraId="0028B2D0" w14:textId="5FF871C9" w:rsidR="00EE5BB8" w:rsidRPr="00C6052E" w:rsidRDefault="00EE5BB8" w:rsidP="00EE5BB8">
      <w:r w:rsidRPr="00C6052E">
        <w:t>Guided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our</w:t>
      </w:r>
      <w:r w:rsidR="00177848" w:rsidRPr="00C6052E">
        <w:t xml:space="preserve"> </w:t>
      </w:r>
      <w:r w:rsidRPr="00C6052E">
        <w:t>values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Accountability,</w:t>
      </w:r>
      <w:r w:rsidR="00177848" w:rsidRPr="00C6052E">
        <w:t xml:space="preserve"> </w:t>
      </w:r>
      <w:r w:rsidRPr="00C6052E">
        <w:t>Integrity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Respect,</w:t>
      </w:r>
      <w:r w:rsidR="00177848" w:rsidRPr="00C6052E">
        <w:t xml:space="preserve"> </w:t>
      </w:r>
      <w:r w:rsidRPr="00C6052E">
        <w:t>our</w:t>
      </w:r>
      <w:r w:rsidR="00177848" w:rsidRPr="00C6052E">
        <w:t xml:space="preserve"> </w:t>
      </w:r>
      <w:r w:rsidRPr="00C6052E">
        <w:t>people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served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public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distinction.</w:t>
      </w:r>
      <w:r w:rsidR="00177848" w:rsidRPr="00C6052E">
        <w:t xml:space="preserve"> </w:t>
      </w:r>
      <w:r w:rsidRPr="00C6052E">
        <w:t>They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shown</w:t>
      </w:r>
      <w:r w:rsidR="00177848" w:rsidRPr="00C6052E">
        <w:t xml:space="preserve"> </w:t>
      </w:r>
      <w:r w:rsidRPr="00C6052E">
        <w:t>commitment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building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stronger</w:t>
      </w:r>
      <w:r w:rsidR="00177848" w:rsidRPr="00C6052E">
        <w:t xml:space="preserve"> </w:t>
      </w:r>
      <w:r w:rsidRPr="00C6052E">
        <w:t>economy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making</w:t>
      </w:r>
      <w:r w:rsidR="00177848" w:rsidRPr="00C6052E">
        <w:t xml:space="preserve"> </w:t>
      </w:r>
      <w:r w:rsidRPr="00C6052E">
        <w:t>Victoria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best</w:t>
      </w:r>
      <w:r w:rsidR="00177848" w:rsidRPr="00C6052E">
        <w:t xml:space="preserve"> </w:t>
      </w:r>
      <w:r w:rsidRPr="00C6052E">
        <w:t>place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live,</w:t>
      </w:r>
      <w:r w:rsidR="00177848" w:rsidRPr="00C6052E">
        <w:t xml:space="preserve"> </w:t>
      </w:r>
      <w:r w:rsidRPr="00C6052E">
        <w:t>work,</w:t>
      </w:r>
      <w:r w:rsidR="00177848" w:rsidRPr="00C6052E">
        <w:t xml:space="preserve"> </w:t>
      </w:r>
      <w:r w:rsidRPr="00C6052E">
        <w:t>stay,</w:t>
      </w:r>
      <w:r w:rsidR="00177848" w:rsidRPr="00C6052E">
        <w:t xml:space="preserve"> </w:t>
      </w:r>
      <w:r w:rsidRPr="00C6052E">
        <w:t>experience,</w:t>
      </w:r>
      <w:r w:rsidR="00177848" w:rsidRPr="00C6052E">
        <w:t xml:space="preserve"> </w:t>
      </w:r>
      <w:r w:rsidRPr="00C6052E">
        <w:t>invest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study.</w:t>
      </w:r>
    </w:p>
    <w:p w14:paraId="34608BE3" w14:textId="223DB8FA" w:rsidR="00EE5BB8" w:rsidRPr="00C6052E" w:rsidRDefault="00EE5BB8" w:rsidP="00EE5BB8">
      <w:r w:rsidRPr="00C6052E">
        <w:t>Thank</w:t>
      </w:r>
      <w:r w:rsidR="00177848" w:rsidRPr="00C6052E">
        <w:t xml:space="preserve"> </w:t>
      </w:r>
      <w:r w:rsidRPr="00C6052E">
        <w:t>you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our</w:t>
      </w:r>
      <w:r w:rsidR="00177848" w:rsidRPr="00C6052E">
        <w:t xml:space="preserve"> </w:t>
      </w:r>
      <w:r w:rsidRPr="00C6052E">
        <w:t>team</w:t>
      </w:r>
      <w:r w:rsidR="00177848" w:rsidRPr="00C6052E">
        <w:t xml:space="preserve"> </w:t>
      </w:r>
      <w:r w:rsidRPr="00C6052E">
        <w:t>members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their</w:t>
      </w:r>
      <w:r w:rsidR="00177848" w:rsidRPr="00C6052E">
        <w:t xml:space="preserve"> </w:t>
      </w:r>
      <w:r w:rsidRPr="00C6052E">
        <w:t>dedication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contributions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achievements;</w:t>
      </w:r>
      <w:r w:rsidR="00177848" w:rsidRPr="00C6052E">
        <w:t xml:space="preserve"> </w:t>
      </w:r>
      <w:r w:rsidRPr="00C6052E">
        <w:t>it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your</w:t>
      </w:r>
      <w:r w:rsidR="00177848" w:rsidRPr="00C6052E">
        <w:t xml:space="preserve"> </w:t>
      </w:r>
      <w:r w:rsidRPr="00C6052E">
        <w:t>support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we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driving</w:t>
      </w:r>
      <w:r w:rsidR="00177848" w:rsidRPr="00C6052E">
        <w:t xml:space="preserve"> </w:t>
      </w:r>
      <w:r w:rsidRPr="00C6052E">
        <w:t>growth</w:t>
      </w:r>
      <w:r w:rsidR="00177848" w:rsidRPr="00C6052E">
        <w:t xml:space="preserve"> </w:t>
      </w:r>
      <w:r w:rsidRPr="00C6052E">
        <w:t>across</w:t>
      </w:r>
      <w:r w:rsidR="00177848" w:rsidRPr="00C6052E">
        <w:t xml:space="preserve"> </w:t>
      </w:r>
      <w:r w:rsidRPr="00C6052E">
        <w:t>Victoria’s</w:t>
      </w:r>
      <w:r w:rsidR="00177848" w:rsidRPr="00C6052E">
        <w:t xml:space="preserve"> </w:t>
      </w:r>
      <w:r w:rsidRPr="00C6052E">
        <w:t>economy</w:t>
      </w:r>
      <w:r w:rsidR="00177848" w:rsidRPr="00C6052E">
        <w:t xml:space="preserve"> </w:t>
      </w:r>
      <w:r w:rsidRPr="00C6052E">
        <w:t>now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future.</w:t>
      </w:r>
    </w:p>
    <w:p w14:paraId="76E35164" w14:textId="6C7FF830" w:rsidR="00EE5BB8" w:rsidRPr="00C6052E" w:rsidRDefault="00EE5BB8" w:rsidP="00EE5BB8">
      <w:pPr>
        <w:pStyle w:val="Heading2"/>
      </w:pPr>
      <w:bookmarkStart w:id="2" w:name="_Toc214375825"/>
      <w:r w:rsidRPr="00C6052E">
        <w:lastRenderedPageBreak/>
        <w:t>Accountable</w:t>
      </w:r>
      <w:r w:rsidR="00177848" w:rsidRPr="00C6052E">
        <w:t xml:space="preserve"> </w:t>
      </w:r>
      <w:r w:rsidRPr="00C6052E">
        <w:t>Officer’s</w:t>
      </w:r>
      <w:r w:rsidR="00177848" w:rsidRPr="00C6052E">
        <w:t xml:space="preserve"> </w:t>
      </w:r>
      <w:r w:rsidRPr="00C6052E">
        <w:t>Declaration</w:t>
      </w:r>
      <w:bookmarkEnd w:id="2"/>
    </w:p>
    <w:p w14:paraId="09B64DF6" w14:textId="766AE884" w:rsidR="00EE5BB8" w:rsidRPr="00C6052E" w:rsidRDefault="00EE5BB8" w:rsidP="00EE5BB8">
      <w:r w:rsidRPr="00C6052E">
        <w:t>In</w:t>
      </w:r>
      <w:r w:rsidR="00177848" w:rsidRPr="00C6052E">
        <w:t xml:space="preserve"> </w:t>
      </w:r>
      <w:r w:rsidRPr="00C6052E">
        <w:t>accordance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rPr>
          <w:i/>
          <w:iCs/>
        </w:rPr>
        <w:t>Financial</w:t>
      </w:r>
      <w:r w:rsidR="00177848" w:rsidRPr="00C6052E">
        <w:rPr>
          <w:i/>
          <w:iCs/>
        </w:rPr>
        <w:t xml:space="preserve"> </w:t>
      </w:r>
      <w:r w:rsidRPr="00C6052E">
        <w:rPr>
          <w:i/>
          <w:iCs/>
        </w:rPr>
        <w:t>Management</w:t>
      </w:r>
      <w:r w:rsidR="00177848" w:rsidRPr="00C6052E">
        <w:rPr>
          <w:i/>
          <w:iCs/>
        </w:rPr>
        <w:t xml:space="preserve"> </w:t>
      </w:r>
      <w:r w:rsidRPr="00C6052E">
        <w:rPr>
          <w:i/>
          <w:iCs/>
        </w:rPr>
        <w:t>Act</w:t>
      </w:r>
      <w:r w:rsidR="00177848" w:rsidRPr="00C6052E">
        <w:rPr>
          <w:i/>
          <w:iCs/>
        </w:rPr>
        <w:t xml:space="preserve"> </w:t>
      </w:r>
      <w:r w:rsidRPr="00C6052E">
        <w:rPr>
          <w:i/>
          <w:iCs/>
        </w:rPr>
        <w:t>1994</w:t>
      </w:r>
      <w:r w:rsidRPr="00C6052E">
        <w:t>,</w:t>
      </w:r>
      <w:r w:rsidR="00177848" w:rsidRPr="00C6052E">
        <w:t xml:space="preserve"> </w:t>
      </w:r>
      <w:r w:rsidRPr="00C6052E">
        <w:t>I</w:t>
      </w:r>
      <w:r w:rsidR="00177848" w:rsidRPr="00C6052E">
        <w:t xml:space="preserve"> </w:t>
      </w:r>
      <w:r w:rsidRPr="00C6052E">
        <w:t>am</w:t>
      </w:r>
      <w:r w:rsidR="00177848" w:rsidRPr="00C6052E">
        <w:t xml:space="preserve"> </w:t>
      </w:r>
      <w:r w:rsidRPr="00C6052E">
        <w:t>pleased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present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Annual</w:t>
      </w:r>
      <w:r w:rsidR="00177848" w:rsidRPr="00C6052E">
        <w:t xml:space="preserve"> </w:t>
      </w:r>
      <w:r w:rsidRPr="00C6052E">
        <w:t>Report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Jobs,</w:t>
      </w:r>
      <w:r w:rsidR="00177848" w:rsidRPr="00C6052E">
        <w:t xml:space="preserve"> </w:t>
      </w:r>
      <w:r w:rsidRPr="00C6052E">
        <w:t>Skills,</w:t>
      </w:r>
      <w:r w:rsidR="00177848" w:rsidRPr="00C6052E">
        <w:t xml:space="preserve"> </w:t>
      </w:r>
      <w:r w:rsidRPr="00C6052E">
        <w:t>Industry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Regions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year</w:t>
      </w:r>
      <w:r w:rsidR="00177848" w:rsidRPr="00C6052E">
        <w:t xml:space="preserve"> </w:t>
      </w:r>
      <w:r w:rsidRPr="00C6052E">
        <w:t>ending</w:t>
      </w:r>
      <w:r w:rsidR="00177848" w:rsidRPr="00C6052E">
        <w:t xml:space="preserve"> </w:t>
      </w:r>
      <w:r w:rsidRPr="00C6052E">
        <w:t>30</w:t>
      </w:r>
      <w:r w:rsidR="00177848" w:rsidRPr="00C6052E">
        <w:t xml:space="preserve"> </w:t>
      </w:r>
      <w:r w:rsidRPr="00C6052E">
        <w:t>June</w:t>
      </w:r>
      <w:r w:rsidR="00177848" w:rsidRPr="00C6052E">
        <w:t xml:space="preserve"> </w:t>
      </w:r>
      <w:r w:rsidRPr="00C6052E">
        <w:t>2025.</w:t>
      </w:r>
    </w:p>
    <w:p w14:paraId="31D987BF" w14:textId="51D84C61" w:rsidR="00EE5BB8" w:rsidRPr="00C6052E" w:rsidRDefault="00EE5BB8" w:rsidP="00EE5BB8">
      <w:pPr>
        <w:rPr>
          <w:rFonts w:ascii="VIC Light" w:eastAsia="VIC Light" w:hAnsi="VIC Light" w:cs="Times New Roman"/>
        </w:rPr>
      </w:pPr>
      <w:r w:rsidRPr="00C6052E">
        <w:rPr>
          <w:b/>
          <w:bCs/>
        </w:rPr>
        <w:t>Matt</w:t>
      </w:r>
      <w:r w:rsidR="00177848" w:rsidRPr="00C6052E">
        <w:rPr>
          <w:b/>
          <w:bCs/>
        </w:rPr>
        <w:t xml:space="preserve"> </w:t>
      </w:r>
      <w:r w:rsidRPr="00C6052E">
        <w:rPr>
          <w:b/>
          <w:bCs/>
        </w:rPr>
        <w:t>Carrick</w:t>
      </w:r>
      <w:r w:rsidRPr="00C6052E">
        <w:rPr>
          <w:rStyle w:val="Medium"/>
        </w:rPr>
        <w:br/>
      </w:r>
      <w:r w:rsidRPr="00C6052E">
        <w:t>Secretary</w:t>
      </w:r>
    </w:p>
    <w:p w14:paraId="013978C4" w14:textId="7940BA6A" w:rsidR="00EE5BB8" w:rsidRPr="00C6052E" w:rsidRDefault="00EE5BB8" w:rsidP="00EE5BB8">
      <w:pPr>
        <w:pStyle w:val="Heading2"/>
      </w:pPr>
      <w:bookmarkStart w:id="3" w:name="_Toc214375826"/>
      <w:r w:rsidRPr="00C6052E">
        <w:t>About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bookmarkEnd w:id="3"/>
    </w:p>
    <w:p w14:paraId="14DAAA88" w14:textId="02D76A8A" w:rsidR="00EE5BB8" w:rsidRPr="00C6052E" w:rsidRDefault="00EE5BB8" w:rsidP="00EE5BB8">
      <w:pPr>
        <w:pStyle w:val="Heading3"/>
      </w:pPr>
      <w:r w:rsidRPr="00C6052E">
        <w:t>About</w:t>
      </w:r>
      <w:r w:rsidR="00177848" w:rsidRPr="00C6052E">
        <w:t xml:space="preserve"> </w:t>
      </w:r>
      <w:r w:rsidRPr="00C6052E">
        <w:t>us</w:t>
      </w:r>
    </w:p>
    <w:p w14:paraId="23CCE725" w14:textId="79E14D6F" w:rsidR="00EE5BB8" w:rsidRPr="00C6052E" w:rsidRDefault="00EE5BB8" w:rsidP="00EE5BB8">
      <w:pPr>
        <w:pStyle w:val="Introtext"/>
      </w:pPr>
      <w:r w:rsidRPr="00C6052E">
        <w:t>Established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1</w:t>
      </w:r>
      <w:r w:rsidR="00177848" w:rsidRPr="00C6052E">
        <w:t xml:space="preserve"> </w:t>
      </w:r>
      <w:r w:rsidRPr="00C6052E">
        <w:t>January</w:t>
      </w:r>
      <w:r w:rsidR="00177848" w:rsidRPr="00C6052E">
        <w:t xml:space="preserve"> </w:t>
      </w:r>
      <w:r w:rsidRPr="00C6052E">
        <w:t>2023,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Jobs,</w:t>
      </w:r>
      <w:r w:rsidR="00177848" w:rsidRPr="00C6052E">
        <w:t xml:space="preserve"> </w:t>
      </w:r>
      <w:r w:rsidRPr="00C6052E">
        <w:t>Skills,</w:t>
      </w:r>
      <w:r w:rsidR="00177848" w:rsidRPr="00C6052E">
        <w:t xml:space="preserve"> </w:t>
      </w:r>
      <w:r w:rsidRPr="00C6052E">
        <w:t>Industry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Regions</w:t>
      </w:r>
      <w:r w:rsidR="00177848" w:rsidRPr="00C6052E">
        <w:t xml:space="preserve"> </w:t>
      </w:r>
      <w:r w:rsidRPr="00C6052E">
        <w:t>(DJSIR)</w:t>
      </w:r>
      <w:r w:rsidR="00177848" w:rsidRPr="00C6052E">
        <w:t xml:space="preserve"> </w:t>
      </w:r>
      <w:r w:rsidRPr="00C6052E">
        <w:t>brought</w:t>
      </w:r>
      <w:r w:rsidR="00177848" w:rsidRPr="00C6052E">
        <w:t xml:space="preserve"> </w:t>
      </w:r>
      <w:r w:rsidRPr="00C6052E">
        <w:t>together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portfolios</w:t>
      </w:r>
      <w:r w:rsidR="00177848" w:rsidRPr="00C6052E">
        <w:t xml:space="preserve"> </w:t>
      </w:r>
      <w:r w:rsidRPr="00C6052E">
        <w:t>focused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building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prosperous</w:t>
      </w:r>
      <w:r w:rsidR="00177848" w:rsidRPr="00C6052E">
        <w:t xml:space="preserve"> </w:t>
      </w:r>
      <w:r w:rsidRPr="00C6052E">
        <w:t>future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our</w:t>
      </w:r>
      <w:r w:rsidR="00177848" w:rsidRPr="00C6052E">
        <w:t xml:space="preserve"> </w:t>
      </w:r>
      <w:r w:rsidRPr="00C6052E">
        <w:t>state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people,</w:t>
      </w:r>
      <w:r w:rsidR="00177848" w:rsidRPr="00C6052E">
        <w:t xml:space="preserve"> </w:t>
      </w:r>
      <w:r w:rsidRPr="00C6052E">
        <w:t>our</w:t>
      </w:r>
      <w:r w:rsidR="00177848" w:rsidRPr="00C6052E">
        <w:t xml:space="preserve"> </w:t>
      </w:r>
      <w:r w:rsidRPr="00C6052E">
        <w:t>businesses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industries,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our</w:t>
      </w:r>
      <w:r w:rsidR="00177848" w:rsidRPr="00C6052E">
        <w:t xml:space="preserve"> </w:t>
      </w:r>
      <w:r w:rsidRPr="00C6052E">
        <w:t>communities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regions.</w:t>
      </w:r>
    </w:p>
    <w:p w14:paraId="06CC3D37" w14:textId="2949E744" w:rsidR="00EE5BB8" w:rsidRPr="00C6052E" w:rsidRDefault="00EE5BB8" w:rsidP="00EE5BB8">
      <w:r w:rsidRPr="00C6052E">
        <w:t>As</w:t>
      </w:r>
      <w:r w:rsidR="00177848" w:rsidRPr="00C6052E">
        <w:t xml:space="preserve"> </w:t>
      </w:r>
      <w:proofErr w:type="gramStart"/>
      <w:r w:rsidRPr="00C6052E">
        <w:t>at</w:t>
      </w:r>
      <w:proofErr w:type="gramEnd"/>
      <w:r w:rsidR="00177848" w:rsidRPr="00C6052E">
        <w:t xml:space="preserve"> </w:t>
      </w:r>
      <w:r w:rsidRPr="00C6052E">
        <w:t>30</w:t>
      </w:r>
      <w:r w:rsidR="00177848" w:rsidRPr="00C6052E">
        <w:t xml:space="preserve"> </w:t>
      </w:r>
      <w:r w:rsidRPr="00C6052E">
        <w:t>June</w:t>
      </w:r>
      <w:r w:rsidR="00177848" w:rsidRPr="00C6052E">
        <w:t xml:space="preserve"> </w:t>
      </w:r>
      <w:r w:rsidRPr="00C6052E">
        <w:t>2025,</w:t>
      </w:r>
      <w:r w:rsidR="00177848" w:rsidRPr="00C6052E">
        <w:t xml:space="preserve"> </w:t>
      </w:r>
      <w:r w:rsidRPr="00C6052E">
        <w:t>our</w:t>
      </w:r>
      <w:r w:rsidR="00177848" w:rsidRPr="00C6052E">
        <w:t xml:space="preserve"> </w:t>
      </w:r>
      <w:r w:rsidRPr="00C6052E">
        <w:t>work</w:t>
      </w:r>
      <w:r w:rsidR="00177848" w:rsidRPr="00C6052E">
        <w:t xml:space="preserve"> </w:t>
      </w:r>
      <w:r w:rsidRPr="00C6052E">
        <w:t>supported</w:t>
      </w:r>
      <w:r w:rsidR="00177848" w:rsidRPr="00C6052E">
        <w:t xml:space="preserve"> </w:t>
      </w:r>
      <w:r w:rsidRPr="00C6052E">
        <w:t>7</w:t>
      </w:r>
      <w:r w:rsidR="00177848" w:rsidRPr="00C6052E">
        <w:t xml:space="preserve"> </w:t>
      </w:r>
      <w:r w:rsidRPr="00C6052E">
        <w:t>ministers</w:t>
      </w:r>
      <w:r w:rsidR="00177848" w:rsidRPr="00C6052E">
        <w:t xml:space="preserve"> </w:t>
      </w:r>
      <w:r w:rsidRPr="00C6052E">
        <w:t>spanning</w:t>
      </w:r>
      <w:r w:rsidR="00177848" w:rsidRPr="00C6052E">
        <w:t xml:space="preserve"> </w:t>
      </w:r>
      <w:r w:rsidRPr="00C6052E">
        <w:t>9</w:t>
      </w:r>
      <w:r w:rsidR="00177848" w:rsidRPr="00C6052E">
        <w:t xml:space="preserve"> </w:t>
      </w:r>
      <w:proofErr w:type="gramStart"/>
      <w:r w:rsidRPr="00C6052E">
        <w:t>portfolios;</w:t>
      </w:r>
      <w:proofErr w:type="gramEnd"/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operating</w:t>
      </w:r>
      <w:r w:rsidR="00177848" w:rsidRPr="00C6052E">
        <w:t xml:space="preserve"> </w:t>
      </w:r>
      <w:r w:rsidRPr="00C6052E">
        <w:t>across</w:t>
      </w:r>
      <w:r w:rsidR="00177848" w:rsidRPr="00C6052E">
        <w:t xml:space="preserve"> </w:t>
      </w:r>
      <w:r w:rsidRPr="00C6052E">
        <w:t>metropolitan</w:t>
      </w:r>
      <w:r w:rsidR="00177848" w:rsidRPr="00C6052E">
        <w:t xml:space="preserve"> </w:t>
      </w:r>
      <w:r w:rsidRPr="00C6052E">
        <w:t>Melbourne,</w:t>
      </w:r>
      <w:r w:rsidR="00177848" w:rsidRPr="00C6052E">
        <w:t xml:space="preserve"> </w:t>
      </w:r>
      <w:r w:rsidRPr="00C6052E">
        <w:t>regional</w:t>
      </w:r>
      <w:r w:rsidR="00177848" w:rsidRPr="00C6052E">
        <w:t xml:space="preserve"> </w:t>
      </w:r>
      <w:r w:rsidRPr="00C6052E">
        <w:t>Victoria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23</w:t>
      </w:r>
      <w:r w:rsidR="00177848" w:rsidRPr="00C6052E">
        <w:t xml:space="preserve"> </w:t>
      </w:r>
      <w:r w:rsidRPr="00C6052E">
        <w:t>international</w:t>
      </w:r>
      <w:r w:rsidR="00177848" w:rsidRPr="00C6052E">
        <w:t xml:space="preserve"> </w:t>
      </w:r>
      <w:r w:rsidRPr="00C6052E">
        <w:t>offices.</w:t>
      </w:r>
      <w:r w:rsidR="00177848" w:rsidRPr="00C6052E">
        <w:t xml:space="preserve"> </w:t>
      </w:r>
      <w:r w:rsidRPr="00C6052E">
        <w:t>We</w:t>
      </w:r>
      <w:r w:rsidR="00177848" w:rsidRPr="00C6052E">
        <w:t xml:space="preserve"> </w:t>
      </w:r>
      <w:r w:rsidRPr="00C6052E">
        <w:t>also</w:t>
      </w:r>
      <w:r w:rsidR="00177848" w:rsidRPr="00C6052E">
        <w:t xml:space="preserve"> </w:t>
      </w:r>
      <w:r w:rsidRPr="00C6052E">
        <w:t>oversee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significant</w:t>
      </w:r>
      <w:r w:rsidR="00177848" w:rsidRPr="00C6052E">
        <w:t xml:space="preserve"> </w:t>
      </w:r>
      <w:r w:rsidRPr="00C6052E">
        <w:t>number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public</w:t>
      </w:r>
      <w:r w:rsidR="00177848" w:rsidRPr="00C6052E">
        <w:t xml:space="preserve"> </w:t>
      </w:r>
      <w:r w:rsidRPr="00C6052E">
        <w:t>entities,</w:t>
      </w:r>
      <w:r w:rsidR="00177848" w:rsidRPr="00C6052E">
        <w:t xml:space="preserve"> </w:t>
      </w:r>
      <w:r w:rsidRPr="00C6052E">
        <w:t>including</w:t>
      </w:r>
      <w:r w:rsidR="00177848" w:rsidRPr="00C6052E">
        <w:t xml:space="preserve"> </w:t>
      </w:r>
      <w:r w:rsidRPr="00C6052E">
        <w:t>public</w:t>
      </w:r>
      <w:r w:rsidR="00177848" w:rsidRPr="00C6052E">
        <w:t xml:space="preserve"> </w:t>
      </w:r>
      <w:r w:rsidRPr="00C6052E">
        <w:t>corporations,</w:t>
      </w:r>
      <w:r w:rsidR="00177848" w:rsidRPr="00C6052E">
        <w:t xml:space="preserve"> </w:t>
      </w:r>
      <w:r w:rsidRPr="00C6052E">
        <w:t>regulatory</w:t>
      </w:r>
      <w:r w:rsidR="00177848" w:rsidRPr="00C6052E">
        <w:t xml:space="preserve"> </w:t>
      </w:r>
      <w:r w:rsidRPr="00C6052E">
        <w:t>authorities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specialist</w:t>
      </w:r>
      <w:r w:rsidR="00177848" w:rsidRPr="00C6052E">
        <w:t xml:space="preserve"> </w:t>
      </w:r>
      <w:r w:rsidRPr="00C6052E">
        <w:t>boards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work</w:t>
      </w:r>
      <w:r w:rsidR="00177848" w:rsidRPr="00C6052E">
        <w:t xml:space="preserve"> </w:t>
      </w:r>
      <w:r w:rsidRPr="00C6052E">
        <w:t>closely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many</w:t>
      </w:r>
      <w:r w:rsidR="00177848" w:rsidRPr="00C6052E">
        <w:t xml:space="preserve"> </w:t>
      </w:r>
      <w:r w:rsidRPr="00C6052E">
        <w:t>government,</w:t>
      </w:r>
      <w:r w:rsidR="00177848" w:rsidRPr="00C6052E">
        <w:t xml:space="preserve"> </w:t>
      </w:r>
      <w:r w:rsidRPr="00C6052E">
        <w:t>industry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community</w:t>
      </w:r>
      <w:r w:rsidR="00177848" w:rsidRPr="00C6052E">
        <w:t xml:space="preserve"> </w:t>
      </w:r>
      <w:r w:rsidRPr="00C6052E">
        <w:t>stakeholders.</w:t>
      </w:r>
    </w:p>
    <w:p w14:paraId="64551CBD" w14:textId="4C960B0C" w:rsidR="00EE5BB8" w:rsidRPr="00C6052E" w:rsidRDefault="00EE5BB8" w:rsidP="00EE5BB8">
      <w:r w:rsidRPr="00C6052E">
        <w:t>Our</w:t>
      </w:r>
      <w:r w:rsidR="00177848" w:rsidRPr="00C6052E">
        <w:t xml:space="preserve"> </w:t>
      </w:r>
      <w:r w:rsidRPr="00C6052E">
        <w:t>values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Accountability,</w:t>
      </w:r>
      <w:r w:rsidR="00177848" w:rsidRPr="00C6052E">
        <w:t xml:space="preserve"> </w:t>
      </w:r>
      <w:r w:rsidRPr="00C6052E">
        <w:t>Integrity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Respect</w:t>
      </w:r>
      <w:r w:rsidR="00177848" w:rsidRPr="00C6052E">
        <w:t xml:space="preserve"> </w:t>
      </w:r>
      <w:r w:rsidRPr="00C6052E">
        <w:t>underpin</w:t>
      </w:r>
      <w:r w:rsidR="00177848" w:rsidRPr="00C6052E">
        <w:t xml:space="preserve"> </w:t>
      </w:r>
      <w:r w:rsidRPr="00C6052E">
        <w:t>everything</w:t>
      </w:r>
      <w:r w:rsidR="00177848" w:rsidRPr="00C6052E">
        <w:t xml:space="preserve"> </w:t>
      </w:r>
      <w:r w:rsidRPr="00C6052E">
        <w:t>we</w:t>
      </w:r>
      <w:r w:rsidR="00177848" w:rsidRPr="00C6052E">
        <w:t xml:space="preserve"> </w:t>
      </w:r>
      <w:r w:rsidRPr="00C6052E">
        <w:t>do.</w:t>
      </w:r>
    </w:p>
    <w:p w14:paraId="303C783C" w14:textId="38AACAB1" w:rsidR="00EE5BB8" w:rsidRPr="00C6052E" w:rsidRDefault="00EE5BB8" w:rsidP="00EE5BB8">
      <w:pPr>
        <w:pStyle w:val="Heading3"/>
      </w:pPr>
      <w:r w:rsidRPr="00C6052E">
        <w:t>Our</w:t>
      </w:r>
      <w:r w:rsidR="00177848" w:rsidRPr="00C6052E">
        <w:t xml:space="preserve"> </w:t>
      </w:r>
      <w:r w:rsidRPr="00C6052E">
        <w:t>purpose</w:t>
      </w:r>
    </w:p>
    <w:p w14:paraId="1ADD5171" w14:textId="6BA41BA0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Jobs,</w:t>
      </w:r>
      <w:r w:rsidR="00177848" w:rsidRPr="00C6052E">
        <w:t xml:space="preserve"> </w:t>
      </w:r>
      <w:r w:rsidRPr="00C6052E">
        <w:t>Skills,</w:t>
      </w:r>
      <w:r w:rsidR="00177848" w:rsidRPr="00C6052E">
        <w:t xml:space="preserve"> </w:t>
      </w:r>
      <w:r w:rsidRPr="00C6052E">
        <w:t>Industry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Regions</w:t>
      </w:r>
      <w:r w:rsidR="00177848" w:rsidRPr="00C6052E">
        <w:t xml:space="preserve"> </w:t>
      </w:r>
      <w:r w:rsidRPr="00C6052E">
        <w:t>(DJSIR)</w:t>
      </w:r>
      <w:r w:rsidR="00177848" w:rsidRPr="00C6052E">
        <w:t xml:space="preserve"> </w:t>
      </w:r>
      <w:proofErr w:type="gramStart"/>
      <w:r w:rsidRPr="00C6052E">
        <w:t>is</w:t>
      </w:r>
      <w:proofErr w:type="gramEnd"/>
      <w:r w:rsidR="00177848" w:rsidRPr="00C6052E">
        <w:t xml:space="preserve"> </w:t>
      </w:r>
      <w:r w:rsidRPr="00C6052E">
        <w:t>focused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growing</w:t>
      </w:r>
      <w:r w:rsidR="00177848" w:rsidRPr="00C6052E">
        <w:t xml:space="preserve"> </w:t>
      </w:r>
      <w:r w:rsidRPr="00C6052E">
        <w:t>Victoria’s</w:t>
      </w:r>
      <w:r w:rsidR="00177848" w:rsidRPr="00C6052E">
        <w:t xml:space="preserve"> </w:t>
      </w:r>
      <w:r w:rsidRPr="00C6052E">
        <w:t>prosperity,</w:t>
      </w:r>
      <w:r w:rsidR="00177848" w:rsidRPr="00C6052E">
        <w:t xml:space="preserve"> </w:t>
      </w:r>
      <w:r w:rsidRPr="00C6052E">
        <w:t>building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productive</w:t>
      </w:r>
      <w:r w:rsidR="00177848" w:rsidRPr="00C6052E">
        <w:t xml:space="preserve"> </w:t>
      </w:r>
      <w:r w:rsidRPr="00C6052E">
        <w:t>capacity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our</w:t>
      </w:r>
      <w:r w:rsidR="00177848" w:rsidRPr="00C6052E">
        <w:t xml:space="preserve"> </w:t>
      </w:r>
      <w:r w:rsidRPr="00C6052E">
        <w:t>economy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increasing</w:t>
      </w:r>
      <w:r w:rsidR="00177848" w:rsidRPr="00C6052E">
        <w:t xml:space="preserve"> </w:t>
      </w:r>
      <w:r w:rsidRPr="00C6052E">
        <w:t>participation</w:t>
      </w:r>
      <w:r w:rsidR="00177848" w:rsidRPr="00C6052E">
        <w:t xml:space="preserve"> </w:t>
      </w:r>
      <w:r w:rsidRPr="00C6052E">
        <w:t>–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creating</w:t>
      </w:r>
      <w:r w:rsidR="00177848" w:rsidRPr="00C6052E">
        <w:t xml:space="preserve"> </w:t>
      </w:r>
      <w:r w:rsidRPr="00C6052E">
        <w:t>more</w:t>
      </w:r>
      <w:r w:rsidR="00177848" w:rsidRPr="00C6052E">
        <w:t xml:space="preserve"> </w:t>
      </w:r>
      <w:r w:rsidRPr="00C6052E">
        <w:t>opportunities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people</w:t>
      </w:r>
      <w:r w:rsidR="00177848" w:rsidRPr="00C6052E">
        <w:t xml:space="preserve"> </w:t>
      </w:r>
      <w:r w:rsidRPr="00C6052E">
        <w:t>through</w:t>
      </w:r>
      <w:r w:rsidR="00177848" w:rsidRPr="00C6052E">
        <w:t xml:space="preserve"> </w:t>
      </w:r>
      <w:r w:rsidRPr="00C6052E">
        <w:t>skills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jobs;</w:t>
      </w:r>
      <w:r w:rsidR="00177848" w:rsidRPr="00C6052E">
        <w:t xml:space="preserve"> </w:t>
      </w:r>
      <w:r w:rsidRPr="00C6052E">
        <w:t>helping</w:t>
      </w:r>
      <w:r w:rsidR="00177848" w:rsidRPr="00C6052E">
        <w:t xml:space="preserve"> </w:t>
      </w:r>
      <w:r w:rsidRPr="00C6052E">
        <w:t>businesses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industries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thrive;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building</w:t>
      </w:r>
      <w:r w:rsidR="00177848" w:rsidRPr="00C6052E">
        <w:t xml:space="preserve"> </w:t>
      </w:r>
      <w:r w:rsidRPr="00C6052E">
        <w:t>vibrant</w:t>
      </w:r>
      <w:r w:rsidR="00177848" w:rsidRPr="00C6052E">
        <w:t xml:space="preserve"> </w:t>
      </w:r>
      <w:r w:rsidRPr="00C6052E">
        <w:t>communities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regions.</w:t>
      </w:r>
    </w:p>
    <w:p w14:paraId="378A2601" w14:textId="2FF5B3C7" w:rsidR="00EE5BB8" w:rsidRPr="00C6052E" w:rsidRDefault="00EE5BB8" w:rsidP="0028635E">
      <w:pPr>
        <w:pStyle w:val="Normalbeforebullets"/>
      </w:pPr>
      <w:r w:rsidRPr="00C6052E">
        <w:t>For</w:t>
      </w:r>
      <w:r w:rsidR="00177848" w:rsidRPr="00C6052E">
        <w:t xml:space="preserve"> </w:t>
      </w:r>
      <w:r w:rsidRPr="00C6052E">
        <w:t>Victoria,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means:</w:t>
      </w:r>
    </w:p>
    <w:p w14:paraId="49E0D8EB" w14:textId="3B69C2A0" w:rsidR="00EE5BB8" w:rsidRPr="00C6052E" w:rsidRDefault="00EE5BB8" w:rsidP="00EE5BB8">
      <w:pPr>
        <w:pStyle w:val="Heading4"/>
      </w:pPr>
      <w:r w:rsidRPr="00C6052E">
        <w:t>Growing</w:t>
      </w:r>
      <w:r w:rsidR="00177848" w:rsidRPr="00C6052E">
        <w:t xml:space="preserve"> </w:t>
      </w:r>
      <w:r w:rsidRPr="00C6052E">
        <w:t>prosperity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creating</w:t>
      </w:r>
      <w:r w:rsidR="00177848" w:rsidRPr="00C6052E">
        <w:t xml:space="preserve"> </w:t>
      </w:r>
      <w:r w:rsidRPr="00C6052E">
        <w:t>more</w:t>
      </w:r>
      <w:r w:rsidR="00177848" w:rsidRPr="00C6052E">
        <w:t xml:space="preserve"> </w:t>
      </w:r>
      <w:r w:rsidRPr="00C6052E">
        <w:t>opportunities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people</w:t>
      </w:r>
      <w:r w:rsidR="00177848" w:rsidRPr="00C6052E">
        <w:t xml:space="preserve"> </w:t>
      </w:r>
      <w:r w:rsidRPr="00C6052E">
        <w:t>through</w:t>
      </w:r>
      <w:r w:rsidR="00177848" w:rsidRPr="00C6052E">
        <w:t xml:space="preserve"> </w:t>
      </w:r>
      <w:r w:rsidRPr="00C6052E">
        <w:t>skills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jobs</w:t>
      </w:r>
    </w:p>
    <w:p w14:paraId="51EE8011" w14:textId="6BF39532" w:rsidR="00EE5BB8" w:rsidRPr="00C6052E" w:rsidRDefault="00EE5BB8" w:rsidP="00EE5BB8">
      <w:r w:rsidRPr="00C6052E">
        <w:t>We’re</w:t>
      </w:r>
      <w:r w:rsidR="00177848" w:rsidRPr="00C6052E">
        <w:t xml:space="preserve"> </w:t>
      </w:r>
      <w:r w:rsidRPr="00C6052E">
        <w:t>helping</w:t>
      </w:r>
      <w:r w:rsidR="00177848" w:rsidRPr="00C6052E">
        <w:t xml:space="preserve"> </w:t>
      </w:r>
      <w:r w:rsidRPr="00C6052E">
        <w:t>people</w:t>
      </w:r>
      <w:r w:rsidR="00177848" w:rsidRPr="00C6052E">
        <w:t xml:space="preserve"> </w:t>
      </w:r>
      <w:r w:rsidRPr="00C6052E">
        <w:t>access</w:t>
      </w:r>
      <w:r w:rsidR="00177848" w:rsidRPr="00C6052E">
        <w:t xml:space="preserve"> </w:t>
      </w:r>
      <w:proofErr w:type="gramStart"/>
      <w:r w:rsidRPr="00C6052E">
        <w:t>training,</w:t>
      </w:r>
      <w:r w:rsidR="00177848" w:rsidRPr="00C6052E">
        <w:t xml:space="preserve"> </w:t>
      </w:r>
      <w:r w:rsidRPr="00C6052E">
        <w:t>and</w:t>
      </w:r>
      <w:proofErr w:type="gramEnd"/>
      <w:r w:rsidR="00177848" w:rsidRPr="00C6052E">
        <w:t xml:space="preserve"> </w:t>
      </w:r>
      <w:r w:rsidRPr="00C6052E">
        <w:t>get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support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skills</w:t>
      </w:r>
      <w:r w:rsidR="00177848" w:rsidRPr="00C6052E">
        <w:t xml:space="preserve"> </w:t>
      </w:r>
      <w:r w:rsidRPr="00C6052E">
        <w:t>they</w:t>
      </w:r>
      <w:r w:rsidR="00177848" w:rsidRPr="00C6052E">
        <w:t xml:space="preserve"> </w:t>
      </w:r>
      <w:r w:rsidRPr="00C6052E">
        <w:t>need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find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succeed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work.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Victoria’s</w:t>
      </w:r>
      <w:r w:rsidR="00177848" w:rsidRPr="00C6052E">
        <w:t xml:space="preserve"> </w:t>
      </w:r>
      <w:r w:rsidRPr="00C6052E">
        <w:t>demand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skilled</w:t>
      </w:r>
      <w:r w:rsidR="00177848" w:rsidRPr="00C6052E">
        <w:t xml:space="preserve"> </w:t>
      </w:r>
      <w:r w:rsidRPr="00C6052E">
        <w:t>workers</w:t>
      </w:r>
      <w:r w:rsidR="00177848" w:rsidRPr="00C6052E">
        <w:t xml:space="preserve"> </w:t>
      </w:r>
      <w:r w:rsidRPr="00C6052E">
        <w:t>increases,</w:t>
      </w:r>
      <w:r w:rsidR="00177848" w:rsidRPr="00C6052E">
        <w:t xml:space="preserve"> </w:t>
      </w:r>
      <w:r w:rsidRPr="00C6052E">
        <w:t>we’re</w:t>
      </w:r>
      <w:r w:rsidR="00177848" w:rsidRPr="00C6052E">
        <w:t xml:space="preserve"> </w:t>
      </w:r>
      <w:r w:rsidRPr="00C6052E">
        <w:t>bringing</w:t>
      </w:r>
      <w:r w:rsidR="00177848" w:rsidRPr="00C6052E">
        <w:t xml:space="preserve"> </w:t>
      </w:r>
      <w:r w:rsidRPr="00C6052E">
        <w:t>employers,</w:t>
      </w:r>
      <w:r w:rsidR="00177848" w:rsidRPr="00C6052E">
        <w:t xml:space="preserve"> </w:t>
      </w:r>
      <w:r w:rsidRPr="00C6052E">
        <w:t>Victoria’s</w:t>
      </w:r>
      <w:r w:rsidR="00177848" w:rsidRPr="00C6052E">
        <w:t xml:space="preserve"> </w:t>
      </w:r>
      <w:r w:rsidRPr="00C6052E">
        <w:t>TAFE</w:t>
      </w:r>
      <w:r w:rsidR="00177848" w:rsidRPr="00C6052E">
        <w:t xml:space="preserve"> </w:t>
      </w:r>
      <w:r w:rsidRPr="00C6052E">
        <w:t>Network,</w:t>
      </w:r>
      <w:r w:rsidR="00177848" w:rsidRPr="00C6052E">
        <w:t xml:space="preserve"> </w:t>
      </w:r>
      <w:r w:rsidRPr="00C6052E">
        <w:t>universities,</w:t>
      </w:r>
      <w:r w:rsidR="00177848" w:rsidRPr="00C6052E">
        <w:t xml:space="preserve"> </w:t>
      </w:r>
      <w:r w:rsidRPr="00C6052E">
        <w:t>other</w:t>
      </w:r>
      <w:r w:rsidR="00177848" w:rsidRPr="00C6052E">
        <w:t xml:space="preserve"> </w:t>
      </w:r>
      <w:r w:rsidRPr="00C6052E">
        <w:t>training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education</w:t>
      </w:r>
      <w:r w:rsidR="00177848" w:rsidRPr="00C6052E">
        <w:t xml:space="preserve"> </w:t>
      </w:r>
      <w:r w:rsidRPr="00C6052E">
        <w:t>providers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employment</w:t>
      </w:r>
      <w:r w:rsidR="00177848" w:rsidRPr="00C6052E">
        <w:t xml:space="preserve"> </w:t>
      </w:r>
      <w:r w:rsidRPr="00C6052E">
        <w:t>services</w:t>
      </w:r>
      <w:r w:rsidR="00177848" w:rsidRPr="00C6052E">
        <w:t xml:space="preserve"> </w:t>
      </w:r>
      <w:r w:rsidRPr="00C6052E">
        <w:t>together</w:t>
      </w:r>
      <w:r w:rsidR="00177848" w:rsidRPr="00C6052E">
        <w:t xml:space="preserve"> </w:t>
      </w:r>
      <w:r w:rsidRPr="00C6052E">
        <w:t>so</w:t>
      </w:r>
      <w:r w:rsidR="00177848" w:rsidRPr="00C6052E">
        <w:t xml:space="preserve"> </w:t>
      </w:r>
      <w:r w:rsidRPr="00C6052E">
        <w:t>businesses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industries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access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world</w:t>
      </w:r>
      <w:r w:rsidRPr="00C6052E">
        <w:noBreakHyphen/>
        <w:t>class</w:t>
      </w:r>
      <w:r w:rsidR="00177848" w:rsidRPr="00C6052E">
        <w:t xml:space="preserve"> </w:t>
      </w:r>
      <w:proofErr w:type="gramStart"/>
      <w:r w:rsidRPr="00C6052E">
        <w:t>workforce</w:t>
      </w:r>
      <w:proofErr w:type="gramEnd"/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more</w:t>
      </w:r>
      <w:r w:rsidR="00177848" w:rsidRPr="00C6052E">
        <w:t xml:space="preserve"> </w:t>
      </w:r>
      <w:r w:rsidRPr="00C6052E">
        <w:t>Victorians</w:t>
      </w:r>
      <w:r w:rsidR="00177848" w:rsidRPr="00C6052E">
        <w:t xml:space="preserve"> </w:t>
      </w:r>
      <w:r w:rsidRPr="00C6052E">
        <w:t>can</w:t>
      </w:r>
      <w:r w:rsidR="00177848" w:rsidRPr="00C6052E">
        <w:t xml:space="preserve"> </w:t>
      </w:r>
      <w:r w:rsidRPr="00C6052E">
        <w:t>achieve</w:t>
      </w:r>
      <w:r w:rsidR="00177848" w:rsidRPr="00C6052E">
        <w:t xml:space="preserve"> </w:t>
      </w:r>
      <w:r w:rsidRPr="00C6052E">
        <w:t>their</w:t>
      </w:r>
      <w:r w:rsidR="00177848" w:rsidRPr="00C6052E">
        <w:t xml:space="preserve"> </w:t>
      </w:r>
      <w:r w:rsidRPr="00C6052E">
        <w:t>education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career</w:t>
      </w:r>
      <w:r w:rsidR="00177848" w:rsidRPr="00C6052E">
        <w:t xml:space="preserve"> </w:t>
      </w:r>
      <w:r w:rsidRPr="00C6052E">
        <w:t>aspirations.</w:t>
      </w:r>
    </w:p>
    <w:p w14:paraId="45B3FE11" w14:textId="7B278CF5" w:rsidR="00EE5BB8" w:rsidRPr="00C6052E" w:rsidRDefault="00EE5BB8" w:rsidP="00EE5BB8">
      <w:pPr>
        <w:pStyle w:val="Heading4"/>
      </w:pPr>
      <w:r w:rsidRPr="00C6052E">
        <w:lastRenderedPageBreak/>
        <w:t>Building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productive</w:t>
      </w:r>
      <w:r w:rsidR="00177848" w:rsidRPr="00C6052E">
        <w:t xml:space="preserve"> </w:t>
      </w:r>
      <w:r w:rsidRPr="00C6052E">
        <w:t>capacity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our</w:t>
      </w:r>
      <w:r w:rsidR="00177848" w:rsidRPr="00C6052E">
        <w:t xml:space="preserve"> </w:t>
      </w:r>
      <w:r w:rsidRPr="00C6052E">
        <w:t>economy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help</w:t>
      </w:r>
      <w:r w:rsidR="00177848" w:rsidRPr="00C6052E">
        <w:t xml:space="preserve"> </w:t>
      </w:r>
      <w:r w:rsidRPr="00C6052E">
        <w:t>businesses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industries</w:t>
      </w:r>
      <w:r w:rsidR="00177848" w:rsidRPr="00C6052E">
        <w:t xml:space="preserve"> </w:t>
      </w:r>
      <w:r w:rsidRPr="00C6052E">
        <w:t>thrive</w:t>
      </w:r>
    </w:p>
    <w:p w14:paraId="2526AF9D" w14:textId="20098B48" w:rsidR="00EE5BB8" w:rsidRPr="00C6052E" w:rsidRDefault="00EE5BB8" w:rsidP="00EE5BB8">
      <w:r w:rsidRPr="00C6052E">
        <w:t>We’re</w:t>
      </w:r>
      <w:r w:rsidR="00177848" w:rsidRPr="00C6052E">
        <w:t xml:space="preserve"> </w:t>
      </w:r>
      <w:r w:rsidRPr="00C6052E">
        <w:t>helping</w:t>
      </w:r>
      <w:r w:rsidR="00177848" w:rsidRPr="00C6052E">
        <w:t xml:space="preserve"> </w:t>
      </w:r>
      <w:r w:rsidRPr="00C6052E">
        <w:t>businesses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industries</w:t>
      </w:r>
      <w:r w:rsidR="00177848" w:rsidRPr="00C6052E">
        <w:t xml:space="preserve"> </w:t>
      </w:r>
      <w:r w:rsidRPr="00C6052E">
        <w:t>grow,</w:t>
      </w:r>
      <w:r w:rsidR="00177848" w:rsidRPr="00C6052E">
        <w:t xml:space="preserve"> </w:t>
      </w:r>
      <w:r w:rsidRPr="00C6052E">
        <w:t>adapt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transition.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strengthening</w:t>
      </w:r>
      <w:r w:rsidR="00177848" w:rsidRPr="00C6052E">
        <w:t xml:space="preserve"> </w:t>
      </w:r>
      <w:r w:rsidRPr="00C6052E">
        <w:t>Victoria’s</w:t>
      </w:r>
      <w:r w:rsidR="00177848" w:rsidRPr="00C6052E">
        <w:t xml:space="preserve"> </w:t>
      </w:r>
      <w:r w:rsidRPr="00C6052E">
        <w:t>business</w:t>
      </w:r>
      <w:r w:rsidR="00177848" w:rsidRPr="00C6052E">
        <w:t xml:space="preserve"> </w:t>
      </w:r>
      <w:r w:rsidRPr="00C6052E">
        <w:t>environment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global</w:t>
      </w:r>
      <w:r w:rsidR="00177848" w:rsidRPr="00C6052E">
        <w:t xml:space="preserve"> </w:t>
      </w:r>
      <w:r w:rsidRPr="00C6052E">
        <w:t>connections,</w:t>
      </w:r>
      <w:r w:rsidR="00177848" w:rsidRPr="00C6052E">
        <w:t xml:space="preserve"> </w:t>
      </w:r>
      <w:r w:rsidRPr="00C6052E">
        <w:t>we’re</w:t>
      </w:r>
      <w:r w:rsidR="00177848" w:rsidRPr="00C6052E">
        <w:t xml:space="preserve"> </w:t>
      </w:r>
      <w:r w:rsidRPr="00C6052E">
        <w:t>attracting</w:t>
      </w:r>
      <w:r w:rsidR="00177848" w:rsidRPr="00C6052E">
        <w:t xml:space="preserve"> </w:t>
      </w:r>
      <w:r w:rsidRPr="00C6052E">
        <w:t>investment,</w:t>
      </w:r>
      <w:r w:rsidR="00177848" w:rsidRPr="00C6052E">
        <w:t xml:space="preserve"> </w:t>
      </w:r>
      <w:r w:rsidRPr="00C6052E">
        <w:t>helping</w:t>
      </w:r>
      <w:r w:rsidR="00177848" w:rsidRPr="00C6052E">
        <w:t xml:space="preserve"> </w:t>
      </w:r>
      <w:r w:rsidRPr="00C6052E">
        <w:t>build</w:t>
      </w:r>
      <w:r w:rsidR="00177848" w:rsidRPr="00C6052E">
        <w:t xml:space="preserve"> </w:t>
      </w:r>
      <w:r w:rsidRPr="00C6052E">
        <w:t>new</w:t>
      </w:r>
      <w:r w:rsidR="00177848" w:rsidRPr="00C6052E">
        <w:t xml:space="preserve"> </w:t>
      </w:r>
      <w:r w:rsidRPr="00C6052E">
        <w:t>industries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supporting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expansion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businesses</w:t>
      </w:r>
      <w:r w:rsidR="00177848" w:rsidRPr="00C6052E">
        <w:t xml:space="preserve"> </w:t>
      </w:r>
      <w:r w:rsidRPr="00C6052E">
        <w:t>into</w:t>
      </w:r>
      <w:r w:rsidR="00177848" w:rsidRPr="00C6052E">
        <w:t xml:space="preserve"> </w:t>
      </w:r>
      <w:r w:rsidRPr="00C6052E">
        <w:t>international</w:t>
      </w:r>
      <w:r w:rsidR="00177848" w:rsidRPr="00C6052E">
        <w:t xml:space="preserve"> </w:t>
      </w:r>
      <w:r w:rsidRPr="00C6052E">
        <w:t>markets.</w:t>
      </w:r>
      <w:r w:rsidR="00177848" w:rsidRPr="00C6052E">
        <w:t xml:space="preserve"> </w:t>
      </w:r>
      <w:r w:rsidRPr="00C6052E">
        <w:t>We’re</w:t>
      </w:r>
      <w:r w:rsidR="00177848" w:rsidRPr="00C6052E">
        <w:t xml:space="preserve"> </w:t>
      </w:r>
      <w:r w:rsidRPr="00C6052E">
        <w:t>fostering</w:t>
      </w:r>
      <w:r w:rsidR="00177848" w:rsidRPr="00C6052E">
        <w:t xml:space="preserve"> </w:t>
      </w:r>
      <w:r w:rsidRPr="00C6052E">
        <w:t>research,</w:t>
      </w:r>
      <w:r w:rsidR="00177848" w:rsidRPr="00C6052E">
        <w:t xml:space="preserve"> </w:t>
      </w:r>
      <w:r w:rsidRPr="00C6052E">
        <w:t>innovation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commercialisation,</w:t>
      </w:r>
      <w:r w:rsidR="00177848" w:rsidRPr="00C6052E">
        <w:t xml:space="preserve"> </w:t>
      </w:r>
      <w:r w:rsidRPr="00C6052E">
        <w:t>digital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economies,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advanced</w:t>
      </w:r>
      <w:r w:rsidR="00177848" w:rsidRPr="00C6052E">
        <w:t xml:space="preserve"> </w:t>
      </w:r>
      <w:r w:rsidRPr="00C6052E">
        <w:t>manufacturing.</w:t>
      </w:r>
      <w:r w:rsidR="00177848" w:rsidRPr="00C6052E">
        <w:t xml:space="preserve"> </w:t>
      </w:r>
      <w:r w:rsidRPr="00C6052E">
        <w:t>We’re</w:t>
      </w:r>
      <w:r w:rsidR="00177848" w:rsidRPr="00C6052E">
        <w:t xml:space="preserve"> </w:t>
      </w:r>
      <w:r w:rsidRPr="00C6052E">
        <w:t>also</w:t>
      </w:r>
      <w:r w:rsidR="00177848" w:rsidRPr="00C6052E">
        <w:t xml:space="preserve"> </w:t>
      </w:r>
      <w:r w:rsidRPr="00C6052E">
        <w:t>working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cement</w:t>
      </w:r>
      <w:r w:rsidR="00177848" w:rsidRPr="00C6052E">
        <w:t xml:space="preserve"> </w:t>
      </w:r>
      <w:r w:rsidRPr="00C6052E">
        <w:t>Victoria’s</w:t>
      </w:r>
      <w:r w:rsidR="00177848" w:rsidRPr="00C6052E">
        <w:t xml:space="preserve"> </w:t>
      </w:r>
      <w:r w:rsidRPr="00C6052E">
        <w:t>position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Australia’s</w:t>
      </w:r>
      <w:r w:rsidR="00177848" w:rsidRPr="00C6052E">
        <w:t xml:space="preserve"> </w:t>
      </w:r>
      <w:r w:rsidRPr="00C6052E">
        <w:t>leading</w:t>
      </w:r>
      <w:r w:rsidR="00177848" w:rsidRPr="00C6052E">
        <w:t xml:space="preserve"> </w:t>
      </w:r>
      <w:r w:rsidRPr="00C6052E">
        <w:t>tourism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major</w:t>
      </w:r>
      <w:r w:rsidR="00177848" w:rsidRPr="00C6052E">
        <w:t xml:space="preserve"> </w:t>
      </w:r>
      <w:r w:rsidRPr="00C6052E">
        <w:t>events</w:t>
      </w:r>
      <w:r w:rsidR="00177848" w:rsidRPr="00C6052E">
        <w:t xml:space="preserve"> </w:t>
      </w:r>
      <w:r w:rsidRPr="00C6052E">
        <w:t>destination.</w:t>
      </w:r>
    </w:p>
    <w:p w14:paraId="582BE0EB" w14:textId="5CA5A9A5" w:rsidR="00EE5BB8" w:rsidRPr="00C6052E" w:rsidRDefault="00EE5BB8" w:rsidP="00EE5BB8">
      <w:pPr>
        <w:pStyle w:val="Heading4"/>
      </w:pPr>
      <w:r w:rsidRPr="00C6052E">
        <w:t>Increasing</w:t>
      </w:r>
      <w:r w:rsidR="00177848" w:rsidRPr="00C6052E">
        <w:t xml:space="preserve"> </w:t>
      </w:r>
      <w:r w:rsidRPr="00C6052E">
        <w:t>participation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supporting</w:t>
      </w:r>
      <w:r w:rsidR="00177848" w:rsidRPr="00C6052E">
        <w:t xml:space="preserve"> </w:t>
      </w:r>
      <w:r w:rsidRPr="00C6052E">
        <w:t>vibrant</w:t>
      </w:r>
      <w:r w:rsidR="00177848" w:rsidRPr="00C6052E">
        <w:t xml:space="preserve"> </w:t>
      </w:r>
      <w:r w:rsidRPr="00C6052E">
        <w:t>communities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regions</w:t>
      </w:r>
    </w:p>
    <w:p w14:paraId="26606AC5" w14:textId="3124C462" w:rsidR="00EE5BB8" w:rsidRPr="00C6052E" w:rsidRDefault="00EE5BB8" w:rsidP="00EE5BB8">
      <w:r w:rsidRPr="00C6052E">
        <w:t>We’re</w:t>
      </w:r>
      <w:r w:rsidR="00177848" w:rsidRPr="00C6052E">
        <w:t xml:space="preserve"> </w:t>
      </w:r>
      <w:r w:rsidRPr="00C6052E">
        <w:t>creating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conditions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support</w:t>
      </w:r>
      <w:r w:rsidR="00177848" w:rsidRPr="00C6052E">
        <w:t xml:space="preserve"> </w:t>
      </w:r>
      <w:r w:rsidRPr="00C6052E">
        <w:t>vibrant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resilient</w:t>
      </w:r>
      <w:r w:rsidR="00177848" w:rsidRPr="00C6052E">
        <w:t xml:space="preserve"> </w:t>
      </w:r>
      <w:r w:rsidRPr="00C6052E">
        <w:t>regions,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encourage</w:t>
      </w:r>
      <w:r w:rsidR="00177848" w:rsidRPr="00C6052E">
        <w:t xml:space="preserve"> </w:t>
      </w:r>
      <w:r w:rsidRPr="00C6052E">
        <w:t>participation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economy,</w:t>
      </w:r>
      <w:r w:rsidR="00177848" w:rsidRPr="00C6052E">
        <w:t xml:space="preserve"> </w:t>
      </w:r>
      <w:r w:rsidRPr="00C6052E">
        <w:t>community,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industries,</w:t>
      </w:r>
      <w:r w:rsidR="00177848" w:rsidRPr="00C6052E">
        <w:t xml:space="preserve"> </w:t>
      </w:r>
      <w:r w:rsidRPr="00C6052E">
        <w:t>sport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recreation.</w:t>
      </w:r>
      <w:r w:rsidR="00177848" w:rsidRPr="00C6052E">
        <w:t xml:space="preserve"> </w:t>
      </w:r>
      <w:r w:rsidRPr="00C6052E">
        <w:t>Our</w:t>
      </w:r>
      <w:r w:rsidR="00177848" w:rsidRPr="00C6052E">
        <w:t xml:space="preserve"> </w:t>
      </w:r>
      <w:r w:rsidRPr="00C6052E">
        <w:t>tailored,</w:t>
      </w:r>
      <w:r w:rsidR="00177848" w:rsidRPr="00C6052E">
        <w:t xml:space="preserve"> </w:t>
      </w:r>
      <w:r w:rsidRPr="00C6052E">
        <w:t>place</w:t>
      </w:r>
      <w:r w:rsidRPr="00C6052E">
        <w:noBreakHyphen/>
        <w:t>based</w:t>
      </w:r>
      <w:r w:rsidR="00177848" w:rsidRPr="00C6052E">
        <w:t xml:space="preserve"> </w:t>
      </w:r>
      <w:r w:rsidRPr="00C6052E">
        <w:t>approaches</w:t>
      </w:r>
      <w:r w:rsidR="00177848" w:rsidRPr="00C6052E">
        <w:t xml:space="preserve"> </w:t>
      </w:r>
      <w:r w:rsidRPr="00C6052E">
        <w:t>enhance</w:t>
      </w:r>
      <w:r w:rsidR="00177848" w:rsidRPr="00C6052E">
        <w:t xml:space="preserve"> </w:t>
      </w:r>
      <w:r w:rsidRPr="00C6052E">
        <w:t>connectedness,</w:t>
      </w:r>
      <w:r w:rsidR="00177848" w:rsidRPr="00C6052E">
        <w:t xml:space="preserve"> </w:t>
      </w:r>
      <w:r w:rsidRPr="00C6052E">
        <w:t>boost</w:t>
      </w:r>
      <w:r w:rsidR="00177848" w:rsidRPr="00C6052E">
        <w:t xml:space="preserve"> </w:t>
      </w:r>
      <w:r w:rsidRPr="00C6052E">
        <w:t>liveability,</w:t>
      </w:r>
      <w:r w:rsidR="00177848" w:rsidRPr="00C6052E">
        <w:t xml:space="preserve"> </w:t>
      </w:r>
      <w:r w:rsidRPr="00C6052E">
        <w:t>leverage</w:t>
      </w:r>
      <w:r w:rsidR="00177848" w:rsidRPr="00C6052E">
        <w:t xml:space="preserve"> </w:t>
      </w:r>
      <w:r w:rsidRPr="00C6052E">
        <w:t>local</w:t>
      </w:r>
      <w:r w:rsidR="00177848" w:rsidRPr="00C6052E">
        <w:t xml:space="preserve"> </w:t>
      </w:r>
      <w:r w:rsidRPr="00C6052E">
        <w:t>economic</w:t>
      </w:r>
      <w:r w:rsidR="00177848" w:rsidRPr="00C6052E">
        <w:t xml:space="preserve"> </w:t>
      </w:r>
      <w:r w:rsidRPr="00C6052E">
        <w:t>strengths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opportunities,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improve</w:t>
      </w:r>
      <w:r w:rsidR="00177848" w:rsidRPr="00C6052E">
        <w:t xml:space="preserve"> </w:t>
      </w:r>
      <w:r w:rsidRPr="00C6052E">
        <w:t>access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community</w:t>
      </w:r>
      <w:r w:rsidR="00177848" w:rsidRPr="00C6052E">
        <w:t xml:space="preserve"> </w:t>
      </w:r>
      <w:r w:rsidRPr="00C6052E">
        <w:t>infrastructure.</w:t>
      </w:r>
      <w:r w:rsidR="00177848" w:rsidRPr="00C6052E">
        <w:t xml:space="preserve"> </w:t>
      </w:r>
      <w:r w:rsidRPr="00C6052E">
        <w:t>We’re</w:t>
      </w:r>
      <w:r w:rsidR="00177848" w:rsidRPr="00C6052E">
        <w:t xml:space="preserve"> </w:t>
      </w:r>
      <w:r w:rsidRPr="00C6052E">
        <w:t>working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support</w:t>
      </w:r>
      <w:r w:rsidR="00177848" w:rsidRPr="00C6052E">
        <w:t xml:space="preserve"> </w:t>
      </w:r>
      <w:r w:rsidRPr="00C6052E">
        <w:t>Aboriginal</w:t>
      </w:r>
      <w:r w:rsidR="00177848" w:rsidRPr="00C6052E">
        <w:t xml:space="preserve"> </w:t>
      </w:r>
      <w:r w:rsidRPr="00C6052E">
        <w:t>self</w:t>
      </w:r>
      <w:r w:rsidRPr="00C6052E">
        <w:noBreakHyphen/>
        <w:t>determination</w:t>
      </w:r>
      <w:r w:rsidR="00177848" w:rsidRPr="00C6052E">
        <w:t xml:space="preserve"> </w:t>
      </w:r>
      <w:r w:rsidRPr="00C6052E">
        <w:t>through</w:t>
      </w:r>
      <w:r w:rsidR="00177848" w:rsidRPr="00C6052E">
        <w:t xml:space="preserve"> </w:t>
      </w:r>
      <w:r w:rsidRPr="00C6052E">
        <w:t>employment,</w:t>
      </w:r>
      <w:r w:rsidR="00177848" w:rsidRPr="00C6052E">
        <w:t xml:space="preserve"> </w:t>
      </w:r>
      <w:r w:rsidRPr="00C6052E">
        <w:t>education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training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economic</w:t>
      </w:r>
      <w:r w:rsidR="00177848" w:rsidRPr="00C6052E">
        <w:t xml:space="preserve"> </w:t>
      </w:r>
      <w:r w:rsidRPr="00C6052E">
        <w:t>development.</w:t>
      </w:r>
      <w:r w:rsidR="00177848" w:rsidRPr="00C6052E">
        <w:t xml:space="preserve"> </w:t>
      </w:r>
      <w:r w:rsidRPr="00C6052E">
        <w:t>Our</w:t>
      </w:r>
      <w:r w:rsidR="00177848" w:rsidRPr="00C6052E">
        <w:t xml:space="preserve"> </w:t>
      </w:r>
      <w:r w:rsidRPr="00C6052E">
        <w:t>relationships</w:t>
      </w:r>
      <w:r w:rsidR="00177848" w:rsidRPr="00C6052E">
        <w:t xml:space="preserve"> </w:t>
      </w:r>
      <w:r w:rsidRPr="00C6052E">
        <w:t>across</w:t>
      </w:r>
      <w:r w:rsidR="00177848" w:rsidRPr="00C6052E">
        <w:t xml:space="preserve"> </w:t>
      </w:r>
      <w:r w:rsidRPr="00C6052E">
        <w:t>government,</w:t>
      </w:r>
      <w:r w:rsidR="00177848" w:rsidRPr="00C6052E">
        <w:t xml:space="preserve"> </w:t>
      </w:r>
      <w:r w:rsidRPr="00C6052E">
        <w:t>communities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businesses</w:t>
      </w:r>
      <w:r w:rsidR="00177848" w:rsidRPr="00C6052E">
        <w:t xml:space="preserve"> </w:t>
      </w:r>
      <w:r w:rsidRPr="00C6052E">
        <w:t>aspire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ensure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benefits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robust</w:t>
      </w:r>
      <w:r w:rsidR="00177848" w:rsidRPr="00C6052E">
        <w:t xml:space="preserve"> </w:t>
      </w:r>
      <w:r w:rsidRPr="00C6052E">
        <w:t>economy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available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Victorians</w:t>
      </w:r>
      <w:r w:rsidR="00177848" w:rsidRPr="00C6052E">
        <w:t xml:space="preserve"> </w:t>
      </w:r>
      <w:r w:rsidRPr="00C6052E">
        <w:t>–</w:t>
      </w:r>
      <w:r w:rsidR="00177848" w:rsidRPr="00C6052E">
        <w:t xml:space="preserve"> </w:t>
      </w:r>
      <w:r w:rsidRPr="00C6052E">
        <w:t>supporting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stronger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fairer</w:t>
      </w:r>
      <w:r w:rsidR="00177848" w:rsidRPr="00C6052E">
        <w:t xml:space="preserve"> </w:t>
      </w:r>
      <w:r w:rsidRPr="00C6052E">
        <w:t>society.</w:t>
      </w:r>
      <w:r w:rsidR="00177848" w:rsidRPr="00C6052E">
        <w:t xml:space="preserve"> </w:t>
      </w:r>
      <w:r w:rsidRPr="00C6052E">
        <w:t>We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committed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incorporating</w:t>
      </w:r>
      <w:r w:rsidR="00177848" w:rsidRPr="00C6052E">
        <w:t xml:space="preserve"> </w:t>
      </w:r>
      <w:r w:rsidRPr="00C6052E">
        <w:t>self</w:t>
      </w:r>
      <w:r w:rsidRPr="00C6052E">
        <w:noBreakHyphen/>
        <w:t>determination</w:t>
      </w:r>
      <w:r w:rsidR="00177848" w:rsidRPr="00C6052E">
        <w:t xml:space="preserve"> </w:t>
      </w:r>
      <w:r w:rsidRPr="00C6052E">
        <w:t>into</w:t>
      </w:r>
      <w:r w:rsidR="00177848" w:rsidRPr="00C6052E">
        <w:t xml:space="preserve"> </w:t>
      </w:r>
      <w:r w:rsidRPr="00C6052E">
        <w:t>how</w:t>
      </w:r>
      <w:r w:rsidR="00177848" w:rsidRPr="00C6052E">
        <w:t xml:space="preserve"> </w:t>
      </w:r>
      <w:r w:rsidRPr="00C6052E">
        <w:t>we</w:t>
      </w:r>
      <w:r w:rsidR="00177848" w:rsidRPr="00C6052E">
        <w:t xml:space="preserve"> </w:t>
      </w:r>
      <w:r w:rsidRPr="00C6052E">
        <w:t>work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department.</w:t>
      </w:r>
    </w:p>
    <w:p w14:paraId="5BECC169" w14:textId="5589E00E" w:rsidR="00EE5BB8" w:rsidRPr="00C6052E" w:rsidRDefault="00EE5BB8" w:rsidP="00EE5BB8">
      <w:pPr>
        <w:pStyle w:val="Heading2"/>
      </w:pPr>
      <w:bookmarkStart w:id="4" w:name="_Toc214375827"/>
      <w:r w:rsidRPr="00C6052E">
        <w:t>Changes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during</w:t>
      </w:r>
      <w:r w:rsidR="00177848" w:rsidRPr="00C6052E">
        <w:t xml:space="preserve"> </w:t>
      </w:r>
      <w:r w:rsidRPr="00C6052E">
        <w:t>2024–25</w:t>
      </w:r>
      <w:bookmarkEnd w:id="4"/>
    </w:p>
    <w:p w14:paraId="24C4BBAD" w14:textId="6C9962C7" w:rsidR="00EE5BB8" w:rsidRPr="00C6052E" w:rsidRDefault="00EE5BB8" w:rsidP="00EE5BB8">
      <w:pPr>
        <w:pStyle w:val="Heading3"/>
      </w:pPr>
      <w:r w:rsidRPr="00C6052E">
        <w:t>Portfolio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ministerial</w:t>
      </w:r>
      <w:r w:rsidR="00177848" w:rsidRPr="00C6052E">
        <w:t xml:space="preserve"> </w:t>
      </w:r>
      <w:r w:rsidRPr="00C6052E">
        <w:t>changes</w:t>
      </w:r>
    </w:p>
    <w:p w14:paraId="2A60B038" w14:textId="34B83446" w:rsidR="00EE5BB8" w:rsidRPr="00C6052E" w:rsidRDefault="00EE5BB8" w:rsidP="0028635E">
      <w:pPr>
        <w:pStyle w:val="Normalbeforebullets"/>
      </w:pPr>
      <w:r w:rsidRPr="00C6052E">
        <w:t>On</w:t>
      </w:r>
      <w:r w:rsidR="00177848" w:rsidRPr="00C6052E">
        <w:t xml:space="preserve"> </w:t>
      </w:r>
      <w:r w:rsidRPr="00C6052E">
        <w:t>19</w:t>
      </w:r>
      <w:r w:rsidR="00177848" w:rsidRPr="00C6052E">
        <w:t xml:space="preserve"> </w:t>
      </w:r>
      <w:r w:rsidRPr="00C6052E">
        <w:t>December</w:t>
      </w:r>
      <w:r w:rsidR="00177848" w:rsidRPr="00C6052E">
        <w:t xml:space="preserve"> </w:t>
      </w:r>
      <w:r w:rsidRPr="00C6052E">
        <w:t>2024,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Premier</w:t>
      </w:r>
      <w:r w:rsidR="00177848" w:rsidRPr="00C6052E">
        <w:t xml:space="preserve"> </w:t>
      </w:r>
      <w:r w:rsidRPr="00C6052E">
        <w:t>announced</w:t>
      </w:r>
      <w:r w:rsidR="00177848" w:rsidRPr="00C6052E">
        <w:t xml:space="preserve"> </w:t>
      </w:r>
      <w:r w:rsidRPr="00C6052E">
        <w:t>changes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Cabinet.</w:t>
      </w:r>
      <w:r w:rsidR="00177848" w:rsidRPr="00C6052E">
        <w:t xml:space="preserve"> </w:t>
      </w:r>
      <w:r w:rsidRPr="00C6052E">
        <w:t>There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resultant</w:t>
      </w:r>
      <w:r w:rsidR="00177848" w:rsidRPr="00C6052E">
        <w:t xml:space="preserve"> </w:t>
      </w:r>
      <w:r w:rsidRPr="00C6052E">
        <w:t>change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some</w:t>
      </w:r>
      <w:r w:rsidR="00177848" w:rsidRPr="00C6052E">
        <w:t xml:space="preserve"> </w:t>
      </w:r>
      <w:r w:rsidRPr="00C6052E">
        <w:t>portfolios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accountable</w:t>
      </w:r>
      <w:r w:rsidR="00177848" w:rsidRPr="00C6052E">
        <w:t xml:space="preserve"> </w:t>
      </w:r>
      <w:r w:rsidRPr="00C6052E">
        <w:t>ministers:</w:t>
      </w:r>
      <w:r w:rsidR="00177848" w:rsidRPr="00C6052E">
        <w:t xml:space="preserve"> </w:t>
      </w:r>
    </w:p>
    <w:p w14:paraId="5A551C0D" w14:textId="0B1C335B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Hon.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Danny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Pearson,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Minister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Growth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department’s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Coordinating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Minister.</w:t>
      </w:r>
    </w:p>
    <w:p w14:paraId="0E21F20C" w14:textId="0202D6BB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Ms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Jaclyn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Symes,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Minister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rFonts w:cs="Cambria"/>
          <w:lang w:val="en-AU"/>
        </w:rPr>
        <w:t xml:space="preserve"> </w:t>
      </w:r>
      <w:r w:rsidRPr="00C6052E">
        <w:rPr>
          <w:lang w:val="en-AU"/>
        </w:rPr>
        <w:t>Development.</w:t>
      </w:r>
    </w:p>
    <w:p w14:paraId="474F693C" w14:textId="5E7F8000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Hon.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Colin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Brooks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Minister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Advanced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Manufacturing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addition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Minister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Creative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Industries.</w:t>
      </w:r>
    </w:p>
    <w:p w14:paraId="4C850973" w14:textId="7069D94E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Hon.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Natalie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Suleyman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Minister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Small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Employment.</w:t>
      </w:r>
    </w:p>
    <w:p w14:paraId="26C854C6" w14:textId="28F157A3" w:rsidR="00EE5BB8" w:rsidRPr="00C6052E" w:rsidRDefault="00EE5BB8" w:rsidP="00EE5BB8">
      <w:r w:rsidRPr="00C6052E">
        <w:t>There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no</w:t>
      </w:r>
      <w:r w:rsidR="00177848" w:rsidRPr="00C6052E">
        <w:t xml:space="preserve"> </w:t>
      </w:r>
      <w:r w:rsidRPr="00C6052E">
        <w:t>changes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ministers</w:t>
      </w:r>
      <w:r w:rsidR="00177848" w:rsidRPr="00C6052E">
        <w:t xml:space="preserve"> </w:t>
      </w:r>
      <w:r w:rsidRPr="00C6052E">
        <w:t>serving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Skills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TAFE;</w:t>
      </w:r>
      <w:r w:rsidR="00177848" w:rsidRPr="00C6052E">
        <w:t xml:space="preserve"> </w:t>
      </w:r>
      <w:r w:rsidRPr="00C6052E">
        <w:t>Tourism,</w:t>
      </w:r>
      <w:r w:rsidR="00177848" w:rsidRPr="00C6052E">
        <w:t xml:space="preserve"> </w:t>
      </w:r>
      <w:r w:rsidRPr="00C6052E">
        <w:t>Sport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Major</w:t>
      </w:r>
      <w:r w:rsidR="00177848" w:rsidRPr="00C6052E">
        <w:t xml:space="preserve"> </w:t>
      </w:r>
      <w:r w:rsidRPr="00C6052E">
        <w:t>Events;</w:t>
      </w:r>
      <w:r w:rsidR="00177848" w:rsidRPr="00C6052E">
        <w:t xml:space="preserve"> </w:t>
      </w:r>
      <w:r w:rsidRPr="00C6052E">
        <w:t>Outdoor</w:t>
      </w:r>
      <w:r w:rsidR="00177848" w:rsidRPr="00C6052E">
        <w:t xml:space="preserve"> </w:t>
      </w:r>
      <w:r w:rsidRPr="00C6052E">
        <w:t>Recreation;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Community</w:t>
      </w:r>
      <w:r w:rsidR="00177848" w:rsidRPr="00C6052E">
        <w:t xml:space="preserve"> </w:t>
      </w:r>
      <w:r w:rsidRPr="00C6052E">
        <w:t>Sport</w:t>
      </w:r>
      <w:r w:rsidR="00177848" w:rsidRPr="00C6052E">
        <w:t xml:space="preserve"> </w:t>
      </w:r>
      <w:r w:rsidRPr="00C6052E">
        <w:t>portfolios.</w:t>
      </w:r>
    </w:p>
    <w:p w14:paraId="6E68FB28" w14:textId="085B591C" w:rsidR="00EE5BB8" w:rsidRPr="00C6052E" w:rsidRDefault="00EE5BB8" w:rsidP="00EE5BB8">
      <w:r w:rsidRPr="00C6052E">
        <w:t>As</w:t>
      </w:r>
      <w:r w:rsidR="00177848" w:rsidRPr="00C6052E">
        <w:t xml:space="preserve"> </w:t>
      </w:r>
      <w:r w:rsidRPr="00C6052E">
        <w:t>part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changes,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Medical</w:t>
      </w:r>
      <w:r w:rsidR="00177848" w:rsidRPr="00C6052E">
        <w:t xml:space="preserve"> </w:t>
      </w:r>
      <w:r w:rsidRPr="00C6052E">
        <w:t>Research</w:t>
      </w:r>
      <w:r w:rsidR="00177848" w:rsidRPr="00C6052E">
        <w:t xml:space="preserve"> </w:t>
      </w:r>
      <w:r w:rsidRPr="00C6052E">
        <w:t>portfolio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retired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incorporated</w:t>
      </w:r>
      <w:r w:rsidR="00177848" w:rsidRPr="00C6052E">
        <w:t xml:space="preserve"> </w:t>
      </w:r>
      <w:r w:rsidRPr="00C6052E">
        <w:t>into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Economic</w:t>
      </w:r>
      <w:r w:rsidR="00177848" w:rsidRPr="00C6052E">
        <w:t xml:space="preserve"> </w:t>
      </w:r>
      <w:r w:rsidRPr="00C6052E">
        <w:t>Growth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Jobs</w:t>
      </w:r>
      <w:r w:rsidR="00177848" w:rsidRPr="00C6052E">
        <w:t xml:space="preserve"> </w:t>
      </w:r>
      <w:r w:rsidRPr="00C6052E">
        <w:t>portfolio.</w:t>
      </w:r>
      <w:r w:rsidR="00177848" w:rsidRPr="00C6052E">
        <w:t xml:space="preserve"> </w:t>
      </w:r>
    </w:p>
    <w:p w14:paraId="4C781575" w14:textId="1376E5FE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4</w:t>
      </w:r>
      <w:r w:rsidR="00177848" w:rsidRPr="00C6052E">
        <w:t xml:space="preserve"> </w:t>
      </w:r>
      <w:r w:rsidRPr="00C6052E">
        <w:t>standalone</w:t>
      </w:r>
      <w:r w:rsidR="00177848" w:rsidRPr="00C6052E">
        <w:t xml:space="preserve"> </w:t>
      </w:r>
      <w:r w:rsidRPr="00C6052E">
        <w:t>Employment,</w:t>
      </w:r>
      <w:r w:rsidR="00177848" w:rsidRPr="00C6052E">
        <w:t xml:space="preserve"> </w:t>
      </w:r>
      <w:r w:rsidRPr="00C6052E">
        <w:t>Small</w:t>
      </w:r>
      <w:r w:rsidR="00177848" w:rsidRPr="00C6052E">
        <w:t xml:space="preserve"> </w:t>
      </w:r>
      <w:r w:rsidRPr="00C6052E">
        <w:t>Business,</w:t>
      </w:r>
      <w:r w:rsidR="00177848" w:rsidRPr="00C6052E">
        <w:t xml:space="preserve"> </w:t>
      </w:r>
      <w:r w:rsidRPr="00C6052E">
        <w:t>Jobs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Industry,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Economic</w:t>
      </w:r>
      <w:r w:rsidR="00177848" w:rsidRPr="00C6052E">
        <w:t xml:space="preserve"> </w:t>
      </w:r>
      <w:r w:rsidRPr="00C6052E">
        <w:t>Growth</w:t>
      </w:r>
      <w:r w:rsidR="00177848" w:rsidRPr="00C6052E">
        <w:t xml:space="preserve"> </w:t>
      </w:r>
      <w:r w:rsidRPr="00C6052E">
        <w:t>portfolios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retired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incorporated</w:t>
      </w:r>
      <w:r w:rsidR="00177848" w:rsidRPr="00C6052E">
        <w:t xml:space="preserve"> </w:t>
      </w:r>
      <w:r w:rsidRPr="00C6052E">
        <w:t>into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new</w:t>
      </w:r>
      <w:r w:rsidR="00177848" w:rsidRPr="00C6052E">
        <w:t xml:space="preserve"> </w:t>
      </w:r>
      <w:r w:rsidRPr="00C6052E">
        <w:t>portfolio</w:t>
      </w:r>
      <w:r w:rsidR="00177848" w:rsidRPr="00C6052E">
        <w:t xml:space="preserve"> </w:t>
      </w:r>
      <w:r w:rsidRPr="00C6052E">
        <w:t>structures.</w:t>
      </w:r>
    </w:p>
    <w:p w14:paraId="35DC00F2" w14:textId="4B61A578" w:rsidR="00EE5BB8" w:rsidRPr="00C6052E" w:rsidRDefault="00EE5BB8" w:rsidP="00EE5BB8">
      <w:pPr>
        <w:pStyle w:val="Heading3"/>
      </w:pPr>
      <w:r w:rsidRPr="00C6052E">
        <w:lastRenderedPageBreak/>
        <w:t>Change</w:t>
      </w:r>
      <w:r w:rsidR="00177848" w:rsidRPr="00C6052E">
        <w:t xml:space="preserve"> </w:t>
      </w:r>
      <w:r w:rsidRPr="00C6052E">
        <w:t>effective</w:t>
      </w:r>
      <w:r w:rsidR="00177848" w:rsidRPr="00C6052E">
        <w:t xml:space="preserve"> </w:t>
      </w:r>
      <w:r w:rsidRPr="00C6052E">
        <w:t>1</w:t>
      </w:r>
      <w:r w:rsidR="00177848" w:rsidRPr="00C6052E">
        <w:t xml:space="preserve"> </w:t>
      </w:r>
      <w:r w:rsidRPr="00C6052E">
        <w:t>March</w:t>
      </w:r>
      <w:r w:rsidR="00177848" w:rsidRPr="00C6052E">
        <w:t xml:space="preserve"> </w:t>
      </w:r>
      <w:r w:rsidRPr="00C6052E">
        <w:t>2025</w:t>
      </w:r>
    </w:p>
    <w:p w14:paraId="541D1CC7" w14:textId="2A2C01F2" w:rsidR="00EE5BB8" w:rsidRPr="00C6052E" w:rsidRDefault="00EE5BB8" w:rsidP="00EE5BB8">
      <w:r w:rsidRPr="00C6052E">
        <w:t>On</w:t>
      </w:r>
      <w:r w:rsidR="00177848" w:rsidRPr="00C6052E">
        <w:t xml:space="preserve"> </w:t>
      </w:r>
      <w:r w:rsidRPr="00C6052E">
        <w:t>18</w:t>
      </w:r>
      <w:r w:rsidR="00177848" w:rsidRPr="00C6052E">
        <w:t xml:space="preserve"> </w:t>
      </w:r>
      <w:r w:rsidRPr="00C6052E">
        <w:t>February</w:t>
      </w:r>
      <w:r w:rsidR="00177848" w:rsidRPr="00C6052E">
        <w:t xml:space="preserve"> </w:t>
      </w:r>
      <w:r w:rsidRPr="00C6052E">
        <w:t>2025,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Governor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Council</w:t>
      </w:r>
      <w:r w:rsidR="00177848" w:rsidRPr="00C6052E">
        <w:t xml:space="preserve"> </w:t>
      </w:r>
      <w:r w:rsidRPr="00C6052E">
        <w:t>issued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order</w:t>
      </w:r>
      <w:r w:rsidR="00177848" w:rsidRPr="00C6052E">
        <w:t xml:space="preserve"> </w:t>
      </w:r>
      <w:r w:rsidRPr="00C6052E">
        <w:t>under</w:t>
      </w:r>
      <w:r w:rsidR="00177848" w:rsidRPr="00C6052E">
        <w:t xml:space="preserve"> </w:t>
      </w:r>
      <w:r w:rsidRPr="00C6052E">
        <w:t>section</w:t>
      </w:r>
      <w:r w:rsidR="00177848" w:rsidRPr="00C6052E">
        <w:t xml:space="preserve"> </w:t>
      </w:r>
      <w:r w:rsidRPr="00C6052E">
        <w:t>11(b)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rPr>
          <w:i/>
          <w:iCs/>
        </w:rPr>
        <w:t>Public</w:t>
      </w:r>
      <w:r w:rsidR="00177848" w:rsidRPr="00C6052E">
        <w:rPr>
          <w:i/>
          <w:iCs/>
        </w:rPr>
        <w:t xml:space="preserve"> </w:t>
      </w:r>
      <w:r w:rsidRPr="00C6052E">
        <w:rPr>
          <w:i/>
          <w:iCs/>
        </w:rPr>
        <w:t>Administration</w:t>
      </w:r>
      <w:r w:rsidR="00177848" w:rsidRPr="00C6052E">
        <w:rPr>
          <w:i/>
          <w:iCs/>
        </w:rPr>
        <w:t xml:space="preserve"> </w:t>
      </w:r>
      <w:r w:rsidRPr="00C6052E">
        <w:rPr>
          <w:i/>
          <w:iCs/>
        </w:rPr>
        <w:t>Act</w:t>
      </w:r>
      <w:r w:rsidR="00177848" w:rsidRPr="00C6052E">
        <w:rPr>
          <w:i/>
          <w:iCs/>
        </w:rPr>
        <w:t xml:space="preserve"> </w:t>
      </w:r>
      <w:r w:rsidRPr="00C6052E">
        <w:rPr>
          <w:i/>
          <w:iCs/>
        </w:rPr>
        <w:t>2004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abolish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Latrobe</w:t>
      </w:r>
      <w:r w:rsidR="00177848" w:rsidRPr="00C6052E">
        <w:t xml:space="preserve"> </w:t>
      </w:r>
      <w:r w:rsidRPr="00C6052E">
        <w:t>Valley</w:t>
      </w:r>
      <w:r w:rsidR="00177848" w:rsidRPr="00C6052E">
        <w:t xml:space="preserve"> </w:t>
      </w:r>
      <w:r w:rsidRPr="00C6052E">
        <w:t>Authority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 w:rsidDel="007803B1">
        <w:t>Administrative</w:t>
      </w:r>
      <w:r w:rsidR="00177848" w:rsidRPr="00C6052E">
        <w:t xml:space="preserve"> </w:t>
      </w:r>
      <w:r w:rsidRPr="00C6052E">
        <w:t>Office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DJSIR,</w:t>
      </w:r>
      <w:r w:rsidR="00177848" w:rsidRPr="00C6052E">
        <w:t xml:space="preserve"> </w:t>
      </w:r>
      <w:r w:rsidRPr="00C6052E">
        <w:t>which</w:t>
      </w:r>
      <w:r w:rsidR="00177848" w:rsidRPr="00C6052E">
        <w:t xml:space="preserve"> </w:t>
      </w:r>
      <w:r w:rsidRPr="00C6052E">
        <w:t>came</w:t>
      </w:r>
      <w:r w:rsidR="00177848" w:rsidRPr="00C6052E">
        <w:t xml:space="preserve"> </w:t>
      </w:r>
      <w:r w:rsidRPr="00C6052E">
        <w:t>into</w:t>
      </w:r>
      <w:r w:rsidR="00177848" w:rsidRPr="00C6052E">
        <w:t xml:space="preserve"> </w:t>
      </w:r>
      <w:r w:rsidRPr="00C6052E">
        <w:t>effect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1</w:t>
      </w:r>
      <w:r w:rsidR="00177848" w:rsidRPr="00C6052E">
        <w:t xml:space="preserve"> </w:t>
      </w:r>
      <w:r w:rsidRPr="00C6052E">
        <w:t>March</w:t>
      </w:r>
      <w:r w:rsidR="00177848" w:rsidRPr="00C6052E">
        <w:t xml:space="preserve"> </w:t>
      </w:r>
      <w:r w:rsidRPr="00C6052E">
        <w:t>2025.</w:t>
      </w:r>
    </w:p>
    <w:p w14:paraId="7BE5E877" w14:textId="3B4C1CA0" w:rsidR="00EE5BB8" w:rsidRPr="00C6052E" w:rsidRDefault="00EE5BB8" w:rsidP="00EE5BB8">
      <w:pPr>
        <w:pStyle w:val="Heading2"/>
      </w:pPr>
      <w:bookmarkStart w:id="5" w:name="_Toc214375828"/>
      <w:r w:rsidRPr="00C6052E">
        <w:t>Direct</w:t>
      </w:r>
      <w:r w:rsidR="00177848" w:rsidRPr="00C6052E">
        <w:t xml:space="preserve"> </w:t>
      </w:r>
      <w:r w:rsidRPr="00C6052E">
        <w:t>costs</w:t>
      </w:r>
      <w:r w:rsidR="00177848" w:rsidRPr="00C6052E">
        <w:t xml:space="preserve"> </w:t>
      </w:r>
      <w:r w:rsidRPr="00C6052E">
        <w:t>attributable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machinery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changes</w:t>
      </w:r>
      <w:bookmarkEnd w:id="5"/>
    </w:p>
    <w:p w14:paraId="3E1405D5" w14:textId="0761221A" w:rsidR="00EE5BB8" w:rsidRPr="00C6052E" w:rsidRDefault="00EE5BB8" w:rsidP="00EE5BB8">
      <w:r w:rsidRPr="00C6052E">
        <w:t>In</w:t>
      </w:r>
      <w:r w:rsidR="00177848" w:rsidRPr="00C6052E">
        <w:t xml:space="preserve"> </w:t>
      </w:r>
      <w:r w:rsidRPr="00C6052E">
        <w:t>December</w:t>
      </w:r>
      <w:r w:rsidR="00177848" w:rsidRPr="00C6052E">
        <w:t xml:space="preserve"> </w:t>
      </w:r>
      <w:r w:rsidRPr="00C6052E">
        <w:t>2022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October</w:t>
      </w:r>
      <w:r w:rsidR="00177848" w:rsidRPr="00C6052E">
        <w:t xml:space="preserve"> </w:t>
      </w:r>
      <w:r w:rsidRPr="00C6052E">
        <w:t>2023,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issued</w:t>
      </w:r>
      <w:r w:rsidR="00177848" w:rsidRPr="00C6052E">
        <w:t xml:space="preserve"> </w:t>
      </w:r>
      <w:r w:rsidRPr="00C6052E">
        <w:t>administrative</w:t>
      </w:r>
      <w:r w:rsidR="00177848" w:rsidRPr="00C6052E">
        <w:t xml:space="preserve"> </w:t>
      </w:r>
      <w:r w:rsidRPr="00C6052E">
        <w:t>orders</w:t>
      </w:r>
      <w:r w:rsidR="00177848" w:rsidRPr="00C6052E">
        <w:t xml:space="preserve"> </w:t>
      </w:r>
      <w:r w:rsidRPr="00C6052E">
        <w:t>restructuring</w:t>
      </w:r>
      <w:r w:rsidR="00177848" w:rsidRPr="00C6052E">
        <w:t xml:space="preserve"> </w:t>
      </w:r>
      <w:r w:rsidRPr="00C6052E">
        <w:t>some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activities</w:t>
      </w:r>
      <w:r w:rsidR="00177848" w:rsidRPr="00C6052E">
        <w:t xml:space="preserve"> </w:t>
      </w:r>
      <w:r w:rsidRPr="00C6052E">
        <w:t>via</w:t>
      </w:r>
      <w:r w:rsidR="00177848" w:rsidRPr="00C6052E">
        <w:t xml:space="preserve"> </w:t>
      </w:r>
      <w:r w:rsidRPr="00C6052E">
        <w:t>machinery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(</w:t>
      </w:r>
      <w:proofErr w:type="spellStart"/>
      <w:r w:rsidRPr="00C6052E">
        <w:t>MoG</w:t>
      </w:r>
      <w:proofErr w:type="spellEnd"/>
      <w:r w:rsidRPr="00C6052E">
        <w:t>)</w:t>
      </w:r>
      <w:r w:rsidR="00177848" w:rsidRPr="00C6052E">
        <w:t xml:space="preserve"> </w:t>
      </w:r>
      <w:r w:rsidRPr="00C6052E">
        <w:t>changes.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result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proofErr w:type="spellStart"/>
      <w:r w:rsidRPr="00C6052E">
        <w:t>MoG</w:t>
      </w:r>
      <w:proofErr w:type="spellEnd"/>
      <w:r w:rsidR="00177848" w:rsidRPr="00C6052E">
        <w:t xml:space="preserve"> </w:t>
      </w:r>
      <w:r w:rsidRPr="00C6052E">
        <w:t>changes,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incurred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following</w:t>
      </w:r>
      <w:r w:rsidR="00177848" w:rsidRPr="00C6052E">
        <w:t xml:space="preserve"> </w:t>
      </w:r>
      <w:r w:rsidRPr="00C6052E">
        <w:t>additional</w:t>
      </w:r>
      <w:r w:rsidR="00177848" w:rsidRPr="00C6052E">
        <w:t xml:space="preserve"> </w:t>
      </w:r>
      <w:r w:rsidRPr="00C6052E">
        <w:t>direct</w:t>
      </w:r>
      <w:r w:rsidR="00177848" w:rsidRPr="00C6052E">
        <w:t xml:space="preserve"> </w:t>
      </w:r>
      <w:r w:rsidRPr="00C6052E">
        <w:t>costs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2024–25:</w:t>
      </w:r>
    </w:p>
    <w:tbl>
      <w:tblPr>
        <w:tblStyle w:val="TableGrid"/>
        <w:tblW w:w="9634" w:type="dxa"/>
        <w:tblLook w:val="06E0" w:firstRow="1" w:lastRow="1" w:firstColumn="1" w:lastColumn="0" w:noHBand="1" w:noVBand="1"/>
      </w:tblPr>
      <w:tblGrid>
        <w:gridCol w:w="5524"/>
        <w:gridCol w:w="1275"/>
        <w:gridCol w:w="2835"/>
      </w:tblGrid>
      <w:tr w:rsidR="00EE5BB8" w:rsidRPr="00C6052E" w14:paraId="0C0EFE17" w14:textId="77777777" w:rsidTr="0063097D">
        <w:tc>
          <w:tcPr>
            <w:tcW w:w="5524" w:type="dxa"/>
            <w:noWrap/>
            <w:hideMark/>
          </w:tcPr>
          <w:p w14:paraId="213085BC" w14:textId="6CD3B32C" w:rsidR="00EE5BB8" w:rsidRPr="00C6052E" w:rsidRDefault="00EE5BB8" w:rsidP="0063097D">
            <w:pPr>
              <w:pStyle w:val="TableColumnHeading"/>
              <w:rPr>
                <w:lang w:val="en-AU"/>
              </w:rPr>
            </w:pPr>
            <w:bookmarkStart w:id="6" w:name="TableColumnHeadings_1"/>
            <w:bookmarkEnd w:id="6"/>
            <w:r w:rsidRPr="00C6052E">
              <w:rPr>
                <w:lang w:val="en-AU"/>
              </w:rPr>
              <w:t>Department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of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Jobs,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Skills,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Industry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and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Regions</w:t>
            </w:r>
          </w:p>
        </w:tc>
        <w:tc>
          <w:tcPr>
            <w:tcW w:w="1275" w:type="dxa"/>
            <w:hideMark/>
          </w:tcPr>
          <w:p w14:paraId="5D875077" w14:textId="207320FD" w:rsidR="00EE5BB8" w:rsidRPr="00C6052E" w:rsidRDefault="00EE5BB8" w:rsidP="0063097D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Costs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incurred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($)</w:t>
            </w:r>
          </w:p>
        </w:tc>
        <w:tc>
          <w:tcPr>
            <w:tcW w:w="2835" w:type="dxa"/>
            <w:hideMark/>
          </w:tcPr>
          <w:p w14:paraId="2B26D6E6" w14:textId="71DFC835" w:rsidR="00EE5BB8" w:rsidRPr="00C6052E" w:rsidRDefault="00EE5BB8" w:rsidP="0063097D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Anticipated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future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costs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br/>
              <w:t>(1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July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2025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onwards)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($)</w:t>
            </w:r>
          </w:p>
        </w:tc>
      </w:tr>
      <w:tr w:rsidR="00EE5BB8" w:rsidRPr="00C6052E" w14:paraId="23CF2CEB" w14:textId="77777777" w:rsidTr="0063097D">
        <w:tc>
          <w:tcPr>
            <w:tcW w:w="5524" w:type="dxa"/>
            <w:noWrap/>
          </w:tcPr>
          <w:p w14:paraId="3636653D" w14:textId="3F1D30FF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IT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and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records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management</w:t>
            </w:r>
            <w:r w:rsidR="00177848" w:rsidRPr="00C6052E">
              <w:rPr>
                <w:lang w:val="en-AU"/>
              </w:rPr>
              <w:t xml:space="preserve"> </w:t>
            </w:r>
          </w:p>
        </w:tc>
        <w:tc>
          <w:tcPr>
            <w:tcW w:w="1275" w:type="dxa"/>
            <w:noWrap/>
          </w:tcPr>
          <w:p w14:paraId="5FD6A76E" w14:textId="77777777" w:rsidR="00EE5BB8" w:rsidRPr="00C6052E" w:rsidRDefault="00EE5BB8" w:rsidP="0063097D">
            <w:pPr>
              <w:pStyle w:val="TableCopy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1,130,117</w:t>
            </w:r>
          </w:p>
        </w:tc>
        <w:tc>
          <w:tcPr>
            <w:tcW w:w="2835" w:type="dxa"/>
            <w:noWrap/>
          </w:tcPr>
          <w:p w14:paraId="48E211BC" w14:textId="77777777" w:rsidR="00EE5BB8" w:rsidRPr="00C6052E" w:rsidRDefault="00EE5BB8" w:rsidP="0063097D">
            <w:pPr>
              <w:pStyle w:val="TableCopy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100,000</w:t>
            </w:r>
          </w:p>
        </w:tc>
      </w:tr>
      <w:tr w:rsidR="00EE5BB8" w:rsidRPr="00C6052E" w14:paraId="51CA4FA5" w14:textId="77777777" w:rsidTr="0063097D">
        <w:tc>
          <w:tcPr>
            <w:tcW w:w="5524" w:type="dxa"/>
            <w:noWrap/>
            <w:hideMark/>
          </w:tcPr>
          <w:p w14:paraId="5DFB021F" w14:textId="77777777" w:rsidR="00EE5BB8" w:rsidRPr="00C6052E" w:rsidRDefault="00EE5BB8" w:rsidP="00B53837">
            <w:pPr>
              <w:pStyle w:val="Tabletotal"/>
              <w:rPr>
                <w:lang w:val="en-AU"/>
              </w:rPr>
            </w:pPr>
            <w:r w:rsidRPr="00C6052E">
              <w:rPr>
                <w:lang w:val="en-AU"/>
              </w:rPr>
              <w:t>Total</w:t>
            </w:r>
          </w:p>
        </w:tc>
        <w:tc>
          <w:tcPr>
            <w:tcW w:w="1275" w:type="dxa"/>
            <w:noWrap/>
            <w:hideMark/>
          </w:tcPr>
          <w:p w14:paraId="018D356F" w14:textId="77777777" w:rsidR="00EE5BB8" w:rsidRPr="00C6052E" w:rsidRDefault="00EE5BB8" w:rsidP="00B53837">
            <w:pPr>
              <w:pStyle w:val="Tabletotal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1,130,117</w:t>
            </w:r>
          </w:p>
        </w:tc>
        <w:tc>
          <w:tcPr>
            <w:tcW w:w="2835" w:type="dxa"/>
            <w:noWrap/>
            <w:hideMark/>
          </w:tcPr>
          <w:p w14:paraId="21479275" w14:textId="77777777" w:rsidR="00EE5BB8" w:rsidRPr="00C6052E" w:rsidRDefault="00EE5BB8" w:rsidP="00B53837">
            <w:pPr>
              <w:pStyle w:val="Tabletotal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100,000</w:t>
            </w:r>
          </w:p>
        </w:tc>
      </w:tr>
    </w:tbl>
    <w:p w14:paraId="595E5AAC" w14:textId="77777777" w:rsidR="00EE5BB8" w:rsidRPr="00C6052E" w:rsidRDefault="00EE5BB8" w:rsidP="00EE5BB8"/>
    <w:p w14:paraId="13C96608" w14:textId="067BA0AB" w:rsidR="00EE5BB8" w:rsidRPr="00C6052E" w:rsidRDefault="00EE5BB8" w:rsidP="00EE5BB8">
      <w:r w:rsidRPr="00C6052E">
        <w:t>Anticipated</w:t>
      </w:r>
      <w:r w:rsidR="00177848" w:rsidRPr="00C6052E">
        <w:t xml:space="preserve"> </w:t>
      </w:r>
      <w:r w:rsidRPr="00C6052E">
        <w:t>future</w:t>
      </w:r>
      <w:r w:rsidR="00177848" w:rsidRPr="00C6052E">
        <w:t xml:space="preserve"> </w:t>
      </w:r>
      <w:r w:rsidRPr="00C6052E">
        <w:t>costs</w:t>
      </w:r>
      <w:r w:rsidR="00177848" w:rsidRPr="00C6052E">
        <w:t xml:space="preserve"> </w:t>
      </w:r>
      <w:r w:rsidRPr="00C6052E">
        <w:t>attributable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proofErr w:type="spellStart"/>
      <w:r w:rsidRPr="00C6052E">
        <w:t>MoG</w:t>
      </w:r>
      <w:proofErr w:type="spellEnd"/>
      <w:r w:rsidR="00177848" w:rsidRPr="00C6052E">
        <w:t xml:space="preserve"> </w:t>
      </w:r>
      <w:r w:rsidRPr="00C6052E">
        <w:t>changes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relate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Network,</w:t>
      </w:r>
      <w:r w:rsidR="00177848" w:rsidRPr="00C6052E">
        <w:t xml:space="preserve"> </w:t>
      </w:r>
      <w:r w:rsidRPr="00C6052E">
        <w:t>Infrastructure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Data</w:t>
      </w:r>
      <w:r w:rsidR="00177848" w:rsidRPr="00C6052E">
        <w:t xml:space="preserve"> </w:t>
      </w:r>
      <w:r w:rsidRPr="00C6052E">
        <w:t>systems</w:t>
      </w:r>
      <w:r w:rsidR="00177848" w:rsidRPr="00C6052E">
        <w:t xml:space="preserve"> </w:t>
      </w:r>
      <w:r w:rsidRPr="00C6052E">
        <w:t>migrations.</w:t>
      </w:r>
    </w:p>
    <w:p w14:paraId="305C09D0" w14:textId="3E1C96AC" w:rsidR="00EE5BB8" w:rsidRPr="00C6052E" w:rsidRDefault="00EE5BB8" w:rsidP="00EE5BB8">
      <w:r w:rsidRPr="00C6052E">
        <w:t>There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no</w:t>
      </w:r>
      <w:r w:rsidR="00177848" w:rsidRPr="00C6052E">
        <w:t xml:space="preserve"> </w:t>
      </w:r>
      <w:r w:rsidRPr="00C6052E">
        <w:t>direct</w:t>
      </w:r>
      <w:r w:rsidR="00177848" w:rsidRPr="00C6052E">
        <w:t xml:space="preserve"> </w:t>
      </w:r>
      <w:r w:rsidRPr="00C6052E">
        <w:t>costs</w:t>
      </w:r>
      <w:r w:rsidR="00177848" w:rsidRPr="00C6052E">
        <w:t xml:space="preserve"> </w:t>
      </w:r>
      <w:r w:rsidRPr="00C6052E">
        <w:t>attributable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proofErr w:type="spellStart"/>
      <w:r w:rsidRPr="00C6052E">
        <w:t>MoG</w:t>
      </w:r>
      <w:proofErr w:type="spellEnd"/>
      <w:r w:rsidR="00177848" w:rsidRPr="00C6052E">
        <w:t xml:space="preserve"> </w:t>
      </w:r>
      <w:r w:rsidRPr="00C6052E">
        <w:t>changes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been</w:t>
      </w:r>
      <w:r w:rsidR="00177848" w:rsidRPr="00C6052E">
        <w:t xml:space="preserve"> </w:t>
      </w:r>
      <w:r w:rsidRPr="00C6052E">
        <w:t>incurred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entities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consolidated</w:t>
      </w:r>
      <w:r w:rsidR="00177848" w:rsidRPr="00C6052E">
        <w:t xml:space="preserve"> </w:t>
      </w:r>
      <w:r w:rsidRPr="00C6052E">
        <w:t>into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annual</w:t>
      </w:r>
      <w:r w:rsidR="00177848" w:rsidRPr="00C6052E">
        <w:t xml:space="preserve"> </w:t>
      </w:r>
      <w:r w:rsidRPr="00C6052E">
        <w:t>report</w:t>
      </w:r>
      <w:r w:rsidR="00177848" w:rsidRPr="00C6052E">
        <w:t xml:space="preserve"> </w:t>
      </w:r>
      <w:r w:rsidRPr="00C6052E">
        <w:t>pursuant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section</w:t>
      </w:r>
      <w:r w:rsidR="00177848" w:rsidRPr="00C6052E">
        <w:t xml:space="preserve"> </w:t>
      </w:r>
      <w:r w:rsidRPr="00C6052E">
        <w:t>53(1)(b)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rPr>
          <w:i/>
          <w:iCs/>
        </w:rPr>
        <w:t>Financial</w:t>
      </w:r>
      <w:r w:rsidR="00177848" w:rsidRPr="00C6052E">
        <w:rPr>
          <w:i/>
          <w:iCs/>
        </w:rPr>
        <w:t xml:space="preserve"> </w:t>
      </w:r>
      <w:r w:rsidRPr="00C6052E">
        <w:rPr>
          <w:i/>
          <w:iCs/>
        </w:rPr>
        <w:t>Management</w:t>
      </w:r>
      <w:r w:rsidR="00177848" w:rsidRPr="00C6052E">
        <w:rPr>
          <w:i/>
          <w:iCs/>
        </w:rPr>
        <w:t xml:space="preserve"> </w:t>
      </w:r>
      <w:r w:rsidRPr="00C6052E">
        <w:rPr>
          <w:i/>
          <w:iCs/>
        </w:rPr>
        <w:t>Act</w:t>
      </w:r>
      <w:r w:rsidR="00177848" w:rsidRPr="00C6052E">
        <w:rPr>
          <w:i/>
          <w:iCs/>
        </w:rPr>
        <w:t xml:space="preserve"> </w:t>
      </w:r>
      <w:r w:rsidRPr="00C6052E">
        <w:rPr>
          <w:i/>
          <w:iCs/>
        </w:rPr>
        <w:t>1994</w:t>
      </w:r>
      <w:r w:rsidRPr="00C6052E">
        <w:t>.</w:t>
      </w:r>
    </w:p>
    <w:p w14:paraId="55F14049" w14:textId="7CFA28DB" w:rsidR="00EE5BB8" w:rsidRPr="00C6052E" w:rsidRDefault="00EE5BB8" w:rsidP="00EE5BB8">
      <w:pPr>
        <w:pStyle w:val="Heading2"/>
      </w:pPr>
      <w:bookmarkStart w:id="7" w:name="_Ref210205961"/>
      <w:bookmarkStart w:id="8" w:name="_Toc214375829"/>
      <w:r w:rsidRPr="00C6052E">
        <w:t>Subsequent</w:t>
      </w:r>
      <w:r w:rsidR="00177848" w:rsidRPr="00C6052E">
        <w:t xml:space="preserve"> </w:t>
      </w:r>
      <w:r w:rsidRPr="00C6052E">
        <w:t>events</w:t>
      </w:r>
      <w:bookmarkEnd w:id="7"/>
      <w:bookmarkEnd w:id="8"/>
    </w:p>
    <w:p w14:paraId="233C148D" w14:textId="18AF147D" w:rsidR="00EE5BB8" w:rsidRPr="00C6052E" w:rsidRDefault="00EE5BB8" w:rsidP="00EE5BB8">
      <w:r w:rsidRPr="00C6052E">
        <w:t>On</w:t>
      </w:r>
      <w:r w:rsidR="00177848" w:rsidRPr="00C6052E">
        <w:t xml:space="preserve"> </w:t>
      </w:r>
      <w:r w:rsidRPr="00C6052E">
        <w:t>31</w:t>
      </w:r>
      <w:r w:rsidR="00177848" w:rsidRPr="00C6052E">
        <w:t xml:space="preserve"> </w:t>
      </w:r>
      <w:r w:rsidRPr="00C6052E">
        <w:t>July</w:t>
      </w:r>
      <w:r w:rsidR="00177848" w:rsidRPr="00C6052E">
        <w:t xml:space="preserve"> </w:t>
      </w:r>
      <w:r w:rsidRPr="00C6052E">
        <w:t>2025,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implemented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realigned</w:t>
      </w:r>
      <w:r w:rsidR="00177848" w:rsidRPr="00C6052E">
        <w:t xml:space="preserve"> </w:t>
      </w:r>
      <w:r w:rsidRPr="00C6052E">
        <w:t>organisational</w:t>
      </w:r>
      <w:r w:rsidR="00177848" w:rsidRPr="00C6052E">
        <w:t xml:space="preserve"> </w:t>
      </w:r>
      <w:r w:rsidRPr="00C6052E">
        <w:t>structure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commenced</w:t>
      </w:r>
      <w:r w:rsidR="00177848" w:rsidRPr="00C6052E">
        <w:t xml:space="preserve"> </w:t>
      </w:r>
      <w:r w:rsidRPr="00C6052E">
        <w:t>consultation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proposed</w:t>
      </w:r>
      <w:r w:rsidR="00177848" w:rsidRPr="00C6052E">
        <w:t xml:space="preserve"> </w:t>
      </w:r>
      <w:r w:rsidRPr="00C6052E">
        <w:t>changes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deliver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government’s</w:t>
      </w:r>
      <w:r w:rsidR="00177848" w:rsidRPr="00C6052E">
        <w:t xml:space="preserve"> </w:t>
      </w:r>
      <w:r w:rsidRPr="00C6052E">
        <w:t>agenda</w:t>
      </w:r>
      <w:r w:rsidR="00177848" w:rsidRPr="00C6052E">
        <w:t xml:space="preserve"> </w:t>
      </w:r>
      <w:r w:rsidRPr="00C6052E">
        <w:t>effectively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efficiently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line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budget</w:t>
      </w:r>
      <w:r w:rsidR="00177848" w:rsidRPr="00C6052E">
        <w:t xml:space="preserve"> </w:t>
      </w:r>
      <w:r w:rsidRPr="00C6052E">
        <w:t>decisions.</w:t>
      </w:r>
      <w:r w:rsidR="00177848" w:rsidRPr="00C6052E">
        <w:t xml:space="preserve"> </w:t>
      </w:r>
    </w:p>
    <w:p w14:paraId="52ED2B81" w14:textId="77777777" w:rsidR="00EE5BB8" w:rsidRPr="00C6052E" w:rsidRDefault="00EE5BB8" w:rsidP="00EE5BB8">
      <w:pPr>
        <w:sectPr w:rsidR="00EE5BB8" w:rsidRPr="00C6052E" w:rsidSect="00EE5BB8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134" w:right="1134" w:bottom="1134" w:left="1134" w:header="567" w:footer="567" w:gutter="0"/>
          <w:cols w:space="340"/>
          <w:docGrid w:linePitch="360"/>
        </w:sectPr>
      </w:pPr>
    </w:p>
    <w:p w14:paraId="6FAADC3C" w14:textId="081F6D1D" w:rsidR="00EE5BB8" w:rsidRPr="00C6052E" w:rsidRDefault="00EE5BB8" w:rsidP="00EE5BB8">
      <w:pPr>
        <w:pStyle w:val="Heading4"/>
      </w:pPr>
      <w:bookmarkStart w:id="9" w:name="_Ref210205589"/>
      <w:r w:rsidRPr="00C6052E">
        <w:lastRenderedPageBreak/>
        <w:t>DEPARTMENT</w:t>
      </w:r>
      <w:r w:rsidR="00177848" w:rsidRPr="00C6052E">
        <w:rPr>
          <w:spacing w:val="12"/>
        </w:rPr>
        <w:t xml:space="preserve"> </w:t>
      </w:r>
      <w:r w:rsidRPr="00C6052E">
        <w:t>OF</w:t>
      </w:r>
      <w:r w:rsidR="00177848" w:rsidRPr="00C6052E">
        <w:rPr>
          <w:spacing w:val="12"/>
        </w:rPr>
        <w:t xml:space="preserve"> </w:t>
      </w:r>
      <w:r w:rsidRPr="00C6052E">
        <w:t>JOBS,</w:t>
      </w:r>
      <w:r w:rsidR="00177848" w:rsidRPr="00C6052E">
        <w:rPr>
          <w:spacing w:val="11"/>
        </w:rPr>
        <w:t xml:space="preserve"> </w:t>
      </w:r>
      <w:r w:rsidRPr="00C6052E">
        <w:t>SKILLS,</w:t>
      </w:r>
      <w:r w:rsidR="00177848" w:rsidRPr="00C6052E">
        <w:rPr>
          <w:spacing w:val="11"/>
        </w:rPr>
        <w:t xml:space="preserve"> </w:t>
      </w:r>
      <w:r w:rsidRPr="00C6052E">
        <w:t>INDUSTRY</w:t>
      </w:r>
      <w:r w:rsidR="00177848" w:rsidRPr="00C6052E">
        <w:rPr>
          <w:spacing w:val="12"/>
        </w:rPr>
        <w:t xml:space="preserve"> </w:t>
      </w:r>
      <w:r w:rsidRPr="00C6052E">
        <w:t>AND</w:t>
      </w:r>
      <w:r w:rsidR="00177848" w:rsidRPr="00C6052E">
        <w:rPr>
          <w:spacing w:val="13"/>
        </w:rPr>
        <w:t xml:space="preserve"> </w:t>
      </w:r>
      <w:r w:rsidRPr="00C6052E">
        <w:t>REGIONS</w:t>
      </w:r>
      <w:r w:rsidR="00177848" w:rsidRPr="00C6052E">
        <w:rPr>
          <w:spacing w:val="11"/>
        </w:rPr>
        <w:t xml:space="preserve"> </w:t>
      </w:r>
      <w:r w:rsidRPr="00C6052E">
        <w:t>–</w:t>
      </w:r>
      <w:r w:rsidR="00177848" w:rsidRPr="00C6052E">
        <w:rPr>
          <w:spacing w:val="11"/>
        </w:rPr>
        <w:t xml:space="preserve"> </w:t>
      </w:r>
      <w:r w:rsidRPr="00C6052E">
        <w:t>ORGANISATIONAL</w:t>
      </w:r>
      <w:r w:rsidR="00177848" w:rsidRPr="00C6052E">
        <w:rPr>
          <w:spacing w:val="12"/>
        </w:rPr>
        <w:t xml:space="preserve"> </w:t>
      </w:r>
      <w:r w:rsidRPr="00C6052E">
        <w:rPr>
          <w:spacing w:val="-2"/>
        </w:rPr>
        <w:t>CHART</w:t>
      </w:r>
      <w:bookmarkEnd w:id="9"/>
    </w:p>
    <w:p w14:paraId="08CFEAFA" w14:textId="609A0308" w:rsidR="00EE5BB8" w:rsidRPr="00C6052E" w:rsidRDefault="00EE5BB8" w:rsidP="00EE5BB8">
      <w:pPr>
        <w:spacing w:before="43" w:line="240" w:lineRule="auto"/>
        <w:ind w:left="28"/>
        <w:rPr>
          <w:rFonts w:ascii="VIC Light"/>
          <w:sz w:val="12"/>
          <w:szCs w:val="12"/>
        </w:rPr>
      </w:pPr>
      <w:r w:rsidRPr="00C6052E">
        <w:rPr>
          <w:rFonts w:ascii="VIC Light"/>
          <w:color w:val="333740"/>
          <w:sz w:val="12"/>
          <w:szCs w:val="12"/>
        </w:rPr>
        <w:t>AS</w:t>
      </w:r>
      <w:r w:rsidR="00177848" w:rsidRPr="00C6052E">
        <w:rPr>
          <w:rFonts w:ascii="VIC Light"/>
          <w:color w:val="333740"/>
          <w:spacing w:val="-6"/>
          <w:sz w:val="12"/>
          <w:szCs w:val="12"/>
        </w:rPr>
        <w:t xml:space="preserve"> </w:t>
      </w:r>
      <w:r w:rsidRPr="00C6052E">
        <w:rPr>
          <w:rFonts w:ascii="VIC Light"/>
          <w:color w:val="333740"/>
          <w:sz w:val="12"/>
          <w:szCs w:val="12"/>
        </w:rPr>
        <w:t>AT</w:t>
      </w:r>
      <w:r w:rsidR="00177848" w:rsidRPr="00C6052E">
        <w:rPr>
          <w:rFonts w:ascii="VIC Light"/>
          <w:color w:val="333740"/>
          <w:spacing w:val="-7"/>
          <w:sz w:val="12"/>
          <w:szCs w:val="12"/>
        </w:rPr>
        <w:t xml:space="preserve"> </w:t>
      </w:r>
      <w:r w:rsidRPr="00C6052E">
        <w:rPr>
          <w:rFonts w:ascii="VIC Light"/>
          <w:color w:val="333740"/>
          <w:sz w:val="12"/>
          <w:szCs w:val="12"/>
        </w:rPr>
        <w:t>30</w:t>
      </w:r>
      <w:r w:rsidR="00177848" w:rsidRPr="00C6052E">
        <w:rPr>
          <w:rFonts w:ascii="VIC Light"/>
          <w:color w:val="333740"/>
          <w:sz w:val="12"/>
          <w:szCs w:val="12"/>
        </w:rPr>
        <w:t xml:space="preserve"> </w:t>
      </w:r>
      <w:r w:rsidRPr="00C6052E">
        <w:rPr>
          <w:rFonts w:ascii="VIC Light"/>
          <w:color w:val="333740"/>
          <w:sz w:val="12"/>
          <w:szCs w:val="12"/>
        </w:rPr>
        <w:t>JUNE</w:t>
      </w:r>
      <w:r w:rsidR="00177848" w:rsidRPr="00C6052E">
        <w:rPr>
          <w:rFonts w:ascii="VIC Light"/>
          <w:color w:val="333740"/>
          <w:spacing w:val="-6"/>
          <w:sz w:val="12"/>
          <w:szCs w:val="12"/>
        </w:rPr>
        <w:t xml:space="preserve"> </w:t>
      </w:r>
      <w:r w:rsidRPr="00C6052E">
        <w:rPr>
          <w:rFonts w:ascii="VIC Light"/>
          <w:color w:val="333740"/>
          <w:spacing w:val="-4"/>
          <w:sz w:val="12"/>
          <w:szCs w:val="12"/>
        </w:rPr>
        <w:t>2025</w:t>
      </w:r>
    </w:p>
    <w:p w14:paraId="569AA722" w14:textId="1A3FF43E" w:rsidR="00242AA9" w:rsidRDefault="002A2311" w:rsidP="00EE5BB8">
      <w:r>
        <w:rPr>
          <w:noProof/>
          <w14:ligatures w14:val="standardContextual"/>
        </w:rPr>
        <w:drawing>
          <wp:inline distT="0" distB="0" distL="0" distR="0" wp14:anchorId="2289A7FF" wp14:editId="2C061B2B">
            <wp:extent cx="8920755" cy="5587669"/>
            <wp:effectExtent l="0" t="0" r="0" b="0"/>
            <wp:docPr id="2078107755" name="Picture 31" descr="DJSIR Organisation Chart as at 30 June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107755" name="Picture 31" descr="DJSIR Organisation Chart as at 30 June 2025.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6" t="4588" r="10444" b="18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9513" cy="5618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57F1D6" w14:textId="77777777" w:rsidR="00242AA9" w:rsidRPr="00C6052E" w:rsidRDefault="00242AA9" w:rsidP="00EE5BB8">
      <w:pPr>
        <w:sectPr w:rsidR="00242AA9" w:rsidRPr="00C6052E" w:rsidSect="00177848">
          <w:pgSz w:w="16840" w:h="11907" w:code="9"/>
          <w:pgMar w:top="1134" w:right="1134" w:bottom="1134" w:left="1134" w:header="567" w:footer="567" w:gutter="0"/>
          <w:cols w:space="340"/>
          <w:docGrid w:linePitch="360"/>
        </w:sectPr>
      </w:pPr>
    </w:p>
    <w:p w14:paraId="62E57954" w14:textId="77777777" w:rsidR="00EE5BB8" w:rsidRPr="00C6052E" w:rsidRDefault="00EE5BB8" w:rsidP="00EE5BB8">
      <w:pPr>
        <w:pStyle w:val="Heading2"/>
      </w:pPr>
      <w:bookmarkStart w:id="10" w:name="_Toc214375830"/>
      <w:r w:rsidRPr="00C6052E">
        <w:lastRenderedPageBreak/>
        <w:t>Ministers</w:t>
      </w:r>
      <w:bookmarkEnd w:id="10"/>
    </w:p>
    <w:p w14:paraId="186C7C83" w14:textId="41760545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supported</w:t>
      </w:r>
      <w:r w:rsidR="00177848" w:rsidRPr="00C6052E">
        <w:t xml:space="preserve"> </w:t>
      </w:r>
      <w:r w:rsidRPr="00C6052E">
        <w:t>7</w:t>
      </w:r>
      <w:r w:rsidR="00177848" w:rsidRPr="00C6052E">
        <w:t xml:space="preserve"> </w:t>
      </w:r>
      <w:r w:rsidRPr="00C6052E">
        <w:t>ministers</w:t>
      </w:r>
      <w:r w:rsidR="00177848" w:rsidRPr="00C6052E">
        <w:t xml:space="preserve"> </w:t>
      </w:r>
      <w:r w:rsidRPr="00C6052E">
        <w:t>across</w:t>
      </w:r>
      <w:r w:rsidR="00177848" w:rsidRPr="00C6052E">
        <w:t xml:space="preserve"> </w:t>
      </w:r>
      <w:r w:rsidRPr="00C6052E">
        <w:t>9</w:t>
      </w:r>
      <w:r w:rsidR="00177848" w:rsidRPr="00C6052E">
        <w:t xml:space="preserve"> </w:t>
      </w:r>
      <w:r w:rsidRPr="00C6052E">
        <w:t>portfolios.</w:t>
      </w:r>
      <w:r w:rsidR="00177848" w:rsidRPr="00C6052E">
        <w:t xml:space="preserve"> </w:t>
      </w:r>
    </w:p>
    <w:p w14:paraId="14F15DC6" w14:textId="62DBE8C7" w:rsidR="00EE5BB8" w:rsidRPr="00C6052E" w:rsidRDefault="00EE5BB8" w:rsidP="0028635E">
      <w:pPr>
        <w:pStyle w:val="Normalbeforebullets"/>
      </w:pPr>
      <w:r w:rsidRPr="00C6052E">
        <w:t>As</w:t>
      </w:r>
      <w:r w:rsidR="00177848" w:rsidRPr="00C6052E">
        <w:t xml:space="preserve"> </w:t>
      </w:r>
      <w:proofErr w:type="gramStart"/>
      <w:r w:rsidRPr="00C6052E">
        <w:t>at</w:t>
      </w:r>
      <w:proofErr w:type="gramEnd"/>
      <w:r w:rsidR="00177848" w:rsidRPr="00C6052E">
        <w:t xml:space="preserve"> </w:t>
      </w:r>
      <w:r w:rsidRPr="00C6052E">
        <w:t>30</w:t>
      </w:r>
      <w:r w:rsidR="00177848" w:rsidRPr="00C6052E">
        <w:t xml:space="preserve"> </w:t>
      </w:r>
      <w:r w:rsidRPr="00C6052E">
        <w:t>June</w:t>
      </w:r>
      <w:r w:rsidR="00177848" w:rsidRPr="00C6052E">
        <w:t xml:space="preserve"> </w:t>
      </w:r>
      <w:r w:rsidRPr="00C6052E">
        <w:t>2025,</w:t>
      </w:r>
      <w:r w:rsidR="00177848" w:rsidRPr="00C6052E">
        <w:t xml:space="preserve"> </w:t>
      </w:r>
      <w:r w:rsidRPr="00C6052E">
        <w:t>they</w:t>
      </w:r>
      <w:r w:rsidR="00177848" w:rsidRPr="00C6052E">
        <w:t xml:space="preserve"> </w:t>
      </w:r>
      <w:r w:rsidRPr="00C6052E">
        <w:t>were:</w:t>
      </w:r>
      <w:r w:rsidR="00177848" w:rsidRPr="00C6052E">
        <w:t xml:space="preserve"> 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570"/>
        <w:gridCol w:w="6064"/>
      </w:tblGrid>
      <w:tr w:rsidR="00EE5BB8" w:rsidRPr="00C6052E" w14:paraId="0E9EA004" w14:textId="77777777" w:rsidTr="0063097D">
        <w:tc>
          <w:tcPr>
            <w:tcW w:w="3570" w:type="dxa"/>
          </w:tcPr>
          <w:p w14:paraId="0AA7208B" w14:textId="77777777" w:rsidR="00EE5BB8" w:rsidRPr="00C6052E" w:rsidRDefault="00EE5BB8" w:rsidP="0063097D">
            <w:pPr>
              <w:pStyle w:val="TableColumnHeading"/>
              <w:rPr>
                <w:lang w:val="en-AU"/>
              </w:rPr>
            </w:pPr>
            <w:bookmarkStart w:id="11" w:name="TableColumnHeadings_2"/>
            <w:bookmarkEnd w:id="11"/>
            <w:r w:rsidRPr="00C6052E">
              <w:rPr>
                <w:lang w:val="en-AU"/>
              </w:rPr>
              <w:t>Minister</w:t>
            </w:r>
          </w:p>
        </w:tc>
        <w:tc>
          <w:tcPr>
            <w:tcW w:w="6064" w:type="dxa"/>
          </w:tcPr>
          <w:p w14:paraId="48981D08" w14:textId="77777777" w:rsidR="00EE5BB8" w:rsidRPr="00C6052E" w:rsidRDefault="00EE5BB8" w:rsidP="0063097D">
            <w:pPr>
              <w:pStyle w:val="TableColumnHeading"/>
              <w:rPr>
                <w:lang w:val="en-AU"/>
              </w:rPr>
            </w:pPr>
            <w:r w:rsidRPr="00C6052E">
              <w:rPr>
                <w:lang w:val="en-AU"/>
              </w:rPr>
              <w:t>Role</w:t>
            </w:r>
          </w:p>
        </w:tc>
      </w:tr>
      <w:tr w:rsidR="00EE5BB8" w:rsidRPr="00C6052E" w14:paraId="698569EC" w14:textId="77777777" w:rsidTr="0063097D">
        <w:tc>
          <w:tcPr>
            <w:tcW w:w="3570" w:type="dxa"/>
          </w:tcPr>
          <w:p w14:paraId="766D6057" w14:textId="2428DFBD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The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Hon.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Danny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Pearson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MP</w:t>
            </w:r>
          </w:p>
        </w:tc>
        <w:tc>
          <w:tcPr>
            <w:tcW w:w="6064" w:type="dxa"/>
          </w:tcPr>
          <w:p w14:paraId="5D15CDDC" w14:textId="6BD65A59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Minister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for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Economic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Growth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and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Jobs</w:t>
            </w:r>
          </w:p>
          <w:p w14:paraId="28874C43" w14:textId="4B11A31A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DJSIR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Coordinating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Minister</w:t>
            </w:r>
            <w:r w:rsidR="00177848" w:rsidRPr="00C6052E">
              <w:rPr>
                <w:lang w:val="en-AU"/>
              </w:rPr>
              <w:t xml:space="preserve"> </w:t>
            </w:r>
          </w:p>
        </w:tc>
      </w:tr>
      <w:tr w:rsidR="00EE5BB8" w:rsidRPr="00C6052E" w14:paraId="390A99A9" w14:textId="77777777" w:rsidTr="0063097D">
        <w:tc>
          <w:tcPr>
            <w:tcW w:w="3570" w:type="dxa"/>
          </w:tcPr>
          <w:p w14:paraId="3E3D7CCB" w14:textId="459B5A2C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The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Hon.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Colin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Brooks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MP</w:t>
            </w:r>
          </w:p>
        </w:tc>
        <w:tc>
          <w:tcPr>
            <w:tcW w:w="6064" w:type="dxa"/>
          </w:tcPr>
          <w:p w14:paraId="57E94D77" w14:textId="41FC9064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Minister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for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Industry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and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Advanced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Manufacturing</w:t>
            </w:r>
          </w:p>
          <w:p w14:paraId="2C4DA047" w14:textId="5E0C252A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Minister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for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Creative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Industries</w:t>
            </w:r>
          </w:p>
        </w:tc>
      </w:tr>
      <w:tr w:rsidR="00EE5BB8" w:rsidRPr="00C6052E" w14:paraId="4D5E9766" w14:textId="77777777" w:rsidTr="0063097D">
        <w:tc>
          <w:tcPr>
            <w:tcW w:w="3570" w:type="dxa"/>
          </w:tcPr>
          <w:p w14:paraId="66B5C860" w14:textId="1B570ADB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Mr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Steve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Dimopoulos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MP</w:t>
            </w:r>
          </w:p>
        </w:tc>
        <w:tc>
          <w:tcPr>
            <w:tcW w:w="6064" w:type="dxa"/>
          </w:tcPr>
          <w:p w14:paraId="66D4FEDD" w14:textId="0D1E768E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Minister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for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Tourism,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Sport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and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Major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Events</w:t>
            </w:r>
          </w:p>
          <w:p w14:paraId="14424505" w14:textId="67BE1D4E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Minister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for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Outdoor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Recreation</w:t>
            </w:r>
          </w:p>
        </w:tc>
      </w:tr>
      <w:tr w:rsidR="00EE5BB8" w:rsidRPr="00C6052E" w14:paraId="07354CC6" w14:textId="77777777" w:rsidTr="0063097D">
        <w:tc>
          <w:tcPr>
            <w:tcW w:w="3570" w:type="dxa"/>
          </w:tcPr>
          <w:p w14:paraId="40E301F1" w14:textId="41741808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The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Hon.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Ros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Spence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MP</w:t>
            </w:r>
          </w:p>
        </w:tc>
        <w:tc>
          <w:tcPr>
            <w:tcW w:w="6064" w:type="dxa"/>
          </w:tcPr>
          <w:p w14:paraId="5FCE44E1" w14:textId="58F47AC7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Minister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for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Community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Sport</w:t>
            </w:r>
          </w:p>
        </w:tc>
      </w:tr>
      <w:tr w:rsidR="00EE5BB8" w:rsidRPr="00C6052E" w14:paraId="1E2D4AF5" w14:textId="77777777" w:rsidTr="0063097D">
        <w:tc>
          <w:tcPr>
            <w:tcW w:w="3570" w:type="dxa"/>
          </w:tcPr>
          <w:p w14:paraId="22CF0406" w14:textId="6B9D5F44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The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Hon.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Natalie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Suleyman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MP</w:t>
            </w:r>
          </w:p>
        </w:tc>
        <w:tc>
          <w:tcPr>
            <w:tcW w:w="6064" w:type="dxa"/>
          </w:tcPr>
          <w:p w14:paraId="7ADA2794" w14:textId="13EC9C78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Minister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for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Small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Business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and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Employment</w:t>
            </w:r>
          </w:p>
        </w:tc>
      </w:tr>
      <w:tr w:rsidR="00EE5BB8" w:rsidRPr="00C6052E" w14:paraId="663B2286" w14:textId="77777777" w:rsidTr="0063097D">
        <w:tc>
          <w:tcPr>
            <w:tcW w:w="3570" w:type="dxa"/>
          </w:tcPr>
          <w:p w14:paraId="4AA16BF3" w14:textId="45A84878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Ms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Jaclyn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Symes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MP</w:t>
            </w:r>
          </w:p>
        </w:tc>
        <w:tc>
          <w:tcPr>
            <w:tcW w:w="6064" w:type="dxa"/>
          </w:tcPr>
          <w:p w14:paraId="2DB7260A" w14:textId="6DFB0147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Minister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for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Regional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Development</w:t>
            </w:r>
          </w:p>
        </w:tc>
      </w:tr>
      <w:tr w:rsidR="00EE5BB8" w:rsidRPr="00C6052E" w14:paraId="6739DB94" w14:textId="77777777" w:rsidTr="0063097D">
        <w:tc>
          <w:tcPr>
            <w:tcW w:w="3570" w:type="dxa"/>
          </w:tcPr>
          <w:p w14:paraId="05A8672B" w14:textId="7995C5F0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The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Hon.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Gayle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Tierney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MP</w:t>
            </w:r>
          </w:p>
        </w:tc>
        <w:tc>
          <w:tcPr>
            <w:tcW w:w="6064" w:type="dxa"/>
          </w:tcPr>
          <w:p w14:paraId="288A9319" w14:textId="18823347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Minister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for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Skills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and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TAFE</w:t>
            </w:r>
          </w:p>
        </w:tc>
      </w:tr>
    </w:tbl>
    <w:p w14:paraId="31A9B121" w14:textId="77777777" w:rsidR="00EE5BB8" w:rsidRPr="00C6052E" w:rsidRDefault="00EE5BB8" w:rsidP="00EE5BB8"/>
    <w:p w14:paraId="55FD1C33" w14:textId="575EA366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also</w:t>
      </w:r>
      <w:r w:rsidR="00177848" w:rsidRPr="00C6052E">
        <w:t xml:space="preserve"> </w:t>
      </w:r>
      <w:r w:rsidRPr="00C6052E">
        <w:t>provides</w:t>
      </w:r>
      <w:r w:rsidR="00177848" w:rsidRPr="00C6052E">
        <w:t xml:space="preserve"> </w:t>
      </w:r>
      <w:r w:rsidRPr="00C6052E">
        <w:t>advice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support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parliamentary</w:t>
      </w:r>
      <w:r w:rsidR="00177848" w:rsidRPr="00C6052E">
        <w:t xml:space="preserve"> </w:t>
      </w:r>
      <w:r w:rsidRPr="00C6052E">
        <w:t>secretaries.</w:t>
      </w:r>
      <w:r w:rsidR="00177848" w:rsidRPr="00C6052E">
        <w:t xml:space="preserve"> </w:t>
      </w:r>
    </w:p>
    <w:p w14:paraId="6A2FA8DE" w14:textId="5B1626B6" w:rsidR="00EE5BB8" w:rsidRPr="00C6052E" w:rsidRDefault="00EE5BB8" w:rsidP="0028635E">
      <w:pPr>
        <w:pStyle w:val="Normalbeforebullets"/>
      </w:pPr>
      <w:r w:rsidRPr="00C6052E">
        <w:t>As</w:t>
      </w:r>
      <w:r w:rsidR="00177848" w:rsidRPr="00C6052E">
        <w:t xml:space="preserve"> </w:t>
      </w:r>
      <w:proofErr w:type="gramStart"/>
      <w:r w:rsidRPr="00C6052E">
        <w:t>at</w:t>
      </w:r>
      <w:proofErr w:type="gramEnd"/>
      <w:r w:rsidR="00177848" w:rsidRPr="00C6052E">
        <w:t xml:space="preserve"> </w:t>
      </w:r>
      <w:r w:rsidRPr="00C6052E">
        <w:t>30</w:t>
      </w:r>
      <w:r w:rsidR="00177848" w:rsidRPr="00C6052E">
        <w:t xml:space="preserve"> </w:t>
      </w:r>
      <w:r w:rsidRPr="00C6052E">
        <w:t>June</w:t>
      </w:r>
      <w:r w:rsidR="00177848" w:rsidRPr="00C6052E">
        <w:t xml:space="preserve"> </w:t>
      </w:r>
      <w:r w:rsidRPr="00C6052E">
        <w:t>2025,</w:t>
      </w:r>
      <w:r w:rsidR="00177848" w:rsidRPr="00C6052E">
        <w:t xml:space="preserve"> </w:t>
      </w:r>
      <w:r w:rsidRPr="00C6052E">
        <w:t>they</w:t>
      </w:r>
      <w:r w:rsidR="00177848" w:rsidRPr="00C6052E">
        <w:t xml:space="preserve"> </w:t>
      </w:r>
      <w:r w:rsidRPr="00C6052E">
        <w:t>were: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572"/>
        <w:gridCol w:w="6062"/>
      </w:tblGrid>
      <w:tr w:rsidR="00EE5BB8" w:rsidRPr="00C6052E" w14:paraId="37B8BB62" w14:textId="77777777" w:rsidTr="0063097D">
        <w:tc>
          <w:tcPr>
            <w:tcW w:w="3572" w:type="dxa"/>
          </w:tcPr>
          <w:p w14:paraId="416E2C68" w14:textId="290F5C4D" w:rsidR="00EE5BB8" w:rsidRPr="00C6052E" w:rsidRDefault="00EE5BB8" w:rsidP="0063097D">
            <w:pPr>
              <w:pStyle w:val="TableColumnHeading"/>
              <w:rPr>
                <w:lang w:val="en-AU"/>
              </w:rPr>
            </w:pPr>
            <w:bookmarkStart w:id="12" w:name="TableColumnHeadings_3"/>
            <w:bookmarkEnd w:id="12"/>
            <w:r w:rsidRPr="00C6052E">
              <w:rPr>
                <w:lang w:val="en-AU"/>
              </w:rPr>
              <w:t>Parliamentary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Secretary</w:t>
            </w:r>
          </w:p>
        </w:tc>
        <w:tc>
          <w:tcPr>
            <w:tcW w:w="6062" w:type="dxa"/>
          </w:tcPr>
          <w:p w14:paraId="3AAA70DE" w14:textId="77777777" w:rsidR="00EE5BB8" w:rsidRPr="00C6052E" w:rsidRDefault="00EE5BB8" w:rsidP="0063097D">
            <w:pPr>
              <w:pStyle w:val="TableColumnHeading"/>
              <w:rPr>
                <w:lang w:val="en-AU"/>
              </w:rPr>
            </w:pPr>
            <w:r w:rsidRPr="00C6052E">
              <w:rPr>
                <w:lang w:val="en-AU"/>
              </w:rPr>
              <w:t>Role</w:t>
            </w:r>
          </w:p>
        </w:tc>
      </w:tr>
      <w:tr w:rsidR="00EE5BB8" w:rsidRPr="00C6052E" w14:paraId="121E0857" w14:textId="77777777" w:rsidTr="0063097D">
        <w:tc>
          <w:tcPr>
            <w:tcW w:w="3572" w:type="dxa"/>
          </w:tcPr>
          <w:p w14:paraId="44F9640F" w14:textId="474704FC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Ms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Luba</w:t>
            </w:r>
            <w:r w:rsidR="00177848" w:rsidRPr="00C6052E">
              <w:rPr>
                <w:lang w:val="en-AU"/>
              </w:rPr>
              <w:t xml:space="preserve"> </w:t>
            </w:r>
            <w:proofErr w:type="spellStart"/>
            <w:r w:rsidRPr="00C6052E">
              <w:rPr>
                <w:lang w:val="en-AU"/>
              </w:rPr>
              <w:t>Grigorovitch</w:t>
            </w:r>
            <w:proofErr w:type="spellEnd"/>
          </w:p>
        </w:tc>
        <w:tc>
          <w:tcPr>
            <w:tcW w:w="6062" w:type="dxa"/>
          </w:tcPr>
          <w:p w14:paraId="2E807BE7" w14:textId="6190679A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Parliamentary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Secretary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for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Outdoor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Recreation</w:t>
            </w:r>
          </w:p>
        </w:tc>
      </w:tr>
      <w:tr w:rsidR="00EE5BB8" w:rsidRPr="00C6052E" w14:paraId="0DEA5B12" w14:textId="77777777" w:rsidTr="0063097D">
        <w:tc>
          <w:tcPr>
            <w:tcW w:w="3572" w:type="dxa"/>
          </w:tcPr>
          <w:p w14:paraId="2532A6A8" w14:textId="16013FE6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Ms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Katie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Hall</w:t>
            </w:r>
          </w:p>
        </w:tc>
        <w:tc>
          <w:tcPr>
            <w:tcW w:w="6062" w:type="dxa"/>
          </w:tcPr>
          <w:p w14:paraId="23304596" w14:textId="78DF94B8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Parliamentary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Secretary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for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Creative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Industries</w:t>
            </w:r>
          </w:p>
        </w:tc>
      </w:tr>
      <w:tr w:rsidR="00EE5BB8" w:rsidRPr="00C6052E" w14:paraId="7823B27A" w14:textId="77777777" w:rsidTr="0063097D">
        <w:tc>
          <w:tcPr>
            <w:tcW w:w="3572" w:type="dxa"/>
          </w:tcPr>
          <w:p w14:paraId="72B47144" w14:textId="416069B5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Mr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Paul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Hamer</w:t>
            </w:r>
            <w:r w:rsidR="00177848" w:rsidRPr="00C6052E">
              <w:rPr>
                <w:lang w:val="en-AU"/>
              </w:rPr>
              <w:t xml:space="preserve"> </w:t>
            </w:r>
          </w:p>
        </w:tc>
        <w:tc>
          <w:tcPr>
            <w:tcW w:w="6062" w:type="dxa"/>
          </w:tcPr>
          <w:p w14:paraId="0F6A3298" w14:textId="2CC2768C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Parliamentary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Secretary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for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Jobs</w:t>
            </w:r>
          </w:p>
        </w:tc>
      </w:tr>
      <w:tr w:rsidR="00EE5BB8" w:rsidRPr="00C6052E" w14:paraId="4C1901B2" w14:textId="77777777" w:rsidTr="0063097D">
        <w:tc>
          <w:tcPr>
            <w:tcW w:w="3572" w:type="dxa"/>
          </w:tcPr>
          <w:p w14:paraId="0C82FA8B" w14:textId="676CA6F9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Ms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Michaela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Settle</w:t>
            </w:r>
          </w:p>
        </w:tc>
        <w:tc>
          <w:tcPr>
            <w:tcW w:w="6062" w:type="dxa"/>
          </w:tcPr>
          <w:p w14:paraId="17D262AB" w14:textId="08EE366D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Parliamentary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Secretary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for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Regional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Victoria</w:t>
            </w:r>
          </w:p>
          <w:p w14:paraId="7D1FE820" w14:textId="01405FA5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Parliamentary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Secretary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for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Community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Sport</w:t>
            </w:r>
          </w:p>
        </w:tc>
      </w:tr>
    </w:tbl>
    <w:p w14:paraId="7662DD0E" w14:textId="77777777" w:rsidR="00EE5BB8" w:rsidRPr="00C6052E" w:rsidRDefault="00EE5BB8" w:rsidP="00EE5BB8"/>
    <w:p w14:paraId="49C768A8" w14:textId="3F9E8F87" w:rsidR="00EE5BB8" w:rsidRPr="00C6052E" w:rsidRDefault="00EE5BB8" w:rsidP="00EE5BB8">
      <w:pPr>
        <w:pStyle w:val="Heading2"/>
      </w:pPr>
      <w:bookmarkStart w:id="13" w:name="_Toc214375831"/>
      <w:r w:rsidRPr="00C6052E">
        <w:t>Legislation</w:t>
      </w:r>
      <w:r w:rsidR="00177848" w:rsidRPr="00C6052E">
        <w:t xml:space="preserve"> </w:t>
      </w:r>
      <w:r w:rsidRPr="00C6052E">
        <w:t>administered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bookmarkEnd w:id="13"/>
    </w:p>
    <w:p w14:paraId="0206D791" w14:textId="08062E19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website</w:t>
      </w:r>
      <w:r w:rsidR="00177848" w:rsidRPr="00C6052E">
        <w:t xml:space="preserve"> </w:t>
      </w:r>
      <w:r w:rsidR="007D0236">
        <w:t>(</w:t>
      </w:r>
      <w:hyperlink r:id="rId18" w:tooltip="Link to DJSIR website" w:history="1">
        <w:r w:rsidR="007D0236">
          <w:rPr>
            <w:rStyle w:val="Hyperlink"/>
          </w:rPr>
          <w:t>DJSIR</w:t>
        </w:r>
      </w:hyperlink>
      <w:r w:rsidR="007D0236">
        <w:t>)</w:t>
      </w:r>
      <w:r w:rsidR="00177848" w:rsidRPr="00C6052E">
        <w:t xml:space="preserve"> </w:t>
      </w:r>
      <w:r w:rsidRPr="00C6052E">
        <w:t>details</w:t>
      </w:r>
      <w:r w:rsidR="00177848" w:rsidRPr="00C6052E">
        <w:t xml:space="preserve"> </w:t>
      </w:r>
      <w:r w:rsidRPr="00C6052E">
        <w:t>DJSIR-administered</w:t>
      </w:r>
      <w:r w:rsidR="00177848" w:rsidRPr="00C6052E">
        <w:t xml:space="preserve"> </w:t>
      </w:r>
      <w:r w:rsidRPr="00C6052E">
        <w:t>legislation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1</w:t>
      </w:r>
      <w:r w:rsidR="00177848" w:rsidRPr="00C6052E">
        <w:t xml:space="preserve"> </w:t>
      </w:r>
      <w:r w:rsidRPr="00C6052E">
        <w:t>January</w:t>
      </w:r>
      <w:r w:rsidR="00177848" w:rsidRPr="00C6052E">
        <w:t xml:space="preserve"> </w:t>
      </w:r>
      <w:r w:rsidRPr="00C6052E">
        <w:t>2023</w:t>
      </w:r>
      <w:r w:rsidR="00177848" w:rsidRPr="00C6052E">
        <w:t xml:space="preserve"> </w:t>
      </w:r>
      <w:r w:rsidRPr="00C6052E">
        <w:t>onwards.</w:t>
      </w:r>
    </w:p>
    <w:p w14:paraId="5B8883AE" w14:textId="5B64002E" w:rsidR="00EE5BB8" w:rsidRPr="00C6052E" w:rsidRDefault="00EE5BB8" w:rsidP="00EE5BB8">
      <w:pPr>
        <w:pStyle w:val="Heading2"/>
      </w:pPr>
      <w:bookmarkStart w:id="14" w:name="_Toc214375832"/>
      <w:r w:rsidRPr="00C6052E">
        <w:lastRenderedPageBreak/>
        <w:t>Executive</w:t>
      </w:r>
      <w:r w:rsidR="00177848" w:rsidRPr="00C6052E">
        <w:t xml:space="preserve"> </w:t>
      </w:r>
      <w:r w:rsidRPr="00C6052E">
        <w:t>Board</w:t>
      </w:r>
      <w:bookmarkEnd w:id="14"/>
    </w:p>
    <w:p w14:paraId="1F309849" w14:textId="7C2FAB42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DJSIR</w:t>
      </w:r>
      <w:r w:rsidR="00177848" w:rsidRPr="00C6052E">
        <w:t xml:space="preserve"> </w:t>
      </w:r>
      <w:r w:rsidRPr="00C6052E">
        <w:t>Executive</w:t>
      </w:r>
      <w:r w:rsidR="00177848" w:rsidRPr="00C6052E">
        <w:t xml:space="preserve"> </w:t>
      </w:r>
      <w:r w:rsidRPr="00C6052E">
        <w:t>Board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department's</w:t>
      </w:r>
      <w:r w:rsidR="00177848" w:rsidRPr="00C6052E">
        <w:t xml:space="preserve"> </w:t>
      </w:r>
      <w:r w:rsidRPr="00C6052E">
        <w:t>primary</w:t>
      </w:r>
      <w:r w:rsidR="00177848" w:rsidRPr="00C6052E">
        <w:t xml:space="preserve"> </w:t>
      </w:r>
      <w:r w:rsidRPr="00C6052E">
        <w:t>governance</w:t>
      </w:r>
      <w:r w:rsidR="00177848" w:rsidRPr="00C6052E">
        <w:t xml:space="preserve"> </w:t>
      </w:r>
      <w:r w:rsidRPr="00C6052E">
        <w:t>body.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Executive</w:t>
      </w:r>
      <w:r w:rsidR="00177848" w:rsidRPr="00C6052E">
        <w:t xml:space="preserve"> </w:t>
      </w:r>
      <w:r w:rsidRPr="00C6052E">
        <w:t>Board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forum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collective</w:t>
      </w:r>
      <w:r w:rsidR="00177848" w:rsidRPr="00C6052E">
        <w:t xml:space="preserve"> </w:t>
      </w:r>
      <w:r w:rsidRPr="00C6052E">
        <w:t>stewardship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responsible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supporting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Secretary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deliver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remit.</w:t>
      </w:r>
    </w:p>
    <w:p w14:paraId="264EEC7B" w14:textId="3A200A4D" w:rsidR="00EE5BB8" w:rsidRPr="00C6052E" w:rsidRDefault="00EE5BB8" w:rsidP="0028635E">
      <w:pPr>
        <w:pStyle w:val="Normalbeforebullets"/>
      </w:pPr>
      <w:proofErr w:type="gramStart"/>
      <w:r w:rsidRPr="00C6052E">
        <w:t>At</w:t>
      </w:r>
      <w:proofErr w:type="gramEnd"/>
      <w:r w:rsidR="00177848" w:rsidRPr="00C6052E">
        <w:t xml:space="preserve"> </w:t>
      </w:r>
      <w:r w:rsidRPr="00C6052E">
        <w:t>30</w:t>
      </w:r>
      <w:r w:rsidR="00177848" w:rsidRPr="00C6052E">
        <w:t xml:space="preserve"> </w:t>
      </w:r>
      <w:r w:rsidRPr="00C6052E">
        <w:t>June</w:t>
      </w:r>
      <w:r w:rsidR="00177848" w:rsidRPr="00C6052E">
        <w:t xml:space="preserve"> </w:t>
      </w:r>
      <w:r w:rsidRPr="00C6052E">
        <w:t>2025,</w:t>
      </w:r>
      <w:r w:rsidR="00177848" w:rsidRPr="00C6052E">
        <w:t xml:space="preserve"> </w:t>
      </w:r>
      <w:r w:rsidRPr="00C6052E">
        <w:t>members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Executive</w:t>
      </w:r>
      <w:r w:rsidR="00177848" w:rsidRPr="00C6052E">
        <w:t xml:space="preserve"> </w:t>
      </w:r>
      <w:r w:rsidRPr="00C6052E">
        <w:t>Board</w:t>
      </w:r>
      <w:r w:rsidR="00177848" w:rsidRPr="00C6052E">
        <w:t xml:space="preserve"> </w:t>
      </w:r>
      <w:r w:rsidRPr="00C6052E">
        <w:t>were:</w:t>
      </w:r>
      <w:r w:rsidR="00177848" w:rsidRPr="00C6052E">
        <w:t xml:space="preserve"> 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572"/>
        <w:gridCol w:w="6062"/>
      </w:tblGrid>
      <w:tr w:rsidR="00EE5BB8" w:rsidRPr="00C6052E" w14:paraId="4E58AC30" w14:textId="77777777" w:rsidTr="0063097D">
        <w:tc>
          <w:tcPr>
            <w:tcW w:w="3572" w:type="dxa"/>
          </w:tcPr>
          <w:p w14:paraId="3CD2FADB" w14:textId="77777777" w:rsidR="00EE5BB8" w:rsidRPr="00C6052E" w:rsidRDefault="00EE5BB8" w:rsidP="0063097D">
            <w:pPr>
              <w:pStyle w:val="TableColumnHeading"/>
              <w:rPr>
                <w:lang w:val="en-AU"/>
              </w:rPr>
            </w:pPr>
            <w:bookmarkStart w:id="15" w:name="TableColumnHeadings_4"/>
            <w:bookmarkEnd w:id="15"/>
            <w:r w:rsidRPr="00C6052E">
              <w:rPr>
                <w:lang w:val="en-AU"/>
              </w:rPr>
              <w:t>Name</w:t>
            </w:r>
          </w:p>
        </w:tc>
        <w:tc>
          <w:tcPr>
            <w:tcW w:w="6062" w:type="dxa"/>
          </w:tcPr>
          <w:p w14:paraId="04EE8B0A" w14:textId="77777777" w:rsidR="00EE5BB8" w:rsidRPr="00C6052E" w:rsidRDefault="00EE5BB8" w:rsidP="0063097D">
            <w:pPr>
              <w:pStyle w:val="TableColumnHeading"/>
              <w:rPr>
                <w:lang w:val="en-AU"/>
              </w:rPr>
            </w:pPr>
            <w:r w:rsidRPr="00C6052E">
              <w:rPr>
                <w:lang w:val="en-AU"/>
              </w:rPr>
              <w:t>Role</w:t>
            </w:r>
          </w:p>
        </w:tc>
      </w:tr>
      <w:tr w:rsidR="00EE5BB8" w:rsidRPr="00C6052E" w14:paraId="4195D621" w14:textId="77777777" w:rsidTr="0063097D">
        <w:tc>
          <w:tcPr>
            <w:tcW w:w="3572" w:type="dxa"/>
          </w:tcPr>
          <w:p w14:paraId="3AD29810" w14:textId="5218B02C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Matt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Carrick</w:t>
            </w:r>
          </w:p>
        </w:tc>
        <w:tc>
          <w:tcPr>
            <w:tcW w:w="6062" w:type="dxa"/>
          </w:tcPr>
          <w:p w14:paraId="3C20637F" w14:textId="77777777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Secretary</w:t>
            </w:r>
          </w:p>
        </w:tc>
      </w:tr>
      <w:tr w:rsidR="00EE5BB8" w:rsidRPr="00C6052E" w14:paraId="4057E0C7" w14:textId="77777777" w:rsidTr="0063097D">
        <w:tc>
          <w:tcPr>
            <w:tcW w:w="3572" w:type="dxa"/>
          </w:tcPr>
          <w:p w14:paraId="2C448568" w14:textId="56CA057E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Xavier</w:t>
            </w:r>
            <w:r w:rsidR="00177848" w:rsidRPr="00C6052E">
              <w:rPr>
                <w:lang w:val="en-AU"/>
              </w:rPr>
              <w:t xml:space="preserve"> </w:t>
            </w:r>
            <w:proofErr w:type="spellStart"/>
            <w:r w:rsidRPr="00C6052E">
              <w:rPr>
                <w:lang w:val="en-AU"/>
              </w:rPr>
              <w:t>Csar</w:t>
            </w:r>
            <w:proofErr w:type="spellEnd"/>
          </w:p>
        </w:tc>
        <w:tc>
          <w:tcPr>
            <w:tcW w:w="6062" w:type="dxa"/>
          </w:tcPr>
          <w:p w14:paraId="5BBEC351" w14:textId="512E45A4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Chief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Executive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Officer,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Regional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Development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Victoria</w:t>
            </w:r>
          </w:p>
        </w:tc>
      </w:tr>
      <w:tr w:rsidR="00EE5BB8" w:rsidRPr="00C6052E" w14:paraId="008DD2CB" w14:textId="77777777" w:rsidTr="0063097D">
        <w:tc>
          <w:tcPr>
            <w:tcW w:w="3572" w:type="dxa"/>
          </w:tcPr>
          <w:p w14:paraId="065710C8" w14:textId="66C40511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Claire</w:t>
            </w:r>
            <w:r w:rsidR="00177848" w:rsidRPr="00C6052E">
              <w:rPr>
                <w:lang w:val="en-AU"/>
              </w:rPr>
              <w:t xml:space="preserve"> </w:t>
            </w:r>
            <w:proofErr w:type="spellStart"/>
            <w:r w:rsidRPr="00C6052E">
              <w:rPr>
                <w:lang w:val="en-AU"/>
              </w:rPr>
              <w:t>Febey</w:t>
            </w:r>
            <w:proofErr w:type="spellEnd"/>
          </w:p>
        </w:tc>
        <w:tc>
          <w:tcPr>
            <w:tcW w:w="6062" w:type="dxa"/>
          </w:tcPr>
          <w:p w14:paraId="552B7E01" w14:textId="13D92FC9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Chief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Executive,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Creative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Victoria</w:t>
            </w:r>
          </w:p>
        </w:tc>
      </w:tr>
      <w:tr w:rsidR="00EE5BB8" w:rsidRPr="00C6052E" w14:paraId="12BB6826" w14:textId="77777777" w:rsidTr="0063097D">
        <w:tc>
          <w:tcPr>
            <w:tcW w:w="3572" w:type="dxa"/>
          </w:tcPr>
          <w:p w14:paraId="5BDC74D6" w14:textId="546BFB4A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Lill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Healy</w:t>
            </w:r>
          </w:p>
        </w:tc>
        <w:tc>
          <w:tcPr>
            <w:tcW w:w="6062" w:type="dxa"/>
          </w:tcPr>
          <w:p w14:paraId="337B0D56" w14:textId="1A094525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Deputy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Secretary,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Skills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and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Employment</w:t>
            </w:r>
          </w:p>
        </w:tc>
      </w:tr>
      <w:tr w:rsidR="00EE5BB8" w:rsidRPr="00C6052E" w14:paraId="11F3AC4D" w14:textId="77777777" w:rsidTr="0063097D">
        <w:tc>
          <w:tcPr>
            <w:tcW w:w="3572" w:type="dxa"/>
          </w:tcPr>
          <w:p w14:paraId="3A972D5B" w14:textId="6CB51F97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Danni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Jarrett</w:t>
            </w:r>
          </w:p>
        </w:tc>
        <w:tc>
          <w:tcPr>
            <w:tcW w:w="6062" w:type="dxa"/>
          </w:tcPr>
          <w:p w14:paraId="54B3D4B3" w14:textId="6C0CD1BB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Deputy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Secretary,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Industry,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Trade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and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Investment</w:t>
            </w:r>
            <w:r w:rsidR="00177848" w:rsidRPr="00C6052E">
              <w:rPr>
                <w:lang w:val="en-AU"/>
              </w:rPr>
              <w:t xml:space="preserve"> </w:t>
            </w:r>
          </w:p>
        </w:tc>
      </w:tr>
      <w:tr w:rsidR="00EE5BB8" w:rsidRPr="00C6052E" w14:paraId="77E80390" w14:textId="77777777" w:rsidTr="0063097D">
        <w:tc>
          <w:tcPr>
            <w:tcW w:w="3572" w:type="dxa"/>
          </w:tcPr>
          <w:p w14:paraId="4C25AE35" w14:textId="4AAD7DE0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Julian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Lyngcoln</w:t>
            </w:r>
          </w:p>
        </w:tc>
        <w:tc>
          <w:tcPr>
            <w:tcW w:w="6062" w:type="dxa"/>
          </w:tcPr>
          <w:p w14:paraId="5C9915D9" w14:textId="3FD4F7B4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Deputy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Secretary,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Economic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Policy,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Projects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and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Coordination</w:t>
            </w:r>
          </w:p>
        </w:tc>
      </w:tr>
      <w:tr w:rsidR="00EE5BB8" w:rsidRPr="00C6052E" w14:paraId="63BDA43E" w14:textId="77777777" w:rsidTr="0063097D">
        <w:tc>
          <w:tcPr>
            <w:tcW w:w="3572" w:type="dxa"/>
          </w:tcPr>
          <w:p w14:paraId="1ADDB46F" w14:textId="03BDDB9E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Georgina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McCann</w:t>
            </w:r>
          </w:p>
        </w:tc>
        <w:tc>
          <w:tcPr>
            <w:tcW w:w="6062" w:type="dxa"/>
          </w:tcPr>
          <w:p w14:paraId="465FC963" w14:textId="17CFA95B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Deputy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Secretary,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Sport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and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Experience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Economy</w:t>
            </w:r>
          </w:p>
        </w:tc>
      </w:tr>
      <w:tr w:rsidR="00EE5BB8" w:rsidRPr="00C6052E" w14:paraId="530B76D0" w14:textId="77777777" w:rsidTr="0063097D">
        <w:tc>
          <w:tcPr>
            <w:tcW w:w="3572" w:type="dxa"/>
          </w:tcPr>
          <w:p w14:paraId="7D52D116" w14:textId="75BE6516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Heather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Ridley</w:t>
            </w:r>
          </w:p>
        </w:tc>
        <w:tc>
          <w:tcPr>
            <w:tcW w:w="6062" w:type="dxa"/>
          </w:tcPr>
          <w:p w14:paraId="6D2C2EC7" w14:textId="78D59D3C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Deputy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Secretary,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Corporate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Services</w:t>
            </w:r>
          </w:p>
        </w:tc>
      </w:tr>
      <w:tr w:rsidR="00EE5BB8" w:rsidRPr="00C6052E" w14:paraId="50A39844" w14:textId="77777777" w:rsidTr="0063097D">
        <w:tc>
          <w:tcPr>
            <w:tcW w:w="3572" w:type="dxa"/>
          </w:tcPr>
          <w:p w14:paraId="79D9E067" w14:textId="6B26365A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Daniel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Rodger</w:t>
            </w:r>
          </w:p>
        </w:tc>
        <w:tc>
          <w:tcPr>
            <w:tcW w:w="6062" w:type="dxa"/>
          </w:tcPr>
          <w:p w14:paraId="3682BD44" w14:textId="3035880D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Chief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Financial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Officer</w:t>
            </w:r>
          </w:p>
        </w:tc>
      </w:tr>
    </w:tbl>
    <w:p w14:paraId="2F155C3E" w14:textId="6F454AD8" w:rsidR="00EE5BB8" w:rsidRPr="00C6052E" w:rsidRDefault="00EE5BB8" w:rsidP="00EE5BB8">
      <w:pPr>
        <w:pStyle w:val="Heading2"/>
      </w:pPr>
      <w:bookmarkStart w:id="16" w:name="_Toc214375833"/>
      <w:r w:rsidRPr="00C6052E">
        <w:t>Audit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Risk</w:t>
      </w:r>
      <w:r w:rsidR="00177848" w:rsidRPr="00C6052E">
        <w:t xml:space="preserve"> </w:t>
      </w:r>
      <w:r w:rsidRPr="00C6052E">
        <w:t>Committee</w:t>
      </w:r>
      <w:bookmarkEnd w:id="16"/>
    </w:p>
    <w:p w14:paraId="618093CF" w14:textId="6DBEE9E2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Audit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Risk</w:t>
      </w:r>
      <w:r w:rsidR="00177848" w:rsidRPr="00C6052E">
        <w:t xml:space="preserve"> </w:t>
      </w:r>
      <w:r w:rsidRPr="00C6052E">
        <w:t>Committee</w:t>
      </w:r>
      <w:r w:rsidR="00177848" w:rsidRPr="00C6052E">
        <w:t xml:space="preserve"> </w:t>
      </w:r>
      <w:r w:rsidRPr="00C6052E">
        <w:t>(ARC)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independent</w:t>
      </w:r>
      <w:r w:rsidR="00177848" w:rsidRPr="00C6052E">
        <w:t xml:space="preserve"> </w:t>
      </w:r>
      <w:r w:rsidRPr="00C6052E">
        <w:t>body</w:t>
      </w:r>
      <w:r w:rsidR="00177848" w:rsidRPr="00C6052E">
        <w:t xml:space="preserve"> </w:t>
      </w:r>
      <w:r w:rsidRPr="00C6052E">
        <w:t>established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accordance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Standing</w:t>
      </w:r>
      <w:r w:rsidR="00177848" w:rsidRPr="00C6052E">
        <w:t xml:space="preserve"> </w:t>
      </w:r>
      <w:r w:rsidRPr="00C6052E">
        <w:t>Directions</w:t>
      </w:r>
      <w:r w:rsidR="00177848" w:rsidRPr="00C6052E">
        <w:t xml:space="preserve"> </w:t>
      </w:r>
      <w:r w:rsidRPr="00C6052E">
        <w:t>2018</w:t>
      </w:r>
      <w:r w:rsidR="00177848" w:rsidRPr="00C6052E">
        <w:t xml:space="preserve"> </w:t>
      </w:r>
      <w:r w:rsidRPr="00C6052E">
        <w:t>under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rPr>
          <w:i/>
          <w:iCs/>
        </w:rPr>
        <w:t>Financial</w:t>
      </w:r>
      <w:r w:rsidR="00177848" w:rsidRPr="00C6052E">
        <w:rPr>
          <w:i/>
          <w:iCs/>
        </w:rPr>
        <w:t xml:space="preserve"> </w:t>
      </w:r>
      <w:r w:rsidRPr="00C6052E">
        <w:rPr>
          <w:i/>
          <w:iCs/>
        </w:rPr>
        <w:t>Management</w:t>
      </w:r>
      <w:r w:rsidR="00177848" w:rsidRPr="00C6052E">
        <w:rPr>
          <w:i/>
          <w:iCs/>
        </w:rPr>
        <w:t xml:space="preserve"> </w:t>
      </w:r>
      <w:r w:rsidRPr="00C6052E">
        <w:rPr>
          <w:i/>
          <w:iCs/>
        </w:rPr>
        <w:t>Act</w:t>
      </w:r>
      <w:r w:rsidR="00177848" w:rsidRPr="00C6052E">
        <w:rPr>
          <w:i/>
          <w:iCs/>
        </w:rPr>
        <w:t xml:space="preserve"> </w:t>
      </w:r>
      <w:r w:rsidRPr="00C6052E">
        <w:rPr>
          <w:i/>
          <w:iCs/>
        </w:rPr>
        <w:t>1994</w:t>
      </w:r>
      <w:r w:rsidRPr="00C6052E">
        <w:t>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Secretary</w:t>
      </w:r>
      <w:r w:rsidR="00177848" w:rsidRPr="00C6052E">
        <w:t xml:space="preserve"> </w:t>
      </w:r>
      <w:r w:rsidRPr="00C6052E">
        <w:t>appoints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committee</w:t>
      </w:r>
      <w:r w:rsidR="00177848" w:rsidRPr="00C6052E">
        <w:t xml:space="preserve"> </w:t>
      </w:r>
      <w:r w:rsidRPr="00C6052E">
        <w:t>members</w:t>
      </w:r>
      <w:r w:rsidR="00177848" w:rsidRPr="00C6052E">
        <w:t xml:space="preserve"> </w:t>
      </w:r>
      <w:r w:rsidRPr="00C6052E">
        <w:t>based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their</w:t>
      </w:r>
      <w:r w:rsidR="00177848" w:rsidRPr="00C6052E">
        <w:t xml:space="preserve"> </w:t>
      </w:r>
      <w:r w:rsidRPr="00C6052E">
        <w:t>qualifications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experience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ensure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committee</w:t>
      </w:r>
      <w:r w:rsidR="00177848" w:rsidRPr="00C6052E">
        <w:t xml:space="preserve"> </w:t>
      </w:r>
      <w:r w:rsidRPr="00C6052E">
        <w:t>can</w:t>
      </w:r>
      <w:r w:rsidR="00177848" w:rsidRPr="00C6052E">
        <w:t xml:space="preserve"> </w:t>
      </w:r>
      <w:r w:rsidRPr="00C6052E">
        <w:t>adequately</w:t>
      </w:r>
      <w:r w:rsidR="00177848" w:rsidRPr="00C6052E">
        <w:t xml:space="preserve"> </w:t>
      </w:r>
      <w:r w:rsidRPr="00C6052E">
        <w:t>discharge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duties.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Chief</w:t>
      </w:r>
      <w:r w:rsidR="00177848" w:rsidRPr="00C6052E">
        <w:t xml:space="preserve"> </w:t>
      </w:r>
      <w:r w:rsidRPr="00C6052E">
        <w:t>Finance</w:t>
      </w:r>
      <w:r w:rsidR="00177848" w:rsidRPr="00C6052E">
        <w:t xml:space="preserve"> </w:t>
      </w:r>
      <w:r w:rsidRPr="00C6052E">
        <w:t>Officer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Chief</w:t>
      </w:r>
      <w:r w:rsidR="00177848" w:rsidRPr="00C6052E">
        <w:t xml:space="preserve"> </w:t>
      </w:r>
      <w:r w:rsidRPr="00C6052E">
        <w:t>Audit</w:t>
      </w:r>
      <w:r w:rsidR="00177848" w:rsidRPr="00C6052E">
        <w:t xml:space="preserve"> </w:t>
      </w:r>
      <w:r w:rsidRPr="00C6052E">
        <w:t>Officer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standing</w:t>
      </w:r>
      <w:r w:rsidR="00177848" w:rsidRPr="00C6052E">
        <w:t xml:space="preserve"> </w:t>
      </w:r>
      <w:r w:rsidRPr="00C6052E">
        <w:t>invitees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ARC</w:t>
      </w:r>
      <w:r w:rsidR="00177848" w:rsidRPr="00C6052E">
        <w:t xml:space="preserve"> </w:t>
      </w:r>
      <w:r w:rsidRPr="00C6052E">
        <w:t>meetings;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ARC</w:t>
      </w:r>
      <w:r w:rsidR="00177848" w:rsidRPr="00C6052E">
        <w:t xml:space="preserve"> </w:t>
      </w:r>
      <w:r w:rsidRPr="00C6052E">
        <w:t>meets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least</w:t>
      </w:r>
      <w:r w:rsidR="00177848" w:rsidRPr="00C6052E">
        <w:t xml:space="preserve"> </w:t>
      </w:r>
      <w:r w:rsidRPr="00C6052E">
        <w:t>6</w:t>
      </w:r>
      <w:r w:rsidR="00177848" w:rsidRPr="00C6052E">
        <w:t xml:space="preserve"> </w:t>
      </w:r>
      <w:r w:rsidRPr="00C6052E">
        <w:t>times</w:t>
      </w:r>
      <w:r w:rsidR="00177848" w:rsidRPr="00C6052E">
        <w:t xml:space="preserve"> </w:t>
      </w:r>
      <w:r w:rsidRPr="00C6052E">
        <w:t>each</w:t>
      </w:r>
      <w:r w:rsidR="00177848" w:rsidRPr="00C6052E">
        <w:t xml:space="preserve"> </w:t>
      </w:r>
      <w:r w:rsidRPr="00C6052E">
        <w:t>year,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authority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convene</w:t>
      </w:r>
      <w:r w:rsidR="00177848" w:rsidRPr="00C6052E">
        <w:t xml:space="preserve"> </w:t>
      </w:r>
      <w:r w:rsidRPr="00C6052E">
        <w:t>additional</w:t>
      </w:r>
      <w:r w:rsidR="00177848" w:rsidRPr="00C6052E">
        <w:t xml:space="preserve"> </w:t>
      </w:r>
      <w:r w:rsidRPr="00C6052E">
        <w:t>meetings,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circumstances</w:t>
      </w:r>
      <w:r w:rsidR="00177848" w:rsidRPr="00C6052E">
        <w:t xml:space="preserve"> </w:t>
      </w:r>
      <w:r w:rsidRPr="00C6052E">
        <w:t>require.</w:t>
      </w:r>
    </w:p>
    <w:p w14:paraId="1CB34B83" w14:textId="24C6E6B0" w:rsidR="00EE5BB8" w:rsidRPr="00C6052E" w:rsidRDefault="00EE5BB8" w:rsidP="0028635E">
      <w:pPr>
        <w:pStyle w:val="Normalbeforebullets"/>
      </w:pPr>
      <w:r w:rsidRPr="00C6052E">
        <w:t>The</w:t>
      </w:r>
      <w:r w:rsidR="00177848" w:rsidRPr="00C6052E">
        <w:t xml:space="preserve"> </w:t>
      </w:r>
      <w:r w:rsidRPr="00C6052E">
        <w:t>ARC</w:t>
      </w:r>
      <w:r w:rsidR="00177848" w:rsidRPr="00C6052E">
        <w:t xml:space="preserve"> </w:t>
      </w:r>
      <w:r w:rsidRPr="00C6052E">
        <w:t>provides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Secretary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independent</w:t>
      </w:r>
      <w:r w:rsidR="00177848" w:rsidRPr="00C6052E">
        <w:t xml:space="preserve"> </w:t>
      </w:r>
      <w:r w:rsidRPr="00C6052E">
        <w:t>assurance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proofErr w:type="gramStart"/>
      <w:r w:rsidRPr="00C6052E">
        <w:t>department’s</w:t>
      </w:r>
      <w:proofErr w:type="gramEnd"/>
      <w:r w:rsidRPr="00C6052E">
        <w:t>:</w:t>
      </w:r>
    </w:p>
    <w:p w14:paraId="256495DE" w14:textId="55FA0924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financial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performance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reporting</w:t>
      </w:r>
    </w:p>
    <w:p w14:paraId="1ED61EBF" w14:textId="65781C06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risk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oversight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management</w:t>
      </w:r>
    </w:p>
    <w:p w14:paraId="1766489A" w14:textId="020E0F90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systems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processes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relation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integrity,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audit,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strategic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emerging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risks,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internal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controls</w:t>
      </w:r>
    </w:p>
    <w:p w14:paraId="49FBECCC" w14:textId="3ACF14CE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legislative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policy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compliance.</w:t>
      </w:r>
    </w:p>
    <w:p w14:paraId="60B8386E" w14:textId="38D26203" w:rsidR="00EE5BB8" w:rsidRPr="00C6052E" w:rsidRDefault="00EE5BB8" w:rsidP="00EE5BB8">
      <w:pPr>
        <w:pStyle w:val="Normalbeforebullets"/>
      </w:pPr>
      <w:r w:rsidRPr="00C6052E" w:rsidDel="004C008F">
        <w:lastRenderedPageBreak/>
        <w:t>In</w:t>
      </w:r>
      <w:r w:rsidR="00177848" w:rsidRPr="00C6052E">
        <w:t xml:space="preserve"> </w:t>
      </w:r>
      <w:r w:rsidRPr="00C6052E" w:rsidDel="004C008F">
        <w:t>2024–25</w:t>
      </w:r>
      <w:r w:rsidRPr="00C6052E">
        <w:t>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ARC</w:t>
      </w:r>
      <w:r w:rsidR="00177848" w:rsidRPr="00C6052E">
        <w:t xml:space="preserve"> </w:t>
      </w:r>
      <w:r w:rsidRPr="00C6052E">
        <w:t>members</w:t>
      </w:r>
      <w:r w:rsidR="00177848" w:rsidRPr="00C6052E">
        <w:t xml:space="preserve"> </w:t>
      </w:r>
      <w:r w:rsidRPr="00C6052E">
        <w:t>were:</w:t>
      </w:r>
    </w:p>
    <w:tbl>
      <w:tblPr>
        <w:tblStyle w:val="TableGrid"/>
        <w:tblW w:w="9691" w:type="dxa"/>
        <w:tblLook w:val="04A0" w:firstRow="1" w:lastRow="0" w:firstColumn="1" w:lastColumn="0" w:noHBand="0" w:noVBand="1"/>
      </w:tblPr>
      <w:tblGrid>
        <w:gridCol w:w="1985"/>
        <w:gridCol w:w="4531"/>
        <w:gridCol w:w="3175"/>
      </w:tblGrid>
      <w:tr w:rsidR="00EE5BB8" w:rsidRPr="00C6052E" w14:paraId="20D8C644" w14:textId="77777777" w:rsidTr="0063097D">
        <w:tc>
          <w:tcPr>
            <w:tcW w:w="1985" w:type="dxa"/>
          </w:tcPr>
          <w:p w14:paraId="1659CA80" w14:textId="77777777" w:rsidR="00EE5BB8" w:rsidRPr="00C6052E" w:rsidRDefault="00EE5BB8" w:rsidP="00880FCA">
            <w:pPr>
              <w:pStyle w:val="TableColumnHeading"/>
              <w:spacing w:before="60" w:after="60"/>
              <w:rPr>
                <w:lang w:val="en-AU"/>
              </w:rPr>
            </w:pPr>
            <w:bookmarkStart w:id="17" w:name="TableColumnHeadings_5"/>
            <w:bookmarkEnd w:id="17"/>
            <w:r w:rsidRPr="00C6052E">
              <w:rPr>
                <w:lang w:val="en-AU"/>
              </w:rPr>
              <w:t>Name</w:t>
            </w:r>
          </w:p>
        </w:tc>
        <w:tc>
          <w:tcPr>
            <w:tcW w:w="4531" w:type="dxa"/>
          </w:tcPr>
          <w:p w14:paraId="0DBA519E" w14:textId="77777777" w:rsidR="00EE5BB8" w:rsidRPr="00C6052E" w:rsidRDefault="00EE5BB8" w:rsidP="00880FCA">
            <w:pPr>
              <w:pStyle w:val="TableColumnHeading"/>
              <w:spacing w:before="60" w:after="60"/>
              <w:rPr>
                <w:lang w:val="en-AU"/>
              </w:rPr>
            </w:pPr>
            <w:r w:rsidRPr="00C6052E">
              <w:rPr>
                <w:lang w:val="en-AU"/>
              </w:rPr>
              <w:t>Role</w:t>
            </w:r>
          </w:p>
        </w:tc>
        <w:tc>
          <w:tcPr>
            <w:tcW w:w="3175" w:type="dxa"/>
          </w:tcPr>
          <w:p w14:paraId="3FD9C7F5" w14:textId="77777777" w:rsidR="00EE5BB8" w:rsidRPr="00C6052E" w:rsidRDefault="00EE5BB8" w:rsidP="00880FCA">
            <w:pPr>
              <w:pStyle w:val="TableColumnHeading"/>
              <w:spacing w:before="60" w:after="60"/>
              <w:rPr>
                <w:lang w:val="en-AU"/>
              </w:rPr>
            </w:pPr>
            <w:r w:rsidRPr="00C6052E">
              <w:rPr>
                <w:lang w:val="en-AU"/>
              </w:rPr>
              <w:t>Period</w:t>
            </w:r>
          </w:p>
        </w:tc>
      </w:tr>
      <w:tr w:rsidR="00EE5BB8" w:rsidRPr="00C6052E" w14:paraId="63E167C5" w14:textId="77777777" w:rsidTr="0063097D">
        <w:tc>
          <w:tcPr>
            <w:tcW w:w="1985" w:type="dxa"/>
          </w:tcPr>
          <w:p w14:paraId="373AE463" w14:textId="05AE24A2" w:rsidR="00EE5BB8" w:rsidRPr="00C6052E" w:rsidRDefault="00EE5BB8" w:rsidP="0063097D">
            <w:pPr>
              <w:pStyle w:val="TableCopy"/>
              <w:rPr>
                <w:i/>
                <w:iCs/>
                <w:lang w:val="en-AU"/>
              </w:rPr>
            </w:pPr>
            <w:r w:rsidRPr="00C6052E">
              <w:rPr>
                <w:lang w:val="en-AU"/>
              </w:rPr>
              <w:t>Peter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Lewinsky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AM</w:t>
            </w:r>
          </w:p>
        </w:tc>
        <w:tc>
          <w:tcPr>
            <w:tcW w:w="4531" w:type="dxa"/>
          </w:tcPr>
          <w:p w14:paraId="695880F4" w14:textId="1C3C5473" w:rsidR="00EE5BB8" w:rsidRPr="00C6052E" w:rsidRDefault="00EE5BB8" w:rsidP="0063097D">
            <w:pPr>
              <w:pStyle w:val="TableCopy"/>
              <w:rPr>
                <w:i/>
                <w:iCs/>
                <w:lang w:val="en-AU"/>
              </w:rPr>
            </w:pPr>
            <w:r w:rsidRPr="00C6052E">
              <w:rPr>
                <w:lang w:val="en-AU"/>
              </w:rPr>
              <w:t>Chair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and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Independent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Member</w:t>
            </w:r>
            <w:r w:rsidR="00177848" w:rsidRPr="00C6052E">
              <w:rPr>
                <w:lang w:val="en-AU"/>
              </w:rPr>
              <w:t xml:space="preserve"> </w:t>
            </w:r>
          </w:p>
        </w:tc>
        <w:tc>
          <w:tcPr>
            <w:tcW w:w="3175" w:type="dxa"/>
          </w:tcPr>
          <w:p w14:paraId="03580C6D" w14:textId="6562CB09" w:rsidR="00EE5BB8" w:rsidRPr="00C6052E" w:rsidRDefault="00EE5BB8" w:rsidP="0063097D">
            <w:pPr>
              <w:pStyle w:val="TableCopy"/>
              <w:rPr>
                <w:i/>
                <w:iCs/>
                <w:lang w:val="en-AU"/>
              </w:rPr>
            </w:pPr>
            <w:r w:rsidRPr="00C6052E">
              <w:rPr>
                <w:lang w:val="en-AU"/>
              </w:rPr>
              <w:t>1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July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2024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to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30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June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2025</w:t>
            </w:r>
          </w:p>
        </w:tc>
      </w:tr>
      <w:tr w:rsidR="00EE5BB8" w:rsidRPr="00C6052E" w14:paraId="3D80C17E" w14:textId="77777777" w:rsidTr="0063097D">
        <w:tc>
          <w:tcPr>
            <w:tcW w:w="1985" w:type="dxa"/>
          </w:tcPr>
          <w:p w14:paraId="5956D6EB" w14:textId="7C8D4FC4" w:rsidR="00EE5BB8" w:rsidRPr="00C6052E" w:rsidRDefault="00EE5BB8" w:rsidP="0063097D">
            <w:pPr>
              <w:pStyle w:val="TableCopy"/>
              <w:rPr>
                <w:i/>
                <w:iCs/>
                <w:lang w:val="en-AU"/>
              </w:rPr>
            </w:pPr>
            <w:r w:rsidRPr="00C6052E">
              <w:rPr>
                <w:lang w:val="en-AU"/>
              </w:rPr>
              <w:t>Nanette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Fitzgerald</w:t>
            </w:r>
            <w:r w:rsidR="00177848" w:rsidRPr="00C6052E">
              <w:rPr>
                <w:lang w:val="en-AU"/>
              </w:rPr>
              <w:t xml:space="preserve"> </w:t>
            </w:r>
          </w:p>
        </w:tc>
        <w:tc>
          <w:tcPr>
            <w:tcW w:w="4531" w:type="dxa"/>
          </w:tcPr>
          <w:p w14:paraId="737FD3DA" w14:textId="5D4DB321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Executive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Director,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Industry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Development,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Construction,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Manufacturing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and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Talent</w:t>
            </w:r>
          </w:p>
        </w:tc>
        <w:tc>
          <w:tcPr>
            <w:tcW w:w="3175" w:type="dxa"/>
          </w:tcPr>
          <w:p w14:paraId="09EF5446" w14:textId="35547D4C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1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July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2024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to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30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June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2025</w:t>
            </w:r>
          </w:p>
        </w:tc>
      </w:tr>
      <w:tr w:rsidR="00EE5BB8" w:rsidRPr="00C6052E" w14:paraId="49BEAE18" w14:textId="77777777" w:rsidTr="0063097D">
        <w:tc>
          <w:tcPr>
            <w:tcW w:w="1985" w:type="dxa"/>
          </w:tcPr>
          <w:p w14:paraId="0F8BE43B" w14:textId="0B2F82C5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Max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Coffman</w:t>
            </w:r>
          </w:p>
        </w:tc>
        <w:tc>
          <w:tcPr>
            <w:tcW w:w="4531" w:type="dxa"/>
          </w:tcPr>
          <w:p w14:paraId="04BF5CAA" w14:textId="57ED124D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Deputy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Chief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Executive,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Creative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Victoria</w:t>
            </w:r>
          </w:p>
        </w:tc>
        <w:tc>
          <w:tcPr>
            <w:tcW w:w="3175" w:type="dxa"/>
          </w:tcPr>
          <w:p w14:paraId="3C52A632" w14:textId="31A8320D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1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July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2024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to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30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June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2025</w:t>
            </w:r>
          </w:p>
        </w:tc>
      </w:tr>
      <w:tr w:rsidR="00EE5BB8" w:rsidRPr="00C6052E" w14:paraId="2E3F185E" w14:textId="77777777" w:rsidTr="0063097D">
        <w:tc>
          <w:tcPr>
            <w:tcW w:w="1985" w:type="dxa"/>
          </w:tcPr>
          <w:p w14:paraId="3329B812" w14:textId="1800784B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Deirdre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Blythe</w:t>
            </w:r>
          </w:p>
        </w:tc>
        <w:tc>
          <w:tcPr>
            <w:tcW w:w="4531" w:type="dxa"/>
          </w:tcPr>
          <w:p w14:paraId="62874CD9" w14:textId="38995C94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Independent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Member</w:t>
            </w:r>
          </w:p>
        </w:tc>
        <w:tc>
          <w:tcPr>
            <w:tcW w:w="3175" w:type="dxa"/>
          </w:tcPr>
          <w:p w14:paraId="7B9C1784" w14:textId="34721A53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1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July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2024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to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31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December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2024</w:t>
            </w:r>
          </w:p>
        </w:tc>
      </w:tr>
      <w:tr w:rsidR="00EE5BB8" w:rsidRPr="00C6052E" w14:paraId="4AD8456C" w14:textId="77777777" w:rsidTr="0063097D">
        <w:tc>
          <w:tcPr>
            <w:tcW w:w="1985" w:type="dxa"/>
          </w:tcPr>
          <w:p w14:paraId="459699E7" w14:textId="03D8BE45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Carole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Alt</w:t>
            </w:r>
          </w:p>
        </w:tc>
        <w:tc>
          <w:tcPr>
            <w:tcW w:w="4531" w:type="dxa"/>
          </w:tcPr>
          <w:p w14:paraId="3D9AFEE5" w14:textId="29BD12AE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Independent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Member</w:t>
            </w:r>
          </w:p>
        </w:tc>
        <w:tc>
          <w:tcPr>
            <w:tcW w:w="3175" w:type="dxa"/>
          </w:tcPr>
          <w:p w14:paraId="7E317812" w14:textId="3E9C3257" w:rsidR="00EE5BB8" w:rsidRPr="00C6052E" w:rsidRDefault="00EE5BB8" w:rsidP="0063097D">
            <w:pPr>
              <w:pStyle w:val="TableCopy"/>
              <w:rPr>
                <w:lang w:val="en-AU"/>
              </w:rPr>
            </w:pPr>
            <w:r w:rsidRPr="00C6052E">
              <w:rPr>
                <w:lang w:val="en-AU"/>
              </w:rPr>
              <w:t>1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July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2024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to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30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June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2025</w:t>
            </w:r>
          </w:p>
        </w:tc>
      </w:tr>
    </w:tbl>
    <w:p w14:paraId="65EC15E0" w14:textId="77777777" w:rsidR="00EE5BB8" w:rsidRPr="00C6052E" w:rsidRDefault="00EE5BB8" w:rsidP="00880FCA">
      <w:pPr>
        <w:spacing w:after="0"/>
      </w:pPr>
    </w:p>
    <w:p w14:paraId="2D1023D1" w14:textId="77777777" w:rsidR="00EE5BB8" w:rsidRPr="00C6052E" w:rsidRDefault="00EE5BB8" w:rsidP="00EE5BB8">
      <w:pPr>
        <w:pStyle w:val="Heading2"/>
      </w:pPr>
      <w:bookmarkStart w:id="18" w:name="_Toc214375834"/>
      <w:r w:rsidRPr="00C6052E">
        <w:t>Entities</w:t>
      </w:r>
      <w:bookmarkEnd w:id="18"/>
    </w:p>
    <w:p w14:paraId="5F3AE2EA" w14:textId="65120207" w:rsidR="00EE5BB8" w:rsidRPr="00C6052E" w:rsidRDefault="00EE5BB8" w:rsidP="00880FCA">
      <w:pPr>
        <w:pStyle w:val="Heading3"/>
        <w:spacing w:after="120"/>
      </w:pPr>
      <w:r w:rsidRPr="00C6052E">
        <w:t>Creative</w:t>
      </w:r>
      <w:r w:rsidR="00177848" w:rsidRPr="00C6052E">
        <w:t xml:space="preserve"> </w:t>
      </w:r>
      <w:r w:rsidRPr="00C6052E">
        <w:t>Industries</w:t>
      </w:r>
      <w:r w:rsidR="00177848" w:rsidRPr="00C6052E">
        <w:t xml:space="preserve"> </w:t>
      </w:r>
      <w:r w:rsidRPr="00C6052E">
        <w:t>portfolio</w:t>
      </w:r>
      <w:r w:rsidR="00177848" w:rsidRPr="00C6052E">
        <w:t xml:space="preserve"> </w:t>
      </w:r>
    </w:p>
    <w:p w14:paraId="71200A9D" w14:textId="7C6E8103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Arts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Centre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Melbourne</w:t>
      </w:r>
    </w:p>
    <w:p w14:paraId="7544208B" w14:textId="406A1634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Australian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Centre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Moving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Image</w:t>
      </w:r>
    </w:p>
    <w:p w14:paraId="51A169E8" w14:textId="1E2FD99B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Docklands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Studios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Melbourne</w:t>
      </w:r>
    </w:p>
    <w:p w14:paraId="3868DB66" w14:textId="60667F83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Film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(trading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</w:t>
      </w:r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VicScreen</w:t>
      </w:r>
      <w:proofErr w:type="spellEnd"/>
      <w:r w:rsidRPr="00C6052E">
        <w:rPr>
          <w:lang w:val="en-AU"/>
        </w:rPr>
        <w:t>)</w:t>
      </w:r>
    </w:p>
    <w:p w14:paraId="29B5A409" w14:textId="05817BBC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Geelong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Centre</w:t>
      </w:r>
    </w:p>
    <w:p w14:paraId="3862A7CA" w14:textId="0AE18D29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Precinct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Corporation</w:t>
      </w:r>
    </w:p>
    <w:p w14:paraId="3BCBC4E7" w14:textId="288EFA4B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Recital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Centre</w:t>
      </w:r>
    </w:p>
    <w:p w14:paraId="134DA790" w14:textId="72064E8F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Museums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</w:p>
    <w:p w14:paraId="25220A65" w14:textId="207682C0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National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Gallery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</w:p>
    <w:p w14:paraId="25F57852" w14:textId="17BBBF17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State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Library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</w:p>
    <w:p w14:paraId="55159B09" w14:textId="7A153F9C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Wheeler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Centre</w:t>
      </w:r>
    </w:p>
    <w:p w14:paraId="38E9796B" w14:textId="036FE72C" w:rsidR="00EE5BB8" w:rsidRPr="00C6052E" w:rsidRDefault="00EE5BB8" w:rsidP="00880FCA">
      <w:pPr>
        <w:pStyle w:val="Heading3"/>
        <w:spacing w:after="120"/>
      </w:pPr>
      <w:r w:rsidRPr="00C6052E">
        <w:t>Economic</w:t>
      </w:r>
      <w:r w:rsidR="00177848" w:rsidRPr="00C6052E">
        <w:t xml:space="preserve"> </w:t>
      </w:r>
      <w:r w:rsidRPr="00C6052E">
        <w:t>Growth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Jobs</w:t>
      </w:r>
      <w:r w:rsidR="00177848" w:rsidRPr="00C6052E">
        <w:t xml:space="preserve"> </w:t>
      </w:r>
      <w:r w:rsidRPr="00C6052E">
        <w:t>portfolio</w:t>
      </w:r>
    </w:p>
    <w:p w14:paraId="6FE3CCD8" w14:textId="789B93AC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Breakthrough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</w:p>
    <w:p w14:paraId="1136658B" w14:textId="77777777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proofErr w:type="spellStart"/>
      <w:r w:rsidRPr="00C6052E">
        <w:rPr>
          <w:lang w:val="en-AU"/>
        </w:rPr>
        <w:t>LaunchVic</w:t>
      </w:r>
      <w:proofErr w:type="spellEnd"/>
    </w:p>
    <w:p w14:paraId="6EE24EB3" w14:textId="23ACBCD7" w:rsidR="00EE5BB8" w:rsidRPr="00C6052E" w:rsidRDefault="00EE5BB8" w:rsidP="00880FCA">
      <w:pPr>
        <w:pStyle w:val="Heading3"/>
        <w:spacing w:after="120"/>
      </w:pPr>
      <w:r w:rsidRPr="00C6052E">
        <w:t>Industry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Advanced</w:t>
      </w:r>
      <w:r w:rsidR="00177848" w:rsidRPr="00C6052E">
        <w:t xml:space="preserve"> </w:t>
      </w:r>
      <w:r w:rsidRPr="00C6052E">
        <w:t>Manufacturing</w:t>
      </w:r>
      <w:r w:rsidR="00177848" w:rsidRPr="00C6052E">
        <w:rPr>
          <w:rFonts w:cs="Cambria"/>
        </w:rPr>
        <w:t xml:space="preserve"> </w:t>
      </w:r>
      <w:r w:rsidRPr="00C6052E">
        <w:t>portfolio</w:t>
      </w:r>
    </w:p>
    <w:p w14:paraId="7AF2149F" w14:textId="6090E081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Office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Commissioner</w:t>
      </w:r>
    </w:p>
    <w:p w14:paraId="340E11AC" w14:textId="3FAF0733" w:rsidR="00EE5BB8" w:rsidRPr="00C6052E" w:rsidRDefault="00EE5BB8" w:rsidP="00880FCA">
      <w:pPr>
        <w:pStyle w:val="Heading3"/>
        <w:spacing w:after="120"/>
      </w:pPr>
      <w:r w:rsidRPr="00C6052E">
        <w:t>Outdoor</w:t>
      </w:r>
      <w:r w:rsidR="00177848" w:rsidRPr="00C6052E">
        <w:t xml:space="preserve"> </w:t>
      </w:r>
      <w:r w:rsidRPr="00C6052E">
        <w:t>Recreation</w:t>
      </w:r>
      <w:r w:rsidR="00177848" w:rsidRPr="00C6052E">
        <w:t xml:space="preserve"> </w:t>
      </w:r>
      <w:r w:rsidRPr="00C6052E">
        <w:t>portfolio</w:t>
      </w:r>
    </w:p>
    <w:p w14:paraId="1AC8BB58" w14:textId="743A462D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Game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Management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Authority</w:t>
      </w:r>
    </w:p>
    <w:p w14:paraId="21C7D9DD" w14:textId="00DF7863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Fisheries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Authority</w:t>
      </w:r>
    </w:p>
    <w:p w14:paraId="0AFDC449" w14:textId="67145BAC" w:rsidR="00EE5BB8" w:rsidRPr="00C6052E" w:rsidRDefault="00EE5BB8" w:rsidP="00EE5BB8">
      <w:pPr>
        <w:pStyle w:val="Heading3"/>
      </w:pPr>
      <w:r w:rsidRPr="00C6052E">
        <w:lastRenderedPageBreak/>
        <w:t>Regional</w:t>
      </w:r>
      <w:r w:rsidR="00177848" w:rsidRPr="00C6052E">
        <w:t xml:space="preserve"> </w:t>
      </w:r>
      <w:r w:rsidRPr="00C6052E">
        <w:t>Development</w:t>
      </w:r>
      <w:r w:rsidR="00177848" w:rsidRPr="00C6052E">
        <w:t xml:space="preserve"> </w:t>
      </w:r>
      <w:r w:rsidRPr="00C6052E">
        <w:t>portfolio</w:t>
      </w:r>
    </w:p>
    <w:p w14:paraId="445FE58F" w14:textId="15B863F1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Office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Border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Commissioner</w:t>
      </w:r>
    </w:p>
    <w:p w14:paraId="2DF66BE7" w14:textId="39CE57C2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</w:p>
    <w:p w14:paraId="6196454C" w14:textId="6D5B94D0" w:rsidR="00EE5BB8" w:rsidRPr="00C6052E" w:rsidRDefault="00EE5BB8" w:rsidP="00EE5BB8">
      <w:pPr>
        <w:pStyle w:val="Heading3"/>
      </w:pPr>
      <w:r w:rsidRPr="00C6052E">
        <w:t>Skills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TAFE</w:t>
      </w:r>
      <w:r w:rsidR="00177848" w:rsidRPr="00C6052E">
        <w:t xml:space="preserve"> </w:t>
      </w:r>
      <w:r w:rsidRPr="00C6052E">
        <w:t>portfolio</w:t>
      </w:r>
    </w:p>
    <w:p w14:paraId="5CED6048" w14:textId="0F03E055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Adult,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Community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Further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Education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Board</w:t>
      </w:r>
    </w:p>
    <w:p w14:paraId="199384AC" w14:textId="7EF31548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AMES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</w:t>
      </w:r>
    </w:p>
    <w:p w14:paraId="4B557E25" w14:textId="53CBA31E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Bendigo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Kangan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Institute</w:t>
      </w:r>
    </w:p>
    <w:p w14:paraId="29D52C1B" w14:textId="461AEC9D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Box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Hill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Institute</w:t>
      </w:r>
    </w:p>
    <w:p w14:paraId="7209D967" w14:textId="5E2F8198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Chisholm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Institute</w:t>
      </w:r>
    </w:p>
    <w:p w14:paraId="7EE63D33" w14:textId="7023129C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Goulburn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Institute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(GOTAFE)</w:t>
      </w:r>
    </w:p>
    <w:p w14:paraId="61C6C63C" w14:textId="39F45682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Holmesglen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Institute</w:t>
      </w:r>
    </w:p>
    <w:p w14:paraId="21AFDD9D" w14:textId="4DD3869A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Polytechnic</w:t>
      </w:r>
    </w:p>
    <w:p w14:paraId="72D5A680" w14:textId="49FCDAB5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South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Institute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</w:t>
      </w:r>
    </w:p>
    <w:p w14:paraId="09616DDF" w14:textId="2AB33BD4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Sunraysia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Institute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</w:t>
      </w:r>
      <w:proofErr w:type="spellStart"/>
      <w:r w:rsidRPr="00C6052E">
        <w:rPr>
          <w:lang w:val="en-AU"/>
        </w:rPr>
        <w:t>SuniTAFE</w:t>
      </w:r>
      <w:proofErr w:type="spellEnd"/>
      <w:r w:rsidRPr="00C6052E">
        <w:rPr>
          <w:lang w:val="en-AU"/>
        </w:rPr>
        <w:t>)</w:t>
      </w:r>
    </w:p>
    <w:p w14:paraId="79C0B0BE" w14:textId="7561FBC8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TAFE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Gippsland</w:t>
      </w:r>
    </w:p>
    <w:p w14:paraId="704953B8" w14:textId="25FCFCC4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Gordon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Institute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</w:t>
      </w:r>
    </w:p>
    <w:p w14:paraId="481DACDC" w14:textId="6D274962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VET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Centre</w:t>
      </w:r>
    </w:p>
    <w:p w14:paraId="357D46DE" w14:textId="616A838F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Authority</w:t>
      </w:r>
    </w:p>
    <w:p w14:paraId="22148F69" w14:textId="23015E74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William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Angliss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Institute</w:t>
      </w:r>
    </w:p>
    <w:p w14:paraId="09CE840B" w14:textId="0FCAE9FE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Wodonga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</w:t>
      </w:r>
    </w:p>
    <w:p w14:paraId="52AC45C1" w14:textId="6FAA5C5E" w:rsidR="00EE5BB8" w:rsidRPr="00C6052E" w:rsidRDefault="00EE5BB8" w:rsidP="00EE5BB8">
      <w:pPr>
        <w:pStyle w:val="Heading3"/>
      </w:pPr>
      <w:r w:rsidRPr="00C6052E">
        <w:t>Small</w:t>
      </w:r>
      <w:r w:rsidR="00177848" w:rsidRPr="00C6052E">
        <w:t xml:space="preserve"> </w:t>
      </w:r>
      <w:r w:rsidRPr="00C6052E">
        <w:t>Business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Employment</w:t>
      </w:r>
      <w:r w:rsidR="00177848" w:rsidRPr="00C6052E">
        <w:t xml:space="preserve"> </w:t>
      </w:r>
      <w:r w:rsidRPr="00C6052E">
        <w:t>portfolio</w:t>
      </w:r>
    </w:p>
    <w:p w14:paraId="35FCD9F3" w14:textId="2E330AF0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Small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Commission</w:t>
      </w:r>
    </w:p>
    <w:p w14:paraId="40421B24" w14:textId="1ADEEF93" w:rsidR="00EE5BB8" w:rsidRPr="00C6052E" w:rsidRDefault="00EE5BB8" w:rsidP="00EE5BB8">
      <w:pPr>
        <w:pStyle w:val="Heading3"/>
      </w:pPr>
      <w:r w:rsidRPr="00C6052E">
        <w:t>Tourism,</w:t>
      </w:r>
      <w:r w:rsidR="00177848" w:rsidRPr="00C6052E">
        <w:t xml:space="preserve"> </w:t>
      </w:r>
      <w:r w:rsidRPr="00C6052E">
        <w:t>Sport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Major</w:t>
      </w:r>
      <w:r w:rsidR="00177848" w:rsidRPr="00C6052E">
        <w:t xml:space="preserve"> </w:t>
      </w:r>
      <w:r w:rsidRPr="00C6052E">
        <w:t>Events</w:t>
      </w:r>
      <w:r w:rsidR="00177848" w:rsidRPr="00C6052E">
        <w:t xml:space="preserve"> </w:t>
      </w:r>
      <w:r w:rsidRPr="00C6052E">
        <w:t>portfolio</w:t>
      </w:r>
    </w:p>
    <w:p w14:paraId="43180214" w14:textId="7F66EE35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Australian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Prix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Corporation</w:t>
      </w:r>
    </w:p>
    <w:p w14:paraId="0B14967B" w14:textId="15C6F3B8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Kardinia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Stadium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Trust</w:t>
      </w:r>
    </w:p>
    <w:p w14:paraId="2FDD9EA9" w14:textId="4CD94635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Olympic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Parks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Trust</w:t>
      </w:r>
    </w:p>
    <w:p w14:paraId="641C9927" w14:textId="04DC2065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Convention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Bureau</w:t>
      </w:r>
    </w:p>
    <w:p w14:paraId="382C4C41" w14:textId="64D28C58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Cricket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Ground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Trust</w:t>
      </w:r>
    </w:p>
    <w:p w14:paraId="16762059" w14:textId="4383BF9D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Professional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Boxing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Combat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Sports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Board</w:t>
      </w:r>
    </w:p>
    <w:p w14:paraId="4CC3BBCA" w14:textId="09EDD73E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Puffing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Billy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Railway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Board</w:t>
      </w:r>
    </w:p>
    <w:p w14:paraId="0C081CD6" w14:textId="09638C60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State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Centres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Trust</w:t>
      </w:r>
    </w:p>
    <w:p w14:paraId="2E46F929" w14:textId="00CF51B8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lastRenderedPageBreak/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Convention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Trust</w:t>
      </w:r>
    </w:p>
    <w:p w14:paraId="73D1754E" w14:textId="3184F3F5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Institute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Sport</w:t>
      </w:r>
    </w:p>
    <w:p w14:paraId="458E2241" w14:textId="2B4762F0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Visit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</w:p>
    <w:p w14:paraId="34E8D267" w14:textId="5D88A101" w:rsidR="00EE5BB8" w:rsidRPr="00C6052E" w:rsidRDefault="00EE5BB8" w:rsidP="00EE5BB8">
      <w:pPr>
        <w:pStyle w:val="Heading2"/>
      </w:pPr>
      <w:bookmarkStart w:id="19" w:name="_Toc214375835"/>
      <w:r w:rsidRPr="00C6052E">
        <w:t>Departmental</w:t>
      </w:r>
      <w:r w:rsidR="00177848" w:rsidRPr="00C6052E">
        <w:t xml:space="preserve"> </w:t>
      </w:r>
      <w:r w:rsidRPr="00C6052E">
        <w:t>groups</w:t>
      </w:r>
      <w:r w:rsidR="00177848" w:rsidRPr="00C6052E">
        <w:t xml:space="preserve"> </w:t>
      </w:r>
      <w:proofErr w:type="gramStart"/>
      <w:r w:rsidRPr="00C6052E">
        <w:t>at</w:t>
      </w:r>
      <w:proofErr w:type="gramEnd"/>
      <w:r w:rsidR="00177848" w:rsidRPr="00C6052E">
        <w:t xml:space="preserve"> </w:t>
      </w:r>
      <w:r w:rsidRPr="00C6052E">
        <w:t>30</w:t>
      </w:r>
      <w:r w:rsidR="00177848" w:rsidRPr="00C6052E">
        <w:t xml:space="preserve"> </w:t>
      </w:r>
      <w:r w:rsidRPr="00C6052E">
        <w:t>June</w:t>
      </w:r>
      <w:r w:rsidR="00177848" w:rsidRPr="00C6052E">
        <w:t xml:space="preserve"> </w:t>
      </w:r>
      <w:r w:rsidRPr="00C6052E">
        <w:t>2025</w:t>
      </w:r>
      <w:bookmarkEnd w:id="19"/>
    </w:p>
    <w:p w14:paraId="62DC83F8" w14:textId="4C72343B" w:rsidR="00EE5BB8" w:rsidRPr="00C6052E" w:rsidRDefault="00EE5BB8" w:rsidP="00EE5BB8">
      <w:pPr>
        <w:pStyle w:val="Heading3"/>
      </w:pPr>
      <w:r w:rsidRPr="00C6052E">
        <w:t>Corporate</w:t>
      </w:r>
      <w:r w:rsidR="00177848" w:rsidRPr="00C6052E">
        <w:t xml:space="preserve"> </w:t>
      </w:r>
      <w:r w:rsidRPr="00C6052E">
        <w:t>Services</w:t>
      </w:r>
    </w:p>
    <w:p w14:paraId="40BFB708" w14:textId="164FBCE7" w:rsidR="00EE5BB8" w:rsidRPr="00C6052E" w:rsidRDefault="00EE5BB8" w:rsidP="00EE5BB8">
      <w:r w:rsidRPr="00C6052E">
        <w:rPr>
          <w:spacing w:val="-2"/>
        </w:rPr>
        <w:t>The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Corporate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Services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Group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(CSG)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was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key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enabler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of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the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department’s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ability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to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deliver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government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priorities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efficiently,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effectively,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and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with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integrity.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With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expertise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spanning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people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and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culture,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finance,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investment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and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procurement,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strategic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communications,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information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technology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and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workplace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services,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integrity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services,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legal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and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legislation,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and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emergency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management,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CSG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delivered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essential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whole-of-department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services.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These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capabilities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supported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the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department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to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develop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its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highly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capable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workforce,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provide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robust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governance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frameworks,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and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innovative,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data-driven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decision-making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processes</w:t>
      </w:r>
      <w:r w:rsidRPr="00C6052E">
        <w:t>.</w:t>
      </w:r>
    </w:p>
    <w:p w14:paraId="15DD8400" w14:textId="6BD59CEA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group</w:t>
      </w:r>
      <w:r w:rsidR="00177848" w:rsidRPr="00C6052E">
        <w:t xml:space="preserve"> </w:t>
      </w:r>
      <w:r w:rsidRPr="00C6052E">
        <w:t>played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pivotal</w:t>
      </w:r>
      <w:r w:rsidR="00177848" w:rsidRPr="00C6052E">
        <w:t xml:space="preserve"> </w:t>
      </w:r>
      <w:r w:rsidRPr="00C6052E">
        <w:t>role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enhancing</w:t>
      </w:r>
      <w:r w:rsidR="00177848" w:rsidRPr="00C6052E">
        <w:t xml:space="preserve"> </w:t>
      </w:r>
      <w:r w:rsidRPr="00C6052E">
        <w:t>efficiency,</w:t>
      </w:r>
      <w:r w:rsidR="00177848" w:rsidRPr="00C6052E">
        <w:t xml:space="preserve"> </w:t>
      </w:r>
      <w:r w:rsidRPr="00C6052E">
        <w:t>managing</w:t>
      </w:r>
      <w:r w:rsidR="00177848" w:rsidRPr="00C6052E">
        <w:t xml:space="preserve"> </w:t>
      </w:r>
      <w:r w:rsidRPr="00C6052E">
        <w:t>risk,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improving</w:t>
      </w:r>
      <w:r w:rsidR="00177848" w:rsidRPr="00C6052E">
        <w:t xml:space="preserve"> </w:t>
      </w:r>
      <w:r w:rsidRPr="00C6052E">
        <w:t>organisational</w:t>
      </w:r>
      <w:r w:rsidR="00177848" w:rsidRPr="00C6052E">
        <w:t xml:space="preserve"> </w:t>
      </w:r>
      <w:r w:rsidRPr="00C6052E">
        <w:t>outcomes.</w:t>
      </w:r>
      <w:r w:rsidR="00177848" w:rsidRPr="00C6052E">
        <w:t xml:space="preserve"> </w:t>
      </w:r>
      <w:r w:rsidRPr="00C6052E">
        <w:t>It</w:t>
      </w:r>
      <w:r w:rsidR="00177848" w:rsidRPr="00C6052E">
        <w:t xml:space="preserve"> </w:t>
      </w:r>
      <w:r w:rsidRPr="00C6052E">
        <w:t>worked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ensure</w:t>
      </w:r>
      <w:r w:rsidR="00177848" w:rsidRPr="00C6052E">
        <w:t xml:space="preserve"> </w:t>
      </w:r>
      <w:r w:rsidRPr="00C6052E">
        <w:t>compliance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legislative</w:t>
      </w:r>
      <w:r w:rsidR="00177848" w:rsidRPr="00C6052E">
        <w:t xml:space="preserve"> </w:t>
      </w:r>
      <w:r w:rsidRPr="00C6052E">
        <w:t>obligations</w:t>
      </w:r>
      <w:r w:rsidR="00177848" w:rsidRPr="00C6052E">
        <w:t xml:space="preserve"> </w:t>
      </w:r>
      <w:r w:rsidRPr="00C6052E">
        <w:t>while</w:t>
      </w:r>
      <w:r w:rsidR="00177848" w:rsidRPr="00C6052E">
        <w:t xml:space="preserve"> </w:t>
      </w:r>
      <w:r w:rsidRPr="00C6052E">
        <w:t>aligning</w:t>
      </w:r>
      <w:r w:rsidR="00177848" w:rsidRPr="00C6052E">
        <w:t xml:space="preserve"> </w:t>
      </w:r>
      <w:r w:rsidRPr="00C6052E">
        <w:t>resources,</w:t>
      </w:r>
      <w:r w:rsidR="00177848" w:rsidRPr="00C6052E">
        <w:t xml:space="preserve"> </w:t>
      </w:r>
      <w:r w:rsidRPr="00C6052E">
        <w:t>systems,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policies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strategic</w:t>
      </w:r>
      <w:r w:rsidR="00177848" w:rsidRPr="00C6052E">
        <w:t xml:space="preserve"> </w:t>
      </w:r>
      <w:r w:rsidRPr="00C6052E">
        <w:t>objectives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department.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role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emergency</w:t>
      </w:r>
      <w:r w:rsidR="00177848" w:rsidRPr="00C6052E">
        <w:t xml:space="preserve"> </w:t>
      </w:r>
      <w:r w:rsidRPr="00C6052E">
        <w:t>management</w:t>
      </w:r>
      <w:r w:rsidR="00177848" w:rsidRPr="00C6052E">
        <w:t xml:space="preserve"> </w:t>
      </w:r>
      <w:r w:rsidRPr="00C6052E">
        <w:t>ensured</w:t>
      </w:r>
      <w:r w:rsidR="00177848" w:rsidRPr="00C6052E">
        <w:t xml:space="preserve"> </w:t>
      </w:r>
      <w:r w:rsidRPr="00C6052E">
        <w:t>preparedness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responsiveness</w:t>
      </w:r>
      <w:r w:rsidR="00177848" w:rsidRPr="00C6052E">
        <w:t xml:space="preserve"> </w:t>
      </w:r>
      <w:r w:rsidRPr="00C6052E">
        <w:t>during</w:t>
      </w:r>
      <w:r w:rsidR="00177848" w:rsidRPr="00C6052E">
        <w:t xml:space="preserve"> </w:t>
      </w:r>
      <w:r w:rsidRPr="00C6052E">
        <w:t>crises,</w:t>
      </w:r>
      <w:r w:rsidR="00177848" w:rsidRPr="00C6052E">
        <w:t xml:space="preserve"> </w:t>
      </w:r>
      <w:r w:rsidRPr="00C6052E">
        <w:t>helping</w:t>
      </w:r>
      <w:r w:rsidR="00177848" w:rsidRPr="00C6052E">
        <w:t xml:space="preserve"> </w:t>
      </w:r>
      <w:r w:rsidRPr="00C6052E">
        <w:t>people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maintain</w:t>
      </w:r>
      <w:r w:rsidR="00177848" w:rsidRPr="00C6052E">
        <w:t xml:space="preserve"> </w:t>
      </w:r>
      <w:r w:rsidRPr="00C6052E">
        <w:t>critical</w:t>
      </w:r>
      <w:r w:rsidR="00177848" w:rsidRPr="00C6052E">
        <w:t xml:space="preserve"> </w:t>
      </w:r>
      <w:r w:rsidRPr="00C6052E">
        <w:t>services.</w:t>
      </w:r>
      <w:r w:rsidR="00177848" w:rsidRPr="00C6052E">
        <w:t xml:space="preserve"> </w:t>
      </w:r>
    </w:p>
    <w:p w14:paraId="6E1DC286" w14:textId="57EA0861" w:rsidR="00EE5BB8" w:rsidRPr="00C6052E" w:rsidRDefault="00EE5BB8" w:rsidP="00EE5BB8">
      <w:r w:rsidRPr="00C6052E">
        <w:t>As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cornerstone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operational</w:t>
      </w:r>
      <w:r w:rsidR="00177848" w:rsidRPr="00C6052E">
        <w:t xml:space="preserve"> </w:t>
      </w:r>
      <w:r w:rsidRPr="00C6052E">
        <w:t>excellence,</w:t>
      </w:r>
      <w:r w:rsidR="00177848" w:rsidRPr="00C6052E">
        <w:t xml:space="preserve"> </w:t>
      </w:r>
      <w:r w:rsidRPr="00C6052E">
        <w:t>CSG</w:t>
      </w:r>
      <w:r w:rsidR="00177848" w:rsidRPr="00C6052E">
        <w:t xml:space="preserve"> </w:t>
      </w:r>
      <w:r w:rsidRPr="00C6052E">
        <w:t>enabled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meet</w:t>
      </w:r>
      <w:r w:rsidR="00177848" w:rsidRPr="00C6052E">
        <w:t xml:space="preserve"> </w:t>
      </w:r>
      <w:r w:rsidRPr="00C6052E">
        <w:t>stakeholder</w:t>
      </w:r>
      <w:r w:rsidR="00177848" w:rsidRPr="00C6052E">
        <w:t xml:space="preserve"> </w:t>
      </w:r>
      <w:r w:rsidRPr="00C6052E">
        <w:t>expectations</w:t>
      </w:r>
      <w:r w:rsidR="00177848" w:rsidRPr="00C6052E">
        <w:t xml:space="preserve"> </w:t>
      </w:r>
      <w:r w:rsidRPr="00C6052E">
        <w:t>while</w:t>
      </w:r>
      <w:r w:rsidR="00177848" w:rsidRPr="00C6052E">
        <w:t xml:space="preserve"> </w:t>
      </w:r>
      <w:r w:rsidRPr="00C6052E">
        <w:t>continuously</w:t>
      </w:r>
      <w:r w:rsidR="00177848" w:rsidRPr="00C6052E">
        <w:t xml:space="preserve"> </w:t>
      </w:r>
      <w:r w:rsidRPr="00C6052E">
        <w:t>improving</w:t>
      </w:r>
      <w:r w:rsidR="00177848" w:rsidRPr="00C6052E">
        <w:t xml:space="preserve"> </w:t>
      </w:r>
      <w:r w:rsidRPr="00C6052E">
        <w:t>service</w:t>
      </w:r>
      <w:r w:rsidR="00177848" w:rsidRPr="00C6052E">
        <w:t xml:space="preserve"> </w:t>
      </w:r>
      <w:r w:rsidRPr="00C6052E">
        <w:t>delivery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organisational</w:t>
      </w:r>
      <w:r w:rsidR="00177848" w:rsidRPr="00C6052E">
        <w:t xml:space="preserve"> </w:t>
      </w:r>
      <w:r w:rsidRPr="00C6052E">
        <w:t>performance.</w:t>
      </w:r>
    </w:p>
    <w:p w14:paraId="06BC764F" w14:textId="4C37861C" w:rsidR="00EE5BB8" w:rsidRPr="00C6052E" w:rsidRDefault="00EE5BB8" w:rsidP="00EE5BB8">
      <w:pPr>
        <w:pStyle w:val="Heading3"/>
      </w:pPr>
      <w:r w:rsidRPr="00C6052E">
        <w:t>Creative</w:t>
      </w:r>
      <w:r w:rsidR="00177848" w:rsidRPr="00C6052E">
        <w:t xml:space="preserve"> </w:t>
      </w:r>
      <w:r w:rsidRPr="00C6052E">
        <w:t>Victoria</w:t>
      </w:r>
    </w:p>
    <w:p w14:paraId="07137045" w14:textId="57AEEF60" w:rsidR="00EE5BB8" w:rsidRPr="00C6052E" w:rsidRDefault="00EE5BB8" w:rsidP="00EE5BB8">
      <w:r w:rsidRPr="00C6052E">
        <w:t>Creative</w:t>
      </w:r>
      <w:r w:rsidR="00177848" w:rsidRPr="00C6052E">
        <w:t xml:space="preserve"> </w:t>
      </w:r>
      <w:r w:rsidRPr="00C6052E">
        <w:t>Victoria</w:t>
      </w:r>
      <w:r w:rsidR="00177848" w:rsidRPr="00C6052E">
        <w:t xml:space="preserve"> </w:t>
      </w:r>
      <w:r w:rsidRPr="00C6052E">
        <w:t>championed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supported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state’s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industries,</w:t>
      </w:r>
      <w:r w:rsidR="00177848" w:rsidRPr="00C6052E">
        <w:t xml:space="preserve"> </w:t>
      </w:r>
      <w:r w:rsidRPr="00C6052E">
        <w:t>growing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$41.2</w:t>
      </w:r>
      <w:r w:rsidR="00177848" w:rsidRPr="00C6052E">
        <w:t xml:space="preserve"> </w:t>
      </w:r>
      <w:r w:rsidRPr="00C6052E">
        <w:t>billion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economy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benefit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Victorians.</w:t>
      </w:r>
      <w:r w:rsidR="00177848" w:rsidRPr="00C6052E">
        <w:t xml:space="preserve"> </w:t>
      </w:r>
      <w:r w:rsidRPr="00C6052E">
        <w:t>It</w:t>
      </w:r>
      <w:r w:rsidR="00177848" w:rsidRPr="00C6052E">
        <w:t xml:space="preserve"> </w:t>
      </w:r>
      <w:r w:rsidRPr="00C6052E">
        <w:t>invested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people,</w:t>
      </w:r>
      <w:r w:rsidR="00177848" w:rsidRPr="00C6052E">
        <w:t xml:space="preserve"> </w:t>
      </w:r>
      <w:r w:rsidRPr="00C6052E">
        <w:t>organisations,</w:t>
      </w:r>
      <w:r w:rsidR="00177848" w:rsidRPr="00C6052E">
        <w:t xml:space="preserve"> </w:t>
      </w:r>
      <w:r w:rsidRPr="00C6052E">
        <w:t>events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projects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make</w:t>
      </w:r>
      <w:r w:rsidR="00177848" w:rsidRPr="00C6052E">
        <w:t xml:space="preserve"> </w:t>
      </w:r>
      <w:r w:rsidRPr="00C6052E">
        <w:t>Victoria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state.</w:t>
      </w:r>
    </w:p>
    <w:p w14:paraId="0FC6CA0E" w14:textId="62BBE410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group</w:t>
      </w:r>
      <w:r w:rsidR="00177848" w:rsidRPr="00C6052E">
        <w:t xml:space="preserve"> </w:t>
      </w:r>
      <w:r w:rsidRPr="00C6052E">
        <w:t>backed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career</w:t>
      </w:r>
      <w:r w:rsidR="00177848" w:rsidRPr="00C6052E">
        <w:t xml:space="preserve"> </w:t>
      </w:r>
      <w:r w:rsidRPr="00C6052E">
        <w:t>development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workers,</w:t>
      </w:r>
      <w:r w:rsidR="00177848" w:rsidRPr="00C6052E">
        <w:t xml:space="preserve"> </w:t>
      </w:r>
      <w:r w:rsidRPr="00C6052E">
        <w:t>supported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sustainability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organisations,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ensured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Victorians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access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cultural</w:t>
      </w:r>
      <w:r w:rsidR="00177848" w:rsidRPr="00C6052E">
        <w:t xml:space="preserve"> </w:t>
      </w:r>
      <w:r w:rsidRPr="00C6052E">
        <w:t>opportunities,</w:t>
      </w:r>
      <w:r w:rsidR="00177848" w:rsidRPr="00C6052E">
        <w:t xml:space="preserve"> </w:t>
      </w:r>
      <w:r w:rsidRPr="00C6052E">
        <w:t>wherever</w:t>
      </w:r>
      <w:r w:rsidR="00177848" w:rsidRPr="00C6052E">
        <w:t xml:space="preserve"> </w:t>
      </w:r>
      <w:r w:rsidRPr="00C6052E">
        <w:t>they</w:t>
      </w:r>
      <w:r w:rsidR="00177848" w:rsidRPr="00C6052E">
        <w:t xml:space="preserve"> </w:t>
      </w:r>
      <w:r w:rsidRPr="00C6052E">
        <w:t>live.</w:t>
      </w:r>
      <w:r w:rsidR="00177848" w:rsidRPr="00C6052E">
        <w:t xml:space="preserve"> </w:t>
      </w:r>
      <w:r w:rsidRPr="00C6052E">
        <w:t>Underpinned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principle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First</w:t>
      </w:r>
      <w:r w:rsidR="00177848" w:rsidRPr="00C6052E">
        <w:t xml:space="preserve"> </w:t>
      </w:r>
      <w:r w:rsidRPr="00C6052E">
        <w:t>Peoples</w:t>
      </w:r>
      <w:r w:rsidR="00177848" w:rsidRPr="00C6052E">
        <w:t xml:space="preserve"> </w:t>
      </w:r>
      <w:r w:rsidRPr="00C6052E">
        <w:t>first,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self-determination</w:t>
      </w:r>
      <w:r w:rsidR="00177848" w:rsidRPr="00C6052E">
        <w:t xml:space="preserve"> </w:t>
      </w:r>
      <w:r w:rsidRPr="00C6052E">
        <w:t>embedded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policies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programs,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group</w:t>
      </w:r>
      <w:r w:rsidR="00177848" w:rsidRPr="00C6052E">
        <w:t xml:space="preserve"> </w:t>
      </w:r>
      <w:r w:rsidRPr="00C6052E">
        <w:t>helped</w:t>
      </w:r>
      <w:r w:rsidR="00177848" w:rsidRPr="00C6052E">
        <w:t xml:space="preserve"> </w:t>
      </w:r>
      <w:r w:rsidRPr="00C6052E">
        <w:t>platform</w:t>
      </w:r>
      <w:r w:rsidR="00177848" w:rsidRPr="00C6052E">
        <w:t xml:space="preserve"> </w:t>
      </w:r>
      <w:r w:rsidRPr="00C6052E">
        <w:t>First</w:t>
      </w:r>
      <w:r w:rsidR="00177848" w:rsidRPr="00C6052E">
        <w:t xml:space="preserve"> </w:t>
      </w:r>
      <w:r w:rsidRPr="00C6052E">
        <w:t>Peoples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leadership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supported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growth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strong</w:t>
      </w:r>
      <w:r w:rsidR="00177848" w:rsidRPr="00C6052E">
        <w:t xml:space="preserve"> </w:t>
      </w:r>
      <w:r w:rsidRPr="00C6052E">
        <w:t>First</w:t>
      </w:r>
      <w:r w:rsidR="00177848" w:rsidRPr="00C6052E">
        <w:t xml:space="preserve"> </w:t>
      </w:r>
      <w:r w:rsidRPr="00C6052E">
        <w:t>Peoples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sector.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group</w:t>
      </w:r>
      <w:r w:rsidR="00177848" w:rsidRPr="00C6052E">
        <w:t xml:space="preserve"> </w:t>
      </w:r>
      <w:r w:rsidRPr="00C6052E">
        <w:t>continued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develop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next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State</w:t>
      </w:r>
      <w:r w:rsidR="00177848" w:rsidRPr="00C6052E">
        <w:t xml:space="preserve"> </w:t>
      </w:r>
      <w:r w:rsidRPr="00C6052E">
        <w:t>strategy,</w:t>
      </w:r>
      <w:r w:rsidR="00177848" w:rsidRPr="00C6052E">
        <w:t xml:space="preserve"> </w:t>
      </w:r>
      <w:r w:rsidRPr="00C6052E">
        <w:t>which</w:t>
      </w:r>
      <w:r w:rsidR="00177848" w:rsidRPr="00C6052E">
        <w:t xml:space="preserve"> </w:t>
      </w:r>
      <w:r w:rsidRPr="00C6052E">
        <w:t>will</w:t>
      </w:r>
      <w:r w:rsidR="00177848" w:rsidRPr="00C6052E">
        <w:t xml:space="preserve"> </w:t>
      </w:r>
      <w:r w:rsidRPr="00C6052E">
        <w:t>outline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Government’s</w:t>
      </w:r>
      <w:r w:rsidR="00177848" w:rsidRPr="00C6052E">
        <w:t xml:space="preserve"> </w:t>
      </w:r>
      <w:r w:rsidRPr="00C6052E">
        <w:t>objectives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actions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arts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industries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Victoria</w:t>
      </w:r>
      <w:r w:rsidR="00177848" w:rsidRPr="00C6052E">
        <w:t xml:space="preserve"> </w:t>
      </w:r>
      <w:r w:rsidRPr="00C6052E">
        <w:t>over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coming</w:t>
      </w:r>
      <w:r w:rsidR="00177848" w:rsidRPr="00C6052E">
        <w:t xml:space="preserve"> </w:t>
      </w:r>
      <w:r w:rsidRPr="00C6052E">
        <w:t>4</w:t>
      </w:r>
      <w:r w:rsidR="00177848" w:rsidRPr="00C6052E">
        <w:t xml:space="preserve"> </w:t>
      </w:r>
      <w:r w:rsidRPr="00C6052E">
        <w:t>years.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Victoria</w:t>
      </w:r>
      <w:r w:rsidR="00177848" w:rsidRPr="00C6052E">
        <w:t xml:space="preserve"> </w:t>
      </w:r>
      <w:r w:rsidRPr="00C6052E">
        <w:t>also</w:t>
      </w:r>
      <w:r w:rsidR="00177848" w:rsidRPr="00C6052E">
        <w:t xml:space="preserve"> </w:t>
      </w:r>
      <w:r w:rsidRPr="00C6052E">
        <w:t>oversaw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state’s</w:t>
      </w:r>
      <w:r w:rsidR="00177848" w:rsidRPr="00C6052E">
        <w:t xml:space="preserve"> </w:t>
      </w:r>
      <w:r w:rsidRPr="00C6052E">
        <w:t>$9</w:t>
      </w:r>
      <w:r w:rsidR="00177848" w:rsidRPr="00C6052E">
        <w:t xml:space="preserve"> </w:t>
      </w:r>
      <w:r w:rsidRPr="00C6052E">
        <w:t>billion</w:t>
      </w:r>
      <w:r w:rsidR="00177848" w:rsidRPr="00C6052E">
        <w:t xml:space="preserve"> </w:t>
      </w:r>
      <w:r w:rsidRPr="00C6052E">
        <w:t>plus</w:t>
      </w:r>
      <w:r w:rsidR="00177848" w:rsidRPr="00C6052E">
        <w:t xml:space="preserve"> </w:t>
      </w:r>
      <w:r w:rsidRPr="00C6052E">
        <w:t>portfolio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cultural</w:t>
      </w:r>
      <w:r w:rsidR="00177848" w:rsidRPr="00C6052E">
        <w:t xml:space="preserve"> </w:t>
      </w:r>
      <w:r w:rsidRPr="00C6052E">
        <w:t>facilities,</w:t>
      </w:r>
      <w:r w:rsidR="00177848" w:rsidRPr="00C6052E">
        <w:t xml:space="preserve"> </w:t>
      </w:r>
      <w:r w:rsidRPr="00C6052E">
        <w:t>assets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collections,</w:t>
      </w:r>
      <w:r w:rsidR="00177848" w:rsidRPr="00C6052E">
        <w:t xml:space="preserve"> </w:t>
      </w:r>
      <w:r w:rsidRPr="00C6052E">
        <w:t>including</w:t>
      </w:r>
      <w:r w:rsidR="00177848" w:rsidRPr="00C6052E">
        <w:t xml:space="preserve"> </w:t>
      </w:r>
      <w:r w:rsidRPr="00C6052E">
        <w:t>Victoria’s</w:t>
      </w:r>
      <w:r w:rsidR="00177848" w:rsidRPr="00C6052E">
        <w:t xml:space="preserve"> </w:t>
      </w:r>
      <w:r w:rsidRPr="00C6052E">
        <w:t>iconic</w:t>
      </w:r>
      <w:r w:rsidR="00177848" w:rsidRPr="00C6052E">
        <w:t xml:space="preserve"> </w:t>
      </w:r>
      <w:r w:rsidRPr="00C6052E">
        <w:t>public</w:t>
      </w:r>
      <w:r w:rsidR="00177848" w:rsidRPr="00C6052E">
        <w:t xml:space="preserve"> </w:t>
      </w:r>
      <w:r w:rsidRPr="00C6052E">
        <w:t>cultural</w:t>
      </w:r>
      <w:r w:rsidR="00177848" w:rsidRPr="00C6052E">
        <w:t xml:space="preserve"> </w:t>
      </w:r>
      <w:r w:rsidRPr="00C6052E">
        <w:t>institutions</w:t>
      </w:r>
      <w:r w:rsidR="00177848" w:rsidRPr="00C6052E">
        <w:t xml:space="preserve"> </w:t>
      </w:r>
      <w:r w:rsidRPr="00C6052E">
        <w:t>which</w:t>
      </w:r>
      <w:r w:rsidR="00177848" w:rsidRPr="00C6052E">
        <w:t xml:space="preserve"> </w:t>
      </w:r>
      <w:r w:rsidRPr="00C6052E">
        <w:t>welcomed</w:t>
      </w:r>
      <w:r w:rsidR="00177848" w:rsidRPr="00C6052E">
        <w:t xml:space="preserve"> </w:t>
      </w:r>
      <w:r w:rsidRPr="00C6052E">
        <w:t>more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11.6</w:t>
      </w:r>
      <w:r w:rsidR="00177848" w:rsidRPr="00C6052E">
        <w:t xml:space="preserve"> </w:t>
      </w:r>
      <w:r w:rsidRPr="00C6052E">
        <w:t>million</w:t>
      </w:r>
      <w:r w:rsidR="00177848" w:rsidRPr="00C6052E">
        <w:t xml:space="preserve"> </w:t>
      </w:r>
      <w:r w:rsidRPr="00C6052E">
        <w:t>visitors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year.</w:t>
      </w:r>
      <w:r w:rsidR="00177848" w:rsidRPr="00C6052E">
        <w:t xml:space="preserve"> </w:t>
      </w:r>
    </w:p>
    <w:p w14:paraId="58423D65" w14:textId="7B6CB31B" w:rsidR="00EE5BB8" w:rsidRPr="00C6052E" w:rsidRDefault="00EE5BB8" w:rsidP="00EE5BB8">
      <w:pPr>
        <w:pStyle w:val="Heading3"/>
      </w:pPr>
      <w:r w:rsidRPr="00C6052E">
        <w:lastRenderedPageBreak/>
        <w:t>Economic</w:t>
      </w:r>
      <w:r w:rsidR="00177848" w:rsidRPr="00C6052E">
        <w:t xml:space="preserve"> </w:t>
      </w:r>
      <w:r w:rsidRPr="00C6052E">
        <w:t>Policy,</w:t>
      </w:r>
      <w:r w:rsidR="00177848" w:rsidRPr="00C6052E">
        <w:t xml:space="preserve"> </w:t>
      </w:r>
      <w:r w:rsidRPr="00C6052E">
        <w:t>Projects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Coordination</w:t>
      </w:r>
    </w:p>
    <w:p w14:paraId="003A4262" w14:textId="240F7269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Economic</w:t>
      </w:r>
      <w:r w:rsidR="00177848" w:rsidRPr="00C6052E">
        <w:t xml:space="preserve"> </w:t>
      </w:r>
      <w:r w:rsidRPr="00C6052E">
        <w:t>Policy,</w:t>
      </w:r>
      <w:r w:rsidR="00177848" w:rsidRPr="00C6052E">
        <w:t xml:space="preserve"> </w:t>
      </w:r>
      <w:r w:rsidRPr="00C6052E">
        <w:t>Projects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Coordination</w:t>
      </w:r>
      <w:r w:rsidR="00177848" w:rsidRPr="00C6052E">
        <w:t xml:space="preserve"> </w:t>
      </w:r>
      <w:r w:rsidRPr="00C6052E">
        <w:t>(EPPC)</w:t>
      </w:r>
      <w:r w:rsidR="00177848" w:rsidRPr="00C6052E">
        <w:t xml:space="preserve"> </w:t>
      </w:r>
      <w:r w:rsidRPr="00C6052E">
        <w:t>group</w:t>
      </w:r>
      <w:r w:rsidR="00177848" w:rsidRPr="00C6052E">
        <w:t xml:space="preserve"> </w:t>
      </w:r>
      <w:r w:rsidRPr="00C6052E">
        <w:t>brought</w:t>
      </w:r>
      <w:r w:rsidR="00177848" w:rsidRPr="00C6052E">
        <w:t xml:space="preserve"> </w:t>
      </w:r>
      <w:r w:rsidRPr="00C6052E">
        <w:t>together</w:t>
      </w:r>
      <w:r w:rsidR="00177848" w:rsidRPr="00C6052E">
        <w:t xml:space="preserve"> </w:t>
      </w:r>
      <w:r w:rsidRPr="00C6052E">
        <w:t>advanced</w:t>
      </w:r>
      <w:r w:rsidR="00177848" w:rsidRPr="00C6052E">
        <w:t xml:space="preserve"> </w:t>
      </w:r>
      <w:r w:rsidRPr="00C6052E">
        <w:t>capabilities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economics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public</w:t>
      </w:r>
      <w:r w:rsidR="00177848" w:rsidRPr="00C6052E">
        <w:t xml:space="preserve"> </w:t>
      </w:r>
      <w:r w:rsidRPr="00C6052E">
        <w:t>policy,</w:t>
      </w:r>
      <w:r w:rsidR="00177848" w:rsidRPr="00C6052E">
        <w:t xml:space="preserve"> </w:t>
      </w:r>
      <w:r w:rsidRPr="00C6052E">
        <w:t>strategic</w:t>
      </w:r>
      <w:r w:rsidR="00177848" w:rsidRPr="00C6052E">
        <w:t xml:space="preserve"> </w:t>
      </w:r>
      <w:r w:rsidRPr="00C6052E">
        <w:t>analysis,</w:t>
      </w:r>
      <w:r w:rsidR="00177848" w:rsidRPr="00C6052E">
        <w:t xml:space="preserve"> </w:t>
      </w:r>
      <w:r w:rsidRPr="00C6052E">
        <w:t>data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modelling,</w:t>
      </w:r>
      <w:r w:rsidR="00177848" w:rsidRPr="00C6052E">
        <w:t xml:space="preserve"> </w:t>
      </w:r>
      <w:r w:rsidRPr="00C6052E">
        <w:t>program</w:t>
      </w:r>
      <w:r w:rsidR="00177848" w:rsidRPr="00C6052E">
        <w:t xml:space="preserve"> </w:t>
      </w:r>
      <w:r w:rsidRPr="00C6052E">
        <w:t>design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evaluation,</w:t>
      </w:r>
      <w:r w:rsidR="00177848" w:rsidRPr="00C6052E">
        <w:t xml:space="preserve"> </w:t>
      </w:r>
      <w:r w:rsidRPr="00C6052E">
        <w:t>project</w:t>
      </w:r>
      <w:r w:rsidR="00177848" w:rsidRPr="00C6052E">
        <w:t xml:space="preserve"> </w:t>
      </w:r>
      <w:r w:rsidRPr="00C6052E">
        <w:t>management,</w:t>
      </w:r>
      <w:r w:rsidR="00177848" w:rsidRPr="00C6052E">
        <w:t xml:space="preserve"> </w:t>
      </w:r>
      <w:r w:rsidRPr="00C6052E">
        <w:t>delivery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assurance.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group</w:t>
      </w:r>
      <w:r w:rsidR="00177848" w:rsidRPr="00C6052E">
        <w:t xml:space="preserve"> </w:t>
      </w:r>
      <w:r w:rsidRPr="00C6052E">
        <w:t>worked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partnership</w:t>
      </w:r>
      <w:r w:rsidR="00177848" w:rsidRPr="00C6052E">
        <w:t xml:space="preserve"> </w:t>
      </w:r>
      <w:r w:rsidRPr="00C6052E">
        <w:t>across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department,</w:t>
      </w:r>
      <w:r w:rsidR="00177848" w:rsidRPr="00C6052E">
        <w:t xml:space="preserve"> </w:t>
      </w:r>
      <w:r w:rsidRPr="00C6052E">
        <w:t>bringing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deep</w:t>
      </w:r>
      <w:r w:rsidR="00177848" w:rsidRPr="00C6052E">
        <w:t xml:space="preserve"> </w:t>
      </w:r>
      <w:r w:rsidRPr="00C6052E">
        <w:t>understanding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economy,</w:t>
      </w:r>
      <w:r w:rsidR="00177848" w:rsidRPr="00C6052E">
        <w:t xml:space="preserve"> </w:t>
      </w:r>
      <w:r w:rsidRPr="00C6052E">
        <w:t>analytical</w:t>
      </w:r>
      <w:r w:rsidR="00177848" w:rsidRPr="00C6052E">
        <w:t xml:space="preserve"> </w:t>
      </w:r>
      <w:r w:rsidRPr="00C6052E">
        <w:t>rigour,</w:t>
      </w:r>
      <w:r w:rsidR="00177848" w:rsidRPr="00C6052E">
        <w:t xml:space="preserve"> </w:t>
      </w:r>
      <w:r w:rsidRPr="00C6052E">
        <w:t>expertise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policy,</w:t>
      </w:r>
      <w:r w:rsidR="00177848" w:rsidRPr="00C6052E">
        <w:t xml:space="preserve"> </w:t>
      </w:r>
      <w:r w:rsidRPr="00C6052E">
        <w:t>program</w:t>
      </w:r>
      <w:r w:rsidR="00177848" w:rsidRPr="00C6052E">
        <w:t xml:space="preserve"> </w:t>
      </w:r>
      <w:r w:rsidRPr="00C6052E">
        <w:t>design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focus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continuous</w:t>
      </w:r>
      <w:r w:rsidR="00177848" w:rsidRPr="00C6052E">
        <w:t xml:space="preserve"> </w:t>
      </w:r>
      <w:r w:rsidRPr="00C6052E">
        <w:t>improvement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provide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sound</w:t>
      </w:r>
      <w:r w:rsidR="00177848" w:rsidRPr="00C6052E">
        <w:t xml:space="preserve"> </w:t>
      </w:r>
      <w:r w:rsidRPr="00C6052E">
        <w:t>platform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new</w:t>
      </w:r>
      <w:r w:rsidR="00177848" w:rsidRPr="00C6052E">
        <w:t xml:space="preserve"> </w:t>
      </w:r>
      <w:r w:rsidRPr="00C6052E">
        <w:t>initiatives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acted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rPr>
          <w:spacing w:val="-4"/>
        </w:rPr>
        <w:t>a</w:t>
      </w:r>
      <w:r w:rsidR="00177848" w:rsidRPr="00C6052E">
        <w:rPr>
          <w:spacing w:val="-4"/>
        </w:rPr>
        <w:t xml:space="preserve"> </w:t>
      </w:r>
      <w:r w:rsidRPr="00C6052E">
        <w:rPr>
          <w:spacing w:val="-4"/>
        </w:rPr>
        <w:t>departmental</w:t>
      </w:r>
      <w:r w:rsidR="00177848" w:rsidRPr="00C6052E">
        <w:rPr>
          <w:spacing w:val="-4"/>
        </w:rPr>
        <w:t xml:space="preserve"> </w:t>
      </w:r>
      <w:r w:rsidRPr="00C6052E">
        <w:rPr>
          <w:spacing w:val="-4"/>
        </w:rPr>
        <w:t>centre</w:t>
      </w:r>
      <w:r w:rsidR="00177848" w:rsidRPr="00C6052E">
        <w:rPr>
          <w:spacing w:val="-4"/>
        </w:rPr>
        <w:t xml:space="preserve"> </w:t>
      </w:r>
      <w:r w:rsidRPr="00C6052E">
        <w:rPr>
          <w:spacing w:val="-4"/>
        </w:rPr>
        <w:t>of</w:t>
      </w:r>
      <w:r w:rsidR="00177848" w:rsidRPr="00C6052E">
        <w:rPr>
          <w:spacing w:val="-4"/>
        </w:rPr>
        <w:t xml:space="preserve"> </w:t>
      </w:r>
      <w:r w:rsidRPr="00C6052E">
        <w:rPr>
          <w:spacing w:val="-4"/>
        </w:rPr>
        <w:t>analytical</w:t>
      </w:r>
      <w:r w:rsidR="00177848" w:rsidRPr="00C6052E">
        <w:rPr>
          <w:spacing w:val="-4"/>
        </w:rPr>
        <w:t xml:space="preserve"> </w:t>
      </w:r>
      <w:r w:rsidRPr="00C6052E">
        <w:rPr>
          <w:spacing w:val="-4"/>
        </w:rPr>
        <w:t>and</w:t>
      </w:r>
      <w:r w:rsidR="00177848" w:rsidRPr="00C6052E">
        <w:rPr>
          <w:spacing w:val="-4"/>
        </w:rPr>
        <w:t xml:space="preserve"> </w:t>
      </w:r>
      <w:r w:rsidRPr="00C6052E">
        <w:rPr>
          <w:spacing w:val="-4"/>
        </w:rPr>
        <w:t>policy</w:t>
      </w:r>
      <w:r w:rsidR="00177848" w:rsidRPr="00C6052E">
        <w:rPr>
          <w:spacing w:val="-4"/>
        </w:rPr>
        <w:t xml:space="preserve"> </w:t>
      </w:r>
      <w:r w:rsidRPr="00C6052E">
        <w:rPr>
          <w:spacing w:val="-4"/>
        </w:rPr>
        <w:t>excellence.</w:t>
      </w:r>
      <w:r w:rsidR="00177848" w:rsidRPr="00C6052E">
        <w:t xml:space="preserve"> </w:t>
      </w:r>
    </w:p>
    <w:p w14:paraId="56115249" w14:textId="327289C4" w:rsidR="00EE5BB8" w:rsidRPr="00C6052E" w:rsidRDefault="00EE5BB8" w:rsidP="00EE5BB8">
      <w:r w:rsidRPr="00C6052E">
        <w:t>EPPC</w:t>
      </w:r>
      <w:r w:rsidR="00177848" w:rsidRPr="00C6052E">
        <w:t xml:space="preserve"> </w:t>
      </w:r>
      <w:r w:rsidRPr="00C6052E">
        <w:t>provided</w:t>
      </w:r>
      <w:r w:rsidR="00177848" w:rsidRPr="00C6052E">
        <w:t xml:space="preserve"> </w:t>
      </w:r>
      <w:r w:rsidRPr="00C6052E">
        <w:t>leadership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economic</w:t>
      </w:r>
      <w:r w:rsidR="00177848" w:rsidRPr="00C6052E">
        <w:t xml:space="preserve"> </w:t>
      </w:r>
      <w:r w:rsidRPr="00C6052E">
        <w:t>policy,</w:t>
      </w:r>
      <w:r w:rsidR="00177848" w:rsidRPr="00C6052E">
        <w:t xml:space="preserve"> </w:t>
      </w:r>
      <w:r w:rsidRPr="00C6052E">
        <w:t>including</w:t>
      </w:r>
      <w:r w:rsidR="00177848" w:rsidRPr="00C6052E">
        <w:t xml:space="preserve"> </w:t>
      </w:r>
      <w:r w:rsidRPr="00C6052E">
        <w:t>input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Government’s</w:t>
      </w:r>
      <w:r w:rsidR="00177848" w:rsidRPr="00C6052E">
        <w:t xml:space="preserve"> </w:t>
      </w:r>
      <w:r w:rsidRPr="00C6052E">
        <w:t>economic</w:t>
      </w:r>
      <w:r w:rsidR="00177848" w:rsidRPr="00C6052E">
        <w:t xml:space="preserve"> </w:t>
      </w:r>
      <w:r w:rsidRPr="00C6052E">
        <w:t>strategy.</w:t>
      </w:r>
      <w:r w:rsidR="00177848" w:rsidRPr="00C6052E">
        <w:t xml:space="preserve"> </w:t>
      </w:r>
      <w:r w:rsidRPr="00C6052E">
        <w:t>It</w:t>
      </w:r>
      <w:r w:rsidR="00177848" w:rsidRPr="00C6052E">
        <w:t xml:space="preserve"> </w:t>
      </w:r>
      <w:r w:rsidRPr="00C6052E">
        <w:t>also</w:t>
      </w:r>
      <w:r w:rsidR="00177848" w:rsidRPr="00C6052E">
        <w:t xml:space="preserve"> </w:t>
      </w:r>
      <w:r w:rsidRPr="00C6052E">
        <w:t>played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significant</w:t>
      </w:r>
      <w:r w:rsidR="00177848" w:rsidRPr="00C6052E">
        <w:t xml:space="preserve"> </w:t>
      </w:r>
      <w:r w:rsidRPr="00C6052E">
        <w:t>coordination</w:t>
      </w:r>
      <w:r w:rsidR="00177848" w:rsidRPr="00C6052E">
        <w:t xml:space="preserve"> </w:t>
      </w:r>
      <w:r w:rsidRPr="00C6052E">
        <w:t>role,</w:t>
      </w:r>
      <w:r w:rsidR="00177848" w:rsidRPr="00C6052E">
        <w:t xml:space="preserve"> </w:t>
      </w:r>
      <w:r w:rsidRPr="00C6052E">
        <w:t>providing</w:t>
      </w:r>
      <w:r w:rsidR="00177848" w:rsidRPr="00C6052E">
        <w:t xml:space="preserve"> </w:t>
      </w:r>
      <w:r w:rsidRPr="00C6052E">
        <w:t>central</w:t>
      </w:r>
      <w:r w:rsidR="00177848" w:rsidRPr="00C6052E">
        <w:t xml:space="preserve"> </w:t>
      </w:r>
      <w:r w:rsidRPr="00C6052E">
        <w:t>line-of-sight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enable</w:t>
      </w:r>
      <w:r w:rsidR="00177848" w:rsidRPr="00C6052E">
        <w:t xml:space="preserve"> </w:t>
      </w:r>
      <w:r w:rsidRPr="00C6052E">
        <w:t>cross-cutting</w:t>
      </w:r>
      <w:r w:rsidR="00177848" w:rsidRPr="00C6052E">
        <w:t xml:space="preserve"> </w:t>
      </w:r>
      <w:r w:rsidRPr="00C6052E">
        <w:t>initiatives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developed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delivered</w:t>
      </w:r>
      <w:r w:rsidR="00177848" w:rsidRPr="00C6052E">
        <w:t xml:space="preserve"> </w:t>
      </w:r>
      <w:r w:rsidRPr="00C6052E">
        <w:t>successfully.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included</w:t>
      </w:r>
      <w:r w:rsidR="00177848" w:rsidRPr="00C6052E">
        <w:t xml:space="preserve"> </w:t>
      </w:r>
      <w:r w:rsidRPr="00C6052E">
        <w:t>coordinating</w:t>
      </w:r>
      <w:r w:rsidR="00177848" w:rsidRPr="00C6052E">
        <w:t xml:space="preserve"> </w:t>
      </w:r>
      <w:r w:rsidRPr="00C6052E">
        <w:t>implementation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DJSIR’s</w:t>
      </w:r>
      <w:r w:rsidR="00177848" w:rsidRPr="00C6052E">
        <w:t xml:space="preserve"> </w:t>
      </w:r>
      <w:r w:rsidRPr="00C6052E">
        <w:t>initiatives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Government’s</w:t>
      </w:r>
      <w:r w:rsidR="00177848" w:rsidRPr="00C6052E">
        <w:t xml:space="preserve"> </w:t>
      </w:r>
      <w:r w:rsidRPr="00C6052E">
        <w:t>Economic</w:t>
      </w:r>
      <w:r w:rsidR="00177848" w:rsidRPr="00C6052E">
        <w:t xml:space="preserve"> </w:t>
      </w:r>
      <w:r w:rsidRPr="00C6052E">
        <w:t>Growth</w:t>
      </w:r>
      <w:r w:rsidR="00177848" w:rsidRPr="00C6052E">
        <w:t xml:space="preserve"> </w:t>
      </w:r>
      <w:r w:rsidRPr="00C6052E">
        <w:t>Statement.</w:t>
      </w:r>
    </w:p>
    <w:p w14:paraId="718EAC8F" w14:textId="670BA8FE" w:rsidR="00EE5BB8" w:rsidRPr="00C6052E" w:rsidRDefault="00EE5BB8" w:rsidP="00EE5BB8">
      <w:r w:rsidRPr="00C6052E">
        <w:t>EPPC</w:t>
      </w:r>
      <w:r w:rsidR="00177848" w:rsidRPr="00C6052E">
        <w:t xml:space="preserve"> </w:t>
      </w:r>
      <w:r w:rsidRPr="00C6052E">
        <w:t>worked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partnership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policy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program</w:t>
      </w:r>
      <w:r w:rsidR="00177848" w:rsidRPr="00C6052E">
        <w:t xml:space="preserve"> </w:t>
      </w:r>
      <w:r w:rsidRPr="00C6052E">
        <w:t>delivery</w:t>
      </w:r>
      <w:r w:rsidR="00177848" w:rsidRPr="00C6052E">
        <w:t xml:space="preserve"> </w:t>
      </w:r>
      <w:r w:rsidRPr="00C6052E">
        <w:t>areas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strategic</w:t>
      </w:r>
      <w:r w:rsidR="00177848" w:rsidRPr="00C6052E">
        <w:t xml:space="preserve"> </w:t>
      </w:r>
      <w:r w:rsidRPr="00C6052E">
        <w:t>projects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initiatives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provide</w:t>
      </w:r>
      <w:r w:rsidR="00177848" w:rsidRPr="00C6052E">
        <w:t xml:space="preserve"> </w:t>
      </w:r>
      <w:r w:rsidRPr="00C6052E">
        <w:t>value</w:t>
      </w:r>
      <w:r w:rsidR="00177848" w:rsidRPr="00C6052E">
        <w:t xml:space="preserve"> </w:t>
      </w:r>
      <w:r w:rsidRPr="00C6052E">
        <w:t>through</w:t>
      </w:r>
      <w:r w:rsidR="00177848" w:rsidRPr="00C6052E">
        <w:t xml:space="preserve"> </w:t>
      </w:r>
      <w:r w:rsidRPr="00C6052E">
        <w:t>evidence-informed</w:t>
      </w:r>
      <w:r w:rsidR="00177848" w:rsidRPr="00C6052E">
        <w:t xml:space="preserve"> </w:t>
      </w:r>
      <w:r w:rsidRPr="00C6052E">
        <w:t>decision-making,</w:t>
      </w:r>
      <w:r w:rsidR="00177848" w:rsidRPr="00C6052E">
        <w:t xml:space="preserve"> </w:t>
      </w:r>
      <w:r w:rsidRPr="00C6052E">
        <w:t>structured</w:t>
      </w:r>
      <w:r w:rsidR="00177848" w:rsidRPr="00C6052E">
        <w:t xml:space="preserve"> </w:t>
      </w:r>
      <w:r w:rsidRPr="00C6052E">
        <w:t>thinking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problem</w:t>
      </w:r>
      <w:r w:rsidR="00177848" w:rsidRPr="00C6052E">
        <w:t xml:space="preserve"> </w:t>
      </w:r>
      <w:r w:rsidRPr="00C6052E">
        <w:t>solving,</w:t>
      </w:r>
      <w:r w:rsidR="00177848" w:rsidRPr="00C6052E">
        <w:t xml:space="preserve"> </w:t>
      </w:r>
      <w:r w:rsidRPr="00C6052E">
        <w:t>compelling</w:t>
      </w:r>
      <w:r w:rsidR="00177848" w:rsidRPr="00C6052E">
        <w:t xml:space="preserve"> </w:t>
      </w:r>
      <w:r w:rsidRPr="00C6052E">
        <w:t>communication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strong</w:t>
      </w:r>
      <w:r w:rsidR="00177848" w:rsidRPr="00C6052E">
        <w:t xml:space="preserve"> </w:t>
      </w:r>
      <w:r w:rsidRPr="00C6052E">
        <w:t>project</w:t>
      </w:r>
      <w:r w:rsidR="00177848" w:rsidRPr="00C6052E">
        <w:t xml:space="preserve"> </w:t>
      </w:r>
      <w:r w:rsidRPr="00C6052E">
        <w:t>management</w:t>
      </w:r>
      <w:r w:rsidR="00177848" w:rsidRPr="00C6052E">
        <w:t xml:space="preserve"> </w:t>
      </w:r>
      <w:r w:rsidRPr="00C6052E">
        <w:t>discipline.</w:t>
      </w:r>
      <w:r w:rsidR="00177848" w:rsidRPr="00C6052E">
        <w:t xml:space="preserve"> </w:t>
      </w:r>
    </w:p>
    <w:p w14:paraId="097EE3B6" w14:textId="3D78E1AA" w:rsidR="00EE5BB8" w:rsidRPr="00C6052E" w:rsidRDefault="00EE5BB8" w:rsidP="00EE5BB8">
      <w:r w:rsidRPr="00C6052E">
        <w:t>EPPC</w:t>
      </w:r>
      <w:r w:rsidR="00177848" w:rsidRPr="00C6052E">
        <w:t xml:space="preserve"> </w:t>
      </w:r>
      <w:r w:rsidRPr="00C6052E">
        <w:t>had</w:t>
      </w:r>
      <w:r w:rsidR="00177848" w:rsidRPr="00C6052E">
        <w:t xml:space="preserve"> </w:t>
      </w:r>
      <w:r w:rsidRPr="00C6052E">
        <w:t>portfolio</w:t>
      </w:r>
      <w:r w:rsidR="00177848" w:rsidRPr="00C6052E">
        <w:t xml:space="preserve"> </w:t>
      </w:r>
      <w:r w:rsidRPr="00C6052E">
        <w:t>responsibilities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Aboriginal</w:t>
      </w:r>
      <w:r w:rsidR="00177848" w:rsidRPr="00C6052E">
        <w:t xml:space="preserve"> </w:t>
      </w:r>
      <w:r w:rsidRPr="00C6052E">
        <w:t>economic</w:t>
      </w:r>
      <w:r w:rsidR="00177848" w:rsidRPr="00C6052E">
        <w:t xml:space="preserve"> </w:t>
      </w:r>
      <w:r w:rsidRPr="00C6052E">
        <w:t>development.</w:t>
      </w:r>
      <w:r w:rsidR="00177848" w:rsidRPr="00C6052E">
        <w:t xml:space="preserve"> </w:t>
      </w:r>
      <w:r w:rsidRPr="00C6052E">
        <w:t>It</w:t>
      </w:r>
      <w:r w:rsidR="00177848" w:rsidRPr="00C6052E">
        <w:t xml:space="preserve"> </w:t>
      </w:r>
      <w:r w:rsidRPr="00C6052E">
        <w:t>drove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implementation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rPr>
          <w:i/>
          <w:iCs/>
        </w:rPr>
        <w:t>Yuma</w:t>
      </w:r>
      <w:r w:rsidR="00177848" w:rsidRPr="00C6052E">
        <w:rPr>
          <w:i/>
          <w:iCs/>
        </w:rPr>
        <w:t xml:space="preserve"> </w:t>
      </w:r>
      <w:proofErr w:type="spellStart"/>
      <w:r w:rsidRPr="00C6052E">
        <w:rPr>
          <w:i/>
          <w:iCs/>
        </w:rPr>
        <w:t>Yirramboi</w:t>
      </w:r>
      <w:proofErr w:type="spellEnd"/>
      <w:r w:rsidR="00177848" w:rsidRPr="00C6052E">
        <w:rPr>
          <w:i/>
          <w:iCs/>
        </w:rPr>
        <w:t xml:space="preserve"> </w:t>
      </w:r>
      <w:r w:rsidRPr="00C6052E">
        <w:rPr>
          <w:i/>
          <w:iCs/>
        </w:rPr>
        <w:t>Strategy</w:t>
      </w:r>
      <w:r w:rsidR="00177848" w:rsidRPr="00C6052E">
        <w:t xml:space="preserve"> </w:t>
      </w:r>
      <w:r w:rsidRPr="00C6052E">
        <w:t>–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coordinated</w:t>
      </w:r>
      <w:r w:rsidR="00177848" w:rsidRPr="00C6052E">
        <w:t xml:space="preserve"> </w:t>
      </w:r>
      <w:r w:rsidRPr="00C6052E">
        <w:t>plan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support</w:t>
      </w:r>
      <w:r w:rsidR="00177848" w:rsidRPr="00C6052E">
        <w:t xml:space="preserve"> </w:t>
      </w:r>
      <w:r w:rsidRPr="00C6052E">
        <w:t>parity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economic</w:t>
      </w:r>
      <w:r w:rsidR="00177848" w:rsidRPr="00C6052E">
        <w:t xml:space="preserve"> </w:t>
      </w:r>
      <w:r w:rsidRPr="00C6052E">
        <w:t>opportunities,</w:t>
      </w:r>
      <w:r w:rsidR="00177848" w:rsidRPr="00C6052E">
        <w:t xml:space="preserve"> </w:t>
      </w:r>
      <w:r w:rsidRPr="00C6052E">
        <w:t>prosperity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social</w:t>
      </w:r>
      <w:r w:rsidR="00177848" w:rsidRPr="00C6052E">
        <w:t xml:space="preserve"> </w:t>
      </w:r>
      <w:r w:rsidRPr="00C6052E">
        <w:t>outcomes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First</w:t>
      </w:r>
      <w:r w:rsidR="00177848" w:rsidRPr="00C6052E">
        <w:t xml:space="preserve"> </w:t>
      </w:r>
      <w:r w:rsidRPr="00C6052E">
        <w:t>Peoples</w:t>
      </w:r>
      <w:r w:rsidR="00177848" w:rsidRPr="00C6052E">
        <w:t xml:space="preserve"> </w:t>
      </w:r>
      <w:r w:rsidRPr="00C6052E">
        <w:t>communities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Victoria.</w:t>
      </w:r>
      <w:r w:rsidR="00177848" w:rsidRPr="00C6052E">
        <w:t xml:space="preserve"> </w:t>
      </w:r>
      <w:r w:rsidRPr="00C6052E">
        <w:t>First</w:t>
      </w:r>
      <w:r w:rsidR="00177848" w:rsidRPr="00C6052E">
        <w:t xml:space="preserve"> </w:t>
      </w:r>
      <w:r w:rsidRPr="00C6052E">
        <w:t>Peoples</w:t>
      </w:r>
      <w:r w:rsidR="00177848" w:rsidRPr="00C6052E">
        <w:t xml:space="preserve"> </w:t>
      </w:r>
      <w:r w:rsidRPr="00C6052E">
        <w:t>culture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language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central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strategy’s</w:t>
      </w:r>
      <w:r w:rsidR="00177848" w:rsidRPr="00C6052E">
        <w:t xml:space="preserve"> </w:t>
      </w:r>
      <w:r w:rsidRPr="00C6052E">
        <w:t>aspirations,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group</w:t>
      </w:r>
      <w:r w:rsidR="00177848" w:rsidRPr="00C6052E">
        <w:t xml:space="preserve"> </w:t>
      </w:r>
      <w:r w:rsidRPr="00C6052E">
        <w:t>worked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strengthen</w:t>
      </w:r>
      <w:r w:rsidR="00177848" w:rsidRPr="00C6052E">
        <w:t xml:space="preserve"> </w:t>
      </w:r>
      <w:r w:rsidRPr="00C6052E">
        <w:t>these</w:t>
      </w:r>
      <w:r w:rsidR="00177848" w:rsidRPr="00C6052E">
        <w:t xml:space="preserve"> </w:t>
      </w:r>
      <w:r w:rsidRPr="00C6052E">
        <w:t>through</w:t>
      </w:r>
      <w:r w:rsidR="00177848" w:rsidRPr="00C6052E">
        <w:t xml:space="preserve"> </w:t>
      </w:r>
      <w:r w:rsidRPr="00C6052E">
        <w:t>structured</w:t>
      </w:r>
      <w:r w:rsidR="00177848" w:rsidRPr="00C6052E">
        <w:t xml:space="preserve"> </w:t>
      </w:r>
      <w:r w:rsidRPr="00C6052E">
        <w:t>investment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capacity</w:t>
      </w:r>
      <w:r w:rsidR="00177848" w:rsidRPr="00C6052E">
        <w:t xml:space="preserve"> </w:t>
      </w:r>
      <w:r w:rsidRPr="00C6052E">
        <w:t>building.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commitment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Treaty</w:t>
      </w:r>
      <w:r w:rsidR="00177848" w:rsidRPr="00C6052E">
        <w:t xml:space="preserve"> </w:t>
      </w:r>
      <w:r w:rsidRPr="00C6052E">
        <w:t>process,</w:t>
      </w:r>
      <w:r w:rsidR="00177848" w:rsidRPr="00C6052E">
        <w:t xml:space="preserve"> </w:t>
      </w:r>
      <w:r w:rsidRPr="00C6052E">
        <w:t>including</w:t>
      </w:r>
      <w:r w:rsidR="00177848" w:rsidRPr="00C6052E">
        <w:t xml:space="preserve"> </w:t>
      </w:r>
      <w:r w:rsidRPr="00C6052E">
        <w:t>work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get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prepared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Treaty,</w:t>
      </w:r>
      <w:r w:rsidR="00177848" w:rsidRPr="00C6052E">
        <w:t xml:space="preserve"> </w:t>
      </w:r>
      <w:r w:rsidRPr="00C6052E">
        <w:t>enabled</w:t>
      </w:r>
      <w:r w:rsidR="00177848" w:rsidRPr="00C6052E">
        <w:t xml:space="preserve"> </w:t>
      </w:r>
      <w:r w:rsidRPr="00C6052E">
        <w:t>valuable</w:t>
      </w:r>
      <w:r w:rsidR="00177848" w:rsidRPr="00C6052E">
        <w:t xml:space="preserve"> </w:t>
      </w:r>
      <w:r w:rsidRPr="00C6052E">
        <w:t>contributions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state-wide</w:t>
      </w:r>
      <w:r w:rsidR="00177848" w:rsidRPr="00C6052E">
        <w:t xml:space="preserve"> </w:t>
      </w:r>
      <w:r w:rsidRPr="00C6052E">
        <w:t>Treaty</w:t>
      </w:r>
      <w:r w:rsidR="00177848" w:rsidRPr="00C6052E">
        <w:t xml:space="preserve"> </w:t>
      </w:r>
      <w:r w:rsidRPr="00C6052E">
        <w:t>negotiations.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work</w:t>
      </w:r>
      <w:r w:rsidR="00177848" w:rsidRPr="00C6052E">
        <w:t xml:space="preserve"> </w:t>
      </w:r>
      <w:r w:rsidRPr="00C6052E">
        <w:t>performed</w:t>
      </w:r>
      <w:r w:rsidR="00177848" w:rsidRPr="00C6052E">
        <w:t xml:space="preserve"> </w:t>
      </w:r>
      <w:r w:rsidRPr="00C6052E">
        <w:t>supported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priority</w:t>
      </w:r>
      <w:r w:rsidR="00177848" w:rsidRPr="00C6052E">
        <w:t xml:space="preserve"> </w:t>
      </w:r>
      <w:r w:rsidRPr="00C6052E">
        <w:t>objectives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provided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pathway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operational</w:t>
      </w:r>
      <w:r w:rsidR="00177848" w:rsidRPr="00C6052E">
        <w:t xml:space="preserve"> </w:t>
      </w:r>
      <w:r w:rsidRPr="00C6052E">
        <w:t>success.</w:t>
      </w:r>
    </w:p>
    <w:p w14:paraId="63F27709" w14:textId="7E8C74FC" w:rsidR="00EE5BB8" w:rsidRPr="00C6052E" w:rsidRDefault="00EE5BB8" w:rsidP="00EE5BB8">
      <w:pPr>
        <w:pStyle w:val="Heading3"/>
      </w:pPr>
      <w:r w:rsidRPr="00C6052E">
        <w:t>Industry,</w:t>
      </w:r>
      <w:r w:rsidR="00177848" w:rsidRPr="00C6052E">
        <w:t xml:space="preserve"> </w:t>
      </w:r>
      <w:r w:rsidRPr="00C6052E">
        <w:t>Trade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Investment</w:t>
      </w:r>
    </w:p>
    <w:p w14:paraId="67CD7DC4" w14:textId="061B0994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Industry,</w:t>
      </w:r>
      <w:r w:rsidR="00177848" w:rsidRPr="00C6052E">
        <w:t xml:space="preserve"> </w:t>
      </w:r>
      <w:r w:rsidRPr="00C6052E">
        <w:t>Trade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Investment</w:t>
      </w:r>
      <w:r w:rsidR="00177848" w:rsidRPr="00C6052E">
        <w:t xml:space="preserve"> </w:t>
      </w:r>
      <w:r w:rsidRPr="00C6052E">
        <w:t>(ITI)</w:t>
      </w:r>
      <w:r w:rsidR="00177848" w:rsidRPr="00C6052E">
        <w:t xml:space="preserve"> </w:t>
      </w:r>
      <w:r w:rsidRPr="00C6052E">
        <w:t>group</w:t>
      </w:r>
      <w:r w:rsidR="00177848" w:rsidRPr="00C6052E">
        <w:t xml:space="preserve"> </w:t>
      </w:r>
      <w:r w:rsidRPr="00C6052E">
        <w:t>worked</w:t>
      </w:r>
      <w:r w:rsidR="00177848" w:rsidRPr="00C6052E">
        <w:t xml:space="preserve"> </w:t>
      </w:r>
      <w:r w:rsidRPr="00C6052E">
        <w:t>closely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businesses,</w:t>
      </w:r>
      <w:r w:rsidR="00177848" w:rsidRPr="00C6052E">
        <w:t xml:space="preserve"> </w:t>
      </w:r>
      <w:r w:rsidRPr="00C6052E">
        <w:t>locally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globally,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grow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jobs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supporting</w:t>
      </w:r>
      <w:r w:rsidR="00177848" w:rsidRPr="00C6052E">
        <w:t xml:space="preserve"> </w:t>
      </w:r>
      <w:r w:rsidRPr="00C6052E">
        <w:t>international</w:t>
      </w:r>
      <w:r w:rsidR="00177848" w:rsidRPr="00C6052E">
        <w:t xml:space="preserve"> </w:t>
      </w:r>
      <w:r w:rsidRPr="00C6052E">
        <w:t>competitiveness,</w:t>
      </w:r>
      <w:r w:rsidR="00177848" w:rsidRPr="00C6052E">
        <w:t xml:space="preserve"> </w:t>
      </w:r>
      <w:r w:rsidRPr="00C6052E">
        <w:t>productivity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economic</w:t>
      </w:r>
      <w:r w:rsidR="00177848" w:rsidRPr="00C6052E">
        <w:t xml:space="preserve"> </w:t>
      </w:r>
      <w:r w:rsidRPr="00C6052E">
        <w:t>resilience.</w:t>
      </w:r>
      <w:r w:rsidR="00177848" w:rsidRPr="00C6052E">
        <w:t xml:space="preserve"> </w:t>
      </w:r>
      <w:r w:rsidRPr="00C6052E">
        <w:t>It</w:t>
      </w:r>
      <w:r w:rsidR="00177848" w:rsidRPr="00C6052E">
        <w:t xml:space="preserve"> </w:t>
      </w:r>
      <w:r w:rsidRPr="00C6052E">
        <w:t>championed</w:t>
      </w:r>
      <w:r w:rsidR="00177848" w:rsidRPr="00C6052E">
        <w:t xml:space="preserve"> </w:t>
      </w:r>
      <w:r w:rsidRPr="00C6052E">
        <w:t>Victoria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destination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choice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trade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investment,</w:t>
      </w:r>
      <w:r w:rsidR="00177848" w:rsidRPr="00C6052E">
        <w:t xml:space="preserve"> </w:t>
      </w:r>
      <w:r w:rsidRPr="00C6052E">
        <w:t>international</w:t>
      </w:r>
      <w:r w:rsidR="00177848" w:rsidRPr="00C6052E">
        <w:t xml:space="preserve"> </w:t>
      </w:r>
      <w:r w:rsidRPr="00C6052E">
        <w:t>education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innovation.</w:t>
      </w:r>
      <w:r w:rsidR="00177848" w:rsidRPr="00C6052E">
        <w:t xml:space="preserve"> </w:t>
      </w:r>
      <w:r w:rsidRPr="00C6052E">
        <w:t>ITI</w:t>
      </w:r>
      <w:r w:rsidR="00177848" w:rsidRPr="00C6052E">
        <w:t xml:space="preserve"> </w:t>
      </w:r>
      <w:r w:rsidRPr="00C6052E">
        <w:t>harnesses</w:t>
      </w:r>
      <w:r w:rsidR="00177848" w:rsidRPr="00C6052E">
        <w:t xml:space="preserve"> </w:t>
      </w:r>
      <w:r w:rsidRPr="00C6052E">
        <w:t>specialist</w:t>
      </w:r>
      <w:r w:rsidR="00177848" w:rsidRPr="00C6052E">
        <w:t xml:space="preserve"> </w:t>
      </w:r>
      <w:r w:rsidRPr="00C6052E">
        <w:t>knowledge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key</w:t>
      </w:r>
      <w:r w:rsidR="00177848" w:rsidRPr="00C6052E">
        <w:t xml:space="preserve"> </w:t>
      </w:r>
      <w:r w:rsidRPr="00C6052E">
        <w:t>industries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global</w:t>
      </w:r>
      <w:r w:rsidR="00177848" w:rsidRPr="00C6052E">
        <w:t xml:space="preserve"> </w:t>
      </w:r>
      <w:r w:rsidRPr="00C6052E">
        <w:t>markets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develop</w:t>
      </w:r>
      <w:r w:rsidR="00177848" w:rsidRPr="00C6052E">
        <w:t xml:space="preserve"> </w:t>
      </w:r>
      <w:r w:rsidRPr="00C6052E">
        <w:t>policies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programs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advance</w:t>
      </w:r>
      <w:r w:rsidR="00177848" w:rsidRPr="00C6052E">
        <w:t xml:space="preserve"> </w:t>
      </w:r>
      <w:r w:rsidRPr="00C6052E">
        <w:t>Victoria’s</w:t>
      </w:r>
      <w:r w:rsidR="00177848" w:rsidRPr="00C6052E">
        <w:t xml:space="preserve"> </w:t>
      </w:r>
      <w:r w:rsidRPr="00C6052E">
        <w:t>priority</w:t>
      </w:r>
      <w:r w:rsidR="00177848" w:rsidRPr="00C6052E">
        <w:t xml:space="preserve"> </w:t>
      </w:r>
      <w:r w:rsidRPr="00C6052E">
        <w:t>sectors,</w:t>
      </w:r>
      <w:r w:rsidR="00177848" w:rsidRPr="00C6052E">
        <w:t xml:space="preserve"> </w:t>
      </w:r>
      <w:r w:rsidRPr="00C6052E">
        <w:t>boost</w:t>
      </w:r>
      <w:r w:rsidR="00177848" w:rsidRPr="00C6052E">
        <w:t xml:space="preserve"> </w:t>
      </w:r>
      <w:r w:rsidRPr="00C6052E">
        <w:t>trade</w:t>
      </w:r>
      <w:r w:rsidR="00177848" w:rsidRPr="00C6052E">
        <w:t xml:space="preserve"> </w:t>
      </w:r>
      <w:r w:rsidRPr="00C6052E">
        <w:t>activities,</w:t>
      </w:r>
      <w:r w:rsidR="00177848" w:rsidRPr="00C6052E">
        <w:t xml:space="preserve"> </w:t>
      </w:r>
      <w:r w:rsidRPr="00C6052E">
        <w:t>enhance</w:t>
      </w:r>
      <w:r w:rsidR="00177848" w:rsidRPr="00C6052E">
        <w:t xml:space="preserve"> </w:t>
      </w:r>
      <w:r w:rsidRPr="00C6052E">
        <w:t>productivity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contribute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economic</w:t>
      </w:r>
      <w:r w:rsidR="00177848" w:rsidRPr="00C6052E">
        <w:t xml:space="preserve"> </w:t>
      </w:r>
      <w:r w:rsidRPr="00C6052E">
        <w:t>growth.</w:t>
      </w:r>
    </w:p>
    <w:p w14:paraId="515EBED0" w14:textId="7A3CC700" w:rsidR="00EE5BB8" w:rsidRPr="00C6052E" w:rsidRDefault="00EE5BB8" w:rsidP="00EE5BB8">
      <w:r w:rsidRPr="00C6052E">
        <w:t>ITI</w:t>
      </w:r>
      <w:r w:rsidR="00177848" w:rsidRPr="00C6052E">
        <w:t xml:space="preserve"> </w:t>
      </w:r>
      <w:r w:rsidRPr="00C6052E">
        <w:t>did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forming</w:t>
      </w:r>
      <w:r w:rsidR="00177848" w:rsidRPr="00C6052E">
        <w:t xml:space="preserve"> </w:t>
      </w:r>
      <w:r w:rsidRPr="00C6052E">
        <w:t>trust-based</w:t>
      </w:r>
      <w:r w:rsidR="00177848" w:rsidRPr="00C6052E">
        <w:t xml:space="preserve"> </w:t>
      </w:r>
      <w:r w:rsidRPr="00C6052E">
        <w:t>relationships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businesses</w:t>
      </w:r>
      <w:r w:rsidR="00177848" w:rsidRPr="00C6052E">
        <w:t xml:space="preserve"> </w:t>
      </w:r>
      <w:r w:rsidRPr="00C6052E">
        <w:t>–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global</w:t>
      </w:r>
      <w:r w:rsidR="00177848" w:rsidRPr="00C6052E">
        <w:t xml:space="preserve"> </w:t>
      </w:r>
      <w:r w:rsidRPr="00C6052E">
        <w:t>enterprises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small</w:t>
      </w:r>
      <w:r w:rsidR="00177848" w:rsidRPr="00C6052E">
        <w:t xml:space="preserve"> </w:t>
      </w:r>
      <w:r w:rsidRPr="00C6052E">
        <w:t>businesses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startups;</w:t>
      </w:r>
      <w:r w:rsidR="00177848" w:rsidRPr="00C6052E">
        <w:t xml:space="preserve"> </w:t>
      </w:r>
      <w:r w:rsidRPr="00C6052E">
        <w:t>developing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delivering</w:t>
      </w:r>
      <w:r w:rsidR="00177848" w:rsidRPr="00C6052E">
        <w:t xml:space="preserve"> </w:t>
      </w:r>
      <w:r w:rsidRPr="00C6052E">
        <w:t>policies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programs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drive</w:t>
      </w:r>
      <w:r w:rsidR="00177848" w:rsidRPr="00C6052E">
        <w:t xml:space="preserve"> </w:t>
      </w:r>
      <w:r w:rsidRPr="00C6052E">
        <w:t>economic</w:t>
      </w:r>
      <w:r w:rsidR="00177848" w:rsidRPr="00C6052E">
        <w:t xml:space="preserve"> </w:t>
      </w:r>
      <w:r w:rsidRPr="00C6052E">
        <w:t>growth,</w:t>
      </w:r>
      <w:r w:rsidR="00177848" w:rsidRPr="00C6052E">
        <w:t xml:space="preserve"> </w:t>
      </w:r>
      <w:r w:rsidRPr="00C6052E">
        <w:t>facilitating</w:t>
      </w:r>
      <w:r w:rsidR="00177848" w:rsidRPr="00C6052E">
        <w:t xml:space="preserve"> </w:t>
      </w:r>
      <w:r w:rsidRPr="00C6052E">
        <w:t>new</w:t>
      </w:r>
      <w:r w:rsidR="00177848" w:rsidRPr="00C6052E">
        <w:t xml:space="preserve"> </w:t>
      </w:r>
      <w:r w:rsidRPr="00C6052E">
        <w:t>investment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business</w:t>
      </w:r>
      <w:r w:rsidR="00177848" w:rsidRPr="00C6052E">
        <w:t xml:space="preserve"> </w:t>
      </w:r>
      <w:r w:rsidRPr="00C6052E">
        <w:t>expansion;</w:t>
      </w:r>
      <w:r w:rsidR="00177848" w:rsidRPr="00C6052E">
        <w:t xml:space="preserve"> </w:t>
      </w:r>
      <w:r w:rsidRPr="00C6052E">
        <w:t>supporting</w:t>
      </w:r>
      <w:r w:rsidR="00177848" w:rsidRPr="00C6052E">
        <w:t xml:space="preserve"> </w:t>
      </w:r>
      <w:r w:rsidRPr="00C6052E">
        <w:t>small</w:t>
      </w:r>
      <w:r w:rsidR="00177848" w:rsidRPr="00C6052E">
        <w:t xml:space="preserve"> </w:t>
      </w:r>
      <w:r w:rsidRPr="00C6052E">
        <w:t>businesses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start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grow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advocating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competitive,</w:t>
      </w:r>
      <w:r w:rsidR="00177848" w:rsidRPr="00C6052E">
        <w:t xml:space="preserve"> </w:t>
      </w:r>
      <w:r w:rsidRPr="00C6052E">
        <w:t>fair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inclusive</w:t>
      </w:r>
      <w:r w:rsidR="00177848" w:rsidRPr="00C6052E">
        <w:t xml:space="preserve"> </w:t>
      </w:r>
      <w:r w:rsidRPr="00C6052E">
        <w:t>business</w:t>
      </w:r>
      <w:r w:rsidR="00177848" w:rsidRPr="00C6052E">
        <w:t xml:space="preserve"> </w:t>
      </w:r>
      <w:r w:rsidRPr="00C6052E">
        <w:t>environment.</w:t>
      </w:r>
      <w:r w:rsidR="00177848" w:rsidRPr="00C6052E">
        <w:t xml:space="preserve"> </w:t>
      </w:r>
      <w:r w:rsidRPr="00C6052E">
        <w:t>ITI</w:t>
      </w:r>
      <w:r w:rsidR="00177848" w:rsidRPr="00C6052E">
        <w:t xml:space="preserve"> </w:t>
      </w:r>
      <w:r w:rsidRPr="00C6052E">
        <w:t>also</w:t>
      </w:r>
      <w:r w:rsidR="00177848" w:rsidRPr="00C6052E">
        <w:t xml:space="preserve"> </w:t>
      </w:r>
      <w:r w:rsidRPr="00C6052E">
        <w:t>managed</w:t>
      </w:r>
      <w:r w:rsidR="00177848" w:rsidRPr="00C6052E">
        <w:t xml:space="preserve"> </w:t>
      </w:r>
      <w:r w:rsidRPr="00C6052E">
        <w:t>key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venues</w:t>
      </w:r>
      <w:r w:rsidR="00177848" w:rsidRPr="00C6052E">
        <w:t xml:space="preserve"> </w:t>
      </w:r>
      <w:r w:rsidRPr="00C6052E">
        <w:t>used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business</w:t>
      </w:r>
      <w:r w:rsidR="00177848" w:rsidRPr="00C6052E">
        <w:t xml:space="preserve"> </w:t>
      </w:r>
      <w:r w:rsidRPr="00C6052E">
        <w:lastRenderedPageBreak/>
        <w:t>engagement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delivering</w:t>
      </w:r>
      <w:r w:rsidR="00177848" w:rsidRPr="00C6052E">
        <w:t xml:space="preserve"> </w:t>
      </w:r>
      <w:r w:rsidRPr="00C6052E">
        <w:t>business</w:t>
      </w:r>
      <w:r w:rsidR="00177848" w:rsidRPr="00C6052E">
        <w:t xml:space="preserve"> </w:t>
      </w:r>
      <w:r w:rsidRPr="00C6052E">
        <w:t>event</w:t>
      </w:r>
      <w:r w:rsidR="00177848" w:rsidRPr="00C6052E">
        <w:t xml:space="preserve"> </w:t>
      </w:r>
      <w:r w:rsidRPr="00C6052E">
        <w:t>hosting</w:t>
      </w:r>
      <w:r w:rsidR="00177848" w:rsidRPr="00C6052E">
        <w:t xml:space="preserve"> </w:t>
      </w:r>
      <w:r w:rsidRPr="00C6052E">
        <w:t>opportunities</w:t>
      </w:r>
      <w:r w:rsidR="00177848" w:rsidRPr="00C6052E">
        <w:t xml:space="preserve"> </w:t>
      </w:r>
      <w:r w:rsidRPr="00C6052E">
        <w:t>across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Government.</w:t>
      </w:r>
    </w:p>
    <w:p w14:paraId="3ACB2002" w14:textId="39042BAC" w:rsidR="00EE5BB8" w:rsidRPr="00C6052E" w:rsidRDefault="00EE5BB8" w:rsidP="00EE5BB8">
      <w:r w:rsidRPr="00C6052E">
        <w:t>ITI</w:t>
      </w:r>
      <w:r w:rsidR="00177848" w:rsidRPr="00C6052E">
        <w:t xml:space="preserve"> </w:t>
      </w:r>
      <w:r w:rsidRPr="00C6052E">
        <w:t>supported</w:t>
      </w:r>
      <w:r w:rsidR="00177848" w:rsidRPr="00C6052E">
        <w:t xml:space="preserve"> </w:t>
      </w:r>
      <w:r w:rsidRPr="00C6052E">
        <w:t>key</w:t>
      </w:r>
      <w:r w:rsidR="00177848" w:rsidRPr="00C6052E">
        <w:t xml:space="preserve"> </w:t>
      </w:r>
      <w:r w:rsidRPr="00C6052E">
        <w:t>industry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manufacturing</w:t>
      </w:r>
      <w:r w:rsidR="00177848" w:rsidRPr="00C6052E">
        <w:t xml:space="preserve"> </w:t>
      </w:r>
      <w:r w:rsidRPr="00C6052E">
        <w:t>capabilities,</w:t>
      </w:r>
      <w:r w:rsidR="00177848" w:rsidRPr="00C6052E">
        <w:t xml:space="preserve"> </w:t>
      </w:r>
      <w:r w:rsidRPr="00C6052E">
        <w:t>including</w:t>
      </w:r>
      <w:r w:rsidR="00177848" w:rsidRPr="00C6052E">
        <w:t xml:space="preserve"> </w:t>
      </w:r>
      <w:r w:rsidRPr="00C6052E">
        <w:t>securing</w:t>
      </w:r>
      <w:r w:rsidR="00177848" w:rsidRPr="00C6052E">
        <w:t xml:space="preserve"> </w:t>
      </w:r>
      <w:r w:rsidRPr="00C6052E">
        <w:t>defence-related</w:t>
      </w:r>
      <w:r w:rsidR="00177848" w:rsidRPr="00C6052E">
        <w:t xml:space="preserve"> </w:t>
      </w:r>
      <w:r w:rsidRPr="00C6052E">
        <w:t>investment,</w:t>
      </w:r>
      <w:r w:rsidR="00177848" w:rsidRPr="00C6052E">
        <w:t xml:space="preserve"> </w:t>
      </w:r>
      <w:r w:rsidRPr="00C6052E">
        <w:t>supply</w:t>
      </w:r>
      <w:r w:rsidR="00177848" w:rsidRPr="00C6052E">
        <w:t xml:space="preserve"> </w:t>
      </w:r>
      <w:r w:rsidRPr="00C6052E">
        <w:t>chain</w:t>
      </w:r>
      <w:r w:rsidR="00177848" w:rsidRPr="00C6052E">
        <w:t xml:space="preserve"> </w:t>
      </w:r>
      <w:r w:rsidRPr="00C6052E">
        <w:t>capabilities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workforce</w:t>
      </w:r>
      <w:r w:rsidR="00177848" w:rsidRPr="00C6052E">
        <w:t xml:space="preserve"> </w:t>
      </w:r>
      <w:r w:rsidRPr="00C6052E">
        <w:t>talent.</w:t>
      </w:r>
      <w:r w:rsidR="00177848" w:rsidRPr="00C6052E">
        <w:t xml:space="preserve"> </w:t>
      </w:r>
      <w:r w:rsidRPr="00C6052E">
        <w:t>ITI</w:t>
      </w:r>
      <w:r w:rsidR="00177848" w:rsidRPr="00C6052E">
        <w:t xml:space="preserve"> </w:t>
      </w:r>
      <w:r w:rsidRPr="00C6052E">
        <w:t>strengthened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state’s</w:t>
      </w:r>
      <w:r w:rsidR="00177848" w:rsidRPr="00C6052E">
        <w:t xml:space="preserve"> </w:t>
      </w:r>
      <w:r w:rsidRPr="00C6052E">
        <w:t>health</w:t>
      </w:r>
      <w:r w:rsidR="00177848" w:rsidRPr="00C6052E">
        <w:t xml:space="preserve"> </w:t>
      </w:r>
      <w:r w:rsidRPr="00C6052E">
        <w:t>technologies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medical</w:t>
      </w:r>
      <w:r w:rsidR="00177848" w:rsidRPr="00C6052E">
        <w:t xml:space="preserve"> </w:t>
      </w:r>
      <w:r w:rsidRPr="00C6052E">
        <w:t>research</w:t>
      </w:r>
      <w:r w:rsidR="00177848" w:rsidRPr="00C6052E">
        <w:t xml:space="preserve"> </w:t>
      </w:r>
      <w:r w:rsidRPr="00C6052E">
        <w:t>sector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innovation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digital</w:t>
      </w:r>
      <w:r w:rsidR="00177848" w:rsidRPr="00C6052E">
        <w:t xml:space="preserve"> </w:t>
      </w:r>
      <w:r w:rsidRPr="00C6052E">
        <w:t>ecosystems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boost</w:t>
      </w:r>
      <w:r w:rsidR="00177848" w:rsidRPr="00C6052E">
        <w:t xml:space="preserve"> </w:t>
      </w:r>
      <w:r w:rsidRPr="00C6052E">
        <w:t>productivity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competitiveness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delivered</w:t>
      </w:r>
      <w:r w:rsidR="00177848" w:rsidRPr="00C6052E">
        <w:t xml:space="preserve"> </w:t>
      </w:r>
      <w:r w:rsidRPr="00C6052E">
        <w:t>departmental</w:t>
      </w:r>
      <w:r w:rsidR="00177848" w:rsidRPr="00C6052E">
        <w:t xml:space="preserve"> </w:t>
      </w:r>
      <w:r w:rsidRPr="00C6052E">
        <w:t>programs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accelerate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growth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impact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Victoria’s</w:t>
      </w:r>
      <w:r w:rsidR="00177848" w:rsidRPr="00C6052E">
        <w:t xml:space="preserve"> </w:t>
      </w:r>
      <w:r w:rsidRPr="00C6052E">
        <w:t>research</w:t>
      </w:r>
      <w:r w:rsidR="00177848" w:rsidRPr="00C6052E">
        <w:t xml:space="preserve"> </w:t>
      </w:r>
      <w:r w:rsidRPr="00C6052E">
        <w:t>translation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commercialisation</w:t>
      </w:r>
      <w:r w:rsidR="00177848" w:rsidRPr="00C6052E">
        <w:t xml:space="preserve"> </w:t>
      </w:r>
      <w:r w:rsidRPr="00C6052E">
        <w:t>capabilities.</w:t>
      </w:r>
    </w:p>
    <w:p w14:paraId="1D97BC87" w14:textId="43642865" w:rsidR="00EE5BB8" w:rsidRPr="00C6052E" w:rsidRDefault="00EE5BB8" w:rsidP="00EE5BB8">
      <w:r w:rsidRPr="00C6052E">
        <w:t>ITI</w:t>
      </w:r>
      <w:r w:rsidR="00177848" w:rsidRPr="00C6052E">
        <w:t xml:space="preserve"> </w:t>
      </w:r>
      <w:r w:rsidRPr="00C6052E">
        <w:t>provided</w:t>
      </w:r>
      <w:r w:rsidR="00177848" w:rsidRPr="00C6052E">
        <w:t xml:space="preserve"> </w:t>
      </w:r>
      <w:r w:rsidRPr="00C6052E">
        <w:t>oversight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priority</w:t>
      </w:r>
      <w:r w:rsidR="00177848" w:rsidRPr="00C6052E">
        <w:t xml:space="preserve"> </w:t>
      </w:r>
      <w:r w:rsidRPr="00C6052E">
        <w:t>project</w:t>
      </w:r>
      <w:r w:rsidR="00177848" w:rsidRPr="00C6052E">
        <w:t xml:space="preserve"> </w:t>
      </w:r>
      <w:r w:rsidRPr="00C6052E">
        <w:t>investments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going</w:t>
      </w:r>
      <w:r w:rsidR="00177848" w:rsidRPr="00C6052E">
        <w:t xml:space="preserve"> </w:t>
      </w:r>
      <w:r w:rsidRPr="00C6052E">
        <w:t>through</w:t>
      </w:r>
      <w:r w:rsidR="00177848" w:rsidRPr="00C6052E">
        <w:t xml:space="preserve"> </w:t>
      </w:r>
      <w:r w:rsidRPr="00C6052E">
        <w:t>regulatory</w:t>
      </w:r>
      <w:r w:rsidR="00177848" w:rsidRPr="00C6052E">
        <w:t xml:space="preserve"> </w:t>
      </w:r>
      <w:r w:rsidRPr="00C6052E">
        <w:t>approvals,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reduce</w:t>
      </w:r>
      <w:r w:rsidR="00177848" w:rsidRPr="00C6052E">
        <w:t xml:space="preserve"> </w:t>
      </w:r>
      <w:r w:rsidRPr="00C6052E">
        <w:t>delays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enhance</w:t>
      </w:r>
      <w:r w:rsidR="00177848" w:rsidRPr="00C6052E">
        <w:t xml:space="preserve"> </w:t>
      </w:r>
      <w:r w:rsidRPr="00C6052E">
        <w:t>accountability</w:t>
      </w:r>
      <w:r w:rsidR="00177848" w:rsidRPr="00C6052E">
        <w:t xml:space="preserve"> </w:t>
      </w:r>
      <w:r w:rsidRPr="00C6052E">
        <w:t>across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departments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agencies;</w:t>
      </w:r>
      <w:r w:rsidR="00177848" w:rsidRPr="00C6052E">
        <w:t xml:space="preserve"> </w:t>
      </w:r>
      <w:r w:rsidRPr="00C6052E">
        <w:t>whilst</w:t>
      </w:r>
      <w:r w:rsidR="00177848" w:rsidRPr="00C6052E">
        <w:t xml:space="preserve"> </w:t>
      </w:r>
      <w:r w:rsidRPr="00C6052E">
        <w:t>supporting</w:t>
      </w:r>
      <w:r w:rsidR="00177848" w:rsidRPr="00C6052E">
        <w:t xml:space="preserve"> </w:t>
      </w:r>
      <w:r w:rsidRPr="00C6052E">
        <w:t>agencies,</w:t>
      </w:r>
      <w:r w:rsidR="00177848" w:rsidRPr="00C6052E">
        <w:t xml:space="preserve"> </w:t>
      </w:r>
      <w:r w:rsidRPr="00C6052E">
        <w:t>regulators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statutory</w:t>
      </w:r>
      <w:r w:rsidR="00177848" w:rsidRPr="00C6052E">
        <w:t xml:space="preserve"> </w:t>
      </w:r>
      <w:r w:rsidRPr="00C6052E">
        <w:t>authorities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meet</w:t>
      </w:r>
      <w:r w:rsidR="00177848" w:rsidRPr="00C6052E">
        <w:t xml:space="preserve"> </w:t>
      </w:r>
      <w:r w:rsidRPr="00C6052E">
        <w:t>required</w:t>
      </w:r>
      <w:r w:rsidR="00177848" w:rsidRPr="00C6052E">
        <w:t xml:space="preserve"> </w:t>
      </w:r>
      <w:r w:rsidRPr="00C6052E">
        <w:t>approval</w:t>
      </w:r>
      <w:r w:rsidR="00177848" w:rsidRPr="00C6052E">
        <w:t xml:space="preserve"> </w:t>
      </w:r>
      <w:r w:rsidRPr="00C6052E">
        <w:t>deadlines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priority</w:t>
      </w:r>
      <w:r w:rsidR="00177848" w:rsidRPr="00C6052E">
        <w:t xml:space="preserve"> </w:t>
      </w:r>
      <w:r w:rsidRPr="00C6052E">
        <w:t>project</w:t>
      </w:r>
      <w:r w:rsidR="00177848" w:rsidRPr="00C6052E">
        <w:t xml:space="preserve"> </w:t>
      </w:r>
      <w:r w:rsidRPr="00C6052E">
        <w:t>investments.</w:t>
      </w:r>
      <w:r w:rsidR="00177848" w:rsidRPr="00C6052E">
        <w:t xml:space="preserve"> </w:t>
      </w:r>
    </w:p>
    <w:p w14:paraId="61284BAD" w14:textId="3F88A866" w:rsidR="00EE5BB8" w:rsidRPr="00C6052E" w:rsidRDefault="00EE5BB8" w:rsidP="00EE5BB8">
      <w:r w:rsidRPr="00C6052E">
        <w:t>ITI</w:t>
      </w:r>
      <w:r w:rsidR="00177848" w:rsidRPr="00C6052E">
        <w:t xml:space="preserve"> </w:t>
      </w:r>
      <w:r w:rsidRPr="00C6052E">
        <w:t>connected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state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global</w:t>
      </w:r>
      <w:r w:rsidR="00177848" w:rsidRPr="00C6052E">
        <w:t xml:space="preserve"> </w:t>
      </w:r>
      <w:r w:rsidRPr="00C6052E">
        <w:t>opportunities,</w:t>
      </w:r>
      <w:r w:rsidR="00177848" w:rsidRPr="00C6052E">
        <w:t xml:space="preserve"> </w:t>
      </w:r>
      <w:r w:rsidRPr="00C6052E">
        <w:t>including</w:t>
      </w:r>
      <w:r w:rsidR="00177848" w:rsidRPr="00C6052E">
        <w:t xml:space="preserve"> </w:t>
      </w:r>
      <w:r w:rsidRPr="00C6052E">
        <w:t>through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Trade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Investment</w:t>
      </w:r>
      <w:r w:rsidR="00177848" w:rsidRPr="00C6052E">
        <w:t xml:space="preserve"> </w:t>
      </w:r>
      <w:r w:rsidRPr="00C6052E">
        <w:t>(VGTI)</w:t>
      </w:r>
      <w:r w:rsidR="00177848" w:rsidRPr="00C6052E">
        <w:t xml:space="preserve"> </w:t>
      </w:r>
      <w:r w:rsidRPr="00C6052E">
        <w:t>network;</w:t>
      </w:r>
      <w:r w:rsidR="00177848" w:rsidRPr="00C6052E">
        <w:t xml:space="preserve"> </w:t>
      </w:r>
      <w:r w:rsidRPr="00C6052E">
        <w:t>establishing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deepening</w:t>
      </w:r>
      <w:r w:rsidR="00177848" w:rsidRPr="00C6052E">
        <w:t xml:space="preserve"> </w:t>
      </w:r>
      <w:r w:rsidRPr="00C6052E">
        <w:t>relationships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strategic</w:t>
      </w:r>
      <w:r w:rsidR="00177848" w:rsidRPr="00C6052E">
        <w:t xml:space="preserve"> </w:t>
      </w:r>
      <w:r w:rsidRPr="00C6052E">
        <w:t>partners</w:t>
      </w:r>
      <w:r w:rsidR="00177848" w:rsidRPr="00C6052E">
        <w:t xml:space="preserve"> </w:t>
      </w:r>
      <w:r w:rsidRPr="00C6052E">
        <w:t>globally</w:t>
      </w:r>
      <w:r w:rsidR="00177848" w:rsidRPr="00C6052E">
        <w:t xml:space="preserve"> </w:t>
      </w:r>
      <w:r w:rsidRPr="00C6052E">
        <w:t>supporting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businesses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excel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global</w:t>
      </w:r>
      <w:r w:rsidR="00177848" w:rsidRPr="00C6052E">
        <w:t xml:space="preserve"> </w:t>
      </w:r>
      <w:r w:rsidRPr="00C6052E">
        <w:t>markets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developing,</w:t>
      </w:r>
      <w:r w:rsidR="00177848" w:rsidRPr="00C6052E">
        <w:t xml:space="preserve"> </w:t>
      </w:r>
      <w:r w:rsidRPr="00C6052E">
        <w:t>attracting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supporting</w:t>
      </w:r>
      <w:r w:rsidR="00177848" w:rsidRPr="00C6052E">
        <w:t xml:space="preserve"> </w:t>
      </w:r>
      <w:r w:rsidRPr="00C6052E">
        <w:t>world-class</w:t>
      </w:r>
      <w:r w:rsidR="00177848" w:rsidRPr="00C6052E">
        <w:t xml:space="preserve"> </w:t>
      </w:r>
      <w:r w:rsidRPr="00C6052E">
        <w:t>talent,</w:t>
      </w:r>
      <w:r w:rsidR="00177848" w:rsidRPr="00C6052E">
        <w:t xml:space="preserve"> </w:t>
      </w:r>
      <w:r w:rsidRPr="00C6052E">
        <w:t>including</w:t>
      </w:r>
      <w:r w:rsidR="00177848" w:rsidRPr="00C6052E">
        <w:t xml:space="preserve"> </w:t>
      </w:r>
      <w:r w:rsidRPr="00C6052E">
        <w:t>skilled</w:t>
      </w:r>
      <w:r w:rsidR="00177848" w:rsidRPr="00C6052E">
        <w:t xml:space="preserve"> </w:t>
      </w:r>
      <w:r w:rsidRPr="00C6052E">
        <w:t>migrants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international</w:t>
      </w:r>
      <w:r w:rsidR="00177848" w:rsidRPr="00C6052E">
        <w:t xml:space="preserve"> </w:t>
      </w:r>
      <w:r w:rsidRPr="00C6052E">
        <w:t>students.</w:t>
      </w:r>
    </w:p>
    <w:p w14:paraId="61EC145F" w14:textId="64CC3576" w:rsidR="00EE5BB8" w:rsidRPr="00C6052E" w:rsidRDefault="00EE5BB8" w:rsidP="00EE5BB8">
      <w:pPr>
        <w:pStyle w:val="Heading3"/>
      </w:pPr>
      <w:r w:rsidRPr="00C6052E">
        <w:t>Regional</w:t>
      </w:r>
      <w:r w:rsidR="00177848" w:rsidRPr="00C6052E">
        <w:t xml:space="preserve"> </w:t>
      </w:r>
      <w:r w:rsidRPr="00C6052E">
        <w:t>Development</w:t>
      </w:r>
      <w:r w:rsidR="00177848" w:rsidRPr="00C6052E">
        <w:t xml:space="preserve"> </w:t>
      </w:r>
      <w:r w:rsidRPr="00C6052E">
        <w:t>Victoria</w:t>
      </w:r>
    </w:p>
    <w:p w14:paraId="38D66943" w14:textId="16B013CB" w:rsidR="00EE5BB8" w:rsidRPr="00C6052E" w:rsidRDefault="00EE5BB8" w:rsidP="00EE5BB8">
      <w:r w:rsidRPr="00C6052E">
        <w:t>Regional</w:t>
      </w:r>
      <w:r w:rsidR="00177848" w:rsidRPr="00C6052E">
        <w:t xml:space="preserve"> </w:t>
      </w:r>
      <w:r w:rsidRPr="00C6052E">
        <w:t>Development</w:t>
      </w:r>
      <w:r w:rsidR="00177848" w:rsidRPr="00C6052E">
        <w:t xml:space="preserve"> </w:t>
      </w:r>
      <w:r w:rsidRPr="00C6052E">
        <w:t>Victoria</w:t>
      </w:r>
      <w:r w:rsidR="00177848" w:rsidRPr="00C6052E">
        <w:t xml:space="preserve"> </w:t>
      </w:r>
      <w:r w:rsidRPr="00C6052E">
        <w:t>(RDV)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dedicated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fostering</w:t>
      </w:r>
      <w:r w:rsidR="00177848" w:rsidRPr="00C6052E">
        <w:t xml:space="preserve"> </w:t>
      </w:r>
      <w:r w:rsidRPr="00C6052E">
        <w:t>vibrant,</w:t>
      </w:r>
      <w:r w:rsidR="00177848" w:rsidRPr="00C6052E">
        <w:t xml:space="preserve"> </w:t>
      </w:r>
      <w:r w:rsidRPr="00C6052E">
        <w:t>thriving,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inclusive</w:t>
      </w:r>
      <w:r w:rsidR="00177848" w:rsidRPr="00C6052E">
        <w:t xml:space="preserve"> </w:t>
      </w:r>
      <w:r w:rsidRPr="00C6052E">
        <w:t>regional</w:t>
      </w:r>
      <w:r w:rsidR="00177848" w:rsidRPr="00C6052E">
        <w:t xml:space="preserve"> </w:t>
      </w:r>
      <w:r w:rsidRPr="00C6052E">
        <w:t>communities</w:t>
      </w:r>
      <w:r w:rsidR="00177848" w:rsidRPr="00C6052E">
        <w:t xml:space="preserve"> </w:t>
      </w:r>
      <w:r w:rsidRPr="00C6052E">
        <w:t>across</w:t>
      </w:r>
      <w:r w:rsidR="00177848" w:rsidRPr="00C6052E">
        <w:t xml:space="preserve"> </w:t>
      </w:r>
      <w:r w:rsidRPr="00C6052E">
        <w:t>Victoria.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state's</w:t>
      </w:r>
      <w:r w:rsidR="00177848" w:rsidRPr="00C6052E">
        <w:t xml:space="preserve"> </w:t>
      </w:r>
      <w:r w:rsidRPr="00C6052E">
        <w:t>leading</w:t>
      </w:r>
      <w:r w:rsidR="00177848" w:rsidRPr="00C6052E">
        <w:t xml:space="preserve"> </w:t>
      </w:r>
      <w:r w:rsidRPr="00C6052E">
        <w:t>regional</w:t>
      </w:r>
      <w:r w:rsidR="00177848" w:rsidRPr="00C6052E">
        <w:t xml:space="preserve"> </w:t>
      </w:r>
      <w:r w:rsidRPr="00C6052E">
        <w:t>economic</w:t>
      </w:r>
      <w:r w:rsidR="00177848" w:rsidRPr="00C6052E">
        <w:t xml:space="preserve"> </w:t>
      </w:r>
      <w:r w:rsidRPr="00C6052E">
        <w:t>development</w:t>
      </w:r>
      <w:r w:rsidR="00177848" w:rsidRPr="00C6052E">
        <w:t xml:space="preserve"> </w:t>
      </w:r>
      <w:r w:rsidRPr="00C6052E">
        <w:t>agency,</w:t>
      </w:r>
      <w:r w:rsidR="00177848" w:rsidRPr="00C6052E">
        <w:t xml:space="preserve"> </w:t>
      </w:r>
      <w:r w:rsidRPr="00C6052E">
        <w:t>RDV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committed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creating</w:t>
      </w:r>
      <w:r w:rsidR="00177848" w:rsidRPr="00C6052E">
        <w:t xml:space="preserve"> </w:t>
      </w:r>
      <w:r w:rsidRPr="00C6052E">
        <w:t>jobs,</w:t>
      </w:r>
      <w:r w:rsidR="00177848" w:rsidRPr="00C6052E">
        <w:t xml:space="preserve"> </w:t>
      </w:r>
      <w:r w:rsidRPr="00C6052E">
        <w:t>delivering</w:t>
      </w:r>
      <w:r w:rsidR="00177848" w:rsidRPr="00C6052E">
        <w:t xml:space="preserve"> </w:t>
      </w:r>
      <w:r w:rsidRPr="00C6052E">
        <w:t>essential</w:t>
      </w:r>
      <w:r w:rsidR="00177848" w:rsidRPr="00C6052E">
        <w:t xml:space="preserve"> </w:t>
      </w:r>
      <w:r w:rsidRPr="00C6052E">
        <w:t>infrastructure,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enabling</w:t>
      </w:r>
      <w:r w:rsidR="00177848" w:rsidRPr="00C6052E">
        <w:t xml:space="preserve"> </w:t>
      </w:r>
      <w:r w:rsidRPr="00C6052E">
        <w:t>transformative</w:t>
      </w:r>
      <w:r w:rsidR="00177848" w:rsidRPr="00C6052E">
        <w:t xml:space="preserve"> </w:t>
      </w:r>
      <w:r w:rsidRPr="00C6052E">
        <w:t>investments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drive</w:t>
      </w:r>
      <w:r w:rsidR="00177848" w:rsidRPr="00C6052E">
        <w:t xml:space="preserve"> </w:t>
      </w:r>
      <w:r w:rsidRPr="00C6052E">
        <w:t>economic</w:t>
      </w:r>
      <w:r w:rsidR="00177848" w:rsidRPr="00C6052E">
        <w:t xml:space="preserve"> </w:t>
      </w:r>
      <w:r w:rsidRPr="00C6052E">
        <w:t>growth.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leveraging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unique</w:t>
      </w:r>
      <w:r w:rsidR="00177848" w:rsidRPr="00C6052E">
        <w:t xml:space="preserve"> </w:t>
      </w:r>
      <w:r w:rsidRPr="00C6052E">
        <w:t>strengths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each</w:t>
      </w:r>
      <w:r w:rsidR="00177848" w:rsidRPr="00C6052E">
        <w:t xml:space="preserve"> </w:t>
      </w:r>
      <w:r w:rsidRPr="00C6052E">
        <w:t>region,</w:t>
      </w:r>
      <w:r w:rsidR="00177848" w:rsidRPr="00C6052E">
        <w:t xml:space="preserve"> </w:t>
      </w:r>
      <w:r w:rsidRPr="00C6052E">
        <w:t>RDV</w:t>
      </w:r>
      <w:r w:rsidR="00177848" w:rsidRPr="00C6052E">
        <w:t xml:space="preserve"> </w:t>
      </w:r>
      <w:r w:rsidRPr="00C6052E">
        <w:t>ensures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economic</w:t>
      </w:r>
      <w:r w:rsidR="00177848" w:rsidRPr="00C6052E">
        <w:t xml:space="preserve"> </w:t>
      </w:r>
      <w:r w:rsidRPr="00C6052E">
        <w:t>growth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prosperity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shared</w:t>
      </w:r>
      <w:r w:rsidR="00177848" w:rsidRPr="00C6052E">
        <w:t xml:space="preserve"> </w:t>
      </w:r>
      <w:r w:rsidRPr="00C6052E">
        <w:t>throughout</w:t>
      </w:r>
      <w:r w:rsidR="00177848" w:rsidRPr="00C6052E">
        <w:t xml:space="preserve"> </w:t>
      </w:r>
      <w:r w:rsidRPr="00C6052E">
        <w:t>Victoria.</w:t>
      </w:r>
      <w:r w:rsidR="00177848" w:rsidRPr="00C6052E">
        <w:rPr>
          <w:rFonts w:cs="Cambria"/>
        </w:rPr>
        <w:t xml:space="preserve"> </w:t>
      </w:r>
    </w:p>
    <w:p w14:paraId="149106A2" w14:textId="7A87366B" w:rsidR="00EE5BB8" w:rsidRPr="00C6052E" w:rsidRDefault="00EE5BB8" w:rsidP="00EE5BB8">
      <w:r w:rsidRPr="00C6052E">
        <w:t>RDV</w:t>
      </w:r>
      <w:r w:rsidR="00177848" w:rsidRPr="00C6052E">
        <w:t xml:space="preserve"> </w:t>
      </w:r>
      <w:r w:rsidRPr="00C6052E">
        <w:t>acts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trusted</w:t>
      </w:r>
      <w:r w:rsidR="00177848" w:rsidRPr="00C6052E">
        <w:t xml:space="preserve"> </w:t>
      </w:r>
      <w:r w:rsidRPr="00C6052E">
        <w:t>partner,</w:t>
      </w:r>
      <w:r w:rsidR="00177848" w:rsidRPr="00C6052E">
        <w:t xml:space="preserve"> </w:t>
      </w:r>
      <w:r w:rsidRPr="00C6052E">
        <w:t>coordinating</w:t>
      </w:r>
      <w:r w:rsidR="00177848" w:rsidRPr="00C6052E">
        <w:t xml:space="preserve"> </w:t>
      </w:r>
      <w:r w:rsidRPr="00C6052E">
        <w:t>efforts</w:t>
      </w:r>
      <w:r w:rsidR="00177848" w:rsidRPr="00C6052E">
        <w:t xml:space="preserve"> </w:t>
      </w:r>
      <w:r w:rsidRPr="00C6052E">
        <w:t>across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regional</w:t>
      </w:r>
      <w:r w:rsidR="00177848" w:rsidRPr="00C6052E">
        <w:t xml:space="preserve"> </w:t>
      </w:r>
      <w:r w:rsidRPr="00C6052E">
        <w:t>stakeholders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ensure</w:t>
      </w:r>
      <w:r w:rsidR="00177848" w:rsidRPr="00C6052E">
        <w:t xml:space="preserve"> </w:t>
      </w:r>
      <w:r w:rsidRPr="00C6052E">
        <w:t>cohesive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effective</w:t>
      </w:r>
      <w:r w:rsidR="00177848" w:rsidRPr="00C6052E">
        <w:t xml:space="preserve"> </w:t>
      </w:r>
      <w:r w:rsidRPr="00C6052E">
        <w:t>economic</w:t>
      </w:r>
      <w:r w:rsidR="00177848" w:rsidRPr="00C6052E">
        <w:t xml:space="preserve"> </w:t>
      </w:r>
      <w:r w:rsidRPr="00C6052E">
        <w:t>development</w:t>
      </w:r>
      <w:r w:rsidR="00177848" w:rsidRPr="00C6052E">
        <w:t xml:space="preserve"> </w:t>
      </w:r>
      <w:r w:rsidRPr="00C6052E">
        <w:t>activities.</w:t>
      </w:r>
      <w:r w:rsidR="00177848" w:rsidRPr="00C6052E">
        <w:t xml:space="preserve"> </w:t>
      </w:r>
      <w:r w:rsidRPr="00C6052E">
        <w:t>Together,</w:t>
      </w:r>
      <w:r w:rsidR="00177848" w:rsidRPr="00C6052E">
        <w:t xml:space="preserve"> </w:t>
      </w:r>
      <w:r w:rsidRPr="00C6052E">
        <w:t>they</w:t>
      </w:r>
      <w:r w:rsidR="00177848" w:rsidRPr="00C6052E">
        <w:t xml:space="preserve"> </w:t>
      </w:r>
      <w:r w:rsidRPr="00C6052E">
        <w:t>unlock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potential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Victoria's</w:t>
      </w:r>
      <w:r w:rsidR="00177848" w:rsidRPr="00C6052E">
        <w:t xml:space="preserve"> </w:t>
      </w:r>
      <w:r w:rsidRPr="00C6052E">
        <w:t>regions,</w:t>
      </w:r>
      <w:r w:rsidR="00177848" w:rsidRPr="00C6052E">
        <w:t xml:space="preserve"> </w:t>
      </w:r>
      <w:r w:rsidRPr="00C6052E">
        <w:t>fostering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future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shared</w:t>
      </w:r>
      <w:r w:rsidR="00177848" w:rsidRPr="00C6052E">
        <w:t xml:space="preserve"> </w:t>
      </w:r>
      <w:r w:rsidRPr="00C6052E">
        <w:t>prosperity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growth.</w:t>
      </w:r>
    </w:p>
    <w:p w14:paraId="1AB83FC8" w14:textId="53E311A6" w:rsidR="00EE5BB8" w:rsidRPr="00C6052E" w:rsidRDefault="00EE5BB8" w:rsidP="00EE5BB8">
      <w:r w:rsidRPr="00C6052E">
        <w:t>RDV</w:t>
      </w:r>
      <w:r w:rsidR="00177848" w:rsidRPr="00C6052E">
        <w:t xml:space="preserve"> </w:t>
      </w:r>
      <w:r w:rsidRPr="00C6052E">
        <w:t>drove</w:t>
      </w:r>
      <w:r w:rsidR="00177848" w:rsidRPr="00C6052E">
        <w:t xml:space="preserve"> </w:t>
      </w:r>
      <w:r w:rsidRPr="00C6052E">
        <w:t>investment,</w:t>
      </w:r>
      <w:r w:rsidR="00177848" w:rsidRPr="00C6052E">
        <w:t xml:space="preserve"> </w:t>
      </w:r>
      <w:r w:rsidRPr="00C6052E">
        <w:t>prioritising</w:t>
      </w:r>
      <w:r w:rsidR="00177848" w:rsidRPr="00C6052E">
        <w:t xml:space="preserve"> </w:t>
      </w:r>
      <w:r w:rsidRPr="00C6052E">
        <w:t>opportunities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aligned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distinct</w:t>
      </w:r>
      <w:r w:rsidR="00177848" w:rsidRPr="00C6052E">
        <w:t xml:space="preserve"> </w:t>
      </w:r>
      <w:r w:rsidRPr="00C6052E">
        <w:t>economic</w:t>
      </w:r>
      <w:r w:rsidR="00177848" w:rsidRPr="00C6052E">
        <w:t xml:space="preserve"> </w:t>
      </w:r>
      <w:r w:rsidRPr="00C6052E">
        <w:t>strengths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each</w:t>
      </w:r>
      <w:r w:rsidR="00177848" w:rsidRPr="00C6052E">
        <w:t xml:space="preserve"> </w:t>
      </w:r>
      <w:r w:rsidRPr="00C6052E">
        <w:t>region.</w:t>
      </w:r>
      <w:r w:rsidR="00177848" w:rsidRPr="00C6052E">
        <w:t xml:space="preserve"> </w:t>
      </w:r>
      <w:r w:rsidRPr="00C6052E">
        <w:t>Through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place-based</w:t>
      </w:r>
      <w:r w:rsidR="00177848" w:rsidRPr="00C6052E">
        <w:t xml:space="preserve"> </w:t>
      </w:r>
      <w:r w:rsidRPr="00C6052E">
        <w:t>insights,</w:t>
      </w:r>
      <w:r w:rsidR="00177848" w:rsidRPr="00C6052E">
        <w:t xml:space="preserve"> </w:t>
      </w:r>
      <w:r w:rsidRPr="00C6052E">
        <w:t>expertise,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connections,</w:t>
      </w:r>
      <w:r w:rsidR="00177848" w:rsidRPr="00C6052E">
        <w:t xml:space="preserve"> </w:t>
      </w:r>
      <w:r w:rsidRPr="00C6052E">
        <w:t>RDV</w:t>
      </w:r>
      <w:r w:rsidR="00177848" w:rsidRPr="00C6052E">
        <w:t xml:space="preserve"> </w:t>
      </w:r>
      <w:r w:rsidRPr="00C6052E">
        <w:t>facilitated</w:t>
      </w:r>
      <w:r w:rsidR="00177848" w:rsidRPr="00C6052E">
        <w:t xml:space="preserve"> </w:t>
      </w:r>
      <w:r w:rsidRPr="00C6052E">
        <w:t>strategic</w:t>
      </w:r>
      <w:r w:rsidR="00177848" w:rsidRPr="00C6052E">
        <w:t xml:space="preserve"> </w:t>
      </w:r>
      <w:r w:rsidRPr="00C6052E">
        <w:t>investment</w:t>
      </w:r>
      <w:r w:rsidR="00177848" w:rsidRPr="00C6052E">
        <w:t xml:space="preserve"> </w:t>
      </w:r>
      <w:r w:rsidRPr="00C6052E">
        <w:t>opportunities,</w:t>
      </w:r>
      <w:r w:rsidR="00177848" w:rsidRPr="00C6052E">
        <w:t xml:space="preserve"> </w:t>
      </w:r>
      <w:r w:rsidRPr="00C6052E">
        <w:t>attracting</w:t>
      </w:r>
      <w:r w:rsidR="00177848" w:rsidRPr="00C6052E">
        <w:t xml:space="preserve"> </w:t>
      </w:r>
      <w:r w:rsidRPr="00C6052E">
        <w:t>both</w:t>
      </w:r>
      <w:r w:rsidR="00177848" w:rsidRPr="00C6052E">
        <w:t xml:space="preserve"> </w:t>
      </w:r>
      <w:r w:rsidRPr="00C6052E">
        <w:t>domestic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international</w:t>
      </w:r>
      <w:r w:rsidR="00177848" w:rsidRPr="00C6052E">
        <w:t xml:space="preserve"> </w:t>
      </w:r>
      <w:r w:rsidRPr="00C6052E">
        <w:t>investors.</w:t>
      </w:r>
      <w:r w:rsidR="00177848" w:rsidRPr="00C6052E">
        <w:t xml:space="preserve"> </w:t>
      </w:r>
      <w:r w:rsidRPr="00C6052E">
        <w:t>RDV</w:t>
      </w:r>
      <w:r w:rsidR="00177848" w:rsidRPr="00C6052E">
        <w:t xml:space="preserve"> </w:t>
      </w:r>
      <w:r w:rsidRPr="00C6052E">
        <w:t>engaged</w:t>
      </w:r>
      <w:r w:rsidR="00177848" w:rsidRPr="00C6052E">
        <w:t xml:space="preserve"> </w:t>
      </w:r>
      <w:r w:rsidRPr="00C6052E">
        <w:t>deeply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regional</w:t>
      </w:r>
      <w:r w:rsidR="00177848" w:rsidRPr="00C6052E">
        <w:t xml:space="preserve"> </w:t>
      </w:r>
      <w:r w:rsidRPr="00C6052E">
        <w:t>businesses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identify</w:t>
      </w:r>
      <w:r w:rsidR="00177848" w:rsidRPr="00C6052E">
        <w:t xml:space="preserve"> </w:t>
      </w:r>
      <w:r w:rsidRPr="00C6052E">
        <w:t>opportunities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reinvestment,</w:t>
      </w:r>
      <w:r w:rsidR="00177848" w:rsidRPr="00C6052E">
        <w:t xml:space="preserve"> </w:t>
      </w:r>
      <w:r w:rsidRPr="00C6052E">
        <w:t>address</w:t>
      </w:r>
      <w:r w:rsidR="00177848" w:rsidRPr="00C6052E">
        <w:t xml:space="preserve"> </w:t>
      </w:r>
      <w:r w:rsidRPr="00C6052E">
        <w:t>workforce</w:t>
      </w:r>
      <w:r w:rsidR="00177848" w:rsidRPr="00C6052E">
        <w:t xml:space="preserve"> </w:t>
      </w:r>
      <w:r w:rsidRPr="00C6052E">
        <w:t>needs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facilitate</w:t>
      </w:r>
      <w:r w:rsidR="00177848" w:rsidRPr="00C6052E">
        <w:t xml:space="preserve"> </w:t>
      </w:r>
      <w:r w:rsidRPr="00C6052E">
        <w:t>pathways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new</w:t>
      </w:r>
      <w:r w:rsidR="00177848" w:rsidRPr="00C6052E">
        <w:t xml:space="preserve"> </w:t>
      </w:r>
      <w:r w:rsidRPr="00C6052E">
        <w:t>markets.</w:t>
      </w:r>
    </w:p>
    <w:p w14:paraId="2973A7B6" w14:textId="5213C9A3" w:rsidR="00EE5BB8" w:rsidRPr="00C6052E" w:rsidRDefault="00EE5BB8" w:rsidP="00EE5BB8">
      <w:r w:rsidRPr="00C6052E">
        <w:t>RDV’s</w:t>
      </w:r>
      <w:r w:rsidR="00177848" w:rsidRPr="00C6052E">
        <w:t xml:space="preserve"> </w:t>
      </w:r>
      <w:r w:rsidRPr="00C6052E">
        <w:t>approach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strategy-led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informed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evidence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local</w:t>
      </w:r>
      <w:r w:rsidR="00177848" w:rsidRPr="00C6052E">
        <w:t xml:space="preserve"> </w:t>
      </w:r>
      <w:r w:rsidRPr="00C6052E">
        <w:t>insights.</w:t>
      </w:r>
      <w:r w:rsidR="00177848" w:rsidRPr="00C6052E">
        <w:t xml:space="preserve"> </w:t>
      </w:r>
      <w:r w:rsidRPr="00C6052E">
        <w:t>RDV</w:t>
      </w:r>
      <w:r w:rsidR="00177848" w:rsidRPr="00C6052E">
        <w:t xml:space="preserve"> </w:t>
      </w:r>
      <w:r w:rsidRPr="00C6052E">
        <w:t>worked</w:t>
      </w:r>
      <w:r w:rsidR="00177848" w:rsidRPr="00C6052E">
        <w:t xml:space="preserve"> </w:t>
      </w:r>
      <w:r w:rsidRPr="00C6052E">
        <w:t>collaboratively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communities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stakeholders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develop</w:t>
      </w:r>
      <w:r w:rsidR="00177848" w:rsidRPr="00C6052E">
        <w:t xml:space="preserve"> </w:t>
      </w:r>
      <w:r w:rsidRPr="00C6052E">
        <w:t>economic</w:t>
      </w:r>
      <w:r w:rsidR="00177848" w:rsidRPr="00C6052E">
        <w:t xml:space="preserve"> </w:t>
      </w:r>
      <w:r w:rsidRPr="00C6052E">
        <w:t>development</w:t>
      </w:r>
      <w:r w:rsidR="00177848" w:rsidRPr="00C6052E">
        <w:t xml:space="preserve"> </w:t>
      </w:r>
      <w:r w:rsidRPr="00C6052E">
        <w:t>initiatives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responsive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regional</w:t>
      </w:r>
      <w:r w:rsidR="00177848" w:rsidRPr="00C6052E">
        <w:t xml:space="preserve"> </w:t>
      </w:r>
      <w:r w:rsidRPr="00C6052E">
        <w:t>contexts.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aligning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efforts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policy,</w:t>
      </w:r>
      <w:r w:rsidR="00177848" w:rsidRPr="00C6052E">
        <w:t xml:space="preserve"> </w:t>
      </w:r>
      <w:r w:rsidRPr="00C6052E">
        <w:t>RDV</w:t>
      </w:r>
      <w:r w:rsidR="00177848" w:rsidRPr="00C6052E">
        <w:t xml:space="preserve"> </w:t>
      </w:r>
      <w:r w:rsidRPr="00C6052E">
        <w:t>promoted</w:t>
      </w:r>
      <w:r w:rsidR="00177848" w:rsidRPr="00C6052E">
        <w:t xml:space="preserve"> </w:t>
      </w:r>
      <w:r w:rsidRPr="00C6052E">
        <w:t>strategic</w:t>
      </w:r>
      <w:r w:rsidR="00177848" w:rsidRPr="00C6052E">
        <w:t xml:space="preserve"> </w:t>
      </w:r>
      <w:r w:rsidRPr="00C6052E">
        <w:t>investments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delivered</w:t>
      </w:r>
      <w:r w:rsidR="00177848" w:rsidRPr="00C6052E">
        <w:t xml:space="preserve"> </w:t>
      </w:r>
      <w:r w:rsidRPr="00C6052E">
        <w:t>significant</w:t>
      </w:r>
      <w:r w:rsidR="00177848" w:rsidRPr="00C6052E">
        <w:t xml:space="preserve"> </w:t>
      </w:r>
      <w:r w:rsidRPr="00C6052E">
        <w:t>economic</w:t>
      </w:r>
      <w:r w:rsidR="00177848" w:rsidRPr="00C6052E">
        <w:t xml:space="preserve"> </w:t>
      </w:r>
      <w:r w:rsidRPr="00C6052E">
        <w:t>impact.</w:t>
      </w:r>
    </w:p>
    <w:p w14:paraId="54F5B29B" w14:textId="6585D889" w:rsidR="00EE5BB8" w:rsidRPr="00C6052E" w:rsidRDefault="00EE5BB8" w:rsidP="00EE5BB8">
      <w:pPr>
        <w:pStyle w:val="Heading3"/>
      </w:pPr>
      <w:r w:rsidRPr="00C6052E">
        <w:lastRenderedPageBreak/>
        <w:t>Skills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Employment</w:t>
      </w:r>
    </w:p>
    <w:p w14:paraId="70D1B4B4" w14:textId="40AA4B27" w:rsidR="00EE5BB8" w:rsidRPr="00C6052E" w:rsidRDefault="00EE5BB8" w:rsidP="00EE5BB8">
      <w:pPr>
        <w:keepLines/>
      </w:pPr>
      <w:r w:rsidRPr="00C6052E">
        <w:t>The</w:t>
      </w:r>
      <w:r w:rsidR="00177848" w:rsidRPr="00C6052E">
        <w:t xml:space="preserve"> </w:t>
      </w:r>
      <w:r w:rsidRPr="00C6052E">
        <w:t>Skills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Employment</w:t>
      </w:r>
      <w:r w:rsidR="00177848" w:rsidRPr="00C6052E">
        <w:t xml:space="preserve"> </w:t>
      </w:r>
      <w:r w:rsidRPr="00C6052E">
        <w:t>(SE)</w:t>
      </w:r>
      <w:r w:rsidR="00177848" w:rsidRPr="00C6052E">
        <w:t xml:space="preserve"> </w:t>
      </w:r>
      <w:r w:rsidRPr="00C6052E">
        <w:t>group</w:t>
      </w:r>
      <w:r w:rsidR="00177848" w:rsidRPr="00C6052E">
        <w:t xml:space="preserve"> </w:t>
      </w:r>
      <w:r w:rsidRPr="00C6052E">
        <w:t>worked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give</w:t>
      </w:r>
      <w:r w:rsidR="00177848" w:rsidRPr="00C6052E">
        <w:t xml:space="preserve"> </w:t>
      </w:r>
      <w:r w:rsidRPr="00C6052E">
        <w:t>Victorians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opportunity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access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knowledge,</w:t>
      </w:r>
      <w:r w:rsidR="00177848" w:rsidRPr="00C6052E">
        <w:t xml:space="preserve"> </w:t>
      </w:r>
      <w:r w:rsidRPr="00C6052E">
        <w:t>skills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attributes</w:t>
      </w:r>
      <w:r w:rsidR="00177848" w:rsidRPr="00C6052E">
        <w:t xml:space="preserve"> </w:t>
      </w:r>
      <w:r w:rsidRPr="00C6052E">
        <w:t>they</w:t>
      </w:r>
      <w:r w:rsidR="00177848" w:rsidRPr="00C6052E">
        <w:t xml:space="preserve"> </w:t>
      </w:r>
      <w:r w:rsidRPr="00C6052E">
        <w:t>need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participate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today’s</w:t>
      </w:r>
      <w:r w:rsidR="00177848" w:rsidRPr="00C6052E">
        <w:t xml:space="preserve"> </w:t>
      </w:r>
      <w:r w:rsidRPr="00C6052E">
        <w:t>workforce,</w:t>
      </w:r>
      <w:r w:rsidR="00177848" w:rsidRPr="00C6052E">
        <w:t xml:space="preserve"> </w:t>
      </w:r>
      <w:r w:rsidRPr="00C6052E">
        <w:t>prepare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jobs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future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achieve</w:t>
      </w:r>
      <w:r w:rsidR="00177848" w:rsidRPr="00C6052E">
        <w:t xml:space="preserve"> </w:t>
      </w:r>
      <w:r w:rsidRPr="00C6052E">
        <w:t>their</w:t>
      </w:r>
      <w:r w:rsidR="00177848" w:rsidRPr="00C6052E">
        <w:t xml:space="preserve"> </w:t>
      </w:r>
      <w:r w:rsidRPr="00C6052E">
        <w:t>educational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employment</w:t>
      </w:r>
      <w:r w:rsidR="00177848" w:rsidRPr="00C6052E">
        <w:t xml:space="preserve"> </w:t>
      </w:r>
      <w:r w:rsidRPr="00C6052E">
        <w:t>aspirations.</w:t>
      </w:r>
      <w:r w:rsidR="00177848" w:rsidRPr="00C6052E">
        <w:t xml:space="preserve"> </w:t>
      </w:r>
      <w:r w:rsidRPr="00C6052E">
        <w:t>It</w:t>
      </w:r>
      <w:r w:rsidR="00177848" w:rsidRPr="00C6052E">
        <w:t xml:space="preserve"> </w:t>
      </w:r>
      <w:r w:rsidRPr="00C6052E">
        <w:t>worked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businesses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ensure</w:t>
      </w:r>
      <w:r w:rsidR="00177848" w:rsidRPr="00C6052E">
        <w:t xml:space="preserve"> </w:t>
      </w:r>
      <w:r w:rsidRPr="00C6052E">
        <w:t>they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access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skilled</w:t>
      </w:r>
      <w:r w:rsidR="00177848" w:rsidRPr="00C6052E">
        <w:t xml:space="preserve"> </w:t>
      </w:r>
      <w:r w:rsidRPr="00C6052E">
        <w:t>workers</w:t>
      </w:r>
      <w:r w:rsidR="00177848" w:rsidRPr="00C6052E">
        <w:t xml:space="preserve"> </w:t>
      </w:r>
      <w:r w:rsidRPr="00C6052E">
        <w:t>they</w:t>
      </w:r>
      <w:r w:rsidR="00177848" w:rsidRPr="00C6052E">
        <w:t xml:space="preserve"> </w:t>
      </w:r>
      <w:r w:rsidRPr="00C6052E">
        <w:t>need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partnered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local</w:t>
      </w:r>
      <w:r w:rsidR="00177848" w:rsidRPr="00C6052E">
        <w:t xml:space="preserve"> </w:t>
      </w:r>
      <w:r w:rsidRPr="00C6052E">
        <w:t>community</w:t>
      </w:r>
      <w:r w:rsidR="00177848" w:rsidRPr="00C6052E">
        <w:t xml:space="preserve"> </w:t>
      </w:r>
      <w:r w:rsidRPr="00C6052E">
        <w:t>organisations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encourage</w:t>
      </w:r>
      <w:r w:rsidR="00177848" w:rsidRPr="00C6052E">
        <w:t xml:space="preserve"> </w:t>
      </w:r>
      <w:r w:rsidRPr="00C6052E">
        <w:t>innovative</w:t>
      </w:r>
      <w:r w:rsidR="00177848" w:rsidRPr="00C6052E">
        <w:t xml:space="preserve"> </w:t>
      </w:r>
      <w:r w:rsidRPr="00C6052E">
        <w:t>ways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create</w:t>
      </w:r>
      <w:r w:rsidR="00177848" w:rsidRPr="00C6052E">
        <w:t xml:space="preserve"> </w:t>
      </w:r>
      <w:r w:rsidRPr="00C6052E">
        <w:t>inclusive</w:t>
      </w:r>
      <w:r w:rsidR="00177848" w:rsidRPr="00C6052E">
        <w:t xml:space="preserve"> </w:t>
      </w:r>
      <w:r w:rsidRPr="00C6052E">
        <w:t>job</w:t>
      </w:r>
      <w:r w:rsidR="00177848" w:rsidRPr="00C6052E">
        <w:t xml:space="preserve"> </w:t>
      </w:r>
      <w:r w:rsidRPr="00C6052E">
        <w:t>opportunities.</w:t>
      </w:r>
      <w:r w:rsidR="00177848" w:rsidRPr="00C6052E">
        <w:t xml:space="preserve"> </w:t>
      </w:r>
    </w:p>
    <w:p w14:paraId="380E59C6" w14:textId="710E0682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group’s</w:t>
      </w:r>
      <w:r w:rsidR="00177848" w:rsidRPr="00C6052E">
        <w:t xml:space="preserve"> </w:t>
      </w:r>
      <w:r w:rsidRPr="00C6052E">
        <w:t>responsibilities</w:t>
      </w:r>
      <w:r w:rsidR="00177848" w:rsidRPr="00C6052E">
        <w:t xml:space="preserve"> </w:t>
      </w:r>
      <w:r w:rsidRPr="00C6052E">
        <w:t>included</w:t>
      </w:r>
      <w:r w:rsidR="00177848" w:rsidRPr="00C6052E">
        <w:t xml:space="preserve"> </w:t>
      </w:r>
      <w:r w:rsidRPr="00C6052E">
        <w:t>making</w:t>
      </w:r>
      <w:r w:rsidR="00177848" w:rsidRPr="00C6052E">
        <w:t xml:space="preserve"> </w:t>
      </w:r>
      <w:r w:rsidRPr="00C6052E">
        <w:t>sure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Victorians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supported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seek</w:t>
      </w:r>
      <w:r w:rsidR="00177848" w:rsidRPr="00C6052E">
        <w:t xml:space="preserve"> </w:t>
      </w:r>
      <w:r w:rsidRPr="00C6052E">
        <w:t>training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obtain</w:t>
      </w:r>
      <w:r w:rsidR="00177848" w:rsidRPr="00C6052E">
        <w:t xml:space="preserve"> </w:t>
      </w:r>
      <w:r w:rsidRPr="00C6052E">
        <w:t>safe,</w:t>
      </w:r>
      <w:r w:rsidR="00177848" w:rsidRPr="00C6052E">
        <w:t xml:space="preserve"> </w:t>
      </w:r>
      <w:r w:rsidRPr="00C6052E">
        <w:t>secure,</w:t>
      </w:r>
      <w:r w:rsidR="00177848" w:rsidRPr="00C6052E">
        <w:t xml:space="preserve"> </w:t>
      </w:r>
      <w:r w:rsidRPr="00C6052E">
        <w:t>fair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sustainable</w:t>
      </w:r>
      <w:r w:rsidR="00177848" w:rsidRPr="00C6052E">
        <w:t xml:space="preserve"> </w:t>
      </w:r>
      <w:r w:rsidRPr="00C6052E">
        <w:t>jobs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priority</w:t>
      </w:r>
      <w:r w:rsidR="00177848" w:rsidRPr="00C6052E">
        <w:t xml:space="preserve"> </w:t>
      </w:r>
      <w:r w:rsidRPr="00C6052E">
        <w:t>sectors</w:t>
      </w:r>
      <w:r w:rsidR="00177848" w:rsidRPr="00C6052E">
        <w:t xml:space="preserve"> </w:t>
      </w:r>
      <w:r w:rsidRPr="00C6052E">
        <w:t>such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clean</w:t>
      </w:r>
      <w:r w:rsidR="00177848" w:rsidRPr="00C6052E">
        <w:t xml:space="preserve"> </w:t>
      </w:r>
      <w:r w:rsidRPr="00C6052E">
        <w:t>economy,</w:t>
      </w:r>
      <w:r w:rsidR="00177848" w:rsidRPr="00C6052E">
        <w:t xml:space="preserve"> </w:t>
      </w:r>
      <w:r w:rsidRPr="00C6052E">
        <w:t>care</w:t>
      </w:r>
      <w:r w:rsidR="00177848" w:rsidRPr="00C6052E">
        <w:t xml:space="preserve"> </w:t>
      </w:r>
      <w:r w:rsidRPr="00C6052E">
        <w:t>economy,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construction</w:t>
      </w:r>
      <w:r w:rsidR="00177848" w:rsidRPr="00C6052E">
        <w:t xml:space="preserve"> </w:t>
      </w:r>
      <w:r w:rsidRPr="00C6052E">
        <w:t>industry.</w:t>
      </w:r>
      <w:r w:rsidR="00177848" w:rsidRPr="00C6052E">
        <w:t xml:space="preserve"> </w:t>
      </w:r>
    </w:p>
    <w:p w14:paraId="1996C87D" w14:textId="1D805239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group</w:t>
      </w:r>
      <w:r w:rsidR="00177848" w:rsidRPr="00C6052E">
        <w:t xml:space="preserve"> </w:t>
      </w:r>
      <w:r w:rsidRPr="00C6052E">
        <w:t>oversaw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Vocational</w:t>
      </w:r>
      <w:r w:rsidR="00177848" w:rsidRPr="00C6052E">
        <w:t xml:space="preserve"> </w:t>
      </w:r>
      <w:r w:rsidRPr="00C6052E">
        <w:t>Education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Training</w:t>
      </w:r>
      <w:r w:rsidR="00177848" w:rsidRPr="00C6052E">
        <w:t xml:space="preserve"> </w:t>
      </w:r>
      <w:r w:rsidRPr="00C6052E">
        <w:t>(VET)</w:t>
      </w:r>
      <w:r w:rsidR="00177848" w:rsidRPr="00C6052E">
        <w:t xml:space="preserve"> </w:t>
      </w:r>
      <w:r w:rsidRPr="00C6052E">
        <w:t>system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focused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ensuring</w:t>
      </w:r>
      <w:r w:rsidR="00177848" w:rsidRPr="00C6052E">
        <w:t xml:space="preserve"> </w:t>
      </w:r>
      <w:r w:rsidRPr="00C6052E">
        <w:t>delivery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quality</w:t>
      </w:r>
      <w:r w:rsidR="00177848" w:rsidRPr="00C6052E">
        <w:t xml:space="preserve"> </w:t>
      </w:r>
      <w:r w:rsidRPr="00C6052E">
        <w:t>training</w:t>
      </w:r>
      <w:r w:rsidR="00177848" w:rsidRPr="00C6052E">
        <w:t xml:space="preserve"> </w:t>
      </w:r>
      <w:r w:rsidRPr="00C6052E">
        <w:t>aligned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skilled</w:t>
      </w:r>
      <w:r w:rsidR="00177848" w:rsidRPr="00C6052E">
        <w:t xml:space="preserve"> </w:t>
      </w:r>
      <w:r w:rsidRPr="00C6052E">
        <w:t>workforce</w:t>
      </w:r>
      <w:r w:rsidR="00177848" w:rsidRPr="00C6052E">
        <w:t xml:space="preserve"> </w:t>
      </w:r>
      <w:r w:rsidRPr="00C6052E">
        <w:t>needs,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improving</w:t>
      </w:r>
      <w:r w:rsidR="00177848" w:rsidRPr="00C6052E">
        <w:t xml:space="preserve"> </w:t>
      </w:r>
      <w:r w:rsidRPr="00C6052E">
        <w:t>outcomes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learners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industry.</w:t>
      </w:r>
      <w:r w:rsidR="00177848" w:rsidRPr="00C6052E">
        <w:t xml:space="preserve"> </w:t>
      </w:r>
      <w:r w:rsidRPr="00C6052E">
        <w:t>SE</w:t>
      </w:r>
      <w:r w:rsidR="00177848" w:rsidRPr="00C6052E">
        <w:t xml:space="preserve"> </w:t>
      </w:r>
      <w:r w:rsidRPr="00C6052E">
        <w:t>led</w:t>
      </w:r>
      <w:r w:rsidR="00177848" w:rsidRPr="00C6052E">
        <w:t xml:space="preserve"> </w:t>
      </w:r>
      <w:r w:rsidRPr="00C6052E">
        <w:t>stewardship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TAFE</w:t>
      </w:r>
      <w:r w:rsidR="00177848" w:rsidRPr="00C6052E">
        <w:t xml:space="preserve"> </w:t>
      </w:r>
      <w:r w:rsidRPr="00C6052E">
        <w:t>Network</w:t>
      </w:r>
      <w:r w:rsidR="00177848" w:rsidRPr="00C6052E">
        <w:t xml:space="preserve"> </w:t>
      </w:r>
      <w:r w:rsidRPr="00C6052E">
        <w:t>through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Office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TAFE</w:t>
      </w:r>
      <w:r w:rsidR="00177848" w:rsidRPr="00C6052E">
        <w:t xml:space="preserve"> </w:t>
      </w:r>
      <w:r w:rsidRPr="00C6052E">
        <w:t>Coordination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 w:rsidDel="00543D75">
        <w:t>Delivery</w:t>
      </w:r>
      <w:r w:rsidRPr="00C6052E">
        <w:t>,</w:t>
      </w:r>
      <w:r w:rsidR="00177848" w:rsidRPr="00C6052E">
        <w:t xml:space="preserve"> </w:t>
      </w:r>
      <w:r w:rsidRPr="00C6052E">
        <w:t>informed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group’s</w:t>
      </w:r>
      <w:r w:rsidR="00177848" w:rsidRPr="00C6052E">
        <w:t xml:space="preserve"> </w:t>
      </w:r>
      <w:r w:rsidRPr="00C6052E">
        <w:t>partnership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Skills</w:t>
      </w:r>
      <w:r w:rsidR="00177848" w:rsidRPr="00C6052E">
        <w:t xml:space="preserve"> </w:t>
      </w:r>
      <w:r w:rsidRPr="00C6052E">
        <w:t>Authority.</w:t>
      </w:r>
      <w:r w:rsidR="00177848" w:rsidRPr="00C6052E">
        <w:t xml:space="preserve"> </w:t>
      </w:r>
    </w:p>
    <w:p w14:paraId="489628CB" w14:textId="47F455DD" w:rsidR="00EE5BB8" w:rsidRPr="00C6052E" w:rsidRDefault="00EE5BB8" w:rsidP="00EE5BB8">
      <w:r w:rsidRPr="00C6052E">
        <w:t>SE’s</w:t>
      </w:r>
      <w:r w:rsidR="00177848" w:rsidRPr="00C6052E">
        <w:t xml:space="preserve"> </w:t>
      </w:r>
      <w:r w:rsidRPr="00C6052E">
        <w:t>stewardship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apprenticeship</w:t>
      </w:r>
      <w:r w:rsidR="00177848" w:rsidRPr="00C6052E">
        <w:t xml:space="preserve"> </w:t>
      </w:r>
      <w:r w:rsidRPr="00C6052E">
        <w:t>system</w:t>
      </w:r>
      <w:r w:rsidR="00177848" w:rsidRPr="00C6052E">
        <w:t xml:space="preserve"> </w:t>
      </w:r>
      <w:r w:rsidRPr="00C6052E">
        <w:t>supported</w:t>
      </w:r>
      <w:r w:rsidR="00177848" w:rsidRPr="00C6052E">
        <w:t xml:space="preserve"> </w:t>
      </w:r>
      <w:r w:rsidRPr="00C6052E">
        <w:t>apprentices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trainees</w:t>
      </w:r>
      <w:r w:rsidR="00177848" w:rsidRPr="00C6052E">
        <w:t xml:space="preserve"> </w:t>
      </w:r>
      <w:r w:rsidRPr="00C6052E">
        <w:t>through</w:t>
      </w:r>
      <w:r w:rsidR="00177848" w:rsidRPr="00C6052E">
        <w:t xml:space="preserve"> </w:t>
      </w:r>
      <w:r w:rsidRPr="00C6052E">
        <w:t>Apprenticeships</w:t>
      </w:r>
      <w:r w:rsidR="00177848" w:rsidRPr="00C6052E">
        <w:t xml:space="preserve"> </w:t>
      </w:r>
      <w:r w:rsidRPr="00C6052E">
        <w:t>Victoria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meet</w:t>
      </w:r>
      <w:r w:rsidR="00177848" w:rsidRPr="00C6052E">
        <w:t xml:space="preserve"> </w:t>
      </w:r>
      <w:r w:rsidRPr="00C6052E">
        <w:t>Victorias’s</w:t>
      </w:r>
      <w:r w:rsidR="00177848" w:rsidRPr="00C6052E">
        <w:t xml:space="preserve"> </w:t>
      </w:r>
      <w:r w:rsidRPr="00C6052E">
        <w:t>workforce</w:t>
      </w:r>
      <w:r w:rsidR="00177848" w:rsidRPr="00C6052E">
        <w:t xml:space="preserve"> </w:t>
      </w:r>
      <w:r w:rsidRPr="00C6052E">
        <w:t>priorities.</w:t>
      </w:r>
      <w:r w:rsidR="00177848" w:rsidRPr="00C6052E">
        <w:t xml:space="preserve"> </w:t>
      </w:r>
      <w:r w:rsidRPr="00C6052E">
        <w:t>SE</w:t>
      </w:r>
      <w:r w:rsidR="00177848" w:rsidRPr="00C6052E">
        <w:t xml:space="preserve"> </w:t>
      </w:r>
      <w:r w:rsidRPr="00C6052E">
        <w:t>collaborated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other</w:t>
      </w:r>
      <w:r w:rsidR="00177848" w:rsidRPr="00C6052E">
        <w:t xml:space="preserve"> </w:t>
      </w:r>
      <w:r w:rsidRPr="00C6052E">
        <w:t>governments</w:t>
      </w:r>
      <w:r w:rsidR="00177848" w:rsidRPr="00C6052E">
        <w:t xml:space="preserve"> </w:t>
      </w:r>
      <w:r w:rsidRPr="00C6052E">
        <w:t>across</w:t>
      </w:r>
      <w:r w:rsidR="00177848" w:rsidRPr="00C6052E">
        <w:t xml:space="preserve"> </w:t>
      </w:r>
      <w:r w:rsidRPr="00C6052E">
        <w:t>Australia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lead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national</w:t>
      </w:r>
      <w:r w:rsidR="00177848" w:rsidRPr="00C6052E">
        <w:t xml:space="preserve"> </w:t>
      </w:r>
      <w:r w:rsidRPr="00C6052E">
        <w:t>quality</w:t>
      </w:r>
      <w:r w:rsidR="00177848" w:rsidRPr="00C6052E">
        <w:t xml:space="preserve"> </w:t>
      </w:r>
      <w:r w:rsidRPr="00C6052E">
        <w:t>training</w:t>
      </w:r>
      <w:r w:rsidR="00177848" w:rsidRPr="00C6052E">
        <w:t xml:space="preserve"> </w:t>
      </w:r>
      <w:r w:rsidRPr="00C6052E">
        <w:t>system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drive</w:t>
      </w:r>
      <w:r w:rsidR="00177848" w:rsidRPr="00C6052E">
        <w:t xml:space="preserve"> </w:t>
      </w:r>
      <w:r w:rsidRPr="00C6052E">
        <w:t>better</w:t>
      </w:r>
      <w:r w:rsidR="00177848" w:rsidRPr="00C6052E">
        <w:t xml:space="preserve"> </w:t>
      </w:r>
      <w:r w:rsidRPr="00C6052E">
        <w:t>outcomes</w:t>
      </w:r>
      <w:r w:rsidR="00177848" w:rsidRPr="00C6052E">
        <w:t xml:space="preserve"> </w:t>
      </w:r>
      <w:r w:rsidRPr="00C6052E">
        <w:t>through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education</w:t>
      </w:r>
      <w:r w:rsidR="00177848" w:rsidRPr="00C6052E">
        <w:t xml:space="preserve"> </w:t>
      </w:r>
      <w:r w:rsidRPr="00C6052E">
        <w:t>system.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group</w:t>
      </w:r>
      <w:r w:rsidR="00177848" w:rsidRPr="00C6052E">
        <w:t xml:space="preserve"> </w:t>
      </w:r>
      <w:r w:rsidRPr="00C6052E">
        <w:t>partnered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universities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meet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priorities,</w:t>
      </w:r>
      <w:r w:rsidR="00177848" w:rsidRPr="00C6052E">
        <w:t xml:space="preserve"> </w:t>
      </w:r>
      <w:r w:rsidRPr="00C6052E">
        <w:t>supported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Adult,</w:t>
      </w:r>
      <w:r w:rsidR="00177848" w:rsidRPr="00C6052E">
        <w:t xml:space="preserve"> </w:t>
      </w:r>
      <w:r w:rsidRPr="00C6052E">
        <w:t>Community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Further</w:t>
      </w:r>
      <w:r w:rsidR="00177848" w:rsidRPr="00C6052E">
        <w:t xml:space="preserve"> </w:t>
      </w:r>
      <w:r w:rsidRPr="00C6052E">
        <w:t>Education</w:t>
      </w:r>
      <w:r w:rsidR="00177848" w:rsidRPr="00C6052E">
        <w:t xml:space="preserve"> </w:t>
      </w:r>
      <w:r w:rsidRPr="00C6052E">
        <w:t>Board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drive</w:t>
      </w:r>
      <w:r w:rsidR="00177848" w:rsidRPr="00C6052E">
        <w:t xml:space="preserve"> </w:t>
      </w:r>
      <w:r w:rsidRPr="00C6052E">
        <w:t>better</w:t>
      </w:r>
      <w:r w:rsidR="00177848" w:rsidRPr="00C6052E">
        <w:t xml:space="preserve"> </w:t>
      </w:r>
      <w:r w:rsidRPr="00C6052E">
        <w:t>pathways</w:t>
      </w:r>
      <w:r w:rsidR="00177848" w:rsidRPr="00C6052E">
        <w:t xml:space="preserve"> </w:t>
      </w:r>
      <w:r w:rsidRPr="00C6052E">
        <w:t>through</w:t>
      </w:r>
      <w:r w:rsidR="00177848" w:rsidRPr="00C6052E">
        <w:t xml:space="preserve"> </w:t>
      </w:r>
      <w:r w:rsidRPr="00C6052E">
        <w:t>pre-accredited</w:t>
      </w:r>
      <w:r w:rsidR="00177848" w:rsidRPr="00C6052E">
        <w:t xml:space="preserve"> </w:t>
      </w:r>
      <w:r w:rsidRPr="00C6052E">
        <w:t>training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led</w:t>
      </w:r>
      <w:r w:rsidR="00177848" w:rsidRPr="00C6052E">
        <w:t xml:space="preserve"> </w:t>
      </w:r>
      <w:r w:rsidRPr="00C6052E">
        <w:t>employment-related</w:t>
      </w:r>
      <w:r w:rsidR="00177848" w:rsidRPr="00C6052E">
        <w:t xml:space="preserve"> </w:t>
      </w:r>
      <w:r w:rsidRPr="00C6052E">
        <w:t>program</w:t>
      </w:r>
      <w:r w:rsidR="00177848" w:rsidRPr="00C6052E">
        <w:t xml:space="preserve"> </w:t>
      </w:r>
      <w:r w:rsidRPr="00C6052E">
        <w:t>delivery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focus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supporting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people</w:t>
      </w:r>
      <w:r w:rsidR="00177848" w:rsidRPr="00C6052E">
        <w:t xml:space="preserve"> </w:t>
      </w:r>
      <w:r w:rsidRPr="00C6052E">
        <w:t>who</w:t>
      </w:r>
      <w:r w:rsidR="00177848" w:rsidRPr="00C6052E">
        <w:t xml:space="preserve"> </w:t>
      </w:r>
      <w:r w:rsidRPr="00C6052E">
        <w:t>need</w:t>
      </w:r>
      <w:r w:rsidR="00177848" w:rsidRPr="00C6052E">
        <w:t xml:space="preserve"> </w:t>
      </w:r>
      <w:r w:rsidRPr="00C6052E">
        <w:t>support</w:t>
      </w:r>
      <w:r w:rsidR="00177848" w:rsidRPr="00C6052E">
        <w:t xml:space="preserve"> </w:t>
      </w:r>
      <w:r w:rsidRPr="00C6052E">
        <w:t>into</w:t>
      </w:r>
      <w:r w:rsidR="00177848" w:rsidRPr="00C6052E">
        <w:t xml:space="preserve"> </w:t>
      </w:r>
      <w:r w:rsidRPr="00C6052E">
        <w:t>work.</w:t>
      </w:r>
      <w:r w:rsidR="00177848" w:rsidRPr="00C6052E">
        <w:t xml:space="preserve"> </w:t>
      </w:r>
    </w:p>
    <w:p w14:paraId="43A7D53A" w14:textId="2FA15184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group’s</w:t>
      </w:r>
      <w:r w:rsidR="00177848" w:rsidRPr="00C6052E">
        <w:t xml:space="preserve"> </w:t>
      </w:r>
      <w:r w:rsidRPr="00C6052E">
        <w:t>strong</w:t>
      </w:r>
      <w:r w:rsidR="00177848" w:rsidRPr="00C6052E">
        <w:t xml:space="preserve"> </w:t>
      </w:r>
      <w:r w:rsidRPr="00C6052E">
        <w:t>working</w:t>
      </w:r>
      <w:r w:rsidR="00177848" w:rsidRPr="00C6052E">
        <w:t xml:space="preserve"> </w:t>
      </w:r>
      <w:r w:rsidRPr="00C6052E">
        <w:t>partnership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Aboriginal</w:t>
      </w:r>
      <w:r w:rsidR="00177848" w:rsidRPr="00C6052E">
        <w:t xml:space="preserve"> </w:t>
      </w:r>
      <w:r w:rsidRPr="00C6052E">
        <w:t>Education</w:t>
      </w:r>
      <w:r w:rsidR="00177848" w:rsidRPr="00C6052E">
        <w:t xml:space="preserve"> </w:t>
      </w:r>
      <w:r w:rsidRPr="00C6052E">
        <w:t>Association</w:t>
      </w:r>
      <w:r w:rsidR="00177848" w:rsidRPr="00C6052E">
        <w:t xml:space="preserve"> </w:t>
      </w:r>
      <w:r w:rsidRPr="00C6052E">
        <w:t>Inc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Aboriginal</w:t>
      </w:r>
      <w:r w:rsidR="00177848" w:rsidRPr="00C6052E">
        <w:t xml:space="preserve"> </w:t>
      </w:r>
      <w:r w:rsidRPr="00C6052E">
        <w:t>Community</w:t>
      </w:r>
      <w:r w:rsidR="00177848" w:rsidRPr="00C6052E">
        <w:t xml:space="preserve"> </w:t>
      </w:r>
      <w:r w:rsidRPr="00C6052E">
        <w:t>Controlled</w:t>
      </w:r>
      <w:r w:rsidR="00177848" w:rsidRPr="00C6052E">
        <w:t xml:space="preserve"> </w:t>
      </w:r>
      <w:r w:rsidRPr="00C6052E">
        <w:t>Registered</w:t>
      </w:r>
      <w:r w:rsidR="00177848" w:rsidRPr="00C6052E">
        <w:t xml:space="preserve"> </w:t>
      </w:r>
      <w:r w:rsidRPr="00C6052E">
        <w:t>Training</w:t>
      </w:r>
      <w:r w:rsidR="00177848" w:rsidRPr="00C6052E">
        <w:t xml:space="preserve"> </w:t>
      </w:r>
      <w:r w:rsidRPr="00C6052E">
        <w:t>Organisations</w:t>
      </w:r>
      <w:r w:rsidR="00177848" w:rsidRPr="00C6052E">
        <w:t xml:space="preserve"> </w:t>
      </w:r>
      <w:r w:rsidRPr="00C6052E">
        <w:t>supported</w:t>
      </w:r>
      <w:r w:rsidR="00177848" w:rsidRPr="00C6052E">
        <w:t xml:space="preserve"> </w:t>
      </w:r>
      <w:r w:rsidRPr="00C6052E">
        <w:t>continued</w:t>
      </w:r>
      <w:r w:rsidR="00177848" w:rsidRPr="00C6052E">
        <w:t xml:space="preserve"> </w:t>
      </w:r>
      <w:r w:rsidRPr="00C6052E">
        <w:t>improvement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skilling</w:t>
      </w:r>
      <w:r w:rsidR="00177848" w:rsidRPr="00C6052E">
        <w:t xml:space="preserve"> </w:t>
      </w:r>
      <w:r w:rsidRPr="00C6052E">
        <w:t>outcomes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Aboriginal</w:t>
      </w:r>
      <w:r w:rsidR="00177848" w:rsidRPr="00C6052E">
        <w:t xml:space="preserve"> </w:t>
      </w:r>
      <w:r w:rsidRPr="00C6052E">
        <w:t>learners.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underpinned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work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Aboriginal</w:t>
      </w:r>
      <w:r w:rsidR="00177848" w:rsidRPr="00C6052E">
        <w:t xml:space="preserve"> </w:t>
      </w:r>
      <w:r w:rsidRPr="00C6052E">
        <w:t>self-determination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SE,</w:t>
      </w:r>
      <w:r w:rsidR="00177848" w:rsidRPr="00C6052E">
        <w:t xml:space="preserve"> </w:t>
      </w:r>
      <w:r w:rsidRPr="00C6052E">
        <w:t>supported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Closing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Gap</w:t>
      </w:r>
      <w:r w:rsidR="00177848" w:rsidRPr="00C6052E">
        <w:t xml:space="preserve"> </w:t>
      </w:r>
      <w:r w:rsidRPr="00C6052E">
        <w:t>policy</w:t>
      </w:r>
      <w:r w:rsidR="00177848" w:rsidRPr="00C6052E">
        <w:t xml:space="preserve"> </w:t>
      </w:r>
      <w:r w:rsidRPr="00C6052E">
        <w:t>initiative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National</w:t>
      </w:r>
      <w:r w:rsidR="00177848" w:rsidRPr="00C6052E">
        <w:t xml:space="preserve"> </w:t>
      </w:r>
      <w:r w:rsidRPr="00C6052E">
        <w:t>Skills</w:t>
      </w:r>
      <w:r w:rsidR="00177848" w:rsidRPr="00C6052E">
        <w:t xml:space="preserve"> </w:t>
      </w:r>
      <w:r w:rsidRPr="00C6052E">
        <w:t>Agreement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guided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proofErr w:type="spellStart"/>
      <w:r w:rsidRPr="00C6052E">
        <w:t>Marrung</w:t>
      </w:r>
      <w:proofErr w:type="spellEnd"/>
      <w:r w:rsidR="00177848" w:rsidRPr="00C6052E">
        <w:t xml:space="preserve"> </w:t>
      </w:r>
      <w:r w:rsidRPr="00C6052E">
        <w:t>Aboriginal</w:t>
      </w:r>
      <w:r w:rsidR="00177848" w:rsidRPr="00C6052E">
        <w:t xml:space="preserve"> </w:t>
      </w:r>
      <w:r w:rsidRPr="00C6052E">
        <w:t>Education</w:t>
      </w:r>
      <w:r w:rsidR="00177848" w:rsidRPr="00C6052E">
        <w:t xml:space="preserve"> </w:t>
      </w:r>
      <w:r w:rsidRPr="00C6052E">
        <w:t>Plan</w:t>
      </w:r>
      <w:r w:rsidR="00177848" w:rsidRPr="00C6052E">
        <w:t xml:space="preserve"> </w:t>
      </w:r>
      <w:r w:rsidRPr="00C6052E">
        <w:t>2016–2026.</w:t>
      </w:r>
      <w:r w:rsidR="00177848" w:rsidRPr="00C6052E">
        <w:t xml:space="preserve"> </w:t>
      </w:r>
    </w:p>
    <w:p w14:paraId="18ABF7FA" w14:textId="1DACE74C" w:rsidR="00EE5BB8" w:rsidRPr="00C6052E" w:rsidRDefault="00EE5BB8" w:rsidP="00EE5BB8">
      <w:pPr>
        <w:pStyle w:val="Heading3"/>
      </w:pPr>
      <w:r w:rsidRPr="00C6052E">
        <w:t>Sport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Experience</w:t>
      </w:r>
      <w:r w:rsidR="00177848" w:rsidRPr="00C6052E">
        <w:t xml:space="preserve"> </w:t>
      </w:r>
      <w:r w:rsidRPr="00C6052E">
        <w:t>Economy</w:t>
      </w:r>
    </w:p>
    <w:p w14:paraId="1854E67F" w14:textId="5DDB86D7" w:rsidR="00EE5BB8" w:rsidRPr="00C6052E" w:rsidRDefault="00EE5BB8" w:rsidP="00EE5BB8">
      <w:pPr>
        <w:keepLines/>
      </w:pPr>
      <w:r w:rsidRPr="00C6052E">
        <w:t>The</w:t>
      </w:r>
      <w:r w:rsidR="00177848" w:rsidRPr="00C6052E">
        <w:t xml:space="preserve"> </w:t>
      </w:r>
      <w:r w:rsidRPr="00C6052E">
        <w:t>Sport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Experience</w:t>
      </w:r>
      <w:r w:rsidR="00177848" w:rsidRPr="00C6052E">
        <w:t xml:space="preserve"> </w:t>
      </w:r>
      <w:r w:rsidRPr="00C6052E">
        <w:t>Economy</w:t>
      </w:r>
      <w:r w:rsidR="00177848" w:rsidRPr="00C6052E">
        <w:t xml:space="preserve"> </w:t>
      </w:r>
      <w:r w:rsidRPr="00C6052E">
        <w:t>(SEE)</w:t>
      </w:r>
      <w:r w:rsidR="00177848" w:rsidRPr="00C6052E">
        <w:t xml:space="preserve"> </w:t>
      </w:r>
      <w:r w:rsidRPr="00C6052E">
        <w:t>group</w:t>
      </w:r>
      <w:r w:rsidR="00177848" w:rsidRPr="00C6052E">
        <w:t xml:space="preserve"> </w:t>
      </w:r>
      <w:r w:rsidRPr="00C6052E">
        <w:t>worked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create</w:t>
      </w:r>
      <w:r w:rsidR="00177848" w:rsidRPr="00C6052E">
        <w:t xml:space="preserve"> </w:t>
      </w:r>
      <w:r w:rsidRPr="00C6052E">
        <w:t>positive</w:t>
      </w:r>
      <w:r w:rsidR="00177848" w:rsidRPr="00C6052E">
        <w:t xml:space="preserve"> </w:t>
      </w:r>
      <w:r w:rsidRPr="00C6052E">
        <w:t>experiences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strengthen</w:t>
      </w:r>
      <w:r w:rsidR="00177848" w:rsidRPr="00C6052E">
        <w:t xml:space="preserve"> </w:t>
      </w:r>
      <w:r w:rsidRPr="00C6052E">
        <w:t>Victoria’s</w:t>
      </w:r>
      <w:r w:rsidR="00177848" w:rsidRPr="00C6052E">
        <w:t xml:space="preserve"> </w:t>
      </w:r>
      <w:r w:rsidRPr="00C6052E">
        <w:t>profile</w:t>
      </w:r>
      <w:r w:rsidR="00177848" w:rsidRPr="00C6052E">
        <w:t xml:space="preserve"> </w:t>
      </w:r>
      <w:r w:rsidRPr="00C6052E">
        <w:t>through</w:t>
      </w:r>
      <w:r w:rsidR="00177848" w:rsidRPr="00C6052E">
        <w:t xml:space="preserve"> </w:t>
      </w:r>
      <w:r w:rsidRPr="00C6052E">
        <w:t>sport,</w:t>
      </w:r>
      <w:r w:rsidR="00177848" w:rsidRPr="00C6052E">
        <w:t xml:space="preserve"> </w:t>
      </w:r>
      <w:r w:rsidRPr="00C6052E">
        <w:t>tourism,</w:t>
      </w:r>
      <w:r w:rsidR="00177848" w:rsidRPr="00C6052E">
        <w:t xml:space="preserve"> </w:t>
      </w:r>
      <w:r w:rsidRPr="00C6052E">
        <w:t>events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outdoor</w:t>
      </w:r>
      <w:r w:rsidR="00177848" w:rsidRPr="00C6052E">
        <w:t xml:space="preserve"> </w:t>
      </w:r>
      <w:r w:rsidRPr="00C6052E">
        <w:t>recreation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local</w:t>
      </w:r>
      <w:r w:rsidR="00177848" w:rsidRPr="00C6052E">
        <w:t xml:space="preserve"> </w:t>
      </w:r>
      <w:r w:rsidRPr="00C6052E">
        <w:t>communities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international</w:t>
      </w:r>
      <w:r w:rsidR="00177848" w:rsidRPr="00C6052E">
        <w:t xml:space="preserve"> </w:t>
      </w:r>
      <w:r w:rsidRPr="00C6052E">
        <w:t>stage.</w:t>
      </w:r>
      <w:r w:rsidR="00177848" w:rsidRPr="00C6052E">
        <w:t xml:space="preserve"> </w:t>
      </w:r>
    </w:p>
    <w:p w14:paraId="0C1B6437" w14:textId="18A8AFDF" w:rsidR="00EE5BB8" w:rsidRPr="00C6052E" w:rsidRDefault="00EE5BB8" w:rsidP="00EE5BB8">
      <w:r w:rsidRPr="00C6052E">
        <w:t>It</w:t>
      </w:r>
      <w:r w:rsidR="00177848" w:rsidRPr="00C6052E">
        <w:t xml:space="preserve"> </w:t>
      </w:r>
      <w:r w:rsidRPr="00C6052E">
        <w:t>supported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vibrant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resilient</w:t>
      </w:r>
      <w:r w:rsidR="00177848" w:rsidRPr="00C6052E">
        <w:t xml:space="preserve"> </w:t>
      </w:r>
      <w:r w:rsidRPr="00C6052E">
        <w:t>tourism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events</w:t>
      </w:r>
      <w:r w:rsidR="00177848" w:rsidRPr="00C6052E">
        <w:t xml:space="preserve"> </w:t>
      </w:r>
      <w:r w:rsidRPr="00C6052E">
        <w:t>sectors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drive</w:t>
      </w:r>
      <w:r w:rsidR="00177848" w:rsidRPr="00C6052E">
        <w:t xml:space="preserve"> </w:t>
      </w:r>
      <w:r w:rsidRPr="00C6052E">
        <w:t>sustainable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inclusive</w:t>
      </w:r>
      <w:r w:rsidR="00177848" w:rsidRPr="00C6052E">
        <w:t xml:space="preserve"> </w:t>
      </w:r>
      <w:r w:rsidRPr="00C6052E">
        <w:t>economic</w:t>
      </w:r>
      <w:r w:rsidR="00177848" w:rsidRPr="00C6052E">
        <w:t xml:space="preserve"> </w:t>
      </w:r>
      <w:r w:rsidRPr="00C6052E">
        <w:t>growth;</w:t>
      </w:r>
      <w:r w:rsidR="00177848" w:rsidRPr="00C6052E">
        <w:t xml:space="preserve"> </w:t>
      </w:r>
      <w:r w:rsidRPr="00C6052E">
        <w:t>facilitated</w:t>
      </w:r>
      <w:r w:rsidR="00177848" w:rsidRPr="00C6052E">
        <w:t xml:space="preserve"> </w:t>
      </w:r>
      <w:r w:rsidRPr="00C6052E">
        <w:t>innovation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new</w:t>
      </w:r>
      <w:r w:rsidR="00177848" w:rsidRPr="00C6052E">
        <w:t xml:space="preserve"> </w:t>
      </w:r>
      <w:r w:rsidRPr="00C6052E">
        <w:t>investment;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strengthened</w:t>
      </w:r>
      <w:r w:rsidR="00177848" w:rsidRPr="00C6052E">
        <w:t xml:space="preserve"> </w:t>
      </w:r>
      <w:r w:rsidRPr="00C6052E">
        <w:t>Victoria’s</w:t>
      </w:r>
      <w:r w:rsidR="00177848" w:rsidRPr="00C6052E">
        <w:t xml:space="preserve"> </w:t>
      </w:r>
      <w:r w:rsidRPr="00C6052E">
        <w:t>reputation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status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leading</w:t>
      </w:r>
      <w:r w:rsidR="00177848" w:rsidRPr="00C6052E">
        <w:t xml:space="preserve"> </w:t>
      </w:r>
      <w:r w:rsidRPr="00C6052E">
        <w:t>destination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tourism,</w:t>
      </w:r>
      <w:r w:rsidR="00177848" w:rsidRPr="00C6052E">
        <w:t xml:space="preserve"> </w:t>
      </w:r>
      <w:r w:rsidRPr="00C6052E">
        <w:t>sport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events.</w:t>
      </w:r>
    </w:p>
    <w:p w14:paraId="11E04FCD" w14:textId="3ED26B12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group</w:t>
      </w:r>
      <w:r w:rsidR="00177848" w:rsidRPr="00C6052E">
        <w:t xml:space="preserve"> </w:t>
      </w:r>
      <w:r w:rsidRPr="00C6052E">
        <w:t>also</w:t>
      </w:r>
      <w:r w:rsidR="00177848" w:rsidRPr="00C6052E">
        <w:t xml:space="preserve"> </w:t>
      </w:r>
      <w:r w:rsidRPr="00C6052E">
        <w:t>worked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inspire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enable</w:t>
      </w:r>
      <w:r w:rsidR="00177848" w:rsidRPr="00C6052E">
        <w:t xml:space="preserve"> </w:t>
      </w:r>
      <w:r w:rsidRPr="00C6052E">
        <w:t>Victorians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more</w:t>
      </w:r>
      <w:r w:rsidR="00177848" w:rsidRPr="00C6052E">
        <w:t xml:space="preserve"> </w:t>
      </w:r>
      <w:r w:rsidRPr="00C6052E">
        <w:t>active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participate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bookmarkStart w:id="20" w:name="_Int_Br6JVZjO"/>
      <w:r w:rsidRPr="00C6052E">
        <w:t>sport</w:t>
      </w:r>
      <w:bookmarkEnd w:id="20"/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recreation.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benefited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community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improving</w:t>
      </w:r>
      <w:r w:rsidR="00177848" w:rsidRPr="00C6052E">
        <w:t xml:space="preserve"> </w:t>
      </w:r>
      <w:r w:rsidRPr="00C6052E">
        <w:t>overall</w:t>
      </w:r>
      <w:r w:rsidR="00177848" w:rsidRPr="00C6052E">
        <w:t xml:space="preserve"> </w:t>
      </w:r>
      <w:r w:rsidRPr="00C6052E">
        <w:t>health</w:t>
      </w:r>
      <w:r w:rsidR="00177848" w:rsidRPr="00C6052E">
        <w:t xml:space="preserve"> </w:t>
      </w:r>
      <w:r w:rsidRPr="00C6052E">
        <w:lastRenderedPageBreak/>
        <w:t>and</w:t>
      </w:r>
      <w:r w:rsidR="00177848" w:rsidRPr="00C6052E">
        <w:t xml:space="preserve"> </w:t>
      </w:r>
      <w:r w:rsidRPr="00C6052E">
        <w:t>wellbeing,</w:t>
      </w:r>
      <w:r w:rsidR="00177848" w:rsidRPr="00C6052E">
        <w:t xml:space="preserve"> </w:t>
      </w:r>
      <w:r w:rsidRPr="00C6052E">
        <w:t>creating</w:t>
      </w:r>
      <w:r w:rsidR="00177848" w:rsidRPr="00C6052E">
        <w:t xml:space="preserve"> </w:t>
      </w:r>
      <w:r w:rsidRPr="00C6052E">
        <w:t>stronger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more</w:t>
      </w:r>
      <w:r w:rsidR="00177848" w:rsidRPr="00C6052E">
        <w:t xml:space="preserve"> </w:t>
      </w:r>
      <w:r w:rsidRPr="00C6052E">
        <w:t>inclusive</w:t>
      </w:r>
      <w:r w:rsidR="00177848" w:rsidRPr="00C6052E">
        <w:t xml:space="preserve"> </w:t>
      </w:r>
      <w:r w:rsidRPr="00C6052E">
        <w:t>communities,</w:t>
      </w:r>
      <w:r w:rsidR="00177848" w:rsidRPr="00C6052E">
        <w:t xml:space="preserve"> </w:t>
      </w:r>
      <w:r w:rsidRPr="00C6052E">
        <w:t>delivering</w:t>
      </w:r>
      <w:r w:rsidR="00177848" w:rsidRPr="00C6052E">
        <w:t xml:space="preserve"> </w:t>
      </w:r>
      <w:r w:rsidRPr="00C6052E">
        <w:t>economic</w:t>
      </w:r>
      <w:r w:rsidR="00177848" w:rsidRPr="00C6052E">
        <w:t xml:space="preserve"> </w:t>
      </w:r>
      <w:r w:rsidRPr="00C6052E">
        <w:t>growth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jobs,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enhancing</w:t>
      </w:r>
      <w:r w:rsidR="00177848" w:rsidRPr="00C6052E">
        <w:t xml:space="preserve"> </w:t>
      </w:r>
      <w:r w:rsidRPr="00C6052E">
        <w:t>liveability</w:t>
      </w:r>
      <w:r w:rsidR="00177848" w:rsidRPr="00C6052E">
        <w:t xml:space="preserve"> </w:t>
      </w:r>
      <w:r w:rsidRPr="00C6052E">
        <w:t>across</w:t>
      </w:r>
      <w:r w:rsidR="00177848" w:rsidRPr="00C6052E">
        <w:t xml:space="preserve"> </w:t>
      </w:r>
      <w:r w:rsidRPr="00C6052E">
        <w:t>Victoria.</w:t>
      </w:r>
    </w:p>
    <w:p w14:paraId="65621954" w14:textId="0AAD20EF" w:rsidR="00EE5BB8" w:rsidRPr="00C6052E" w:rsidRDefault="00EE5BB8" w:rsidP="00EE5BB8">
      <w:r w:rsidRPr="00C6052E">
        <w:t>SEE</w:t>
      </w:r>
      <w:r w:rsidR="00177848" w:rsidRPr="00C6052E">
        <w:t xml:space="preserve"> </w:t>
      </w:r>
      <w:r w:rsidRPr="00C6052E">
        <w:t>coordinated</w:t>
      </w:r>
      <w:r w:rsidR="00177848" w:rsidRPr="00C6052E">
        <w:t xml:space="preserve"> </w:t>
      </w:r>
      <w:r w:rsidRPr="00C6052E">
        <w:t>outdoor</w:t>
      </w:r>
      <w:r w:rsidR="00177848" w:rsidRPr="00C6052E">
        <w:t xml:space="preserve"> </w:t>
      </w:r>
      <w:r w:rsidRPr="00C6052E">
        <w:t>recreation</w:t>
      </w:r>
      <w:r w:rsidR="00177848" w:rsidRPr="00C6052E">
        <w:t xml:space="preserve"> </w:t>
      </w:r>
      <w:r w:rsidRPr="00C6052E">
        <w:t>functions</w:t>
      </w:r>
      <w:r w:rsidR="00177848" w:rsidRPr="00C6052E">
        <w:t xml:space="preserve"> </w:t>
      </w:r>
      <w:r w:rsidRPr="00C6052E">
        <w:t>including</w:t>
      </w:r>
      <w:r w:rsidR="00177848" w:rsidRPr="00C6052E">
        <w:t xml:space="preserve"> </w:t>
      </w:r>
      <w:r w:rsidRPr="00C6052E">
        <w:t>those</w:t>
      </w:r>
      <w:r w:rsidR="00177848" w:rsidRPr="00C6052E">
        <w:t xml:space="preserve"> </w:t>
      </w:r>
      <w:r w:rsidRPr="00C6052E">
        <w:t>related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game</w:t>
      </w:r>
      <w:r w:rsidR="00177848" w:rsidRPr="00C6052E">
        <w:t xml:space="preserve"> </w:t>
      </w:r>
      <w:r w:rsidRPr="00C6052E">
        <w:t>hunting,</w:t>
      </w:r>
      <w:r w:rsidR="00177848" w:rsidRPr="00C6052E">
        <w:t xml:space="preserve"> </w:t>
      </w:r>
      <w:r w:rsidRPr="00C6052E">
        <w:t>fishing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boating,</w:t>
      </w:r>
      <w:r w:rsidR="00177848" w:rsidRPr="00C6052E">
        <w:t xml:space="preserve"> </w:t>
      </w:r>
      <w:r w:rsidRPr="00C6052E">
        <w:t>working</w:t>
      </w:r>
      <w:r w:rsidR="00177848" w:rsidRPr="00C6052E">
        <w:t xml:space="preserve"> </w:t>
      </w:r>
      <w:r w:rsidRPr="00C6052E">
        <w:t>closely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Fisheries</w:t>
      </w:r>
      <w:r w:rsidR="00177848" w:rsidRPr="00C6052E">
        <w:t xml:space="preserve"> </w:t>
      </w:r>
      <w:r w:rsidRPr="00C6052E">
        <w:t>Authority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Game</w:t>
      </w:r>
      <w:r w:rsidR="00177848" w:rsidRPr="00C6052E">
        <w:t xml:space="preserve"> </w:t>
      </w:r>
      <w:r w:rsidRPr="00C6052E">
        <w:t>Management</w:t>
      </w:r>
      <w:r w:rsidR="00177848" w:rsidRPr="00C6052E">
        <w:t xml:space="preserve"> </w:t>
      </w:r>
      <w:r w:rsidRPr="00C6052E">
        <w:t>Authority.</w:t>
      </w:r>
    </w:p>
    <w:p w14:paraId="7F728BA5" w14:textId="2555C28E" w:rsidR="00EE5BB8" w:rsidRPr="00C6052E" w:rsidRDefault="00EE5BB8" w:rsidP="00EE5BB8">
      <w:pPr>
        <w:pStyle w:val="Heading2"/>
      </w:pPr>
      <w:bookmarkStart w:id="21" w:name="_Toc214375836"/>
      <w:r w:rsidRPr="00C6052E">
        <w:t>Achievements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–</w:t>
      </w:r>
      <w:r w:rsidR="00177848" w:rsidRPr="00C6052E">
        <w:t xml:space="preserve"> </w:t>
      </w:r>
      <w:r w:rsidRPr="00C6052E">
        <w:t>aligned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DJSIR’s</w:t>
      </w:r>
      <w:r w:rsidR="00177848" w:rsidRPr="00C6052E">
        <w:t xml:space="preserve"> </w:t>
      </w:r>
      <w:r w:rsidRPr="00C6052E">
        <w:t>Strategic</w:t>
      </w:r>
      <w:r w:rsidR="00177848" w:rsidRPr="00C6052E">
        <w:t xml:space="preserve"> </w:t>
      </w:r>
      <w:r w:rsidRPr="00C6052E">
        <w:t>Plan</w:t>
      </w:r>
      <w:bookmarkEnd w:id="21"/>
    </w:p>
    <w:p w14:paraId="68643ADD" w14:textId="28767BBC" w:rsidR="00EE5BB8" w:rsidRPr="00C6052E" w:rsidRDefault="00EE5BB8" w:rsidP="00EE5BB8">
      <w:pPr>
        <w:pStyle w:val="Heading3"/>
      </w:pPr>
      <w:r w:rsidRPr="00C6052E">
        <w:t>1.</w:t>
      </w:r>
      <w:r w:rsidR="00177848" w:rsidRPr="00C6052E">
        <w:t xml:space="preserve"> </w:t>
      </w:r>
      <w:r w:rsidRPr="00C6052E">
        <w:t>Create</w:t>
      </w:r>
      <w:r w:rsidR="00177848" w:rsidRPr="00C6052E">
        <w:t xml:space="preserve"> </w:t>
      </w:r>
      <w:r w:rsidRPr="00C6052E">
        <w:t>jobs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attract</w:t>
      </w:r>
      <w:r w:rsidR="00177848" w:rsidRPr="00C6052E">
        <w:t xml:space="preserve"> </w:t>
      </w:r>
      <w:r w:rsidRPr="00C6052E">
        <w:t>investment</w:t>
      </w:r>
    </w:p>
    <w:p w14:paraId="68332F49" w14:textId="7CD7AFA8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Stimulated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creation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3,054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capital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expenditure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$1,172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economy</w:t>
      </w:r>
    </w:p>
    <w:p w14:paraId="0EA9FF28" w14:textId="7D642261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Progressed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Nyaal</w:t>
      </w:r>
      <w:proofErr w:type="spellEnd"/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Banyul</w:t>
      </w:r>
      <w:proofErr w:type="spell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Geelong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Convention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Centre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precinct.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Construction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1,450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700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ongoing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operation</w:t>
      </w:r>
      <w:r w:rsidR="00177848" w:rsidRPr="00C6052E">
        <w:rPr>
          <w:lang w:val="en-AU"/>
        </w:rPr>
        <w:t xml:space="preserve"> </w:t>
      </w:r>
    </w:p>
    <w:p w14:paraId="2AAE49C5" w14:textId="01D125F1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Secured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creation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around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150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$23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capital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expenditure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defence,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aviation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aerospace-related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</w:p>
    <w:p w14:paraId="7B50D2CB" w14:textId="03BC6420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Launched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rStyle w:val="Italics"/>
          <w:lang w:val="en-AU"/>
        </w:rPr>
        <w:t>Victorian</w:t>
      </w:r>
      <w:r w:rsidR="00177848" w:rsidRPr="00C6052E">
        <w:rPr>
          <w:rStyle w:val="Italics"/>
          <w:lang w:val="en-AU"/>
        </w:rPr>
        <w:t xml:space="preserve"> </w:t>
      </w:r>
      <w:r w:rsidRPr="00C6052E">
        <w:rPr>
          <w:rStyle w:val="Italics"/>
          <w:lang w:val="en-AU"/>
        </w:rPr>
        <w:t>Defence</w:t>
      </w:r>
      <w:r w:rsidR="00177848" w:rsidRPr="00C6052E">
        <w:rPr>
          <w:rStyle w:val="Italics"/>
          <w:lang w:val="en-AU"/>
        </w:rPr>
        <w:t xml:space="preserve"> </w:t>
      </w:r>
      <w:r w:rsidRPr="00C6052E">
        <w:rPr>
          <w:rStyle w:val="Italics"/>
          <w:lang w:val="en-AU"/>
        </w:rPr>
        <w:t>Vision</w:t>
      </w:r>
      <w:r w:rsidR="00177848" w:rsidRPr="00C6052E">
        <w:rPr>
          <w:rStyle w:val="Italics"/>
          <w:lang w:val="en-AU"/>
        </w:rPr>
        <w:t xml:space="preserve"> </w:t>
      </w:r>
      <w:r w:rsidRPr="00C6052E">
        <w:rPr>
          <w:rStyle w:val="Italics"/>
          <w:lang w:val="en-AU"/>
        </w:rPr>
        <w:t>Statement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March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2025,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outlining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state's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agenda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realise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defence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opportunities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drive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broader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sector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adjacent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industries</w:t>
      </w:r>
    </w:p>
    <w:p w14:paraId="66B3B9D8" w14:textId="4DE0CEC2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130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defence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space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research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organisations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entities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exhibit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Government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Pavilion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Avalon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Airshow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trade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shows</w:t>
      </w:r>
    </w:p>
    <w:p w14:paraId="17ED764D" w14:textId="3D920FB2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largest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staircase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manufacturer,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S&amp;A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Stairs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Braeside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major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expansion,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company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produce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extra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7,800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staircases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each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year,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housing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</w:p>
    <w:p w14:paraId="0BE031DB" w14:textId="27352A31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spacing w:val="-2"/>
          <w:lang w:val="en-AU"/>
        </w:rPr>
      </w:pPr>
      <w:r w:rsidRPr="00C6052E">
        <w:rPr>
          <w:lang w:val="en-AU"/>
        </w:rPr>
        <w:t>Secured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headquarters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Additive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Manufacturing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Cooperative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Research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Centre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(CRC)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–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an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industry-led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research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organisation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to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develop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the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3D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printing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sector.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With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most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research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conducted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in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Victoria,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more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than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$116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million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will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go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into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new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manufacturing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technologies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–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expected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to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boost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our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economy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by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almost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$2.8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billion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over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15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years</w:t>
      </w:r>
      <w:r w:rsidR="00177848" w:rsidRPr="00C6052E">
        <w:rPr>
          <w:spacing w:val="-2"/>
          <w:lang w:val="en-AU"/>
        </w:rPr>
        <w:t xml:space="preserve"> </w:t>
      </w:r>
    </w:p>
    <w:p w14:paraId="32E555C8" w14:textId="01833202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Established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Investment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Coordinator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General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escalation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point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aid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agencies,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regulators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statutory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authorities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required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approvals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deadlines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major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significance.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oversight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reduce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delays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enhance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accountability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government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departments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agencies</w:t>
      </w:r>
    </w:p>
    <w:p w14:paraId="2318AE7A" w14:textId="70BE1BA7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Established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Investment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Front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Door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offering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streamlined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approach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engaging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Government,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serving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single-entry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point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investment-related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</w:p>
    <w:p w14:paraId="04EA497A" w14:textId="4A2DCF27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9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small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medium-sized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manufacturers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Round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Manufacturing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Growth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$1.9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funding.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aim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improve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productivity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competitiveness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expected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create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80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leverage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$9.5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investment</w:t>
      </w:r>
    </w:p>
    <w:p w14:paraId="2B1187EA" w14:textId="00E56FBF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lastRenderedPageBreak/>
        <w:t>Attracted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significant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technology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investment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from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Firstsource</w:t>
      </w:r>
      <w:proofErr w:type="spellEnd"/>
      <w:r w:rsidRPr="00C6052E">
        <w:rPr>
          <w:lang w:val="en-AU"/>
        </w:rPr>
        <w:t>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opened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HQ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Innovation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centre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focused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accelerating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AI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adoption,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creating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400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jobs;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Sonata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Software,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global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tech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company,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established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Centre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Excellence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growing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demand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generative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AI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data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solutions,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creating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highly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</w:p>
    <w:p w14:paraId="5A97F77E" w14:textId="6ECAB077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Fluence,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world-leading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battery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energy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storage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system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(BESS)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company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expanded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headquarters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creating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highly</w:t>
      </w:r>
      <w:r w:rsidRPr="00C6052E">
        <w:rPr>
          <w:lang w:val="en-AU"/>
        </w:rPr>
        <w:noBreakHyphen/>
        <w:t>skilled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boosting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cleantech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ecosystem</w:t>
      </w:r>
      <w:r w:rsidR="00177848" w:rsidRPr="00C6052E">
        <w:rPr>
          <w:lang w:val="en-AU"/>
        </w:rPr>
        <w:t xml:space="preserve"> </w:t>
      </w:r>
    </w:p>
    <w:p w14:paraId="12FE94A9" w14:textId="7236F17F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Provided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Lunar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Outpost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Oceania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–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Melbourne-based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division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Lunar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Outpost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specialising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advanced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robotics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solutions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global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workforce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150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employees,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undertake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commercial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pilot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sector.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Lunar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Outpost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create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21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invest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$600,000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capital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expenditure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state</w:t>
      </w:r>
      <w:r w:rsidR="00177848" w:rsidRPr="00C6052E">
        <w:rPr>
          <w:lang w:val="en-AU"/>
        </w:rPr>
        <w:t xml:space="preserve"> </w:t>
      </w:r>
    </w:p>
    <w:p w14:paraId="4B99E2D9" w14:textId="593BCF21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XOCEAN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established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Technical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Centre,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state-of-the-art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operational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hub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company’s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growing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fleet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uncrewed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surface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vessels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(USVs)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provides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ocean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data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world’s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major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renewables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companies</w:t>
      </w:r>
      <w:r w:rsidR="00177848" w:rsidRPr="00C6052E">
        <w:rPr>
          <w:lang w:val="en-AU"/>
        </w:rPr>
        <w:t xml:space="preserve"> </w:t>
      </w:r>
    </w:p>
    <w:p w14:paraId="69A0754C" w14:textId="787B410E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Good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Food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Partners,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joint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venture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between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Arnott’s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Foods,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consolidated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expanded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operations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“Better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you”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food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hub.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created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attracted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capital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investment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$60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</w:p>
    <w:p w14:paraId="4BC0D5FA" w14:textId="5F4D0EE8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Opened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Moderna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Technology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Centre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–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Clayton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December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2024.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facility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population-scale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mRNA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manufacturing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facility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Southern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Hemisphere,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capacity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produce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vaccine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doses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each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year.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500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during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construction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phase,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140+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Moderna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</w:t>
      </w:r>
      <w:r w:rsidR="00177848" w:rsidRPr="00C6052E">
        <w:rPr>
          <w:lang w:val="en-AU"/>
        </w:rPr>
        <w:t xml:space="preserve"> </w:t>
      </w:r>
    </w:p>
    <w:p w14:paraId="3FDDAAD7" w14:textId="0281274B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Launched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Centre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Artificial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Intelligence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Medical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Innovation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(ACAMI)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Trobe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University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September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2024,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specialising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application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artificial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intelligence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accelerate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medical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innovation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vaccines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therapies.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artificial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intelligence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supercomputer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kind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launched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centre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June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2025,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acceleration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research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clinical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trials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treatments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improve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health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outcomes</w:t>
      </w:r>
      <w:r w:rsidR="00177848" w:rsidRPr="00C6052E">
        <w:rPr>
          <w:lang w:val="en-AU"/>
        </w:rPr>
        <w:t xml:space="preserve"> </w:t>
      </w:r>
    </w:p>
    <w:p w14:paraId="35EFDDD6" w14:textId="65556D7D" w:rsidR="00EE5BB8" w:rsidRPr="00C6052E" w:rsidRDefault="00EE5BB8" w:rsidP="00EE5BB8">
      <w:pPr>
        <w:pStyle w:val="Bullet1"/>
        <w:keepLines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research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accelerate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mRNA-based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treatments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HIV,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inflammatory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disease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hard-to-treat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cancers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mRNA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Research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Acceleration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Fund</w:t>
      </w:r>
    </w:p>
    <w:p w14:paraId="4E1E2B84" w14:textId="616103DD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17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associations,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trader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groups,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chambers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associations,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provide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services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multicultural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activities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promotional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campaigns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festivals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attract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visitors;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multilingual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resources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specialised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industries;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awards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recognise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exceptional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multicultural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businesses;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face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face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capability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building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women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</w:t>
      </w:r>
    </w:p>
    <w:p w14:paraId="76783972" w14:textId="3F2E8986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Continued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long-term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unemployed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jobseekers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Mentors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locations.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Between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October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2023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June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2025,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3,300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jobseekers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years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delivery</w:t>
      </w:r>
    </w:p>
    <w:p w14:paraId="7D40CA17" w14:textId="2B9D6FE0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lastRenderedPageBreak/>
        <w:t>Placed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130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trainees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Public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Service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Youth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Scheme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280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jobseekers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Learning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Centres</w:t>
      </w:r>
      <w:r w:rsidR="00177848" w:rsidRPr="00C6052E">
        <w:rPr>
          <w:lang w:val="en-AU"/>
        </w:rPr>
        <w:t xml:space="preserve"> </w:t>
      </w:r>
    </w:p>
    <w:p w14:paraId="3995C1FA" w14:textId="7CBD619A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Delivered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Tradie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Bootcamp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–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2-week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pre-employment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helping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women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construction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apprenticeships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building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connections.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19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graduates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still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highlighted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success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Priority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Apprenticeships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Model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strong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partnerships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targeted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</w:p>
    <w:p w14:paraId="413F63C5" w14:textId="569A74C5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Developed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Workforce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Career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Pathway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(TAFE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Pathway)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partnership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Office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Coordination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WorkSafe,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Department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Education.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provides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pathway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injured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workers,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unable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return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re-train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become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teachers</w:t>
      </w:r>
      <w:r w:rsidR="00177848" w:rsidRPr="00C6052E">
        <w:rPr>
          <w:lang w:val="en-AU"/>
        </w:rPr>
        <w:t xml:space="preserve"> </w:t>
      </w:r>
    </w:p>
    <w:p w14:paraId="37E34F23" w14:textId="24F9C50A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Established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‘Thrive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Hubs’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Broadmeadows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Frankston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partnership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Brotherhood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Laurence.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Hubs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collaborate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experts,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providers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individuals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lived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experience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effective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educational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pathways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jobseekers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facing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barriers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employment,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focus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young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</w:t>
      </w:r>
    </w:p>
    <w:p w14:paraId="265FD200" w14:textId="20BAF8FE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Facilitated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14%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growth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Free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offering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Certificate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IV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Assessment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commencements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3,072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commencements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compared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2,691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2023</w:t>
      </w:r>
    </w:p>
    <w:p w14:paraId="45080D23" w14:textId="04435798" w:rsidR="00EE5BB8" w:rsidRPr="00C6052E" w:rsidRDefault="00EE5BB8" w:rsidP="00EE5BB8">
      <w:pPr>
        <w:pStyle w:val="Bullet1"/>
        <w:keepNext/>
        <w:keepLines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Continued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invest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VICSCREEN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strategy,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record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$502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direct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expenditure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created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8,100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2024–25.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included:</w:t>
      </w:r>
    </w:p>
    <w:p w14:paraId="60ECC7F6" w14:textId="1BA8FE5A" w:rsidR="00EE5BB8" w:rsidRPr="00C6052E" w:rsidRDefault="00EE5BB8" w:rsidP="00EE5BB8">
      <w:pPr>
        <w:pStyle w:val="Bullet2"/>
        <w:keepLines/>
      </w:pPr>
      <w:r w:rsidRPr="00C6052E">
        <w:t>War</w:t>
      </w:r>
      <w:r w:rsidR="00177848" w:rsidRPr="00C6052E">
        <w:t xml:space="preserve"> </w:t>
      </w:r>
      <w:r w:rsidRPr="00C6052E">
        <w:t>Machine</w:t>
      </w:r>
      <w:r w:rsidR="00177848" w:rsidRPr="00C6052E">
        <w:t xml:space="preserve"> </w:t>
      </w:r>
      <w:r w:rsidRPr="00C6052E">
        <w:t>–</w:t>
      </w:r>
      <w:r w:rsidR="00177848" w:rsidRPr="00C6052E">
        <w:t xml:space="preserve"> </w:t>
      </w:r>
      <w:r w:rsidRPr="00C6052E">
        <w:t>Produced,</w:t>
      </w:r>
      <w:r w:rsidR="00177848" w:rsidRPr="00C6052E">
        <w:t xml:space="preserve"> </w:t>
      </w:r>
      <w:r w:rsidRPr="00C6052E">
        <w:t>directed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co</w:t>
      </w:r>
      <w:r w:rsidRPr="00C6052E">
        <w:noBreakHyphen/>
        <w:t>written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filmmaker</w:t>
      </w:r>
      <w:r w:rsidR="00177848" w:rsidRPr="00C6052E">
        <w:t xml:space="preserve"> </w:t>
      </w:r>
      <w:r w:rsidRPr="00C6052E">
        <w:t>Patrick</w:t>
      </w:r>
      <w:r w:rsidR="00177848" w:rsidRPr="00C6052E">
        <w:t xml:space="preserve"> </w:t>
      </w:r>
      <w:r w:rsidRPr="00C6052E">
        <w:t>Hughes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filmed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Bright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Myrtleford,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project</w:t>
      </w:r>
      <w:r w:rsidR="00177848" w:rsidRPr="00C6052E">
        <w:t xml:space="preserve"> </w:t>
      </w:r>
      <w:r w:rsidRPr="00C6052E">
        <w:t>delivered</w:t>
      </w:r>
      <w:r w:rsidR="00177848" w:rsidRPr="00C6052E">
        <w:t xml:space="preserve"> </w:t>
      </w:r>
      <w:r w:rsidRPr="00C6052E">
        <w:t>$7.5</w:t>
      </w:r>
      <w:r w:rsidR="00177848" w:rsidRPr="00C6052E">
        <w:t xml:space="preserve"> </w:t>
      </w:r>
      <w:r w:rsidRPr="00C6052E">
        <w:t>million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regional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expenditure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injected</w:t>
      </w:r>
      <w:r w:rsidR="00177848" w:rsidRPr="00C6052E">
        <w:t xml:space="preserve"> </w:t>
      </w:r>
      <w:r w:rsidRPr="00C6052E">
        <w:t>$73</w:t>
      </w:r>
      <w:r w:rsidR="00177848" w:rsidRPr="00C6052E">
        <w:t xml:space="preserve"> </w:t>
      </w:r>
      <w:r w:rsidRPr="00C6052E">
        <w:t>million</w:t>
      </w:r>
      <w:r w:rsidR="00177848" w:rsidRPr="00C6052E">
        <w:t xml:space="preserve"> </w:t>
      </w:r>
      <w:r w:rsidRPr="00C6052E">
        <w:t>directly</w:t>
      </w:r>
      <w:r w:rsidR="00177848" w:rsidRPr="00C6052E">
        <w:t xml:space="preserve"> </w:t>
      </w:r>
      <w:r w:rsidRPr="00C6052E">
        <w:t>into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economy,</w:t>
      </w:r>
      <w:r w:rsidR="00177848" w:rsidRPr="00C6052E">
        <w:t xml:space="preserve"> </w:t>
      </w:r>
      <w:r w:rsidRPr="00C6052E">
        <w:t>creating</w:t>
      </w:r>
      <w:r w:rsidR="00177848" w:rsidRPr="00C6052E">
        <w:t xml:space="preserve"> </w:t>
      </w:r>
      <w:r w:rsidRPr="00C6052E">
        <w:t>around</w:t>
      </w:r>
      <w:r w:rsidR="00177848" w:rsidRPr="00C6052E">
        <w:t xml:space="preserve"> </w:t>
      </w:r>
      <w:r w:rsidRPr="00C6052E">
        <w:t>2,000</w:t>
      </w:r>
      <w:r w:rsidR="00177848" w:rsidRPr="00C6052E">
        <w:t xml:space="preserve"> </w:t>
      </w:r>
      <w:r w:rsidRPr="00C6052E">
        <w:t>job</w:t>
      </w:r>
      <w:r w:rsidR="00177848" w:rsidRPr="00C6052E">
        <w:t xml:space="preserve"> </w:t>
      </w:r>
      <w:r w:rsidRPr="00C6052E">
        <w:t>opportunities</w:t>
      </w:r>
    </w:p>
    <w:p w14:paraId="76C016CF" w14:textId="618ECBDD" w:rsidR="00EE5BB8" w:rsidRPr="00C6052E" w:rsidRDefault="00EE5BB8" w:rsidP="00EE5BB8">
      <w:pPr>
        <w:pStyle w:val="Bullet2"/>
      </w:pPr>
      <w:r w:rsidRPr="00C6052E">
        <w:t>All</w:t>
      </w:r>
      <w:r w:rsidR="00177848" w:rsidRPr="00C6052E">
        <w:t xml:space="preserve"> </w:t>
      </w:r>
      <w:r w:rsidRPr="00C6052E">
        <w:t>Her</w:t>
      </w:r>
      <w:r w:rsidR="00177848" w:rsidRPr="00C6052E">
        <w:t xml:space="preserve"> </w:t>
      </w:r>
      <w:r w:rsidRPr="00C6052E">
        <w:t>Fault</w:t>
      </w:r>
      <w:r w:rsidR="00177848" w:rsidRPr="00C6052E">
        <w:t xml:space="preserve"> </w:t>
      </w:r>
      <w:r w:rsidRPr="00C6052E">
        <w:t>–</w:t>
      </w:r>
      <w:r w:rsidR="00177848" w:rsidRPr="00C6052E">
        <w:t xml:space="preserve"> </w:t>
      </w:r>
      <w:r w:rsidRPr="00C6052E">
        <w:t>Based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Andrea</w:t>
      </w:r>
      <w:r w:rsidR="00177848" w:rsidRPr="00C6052E">
        <w:t xml:space="preserve"> </w:t>
      </w:r>
      <w:r w:rsidRPr="00C6052E">
        <w:t>Mara’s</w:t>
      </w:r>
      <w:r w:rsidR="00177848" w:rsidRPr="00C6052E">
        <w:t xml:space="preserve"> </w:t>
      </w:r>
      <w:r w:rsidRPr="00C6052E">
        <w:t>bestselling</w:t>
      </w:r>
      <w:r w:rsidR="00177848" w:rsidRPr="00C6052E">
        <w:t xml:space="preserve"> </w:t>
      </w:r>
      <w:r w:rsidRPr="00C6052E">
        <w:t>novel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starring</w:t>
      </w:r>
      <w:r w:rsidR="00177848" w:rsidRPr="00C6052E">
        <w:t xml:space="preserve"> </w:t>
      </w:r>
      <w:r w:rsidRPr="00C6052E">
        <w:t>Emmy®</w:t>
      </w:r>
      <w:r w:rsidR="00177848" w:rsidRPr="00C6052E">
        <w:t xml:space="preserve"> </w:t>
      </w:r>
      <w:r w:rsidRPr="00C6052E">
        <w:t>winner</w:t>
      </w:r>
      <w:r w:rsidR="00177848" w:rsidRPr="00C6052E">
        <w:t xml:space="preserve"> </w:t>
      </w:r>
      <w:r w:rsidRPr="00C6052E">
        <w:t>Sarah</w:t>
      </w:r>
      <w:r w:rsidR="00177848" w:rsidRPr="00C6052E">
        <w:t xml:space="preserve"> </w:t>
      </w:r>
      <w:r w:rsidRPr="00C6052E">
        <w:t>Snook,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project</w:t>
      </w:r>
      <w:r w:rsidR="00177848" w:rsidRPr="00C6052E">
        <w:t xml:space="preserve"> </w:t>
      </w:r>
      <w:r w:rsidRPr="00C6052E">
        <w:t>injected</w:t>
      </w:r>
      <w:r w:rsidR="00177848" w:rsidRPr="00C6052E">
        <w:t xml:space="preserve"> </w:t>
      </w:r>
      <w:r w:rsidRPr="00C6052E">
        <w:t>over</w:t>
      </w:r>
      <w:r w:rsidR="00177848" w:rsidRPr="00C6052E">
        <w:t xml:space="preserve"> </w:t>
      </w:r>
      <w:r w:rsidRPr="00C6052E">
        <w:t>$70</w:t>
      </w:r>
      <w:r w:rsidR="00177848" w:rsidRPr="00C6052E">
        <w:rPr>
          <w:rFonts w:cs="Cambria"/>
        </w:rPr>
        <w:t xml:space="preserve"> </w:t>
      </w:r>
      <w:r w:rsidRPr="00C6052E">
        <w:t>million</w:t>
      </w:r>
      <w:r w:rsidR="00177848" w:rsidRPr="00C6052E">
        <w:t xml:space="preserve"> </w:t>
      </w:r>
      <w:r w:rsidRPr="00C6052E">
        <w:t>directly</w:t>
      </w:r>
      <w:r w:rsidR="00177848" w:rsidRPr="00C6052E">
        <w:t xml:space="preserve"> </w:t>
      </w:r>
      <w:r w:rsidRPr="00C6052E">
        <w:t>into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economy,</w:t>
      </w:r>
      <w:r w:rsidR="00177848" w:rsidRPr="00C6052E">
        <w:t xml:space="preserve"> </w:t>
      </w:r>
      <w:r w:rsidRPr="00C6052E">
        <w:t>creating</w:t>
      </w:r>
      <w:r w:rsidR="00177848" w:rsidRPr="00C6052E">
        <w:t xml:space="preserve"> </w:t>
      </w:r>
      <w:r w:rsidRPr="00C6052E">
        <w:t>more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2,000</w:t>
      </w:r>
      <w:r w:rsidR="00177848" w:rsidRPr="00C6052E">
        <w:t xml:space="preserve"> </w:t>
      </w:r>
      <w:r w:rsidRPr="00C6052E">
        <w:t>job</w:t>
      </w:r>
      <w:r w:rsidR="00177848" w:rsidRPr="00C6052E">
        <w:t xml:space="preserve"> </w:t>
      </w:r>
      <w:r w:rsidRPr="00C6052E">
        <w:t>opportunities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screen</w:t>
      </w:r>
      <w:r w:rsidR="00177848" w:rsidRPr="00C6052E">
        <w:t xml:space="preserve"> </w:t>
      </w:r>
      <w:r w:rsidRPr="00C6052E">
        <w:t>industry</w:t>
      </w:r>
      <w:r w:rsidR="00177848" w:rsidRPr="00C6052E">
        <w:t xml:space="preserve"> </w:t>
      </w:r>
      <w:r w:rsidRPr="00C6052E">
        <w:t>workers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supporting</w:t>
      </w:r>
      <w:r w:rsidR="00177848" w:rsidRPr="00C6052E">
        <w:t xml:space="preserve"> </w:t>
      </w:r>
      <w:r w:rsidRPr="00C6052E">
        <w:t>430</w:t>
      </w:r>
      <w:r w:rsidR="00177848" w:rsidRPr="00C6052E">
        <w:t xml:space="preserve"> </w:t>
      </w:r>
      <w:r w:rsidRPr="00C6052E">
        <w:t>local</w:t>
      </w:r>
      <w:r w:rsidR="00177848" w:rsidRPr="00C6052E">
        <w:t xml:space="preserve"> </w:t>
      </w:r>
      <w:r w:rsidRPr="00C6052E">
        <w:t>businesses</w:t>
      </w:r>
    </w:p>
    <w:p w14:paraId="4237F95D" w14:textId="4E327F1C" w:rsidR="00EE5BB8" w:rsidRPr="00C6052E" w:rsidRDefault="00EE5BB8" w:rsidP="00EE5BB8">
      <w:pPr>
        <w:pStyle w:val="Bullet2"/>
      </w:pPr>
      <w:r w:rsidRPr="00C6052E">
        <w:t>The</w:t>
      </w:r>
      <w:r w:rsidR="00177848" w:rsidRPr="00C6052E">
        <w:t xml:space="preserve"> </w:t>
      </w:r>
      <w:r w:rsidRPr="00C6052E">
        <w:t>Family</w:t>
      </w:r>
      <w:r w:rsidR="00177848" w:rsidRPr="00C6052E">
        <w:t xml:space="preserve"> </w:t>
      </w:r>
      <w:r w:rsidRPr="00C6052E">
        <w:t>Next</w:t>
      </w:r>
      <w:r w:rsidR="00177848" w:rsidRPr="00C6052E">
        <w:t xml:space="preserve"> </w:t>
      </w:r>
      <w:r w:rsidRPr="00C6052E">
        <w:t>Door</w:t>
      </w:r>
      <w:r w:rsidR="00177848" w:rsidRPr="00C6052E">
        <w:t xml:space="preserve"> </w:t>
      </w:r>
      <w:r w:rsidRPr="00C6052E">
        <w:t>–</w:t>
      </w:r>
      <w:r w:rsidR="00177848" w:rsidRPr="00C6052E">
        <w:t xml:space="preserve"> </w:t>
      </w:r>
      <w:r w:rsidRPr="00C6052E">
        <w:t>Based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global</w:t>
      </w:r>
      <w:r w:rsidR="00177848" w:rsidRPr="00C6052E">
        <w:t xml:space="preserve"> </w:t>
      </w:r>
      <w:r w:rsidRPr="00C6052E">
        <w:t>bestselling</w:t>
      </w:r>
      <w:r w:rsidR="00177848" w:rsidRPr="00C6052E">
        <w:t xml:space="preserve"> </w:t>
      </w:r>
      <w:r w:rsidRPr="00C6052E">
        <w:t>novel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author</w:t>
      </w:r>
      <w:r w:rsidR="00177848" w:rsidRPr="00C6052E">
        <w:t xml:space="preserve"> </w:t>
      </w:r>
      <w:r w:rsidRPr="00C6052E">
        <w:t>Sally</w:t>
      </w:r>
      <w:r w:rsidR="00177848" w:rsidRPr="00C6052E">
        <w:t xml:space="preserve"> </w:t>
      </w:r>
      <w:r w:rsidRPr="00C6052E">
        <w:t>Hepworth,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ABC</w:t>
      </w:r>
      <w:r w:rsidR="00177848" w:rsidRPr="00C6052E">
        <w:t xml:space="preserve"> </w:t>
      </w:r>
      <w:r w:rsidRPr="00C6052E">
        <w:t>drama</w:t>
      </w:r>
      <w:r w:rsidR="00177848" w:rsidRPr="00C6052E">
        <w:t xml:space="preserve"> </w:t>
      </w:r>
      <w:r w:rsidRPr="00C6052E">
        <w:t>created</w:t>
      </w:r>
      <w:r w:rsidR="00177848" w:rsidRPr="00C6052E">
        <w:t xml:space="preserve"> </w:t>
      </w:r>
      <w:r w:rsidRPr="00C6052E">
        <w:t>more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275</w:t>
      </w:r>
      <w:r w:rsidR="00177848" w:rsidRPr="00C6052E">
        <w:t xml:space="preserve"> </w:t>
      </w:r>
      <w:r w:rsidRPr="00C6052E">
        <w:t>jobs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cast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crew,</w:t>
      </w:r>
      <w:r w:rsidR="00177848" w:rsidRPr="00C6052E">
        <w:t xml:space="preserve"> </w:t>
      </w:r>
      <w:r w:rsidRPr="00C6052E">
        <w:t>injecting</w:t>
      </w:r>
      <w:r w:rsidR="00177848" w:rsidRPr="00C6052E">
        <w:t xml:space="preserve"> </w:t>
      </w:r>
      <w:r w:rsidRPr="00C6052E">
        <w:t>over</w:t>
      </w:r>
      <w:r w:rsidR="00177848" w:rsidRPr="00C6052E">
        <w:t xml:space="preserve"> </w:t>
      </w:r>
      <w:r w:rsidRPr="00C6052E">
        <w:t>$9.7</w:t>
      </w:r>
      <w:r w:rsidR="00177848" w:rsidRPr="00C6052E">
        <w:t xml:space="preserve"> </w:t>
      </w:r>
      <w:r w:rsidRPr="00C6052E">
        <w:t>million</w:t>
      </w:r>
      <w:r w:rsidR="00177848" w:rsidRPr="00C6052E">
        <w:t xml:space="preserve"> </w:t>
      </w:r>
      <w:r w:rsidRPr="00C6052E">
        <w:t>into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economy</w:t>
      </w:r>
      <w:r w:rsidR="00177848" w:rsidRPr="00C6052E">
        <w:t xml:space="preserve"> </w:t>
      </w:r>
      <w:r w:rsidRPr="00C6052E">
        <w:t>including</w:t>
      </w:r>
      <w:r w:rsidR="00177848" w:rsidRPr="00C6052E">
        <w:t xml:space="preserve"> </w:t>
      </w:r>
      <w:r w:rsidRPr="00C6052E">
        <w:t>2</w:t>
      </w:r>
      <w:r w:rsidR="00177848" w:rsidRPr="00C6052E">
        <w:t xml:space="preserve"> </w:t>
      </w:r>
      <w:r w:rsidRPr="00C6052E">
        <w:t>placement</w:t>
      </w:r>
      <w:r w:rsidR="00177848" w:rsidRPr="00C6052E">
        <w:t xml:space="preserve"> </w:t>
      </w:r>
      <w:r w:rsidRPr="00C6052E">
        <w:t>opportunities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upskilled</w:t>
      </w:r>
      <w:r w:rsidR="00177848" w:rsidRPr="00C6052E">
        <w:t xml:space="preserve"> </w:t>
      </w:r>
      <w:r w:rsidRPr="00C6052E">
        <w:t>emerging</w:t>
      </w:r>
      <w:r w:rsidR="00177848" w:rsidRPr="00C6052E">
        <w:t xml:space="preserve"> </w:t>
      </w:r>
      <w:r w:rsidRPr="00C6052E">
        <w:t>female</w:t>
      </w:r>
      <w:r w:rsidR="00177848" w:rsidRPr="00C6052E">
        <w:t xml:space="preserve"> </w:t>
      </w:r>
      <w:r w:rsidRPr="00C6052E">
        <w:t>screen</w:t>
      </w:r>
      <w:r w:rsidR="00177848" w:rsidRPr="00C6052E">
        <w:t xml:space="preserve"> </w:t>
      </w:r>
      <w:r w:rsidRPr="00C6052E">
        <w:t>practitioners.</w:t>
      </w:r>
      <w:r w:rsidR="00177848" w:rsidRPr="00C6052E">
        <w:t xml:space="preserve"> </w:t>
      </w:r>
      <w:r w:rsidRPr="00C6052E">
        <w:t>Filming</w:t>
      </w:r>
      <w:r w:rsidR="00177848" w:rsidRPr="00C6052E">
        <w:t xml:space="preserve"> </w:t>
      </w:r>
      <w:r w:rsidRPr="00C6052E">
        <w:t>took</w:t>
      </w:r>
      <w:r w:rsidR="00177848" w:rsidRPr="00C6052E">
        <w:t xml:space="preserve"> </w:t>
      </w:r>
      <w:r w:rsidRPr="00C6052E">
        <w:t>place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Melbourne’s</w:t>
      </w:r>
      <w:r w:rsidR="00177848" w:rsidRPr="00C6052E">
        <w:t xml:space="preserve"> </w:t>
      </w:r>
      <w:r w:rsidRPr="00C6052E">
        <w:t>bayside</w:t>
      </w:r>
      <w:r w:rsidR="00177848" w:rsidRPr="00C6052E">
        <w:t xml:space="preserve"> </w:t>
      </w:r>
      <w:r w:rsidRPr="00C6052E">
        <w:t>suburbs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Surf</w:t>
      </w:r>
      <w:r w:rsidR="00177848" w:rsidRPr="00C6052E">
        <w:t xml:space="preserve"> </w:t>
      </w:r>
      <w:r w:rsidRPr="00C6052E">
        <w:t>Coast</w:t>
      </w:r>
      <w:r w:rsidR="00177848" w:rsidRPr="00C6052E">
        <w:t xml:space="preserve"> </w:t>
      </w:r>
      <w:r w:rsidRPr="00C6052E">
        <w:t>including</w:t>
      </w:r>
      <w:r w:rsidR="00177848" w:rsidRPr="00C6052E">
        <w:t xml:space="preserve"> </w:t>
      </w:r>
      <w:r w:rsidRPr="00C6052E">
        <w:t>Anglesea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Torquay</w:t>
      </w:r>
    </w:p>
    <w:p w14:paraId="7866297E" w14:textId="443A8164" w:rsidR="00EE5BB8" w:rsidRPr="00C6052E" w:rsidRDefault="00EE5BB8" w:rsidP="00EE5BB8">
      <w:pPr>
        <w:pStyle w:val="Bullet2"/>
      </w:pPr>
      <w:r w:rsidRPr="00C6052E">
        <w:t>Do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Watch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Show</w:t>
      </w:r>
      <w:r w:rsidR="00177848" w:rsidRPr="00C6052E">
        <w:t xml:space="preserve"> </w:t>
      </w:r>
      <w:r w:rsidRPr="00C6052E">
        <w:t>–</w:t>
      </w:r>
      <w:r w:rsidR="00177848" w:rsidRPr="00C6052E">
        <w:t xml:space="preserve"> </w:t>
      </w:r>
      <w:r w:rsidRPr="00C6052E">
        <w:t>Based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Andy</w:t>
      </w:r>
      <w:r w:rsidR="00177848" w:rsidRPr="00C6052E">
        <w:t xml:space="preserve"> </w:t>
      </w:r>
      <w:r w:rsidRPr="00C6052E">
        <w:t>Lee’s</w:t>
      </w:r>
      <w:r w:rsidR="00177848" w:rsidRPr="00C6052E">
        <w:t xml:space="preserve"> </w:t>
      </w:r>
      <w:r w:rsidRPr="00C6052E">
        <w:t>bestselling</w:t>
      </w:r>
      <w:r w:rsidR="00177848" w:rsidRPr="00C6052E">
        <w:t xml:space="preserve"> </w:t>
      </w:r>
      <w:r w:rsidRPr="00C6052E">
        <w:t>books,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ABC</w:t>
      </w:r>
      <w:r w:rsidR="00177848" w:rsidRPr="00C6052E">
        <w:t xml:space="preserve"> </w:t>
      </w:r>
      <w:r w:rsidRPr="00C6052E">
        <w:t>children’s</w:t>
      </w:r>
      <w:r w:rsidR="00177848" w:rsidRPr="00C6052E">
        <w:t xml:space="preserve"> </w:t>
      </w:r>
      <w:r w:rsidRPr="00C6052E">
        <w:t>animated</w:t>
      </w:r>
      <w:r w:rsidR="00177848" w:rsidRPr="00C6052E">
        <w:t xml:space="preserve"> </w:t>
      </w:r>
      <w:r w:rsidRPr="00C6052E">
        <w:t>series</w:t>
      </w:r>
      <w:r w:rsidR="00177848" w:rsidRPr="00C6052E">
        <w:t xml:space="preserve"> </w:t>
      </w:r>
      <w:r w:rsidRPr="00C6052E">
        <w:t>created</w:t>
      </w:r>
      <w:r w:rsidR="00177848" w:rsidRPr="00C6052E">
        <w:t xml:space="preserve"> </w:t>
      </w:r>
      <w:r w:rsidRPr="00C6052E">
        <w:t>more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70</w:t>
      </w:r>
      <w:r w:rsidR="00177848" w:rsidRPr="00C6052E">
        <w:t xml:space="preserve"> </w:t>
      </w:r>
      <w:r w:rsidRPr="00C6052E">
        <w:t>jobs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screen</w:t>
      </w:r>
      <w:r w:rsidR="00177848" w:rsidRPr="00C6052E">
        <w:t xml:space="preserve"> </w:t>
      </w:r>
      <w:r w:rsidRPr="00C6052E">
        <w:t>workers</w:t>
      </w:r>
      <w:r w:rsidR="00177848" w:rsidRPr="00C6052E">
        <w:t xml:space="preserve"> </w:t>
      </w:r>
      <w:r w:rsidRPr="00C6052E">
        <w:t>across</w:t>
      </w:r>
      <w:r w:rsidR="00177848" w:rsidRPr="00C6052E">
        <w:t xml:space="preserve"> </w:t>
      </w:r>
      <w:r w:rsidRPr="00C6052E">
        <w:t>animation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post-production,</w:t>
      </w:r>
      <w:r w:rsidR="00177848" w:rsidRPr="00C6052E">
        <w:t xml:space="preserve"> </w:t>
      </w:r>
      <w:r w:rsidRPr="00C6052E">
        <w:t>including</w:t>
      </w:r>
      <w:r w:rsidR="00177848" w:rsidRPr="00C6052E">
        <w:t xml:space="preserve"> </w:t>
      </w:r>
      <w:r w:rsidRPr="00C6052E">
        <w:t>5</w:t>
      </w:r>
      <w:r w:rsidR="00177848" w:rsidRPr="00C6052E">
        <w:t xml:space="preserve"> </w:t>
      </w:r>
      <w:r w:rsidRPr="00C6052E">
        <w:t>junior</w:t>
      </w:r>
      <w:r w:rsidR="00177848" w:rsidRPr="00C6052E">
        <w:t xml:space="preserve"> </w:t>
      </w:r>
      <w:r w:rsidRPr="00C6052E">
        <w:t>animator</w:t>
      </w:r>
      <w:r w:rsidR="00177848" w:rsidRPr="00C6052E">
        <w:t xml:space="preserve"> </w:t>
      </w:r>
      <w:r w:rsidRPr="00C6052E">
        <w:t>placements.</w:t>
      </w:r>
      <w:r w:rsidR="00177848" w:rsidRPr="00C6052E">
        <w:t xml:space="preserve"> </w:t>
      </w:r>
      <w:r w:rsidRPr="00C6052E">
        <w:t>Independent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production</w:t>
      </w:r>
      <w:r w:rsidR="00177848" w:rsidRPr="00C6052E">
        <w:t xml:space="preserve"> </w:t>
      </w:r>
      <w:r w:rsidRPr="00C6052E">
        <w:t>company</w:t>
      </w:r>
      <w:r w:rsidR="00177848" w:rsidRPr="00C6052E">
        <w:t xml:space="preserve"> </w:t>
      </w:r>
      <w:r w:rsidRPr="00C6052E">
        <w:t>Studio</w:t>
      </w:r>
      <w:r w:rsidR="00177848" w:rsidRPr="00C6052E">
        <w:t xml:space="preserve"> </w:t>
      </w:r>
      <w:r w:rsidRPr="00C6052E">
        <w:t>Moshi</w:t>
      </w:r>
      <w:r w:rsidR="00177848" w:rsidRPr="00C6052E">
        <w:t xml:space="preserve"> </w:t>
      </w:r>
      <w:r w:rsidRPr="00C6052E">
        <w:t>produced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animation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series</w:t>
      </w:r>
    </w:p>
    <w:p w14:paraId="0252B645" w14:textId="74109291" w:rsidR="00EE5BB8" w:rsidRPr="00C6052E" w:rsidRDefault="00EE5BB8" w:rsidP="00EE5BB8">
      <w:pPr>
        <w:pStyle w:val="Bullet2"/>
      </w:pPr>
      <w:r w:rsidRPr="00C6052E">
        <w:t>Knee</w:t>
      </w:r>
      <w:r w:rsidR="00177848" w:rsidRPr="00C6052E">
        <w:t xml:space="preserve"> </w:t>
      </w:r>
      <w:r w:rsidRPr="00C6052E">
        <w:t>High</w:t>
      </w:r>
      <w:r w:rsidR="00177848" w:rsidRPr="00C6052E">
        <w:t xml:space="preserve"> </w:t>
      </w:r>
      <w:r w:rsidRPr="00C6052E">
        <w:t>Spies</w:t>
      </w:r>
      <w:r w:rsidR="00177848" w:rsidRPr="00C6052E">
        <w:t xml:space="preserve"> </w:t>
      </w:r>
      <w:r w:rsidRPr="00C6052E">
        <w:t>–</w:t>
      </w:r>
      <w:r w:rsidR="00177848" w:rsidRPr="00C6052E">
        <w:t xml:space="preserve"> </w:t>
      </w:r>
      <w:r w:rsidRPr="00C6052E">
        <w:t>Produced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Victoria’s</w:t>
      </w:r>
      <w:r w:rsidR="00177848" w:rsidRPr="00C6052E">
        <w:t xml:space="preserve"> </w:t>
      </w:r>
      <w:r w:rsidRPr="00C6052E">
        <w:t>Werner</w:t>
      </w:r>
      <w:r w:rsidR="00177848" w:rsidRPr="00C6052E">
        <w:t xml:space="preserve"> </w:t>
      </w:r>
      <w:r w:rsidRPr="00C6052E">
        <w:t>Film</w:t>
      </w:r>
      <w:r w:rsidR="00177848" w:rsidRPr="00C6052E">
        <w:t xml:space="preserve"> </w:t>
      </w:r>
      <w:r w:rsidRPr="00C6052E">
        <w:t>Productions,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ABC</w:t>
      </w:r>
      <w:r w:rsidR="00177848" w:rsidRPr="00C6052E">
        <w:t xml:space="preserve"> </w:t>
      </w:r>
      <w:r w:rsidRPr="00C6052E">
        <w:t>children’s</w:t>
      </w:r>
      <w:r w:rsidR="00177848" w:rsidRPr="00C6052E">
        <w:t xml:space="preserve"> </w:t>
      </w:r>
      <w:r w:rsidRPr="00C6052E">
        <w:t>series</w:t>
      </w:r>
      <w:r w:rsidR="00177848" w:rsidRPr="00C6052E">
        <w:t xml:space="preserve"> </w:t>
      </w:r>
      <w:r w:rsidRPr="00C6052E">
        <w:t>created</w:t>
      </w:r>
      <w:r w:rsidR="00177848" w:rsidRPr="00C6052E">
        <w:t xml:space="preserve"> </w:t>
      </w:r>
      <w:r w:rsidRPr="00C6052E">
        <w:t>160</w:t>
      </w:r>
      <w:r w:rsidR="00177848" w:rsidRPr="00C6052E">
        <w:t xml:space="preserve"> </w:t>
      </w:r>
      <w:r w:rsidRPr="00C6052E">
        <w:t>job</w:t>
      </w:r>
      <w:r w:rsidR="00177848" w:rsidRPr="00C6052E">
        <w:t xml:space="preserve"> </w:t>
      </w:r>
      <w:r w:rsidRPr="00C6052E">
        <w:t>opportunities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screen</w:t>
      </w:r>
      <w:r w:rsidR="00177848" w:rsidRPr="00C6052E">
        <w:t xml:space="preserve"> </w:t>
      </w:r>
      <w:r w:rsidRPr="00C6052E">
        <w:t>workers,</w:t>
      </w:r>
      <w:r w:rsidR="00177848" w:rsidRPr="00C6052E">
        <w:t xml:space="preserve"> </w:t>
      </w:r>
      <w:r w:rsidRPr="00C6052E">
        <w:t>including</w:t>
      </w:r>
      <w:r w:rsidR="00177848" w:rsidRPr="00C6052E">
        <w:t xml:space="preserve"> </w:t>
      </w:r>
      <w:r w:rsidRPr="00C6052E">
        <w:lastRenderedPageBreak/>
        <w:t>upskilling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professional</w:t>
      </w:r>
      <w:r w:rsidR="00177848" w:rsidRPr="00C6052E">
        <w:t xml:space="preserve"> </w:t>
      </w:r>
      <w:r w:rsidRPr="00C6052E">
        <w:t>development</w:t>
      </w:r>
      <w:r w:rsidR="00177848" w:rsidRPr="00C6052E">
        <w:t xml:space="preserve"> </w:t>
      </w:r>
      <w:r w:rsidRPr="00C6052E">
        <w:t>opportunities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direction,</w:t>
      </w:r>
      <w:r w:rsidR="00177848" w:rsidRPr="00C6052E">
        <w:t xml:space="preserve"> </w:t>
      </w:r>
      <w:r w:rsidRPr="00C6052E">
        <w:t>props/puppetry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visual</w:t>
      </w:r>
      <w:r w:rsidR="00177848" w:rsidRPr="00C6052E">
        <w:t xml:space="preserve"> </w:t>
      </w:r>
      <w:r w:rsidRPr="00C6052E">
        <w:t>effects.</w:t>
      </w:r>
    </w:p>
    <w:p w14:paraId="3A273355" w14:textId="51CF83C3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Encouraged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Wētā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FX: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VFX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establish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permanent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base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April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2025,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recognition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cultural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benefits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strong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screen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</w:t>
      </w:r>
    </w:p>
    <w:p w14:paraId="0CE91B8D" w14:textId="34A15D4A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Continued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advancing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Precinct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Transformation,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biggest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cultural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infrastructure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creating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11,000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during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construction.</w:t>
      </w:r>
      <w:r w:rsidR="00177848" w:rsidRPr="00C6052E">
        <w:rPr>
          <w:lang w:val="en-AU"/>
        </w:rPr>
        <w:t xml:space="preserve"> </w:t>
      </w:r>
    </w:p>
    <w:p w14:paraId="65D2A844" w14:textId="4C3F3751" w:rsidR="00EE5BB8" w:rsidRPr="00C6052E" w:rsidRDefault="00EE5BB8" w:rsidP="00880FCA">
      <w:pPr>
        <w:pStyle w:val="Heading3"/>
      </w:pPr>
      <w:r w:rsidRPr="00C6052E">
        <w:t>2.</w:t>
      </w:r>
      <w:r w:rsidR="00177848" w:rsidRPr="00C6052E">
        <w:t xml:space="preserve"> </w:t>
      </w:r>
      <w:r w:rsidRPr="00C6052E">
        <w:t>Identify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address</w:t>
      </w:r>
      <w:r w:rsidR="00177848" w:rsidRPr="00C6052E">
        <w:t xml:space="preserve"> </w:t>
      </w:r>
      <w:r w:rsidRPr="00C6052E">
        <w:t>current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future</w:t>
      </w:r>
      <w:r w:rsidR="00177848" w:rsidRPr="00C6052E">
        <w:t xml:space="preserve"> </w:t>
      </w:r>
      <w:r w:rsidRPr="00C6052E">
        <w:t>skills</w:t>
      </w:r>
      <w:r w:rsidR="00177848" w:rsidRPr="00C6052E">
        <w:t xml:space="preserve"> </w:t>
      </w:r>
      <w:r w:rsidRPr="00C6052E">
        <w:t>needs</w:t>
      </w:r>
    </w:p>
    <w:p w14:paraId="5D8E33CF" w14:textId="5C402E46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Delivered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i/>
          <w:iCs/>
          <w:lang w:val="en-AU"/>
        </w:rPr>
        <w:t>Victorian</w:t>
      </w:r>
      <w:r w:rsidR="00177848" w:rsidRPr="00C6052E">
        <w:rPr>
          <w:i/>
          <w:iCs/>
          <w:lang w:val="en-AU"/>
        </w:rPr>
        <w:t xml:space="preserve"> </w:t>
      </w:r>
      <w:r w:rsidRPr="00C6052E">
        <w:rPr>
          <w:i/>
          <w:iCs/>
          <w:lang w:val="en-AU"/>
        </w:rPr>
        <w:t>Skills</w:t>
      </w:r>
      <w:r w:rsidR="00177848" w:rsidRPr="00C6052E">
        <w:rPr>
          <w:i/>
          <w:iCs/>
          <w:lang w:val="en-AU"/>
        </w:rPr>
        <w:t xml:space="preserve"> </w:t>
      </w:r>
      <w:r w:rsidRPr="00C6052E">
        <w:rPr>
          <w:i/>
          <w:iCs/>
          <w:lang w:val="en-AU"/>
        </w:rPr>
        <w:t>Plan</w:t>
      </w:r>
      <w:r w:rsidR="00177848" w:rsidRPr="00C6052E">
        <w:rPr>
          <w:i/>
          <w:iCs/>
          <w:lang w:val="en-AU"/>
        </w:rPr>
        <w:t xml:space="preserve"> </w:t>
      </w:r>
      <w:r w:rsidRPr="00C6052E">
        <w:rPr>
          <w:i/>
          <w:iCs/>
          <w:lang w:val="en-AU"/>
        </w:rPr>
        <w:t>for</w:t>
      </w:r>
      <w:r w:rsidR="00177848" w:rsidRPr="00C6052E">
        <w:rPr>
          <w:i/>
          <w:iCs/>
          <w:lang w:val="en-AU"/>
        </w:rPr>
        <w:t xml:space="preserve"> </w:t>
      </w:r>
      <w:r w:rsidRPr="00C6052E">
        <w:rPr>
          <w:i/>
          <w:iCs/>
          <w:lang w:val="en-AU"/>
        </w:rPr>
        <w:t>2024</w:t>
      </w:r>
      <w:r w:rsidR="00177848" w:rsidRPr="00C6052E">
        <w:rPr>
          <w:i/>
          <w:iCs/>
          <w:lang w:val="en-AU"/>
        </w:rPr>
        <w:t xml:space="preserve"> </w:t>
      </w:r>
      <w:r w:rsidRPr="00C6052E">
        <w:rPr>
          <w:i/>
          <w:iCs/>
          <w:lang w:val="en-AU"/>
        </w:rPr>
        <w:t>into</w:t>
      </w:r>
      <w:r w:rsidR="00177848" w:rsidRPr="00C6052E">
        <w:rPr>
          <w:i/>
          <w:iCs/>
          <w:lang w:val="en-AU"/>
        </w:rPr>
        <w:t xml:space="preserve"> </w:t>
      </w:r>
      <w:r w:rsidRPr="00C6052E">
        <w:rPr>
          <w:i/>
          <w:iCs/>
          <w:lang w:val="en-AU"/>
        </w:rPr>
        <w:t>2025</w:t>
      </w:r>
      <w:r w:rsidRPr="00C6052E">
        <w:rPr>
          <w:rStyle w:val="Italics"/>
          <w:lang w:val="en-AU"/>
        </w:rPr>
        <w:t>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prioritises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knowledge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strengthen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growth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enable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Housing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Statement,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Big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Build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clean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transition,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make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easier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access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VET,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up-skill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re-skill,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better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connect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secondary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school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students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world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</w:t>
      </w:r>
    </w:p>
    <w:p w14:paraId="336676C0" w14:textId="274DF984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Delivered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dashboard,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provides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comprehensive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data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future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workforce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needs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occupations,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regions</w:t>
      </w:r>
    </w:p>
    <w:p w14:paraId="7CE66276" w14:textId="0B32D438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Delivered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Student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Satisfaction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Survey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190,000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government-subsidised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students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Satisfaction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Survey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31,000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apprentices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trainees</w:t>
      </w:r>
    </w:p>
    <w:p w14:paraId="2D5C4A58" w14:textId="7C0FA5D8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Centre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(VDC)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design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professional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learning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workforce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VDC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recorded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3,100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registrations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Government-funded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2024</w:t>
      </w:r>
    </w:p>
    <w:p w14:paraId="489CE703" w14:textId="2652766D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Provided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high-quality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information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about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courses,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providers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services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response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19,201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enquiries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Line</w:t>
      </w:r>
    </w:p>
    <w:p w14:paraId="46573E26" w14:textId="7C53E15B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Provided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careers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advice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29,835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wanting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enter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workforce,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transition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re-skill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upskill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Centres</w:t>
      </w:r>
    </w:p>
    <w:p w14:paraId="1BF80C67" w14:textId="7BB72870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Partnered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Government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$1.4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Choose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Tourism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promote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visitor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careers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retention.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Initiatives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careers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expo,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suite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online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micro-credentials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addressing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gaps,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advocacy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advisory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services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young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tourism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professionals,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Emerging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Tourism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Leaders'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Summit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Tourism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Expo.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750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attended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Tourism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50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exhibitors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participating</w:t>
      </w:r>
    </w:p>
    <w:p w14:paraId="160081AB" w14:textId="7EB9163D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Partnered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Women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Security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Summer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Cyber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pilot,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Australian-first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provides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women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gender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diverse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tertiary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students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job-ready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cyber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significantly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enhancing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cyber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capability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resilience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SMEs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startups.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44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students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graduates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matched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pilot,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some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students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securing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immediately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after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completing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</w:p>
    <w:p w14:paraId="2C7B4414" w14:textId="7D389092" w:rsidR="00EE5BB8" w:rsidRPr="00C6052E" w:rsidRDefault="00EE5BB8" w:rsidP="00EE5BB8">
      <w:pPr>
        <w:pStyle w:val="Bullet1"/>
        <w:keepLines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lastRenderedPageBreak/>
        <w:t>Commenced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Global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Cyber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Talent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Migration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expects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reach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90,000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global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cyber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professionals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in-demand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connects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suitable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leads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employers</w:t>
      </w:r>
    </w:p>
    <w:p w14:paraId="0FEF8DA2" w14:textId="1CF7DA3C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Launched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Health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Medical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Research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Workforce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Plan,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build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diverse,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secure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proofErr w:type="gramStart"/>
      <w:r w:rsidRPr="00C6052E">
        <w:rPr>
          <w:lang w:val="en-AU"/>
        </w:rPr>
        <w:t>highly-skilled</w:t>
      </w:r>
      <w:proofErr w:type="gram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workforce,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backed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almost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$3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funding</w:t>
      </w:r>
    </w:p>
    <w:p w14:paraId="74193593" w14:textId="2C0C9E07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1,070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reskill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digital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Digital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Digital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helped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build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state’s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digital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workforce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employability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on-the-job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learning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opportunities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reskill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mid-career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specialist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digital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skills</w:t>
      </w:r>
    </w:p>
    <w:p w14:paraId="06292B50" w14:textId="3E583639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Delivered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6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Solutions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Partnerships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pilot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address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critical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shortages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priority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sectors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healthcare,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digital,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advanced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manufacturing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clean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economy.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successfully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brought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providers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together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co-design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pilot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solutions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upskill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grow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workforce</w:t>
      </w:r>
    </w:p>
    <w:p w14:paraId="746F468B" w14:textId="17F50A6A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Helped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address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critical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workforce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shortages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future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needs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state’s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priority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nominating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5,000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migrants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2024–25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Visa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Nomination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including:</w:t>
      </w:r>
    </w:p>
    <w:p w14:paraId="6BF24252" w14:textId="236D3871" w:rsidR="00EE5BB8" w:rsidRPr="00C6052E" w:rsidRDefault="00EE5BB8" w:rsidP="00EE5BB8">
      <w:pPr>
        <w:pStyle w:val="Bullet2"/>
      </w:pPr>
      <w:r w:rsidRPr="00C6052E">
        <w:t>2,000+</w:t>
      </w:r>
      <w:r w:rsidR="00177848" w:rsidRPr="00C6052E">
        <w:t xml:space="preserve"> </w:t>
      </w:r>
      <w:r w:rsidRPr="00C6052E">
        <w:t>skilled</w:t>
      </w:r>
      <w:r w:rsidR="00177848" w:rsidRPr="00C6052E">
        <w:t xml:space="preserve"> </w:t>
      </w:r>
      <w:r w:rsidRPr="00C6052E">
        <w:t>migrants</w:t>
      </w:r>
      <w:r w:rsidR="00177848" w:rsidRPr="00C6052E">
        <w:t xml:space="preserve"> </w:t>
      </w:r>
      <w:r w:rsidRPr="00C6052E">
        <w:t>nominated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live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work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Victoria’s</w:t>
      </w:r>
      <w:r w:rsidR="00177848" w:rsidRPr="00C6052E">
        <w:t xml:space="preserve"> </w:t>
      </w:r>
      <w:r w:rsidRPr="00C6052E">
        <w:t>regions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assist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meeting</w:t>
      </w:r>
      <w:r w:rsidR="00177848" w:rsidRPr="00C6052E">
        <w:t xml:space="preserve"> </w:t>
      </w:r>
      <w:r w:rsidRPr="00C6052E">
        <w:t>regional</w:t>
      </w:r>
      <w:r w:rsidR="00177848" w:rsidRPr="00C6052E">
        <w:t xml:space="preserve"> </w:t>
      </w:r>
      <w:r w:rsidRPr="00C6052E">
        <w:t>skills</w:t>
      </w:r>
      <w:r w:rsidR="00177848" w:rsidRPr="00C6052E">
        <w:t xml:space="preserve"> </w:t>
      </w:r>
      <w:r w:rsidRPr="00C6052E">
        <w:t>needs,</w:t>
      </w:r>
      <w:r w:rsidR="00177848" w:rsidRPr="00C6052E">
        <w:t xml:space="preserve"> </w:t>
      </w:r>
      <w:r w:rsidRPr="00C6052E">
        <w:t>including</w:t>
      </w:r>
      <w:r w:rsidR="00177848" w:rsidRPr="00C6052E">
        <w:t xml:space="preserve"> </w:t>
      </w:r>
      <w:r w:rsidRPr="00C6052E">
        <w:t>more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190</w:t>
      </w:r>
      <w:r w:rsidR="00177848" w:rsidRPr="00C6052E">
        <w:t xml:space="preserve"> </w:t>
      </w:r>
      <w:r w:rsidRPr="00C6052E">
        <w:t>nominations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regional</w:t>
      </w:r>
      <w:r w:rsidR="00177848" w:rsidRPr="00C6052E">
        <w:t xml:space="preserve"> </w:t>
      </w:r>
      <w:r w:rsidRPr="00C6052E">
        <w:t>senior</w:t>
      </w:r>
      <w:r w:rsidR="00177848" w:rsidRPr="00C6052E">
        <w:t xml:space="preserve"> </w:t>
      </w:r>
      <w:r w:rsidRPr="00C6052E">
        <w:t>chefs,</w:t>
      </w:r>
      <w:r w:rsidR="00177848" w:rsidRPr="00C6052E">
        <w:t xml:space="preserve"> </w:t>
      </w:r>
      <w:r w:rsidRPr="00C6052E">
        <w:t>hotel</w:t>
      </w:r>
      <w:r w:rsidR="00177848" w:rsidRPr="00C6052E">
        <w:t xml:space="preserve"> </w:t>
      </w:r>
      <w:r w:rsidRPr="00C6052E">
        <w:t>managers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other</w:t>
      </w:r>
      <w:r w:rsidR="00177848" w:rsidRPr="00C6052E">
        <w:t xml:space="preserve"> </w:t>
      </w:r>
      <w:r w:rsidRPr="00C6052E">
        <w:t>hospitality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tourism</w:t>
      </w:r>
      <w:r w:rsidR="00177848" w:rsidRPr="00C6052E">
        <w:t xml:space="preserve"> </w:t>
      </w:r>
      <w:r w:rsidRPr="00C6052E">
        <w:t>workers</w:t>
      </w:r>
    </w:p>
    <w:p w14:paraId="47E73F7F" w14:textId="389ABBA1" w:rsidR="00EE5BB8" w:rsidRPr="00C6052E" w:rsidRDefault="00EE5BB8" w:rsidP="00EE5BB8">
      <w:pPr>
        <w:pStyle w:val="Bullet2"/>
      </w:pPr>
      <w:r w:rsidRPr="00C6052E">
        <w:t>1,160+</w:t>
      </w:r>
      <w:r w:rsidR="00177848" w:rsidRPr="00C6052E">
        <w:t xml:space="preserve"> </w:t>
      </w:r>
      <w:r w:rsidRPr="00C6052E">
        <w:t>doctors,</w:t>
      </w:r>
      <w:r w:rsidR="00177848" w:rsidRPr="00C6052E">
        <w:t xml:space="preserve"> </w:t>
      </w:r>
      <w:r w:rsidRPr="00C6052E">
        <w:t>nurses,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allied</w:t>
      </w:r>
      <w:r w:rsidR="00177848" w:rsidRPr="00C6052E">
        <w:t xml:space="preserve"> </w:t>
      </w:r>
      <w:r w:rsidRPr="00C6052E">
        <w:t>health</w:t>
      </w:r>
      <w:r w:rsidR="00177848" w:rsidRPr="00C6052E">
        <w:t xml:space="preserve"> </w:t>
      </w:r>
      <w:r w:rsidRPr="00C6052E">
        <w:t>workers</w:t>
      </w:r>
      <w:r w:rsidR="00177848" w:rsidRPr="00C6052E">
        <w:t xml:space="preserve"> </w:t>
      </w:r>
    </w:p>
    <w:p w14:paraId="0D7BC0C8" w14:textId="76DD6554" w:rsidR="00EE5BB8" w:rsidRPr="00C6052E" w:rsidRDefault="00EE5BB8" w:rsidP="00EE5BB8">
      <w:pPr>
        <w:pStyle w:val="Bullet2"/>
      </w:pPr>
      <w:r w:rsidRPr="00C6052E">
        <w:t>180+</w:t>
      </w:r>
      <w:r w:rsidR="00177848" w:rsidRPr="00C6052E">
        <w:t xml:space="preserve"> </w:t>
      </w:r>
      <w:r w:rsidRPr="00C6052E">
        <w:t>social</w:t>
      </w:r>
      <w:r w:rsidR="00177848" w:rsidRPr="00C6052E">
        <w:t xml:space="preserve"> </w:t>
      </w:r>
      <w:r w:rsidRPr="00C6052E">
        <w:t>services</w:t>
      </w:r>
      <w:r w:rsidR="00177848" w:rsidRPr="00C6052E">
        <w:t xml:space="preserve"> </w:t>
      </w:r>
      <w:r w:rsidRPr="00C6052E">
        <w:t>workers</w:t>
      </w:r>
    </w:p>
    <w:p w14:paraId="5F9F83BC" w14:textId="0F23D343" w:rsidR="00EE5BB8" w:rsidRPr="00C6052E" w:rsidRDefault="00EE5BB8" w:rsidP="00EE5BB8">
      <w:pPr>
        <w:pStyle w:val="Bullet2"/>
      </w:pPr>
      <w:r w:rsidRPr="00C6052E">
        <w:t>850+</w:t>
      </w:r>
      <w:r w:rsidR="00177848" w:rsidRPr="00C6052E">
        <w:t xml:space="preserve"> </w:t>
      </w:r>
      <w:r w:rsidRPr="00C6052E">
        <w:t>early</w:t>
      </w:r>
      <w:r w:rsidR="00177848" w:rsidRPr="00C6052E">
        <w:t xml:space="preserve"> </w:t>
      </w:r>
      <w:r w:rsidRPr="00C6052E">
        <w:t>childhood,</w:t>
      </w:r>
      <w:r w:rsidR="00177848" w:rsidRPr="00C6052E">
        <w:t xml:space="preserve"> </w:t>
      </w:r>
      <w:r w:rsidRPr="00C6052E">
        <w:t>secondary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other</w:t>
      </w:r>
      <w:r w:rsidR="00177848" w:rsidRPr="00C6052E">
        <w:rPr>
          <w:rFonts w:cs="Cambria"/>
        </w:rPr>
        <w:t xml:space="preserve"> </w:t>
      </w:r>
      <w:r w:rsidRPr="00C6052E">
        <w:t>teachers</w:t>
      </w:r>
    </w:p>
    <w:p w14:paraId="058D9D4A" w14:textId="3EFCAF20" w:rsidR="00EE5BB8" w:rsidRPr="00C6052E" w:rsidRDefault="00EE5BB8" w:rsidP="00EE5BB8">
      <w:pPr>
        <w:pStyle w:val="Bullet2"/>
      </w:pPr>
      <w:r w:rsidRPr="00C6052E">
        <w:t>560+</w:t>
      </w:r>
      <w:r w:rsidR="00177848" w:rsidRPr="00C6052E">
        <w:t xml:space="preserve"> </w:t>
      </w:r>
      <w:r w:rsidRPr="00C6052E">
        <w:t>skilled</w:t>
      </w:r>
      <w:r w:rsidR="00177848" w:rsidRPr="00C6052E">
        <w:t xml:space="preserve"> </w:t>
      </w:r>
      <w:r w:rsidRPr="00C6052E">
        <w:t>migrants</w:t>
      </w:r>
      <w:r w:rsidR="00177848" w:rsidRPr="00C6052E">
        <w:t xml:space="preserve"> </w:t>
      </w:r>
      <w:r w:rsidRPr="00C6052E">
        <w:t>working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advanced</w:t>
      </w:r>
      <w:r w:rsidR="00177848" w:rsidRPr="00C6052E">
        <w:t xml:space="preserve"> </w:t>
      </w:r>
      <w:r w:rsidRPr="00C6052E">
        <w:t>manufacturing,</w:t>
      </w:r>
      <w:r w:rsidR="00177848" w:rsidRPr="00C6052E">
        <w:t xml:space="preserve"> </w:t>
      </w:r>
      <w:r w:rsidRPr="00C6052E">
        <w:t>engineering,</w:t>
      </w:r>
      <w:r w:rsidR="00177848" w:rsidRPr="00C6052E">
        <w:t xml:space="preserve"> </w:t>
      </w:r>
      <w:r w:rsidRPr="00C6052E">
        <w:t>infrastructure,</w:t>
      </w:r>
      <w:r w:rsidR="00177848" w:rsidRPr="00C6052E">
        <w:t xml:space="preserve"> </w:t>
      </w:r>
      <w:r w:rsidRPr="00C6052E">
        <w:t>information</w:t>
      </w:r>
      <w:r w:rsidR="00177848" w:rsidRPr="00C6052E">
        <w:t xml:space="preserve"> </w:t>
      </w:r>
      <w:r w:rsidRPr="00C6052E">
        <w:t>technology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renewable</w:t>
      </w:r>
      <w:r w:rsidR="00177848" w:rsidRPr="00C6052E">
        <w:t xml:space="preserve"> </w:t>
      </w:r>
      <w:r w:rsidRPr="00C6052E">
        <w:t>energy</w:t>
      </w:r>
    </w:p>
    <w:p w14:paraId="24D7D921" w14:textId="6D96D947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1,000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owners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investors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nominating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permanent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investor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visas,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tailored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assistance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link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Government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services</w:t>
      </w:r>
    </w:p>
    <w:p w14:paraId="07B19824" w14:textId="31729EB7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1,438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professionals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living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obtain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assessment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overseas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qualifications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assist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undertake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further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study</w:t>
      </w:r>
    </w:p>
    <w:p w14:paraId="432645B0" w14:textId="05A5635F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specialised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mentoring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around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50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designed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and/or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courses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Monash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mRNA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Workforce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Centre</w:t>
      </w:r>
      <w:r w:rsidR="00177848" w:rsidRPr="00C6052E">
        <w:rPr>
          <w:lang w:val="en-AU"/>
        </w:rPr>
        <w:t xml:space="preserve"> </w:t>
      </w:r>
    </w:p>
    <w:p w14:paraId="2E4C5C03" w14:textId="65F44890" w:rsidR="00EE5BB8" w:rsidRPr="00C6052E" w:rsidRDefault="00EE5BB8" w:rsidP="00EE5BB8">
      <w:pPr>
        <w:pStyle w:val="Bullet1"/>
        <w:keepLines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Funded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30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Learn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community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services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organisations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Reconnect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1,700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not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engaged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education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access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</w:p>
    <w:p w14:paraId="4272A838" w14:textId="08E4C4CC" w:rsidR="00EE5BB8" w:rsidRPr="00C6052E" w:rsidRDefault="00EE5BB8" w:rsidP="00880FCA">
      <w:pPr>
        <w:pStyle w:val="Bullet1"/>
        <w:keepNext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lastRenderedPageBreak/>
        <w:t>Enabled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47,000+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students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commence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Free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courses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2024,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saving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$166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tuition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fees.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includes:</w:t>
      </w:r>
    </w:p>
    <w:p w14:paraId="43AC50F9" w14:textId="02C73D08" w:rsidR="00EE5BB8" w:rsidRPr="00C6052E" w:rsidRDefault="00EE5BB8" w:rsidP="00EE5BB8">
      <w:pPr>
        <w:pStyle w:val="Bullet2"/>
      </w:pPr>
      <w:r w:rsidRPr="00C6052E">
        <w:t>25,300+</w:t>
      </w:r>
      <w:r w:rsidR="00177848" w:rsidRPr="00C6052E">
        <w:t xml:space="preserve"> </w:t>
      </w:r>
      <w:r w:rsidRPr="00C6052E">
        <w:t>women</w:t>
      </w:r>
    </w:p>
    <w:p w14:paraId="44AB3820" w14:textId="6D5C9172" w:rsidR="00EE5BB8" w:rsidRPr="00C6052E" w:rsidRDefault="00EE5BB8" w:rsidP="00EE5BB8">
      <w:pPr>
        <w:pStyle w:val="Bullet2"/>
      </w:pPr>
      <w:r w:rsidRPr="00C6052E">
        <w:t>5,000+</w:t>
      </w:r>
      <w:r w:rsidR="00177848" w:rsidRPr="00C6052E">
        <w:t xml:space="preserve"> </w:t>
      </w:r>
      <w:r w:rsidRPr="00C6052E">
        <w:t>students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disability</w:t>
      </w:r>
      <w:r w:rsidR="00177848" w:rsidRPr="00C6052E">
        <w:rPr>
          <w:rFonts w:cs="Cambria"/>
        </w:rPr>
        <w:t xml:space="preserve"> </w:t>
      </w:r>
    </w:p>
    <w:p w14:paraId="7794EB07" w14:textId="7FB1AB6E" w:rsidR="00EE5BB8" w:rsidRPr="00C6052E" w:rsidRDefault="00EE5BB8" w:rsidP="00EE5BB8">
      <w:pPr>
        <w:pStyle w:val="Bullet2"/>
      </w:pPr>
      <w:r w:rsidRPr="00C6052E">
        <w:t>14,900+</w:t>
      </w:r>
      <w:r w:rsidR="00177848" w:rsidRPr="00C6052E">
        <w:t xml:space="preserve"> </w:t>
      </w:r>
      <w:r w:rsidRPr="00C6052E">
        <w:t>culturally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proofErr w:type="gramStart"/>
      <w:r w:rsidRPr="00C6052E">
        <w:t>linguistically-diverse</w:t>
      </w:r>
      <w:proofErr w:type="gramEnd"/>
      <w:r w:rsidR="00177848" w:rsidRPr="00C6052E">
        <w:t xml:space="preserve"> </w:t>
      </w:r>
      <w:r w:rsidRPr="00C6052E">
        <w:t>students</w:t>
      </w:r>
    </w:p>
    <w:p w14:paraId="27096FB8" w14:textId="2BAB667A" w:rsidR="00EE5BB8" w:rsidRPr="00C6052E" w:rsidRDefault="00EE5BB8" w:rsidP="00EE5BB8">
      <w:pPr>
        <w:pStyle w:val="Bullet2"/>
      </w:pPr>
      <w:r w:rsidRPr="00C6052E">
        <w:t>11,000+</w:t>
      </w:r>
      <w:r w:rsidR="00177848" w:rsidRPr="00C6052E">
        <w:t xml:space="preserve"> </w:t>
      </w:r>
      <w:r w:rsidRPr="00C6052E">
        <w:t>students</w:t>
      </w:r>
      <w:r w:rsidR="00177848" w:rsidRPr="00C6052E">
        <w:t xml:space="preserve"> </w:t>
      </w:r>
      <w:r w:rsidRPr="00C6052E">
        <w:t>studying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regional</w:t>
      </w:r>
      <w:r w:rsidR="00177848" w:rsidRPr="00C6052E">
        <w:t xml:space="preserve"> </w:t>
      </w:r>
      <w:r w:rsidRPr="00C6052E">
        <w:t>Victoria</w:t>
      </w:r>
    </w:p>
    <w:p w14:paraId="300FA935" w14:textId="7D83FDC9" w:rsidR="00EE5BB8" w:rsidRPr="00C6052E" w:rsidRDefault="00EE5BB8" w:rsidP="00EE5BB8">
      <w:pPr>
        <w:pStyle w:val="Bullet2"/>
      </w:pPr>
      <w:r w:rsidRPr="00C6052E">
        <w:t>10,100+</w:t>
      </w:r>
      <w:r w:rsidR="00177848" w:rsidRPr="00C6052E">
        <w:t xml:space="preserve"> </w:t>
      </w:r>
      <w:r w:rsidRPr="00C6052E">
        <w:t>unemployed</w:t>
      </w:r>
    </w:p>
    <w:p w14:paraId="63DB150B" w14:textId="7CD2A686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Funded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free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low-cost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place-based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pre-accredited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Learn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28,200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learners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Adult,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Community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Further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Education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Board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(ACFE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Board)</w:t>
      </w:r>
    </w:p>
    <w:p w14:paraId="66C32913" w14:textId="42FCF3C7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Worked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partnership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stakeholders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sign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bilateral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agreement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Government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invest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capability,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sustainability,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growth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Aboriginal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Community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Controlled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(ACC)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owned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(FNO)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sector</w:t>
      </w:r>
    </w:p>
    <w:p w14:paraId="680BB530" w14:textId="5E977FD0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Announced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Agreement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$19.06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building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foundation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literacy,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numeracy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digital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literacy,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crucial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successful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workforce;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$61.5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improving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completions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initiatives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like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improved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student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enhanced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quality,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addressing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barriers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completion</w:t>
      </w:r>
    </w:p>
    <w:p w14:paraId="2432D2DF" w14:textId="40CD6B64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Expanded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Free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Literacy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Numeracy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improves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foundational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literacy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numeracy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focusing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vocational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reading,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writing,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numeracy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communication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skills.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11,405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commencements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compared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2,564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2023.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particularly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beneficial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individuals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have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gaps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foundational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potentially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impacting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ability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complete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chosen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qualification</w:t>
      </w:r>
      <w:r w:rsidR="00177848" w:rsidRPr="00C6052E">
        <w:rPr>
          <w:lang w:val="en-AU"/>
        </w:rPr>
        <w:t xml:space="preserve"> </w:t>
      </w:r>
    </w:p>
    <w:p w14:paraId="4CD08615" w14:textId="299AF526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Grew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Free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25%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commencements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compared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2023,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particularly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housing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targeting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sectors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critical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needs</w:t>
      </w:r>
    </w:p>
    <w:p w14:paraId="76B4C1FF" w14:textId="00443682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Announced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$50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investment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establish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Polytechnic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Future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Housing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Construction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Centre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Excellence,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jointly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Commonwealth</w:t>
      </w:r>
    </w:p>
    <w:p w14:paraId="0F8342D5" w14:textId="1E67646F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Improved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course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planning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align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priority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areas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–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Free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clean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energy,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housing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–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resulting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increased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priority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areas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13.1%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compared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same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time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2024</w:t>
      </w:r>
    </w:p>
    <w:p w14:paraId="39A7AE23" w14:textId="6BFD19E4" w:rsidR="00EE5BB8" w:rsidRPr="00C6052E" w:rsidRDefault="00EE5BB8" w:rsidP="00EE5BB8">
      <w:pPr>
        <w:pStyle w:val="Bullet1"/>
        <w:keepLines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Launched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Apprentice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Helpdesk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June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2025</w:t>
      </w:r>
      <w:r w:rsidR="00177848" w:rsidRPr="00C6052E">
        <w:rPr>
          <w:lang w:val="en-AU"/>
        </w:rPr>
        <w:t xml:space="preserve"> </w:t>
      </w:r>
      <w:r w:rsidRPr="00C6052E">
        <w:rPr>
          <w:spacing w:val="-2"/>
          <w:lang w:val="en-AU"/>
        </w:rPr>
        <w:t>based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on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the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recommendations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in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the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Apprenticeships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Taskforce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Final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Report.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The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helpdesk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handles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apprenticeship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traineeship-related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questions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concerns,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phone,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email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web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enquiry.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month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service,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handled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average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90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calls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week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from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apprentices,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employers,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family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members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providers.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Issues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raised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workplace,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wages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conditions,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mental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health,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provision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accessing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</w:p>
    <w:p w14:paraId="70D03680" w14:textId="4242A8E3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lastRenderedPageBreak/>
        <w:t>Launched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Apprentice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Employee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Assistance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September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2024,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offering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free,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confidential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phone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video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counselling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24/7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apprentices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trainees.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Available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limited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number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sessions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psychologists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social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workers,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since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October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2024,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67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have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service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170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have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registered</w:t>
      </w:r>
    </w:p>
    <w:p w14:paraId="7EC7B8C5" w14:textId="694E137C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Piloted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Apprentice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Mental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Health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partnership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Chisholm,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Holmesglen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Gordon,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Caraniche</w:t>
      </w:r>
      <w:proofErr w:type="spellEnd"/>
      <w:r w:rsidRPr="00C6052E">
        <w:rPr>
          <w:lang w:val="en-AU"/>
        </w:rPr>
        <w:t>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250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apprentices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attended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series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in-class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foundation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sessions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online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mental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health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literacy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sessions.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Due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success,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remainder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expansion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topics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both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employers</w:t>
      </w:r>
    </w:p>
    <w:p w14:paraId="4F08498A" w14:textId="03CA0512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Implemented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Courseware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Model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following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successful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pilot.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enables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collaborative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high-quality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teaching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assessment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materials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practice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education</w:t>
      </w:r>
    </w:p>
    <w:p w14:paraId="0BFA033C" w14:textId="671C8AFE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Implemented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Engagement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module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6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institutes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end-to-end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management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relationships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ensure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consistent,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streamlined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engagement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TAFEs</w:t>
      </w:r>
    </w:p>
    <w:p w14:paraId="115ACEF2" w14:textId="62985701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Invested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$3.6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b/>
          <w:bCs/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GameChanger</w:t>
      </w:r>
      <w:proofErr w:type="spell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Academy,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in-demand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screen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VFX,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digital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effects,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games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animation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help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address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shortages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workforce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demand</w:t>
      </w:r>
    </w:p>
    <w:p w14:paraId="63C1CB97" w14:textId="324DA044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Invested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Creative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Learning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Partnerships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provides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opportunities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schools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partnership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creative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professional,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collective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organisation.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35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creatives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schools,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bringing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creativity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forefront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learning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1,257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students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upskilling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89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teachers.</w:t>
      </w:r>
    </w:p>
    <w:p w14:paraId="1CAC4A1B" w14:textId="091127D0" w:rsidR="00EE5BB8" w:rsidRPr="00C6052E" w:rsidRDefault="00EE5BB8" w:rsidP="00EE5BB8">
      <w:pPr>
        <w:pStyle w:val="Tablenotes"/>
        <w:ind w:left="294" w:firstLine="0"/>
      </w:pPr>
      <w:r w:rsidRPr="00C6052E">
        <w:t>The</w:t>
      </w:r>
      <w:r w:rsidR="00177848" w:rsidRPr="00C6052E">
        <w:t xml:space="preserve"> </w:t>
      </w:r>
      <w:r w:rsidRPr="00C6052E">
        <w:t>2023–24</w:t>
      </w:r>
      <w:r w:rsidR="00177848" w:rsidRPr="00C6052E">
        <w:t xml:space="preserve"> </w:t>
      </w:r>
      <w:r w:rsidRPr="00C6052E">
        <w:t>Annual</w:t>
      </w:r>
      <w:r w:rsidR="00177848" w:rsidRPr="00C6052E">
        <w:t xml:space="preserve"> </w:t>
      </w:r>
      <w:r w:rsidRPr="00C6052E">
        <w:t>Report</w:t>
      </w:r>
      <w:r w:rsidR="00177848" w:rsidRPr="00C6052E">
        <w:t xml:space="preserve"> </w:t>
      </w:r>
      <w:r w:rsidRPr="00C6052E">
        <w:t>stated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100+</w:t>
      </w:r>
      <w:r w:rsidR="00177848" w:rsidRPr="00C6052E">
        <w:t xml:space="preserve"> </w:t>
      </w:r>
      <w:r w:rsidRPr="00C6052E">
        <w:t>participants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supported</w:t>
      </w:r>
      <w:r w:rsidR="00177848" w:rsidRPr="00C6052E">
        <w:t xml:space="preserve"> </w:t>
      </w:r>
      <w:r w:rsidRPr="00C6052E">
        <w:t>through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2023–24</w:t>
      </w:r>
      <w:r w:rsidR="00177848" w:rsidRPr="00C6052E">
        <w:t xml:space="preserve"> </w:t>
      </w:r>
      <w:r w:rsidRPr="00C6052E">
        <w:t>Change</w:t>
      </w:r>
      <w:r w:rsidR="00177848" w:rsidRPr="00C6052E">
        <w:t xml:space="preserve"> </w:t>
      </w:r>
      <w:r w:rsidRPr="00C6052E">
        <w:t>Our</w:t>
      </w:r>
      <w:r w:rsidR="00177848" w:rsidRPr="00C6052E">
        <w:t xml:space="preserve"> </w:t>
      </w:r>
      <w:r w:rsidRPr="00C6052E">
        <w:t>Game</w:t>
      </w:r>
      <w:r w:rsidR="00177848" w:rsidRPr="00C6052E">
        <w:t xml:space="preserve"> </w:t>
      </w:r>
      <w:r w:rsidRPr="00C6052E">
        <w:t>Women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Sports</w:t>
      </w:r>
      <w:r w:rsidR="00177848" w:rsidRPr="00C6052E">
        <w:t xml:space="preserve"> </w:t>
      </w:r>
      <w:r w:rsidRPr="00C6052E">
        <w:t>Media</w:t>
      </w:r>
      <w:r w:rsidR="00177848" w:rsidRPr="00C6052E">
        <w:t xml:space="preserve"> </w:t>
      </w:r>
      <w:r w:rsidRPr="00C6052E">
        <w:t>Program.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actual</w:t>
      </w:r>
      <w:r w:rsidR="00177848" w:rsidRPr="00C6052E">
        <w:t xml:space="preserve"> </w:t>
      </w:r>
      <w:r w:rsidRPr="00C6052E">
        <w:t>number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participants</w:t>
      </w:r>
      <w:r w:rsidR="00177848" w:rsidRPr="00C6052E">
        <w:t xml:space="preserve"> </w:t>
      </w:r>
      <w:r w:rsidRPr="00C6052E">
        <w:t>supported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2023–24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21,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100+</w:t>
      </w:r>
      <w:r w:rsidR="00177848" w:rsidRPr="00C6052E">
        <w:t xml:space="preserve"> </w:t>
      </w:r>
      <w:r w:rsidRPr="00C6052E">
        <w:t>participants</w:t>
      </w:r>
      <w:r w:rsidR="00177848" w:rsidRPr="00C6052E">
        <w:t xml:space="preserve"> </w:t>
      </w:r>
      <w:r w:rsidRPr="00C6052E">
        <w:t>supported</w:t>
      </w:r>
      <w:r w:rsidR="00177848" w:rsidRPr="00C6052E">
        <w:t xml:space="preserve"> </w:t>
      </w:r>
      <w:r w:rsidRPr="00C6052E">
        <w:t>across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entire</w:t>
      </w:r>
      <w:r w:rsidR="00177848" w:rsidRPr="00C6052E">
        <w:t xml:space="preserve"> </w:t>
      </w:r>
      <w:r w:rsidRPr="00C6052E">
        <w:t>program.</w:t>
      </w:r>
    </w:p>
    <w:p w14:paraId="18A3B704" w14:textId="6BF00D1B" w:rsidR="00EE5BB8" w:rsidRPr="00C6052E" w:rsidRDefault="00EE5BB8" w:rsidP="00EE5BB8">
      <w:pPr>
        <w:pStyle w:val="Heading3"/>
      </w:pPr>
      <w:bookmarkStart w:id="22" w:name="_Hlk193982835"/>
      <w:r w:rsidRPr="00C6052E">
        <w:t>3.</w:t>
      </w:r>
      <w:r w:rsidR="00177848" w:rsidRPr="00C6052E">
        <w:t xml:space="preserve"> </w:t>
      </w:r>
      <w:r w:rsidRPr="00C6052E">
        <w:t>Strengthen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business</w:t>
      </w:r>
      <w:r w:rsidR="00177848" w:rsidRPr="00C6052E">
        <w:t xml:space="preserve"> </w:t>
      </w:r>
      <w:r w:rsidRPr="00C6052E">
        <w:t>environment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develop</w:t>
      </w:r>
      <w:r w:rsidR="00177848" w:rsidRPr="00C6052E">
        <w:t xml:space="preserve"> </w:t>
      </w:r>
      <w:r w:rsidRPr="00C6052E">
        <w:t>key</w:t>
      </w:r>
      <w:r w:rsidR="00177848" w:rsidRPr="00C6052E">
        <w:t xml:space="preserve"> </w:t>
      </w:r>
      <w:r w:rsidRPr="00C6052E">
        <w:t>industries</w:t>
      </w:r>
    </w:p>
    <w:bookmarkEnd w:id="22"/>
    <w:p w14:paraId="5BB0D9AF" w14:textId="079A630C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Delivered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$2.5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investment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enabling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infrastructure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Portland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North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Precinct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helped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secure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Bunnings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Warehouse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anchor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tenant.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create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around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50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during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construction,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50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store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opens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later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2025</w:t>
      </w:r>
    </w:p>
    <w:p w14:paraId="2A9C087C" w14:textId="7E273DDA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Partnered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Koala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Cherries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water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pipeline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Yarck,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secured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irrigation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water,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enabled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future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orchard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expansion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expected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create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72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</w:p>
    <w:p w14:paraId="3EFE44D4" w14:textId="28D8C6C8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23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major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Visit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Major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Fund,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Winter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Masterpieces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French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Impressionism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exhibition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NGV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RISING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Festival</w:t>
      </w:r>
    </w:p>
    <w:p w14:paraId="3BA3534E" w14:textId="2700975B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Prix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Corporation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another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record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attendance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Formula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Prix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estimated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crowd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465,498,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beating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previous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record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13,000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</w:t>
      </w:r>
    </w:p>
    <w:p w14:paraId="03BFAC75" w14:textId="7C265ED1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lastRenderedPageBreak/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biggest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date.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competition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drew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record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crowd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1.2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tennis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fans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3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weeks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contributed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$565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Victoria's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economy</w:t>
      </w:r>
    </w:p>
    <w:p w14:paraId="6B47C52A" w14:textId="79C4D9F3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Delivered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$1.3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Visitor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Partnerships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Tourism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Boards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under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Tourism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Strengthening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capability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building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businesses</w:t>
      </w:r>
      <w:r w:rsidR="00177848" w:rsidRPr="00C6052E">
        <w:rPr>
          <w:lang w:val="en-AU"/>
        </w:rPr>
        <w:t xml:space="preserve"> </w:t>
      </w:r>
    </w:p>
    <w:p w14:paraId="3B63D318" w14:textId="33378795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Enforced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ticket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scalping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provisions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declared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major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removing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6,000+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ticket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listings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from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secondary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ticketing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platforms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issuing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70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penalty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infringement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notices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breaches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rStyle w:val="Italics"/>
          <w:lang w:val="en-AU"/>
        </w:rPr>
        <w:t>Major</w:t>
      </w:r>
      <w:r w:rsidR="00177848" w:rsidRPr="00C6052E">
        <w:rPr>
          <w:rStyle w:val="Italics"/>
          <w:lang w:val="en-AU"/>
        </w:rPr>
        <w:t xml:space="preserve"> </w:t>
      </w:r>
      <w:r w:rsidRPr="00C6052E">
        <w:rPr>
          <w:rStyle w:val="Italics"/>
          <w:lang w:val="en-AU"/>
        </w:rPr>
        <w:t>Events</w:t>
      </w:r>
      <w:r w:rsidR="00177848" w:rsidRPr="00C6052E">
        <w:rPr>
          <w:rStyle w:val="Italics"/>
          <w:lang w:val="en-AU"/>
        </w:rPr>
        <w:t xml:space="preserve"> </w:t>
      </w:r>
      <w:r w:rsidRPr="00C6052E">
        <w:rPr>
          <w:rStyle w:val="Italics"/>
          <w:lang w:val="en-AU"/>
        </w:rPr>
        <w:t>Act</w:t>
      </w:r>
      <w:r w:rsidR="00177848" w:rsidRPr="00C6052E">
        <w:rPr>
          <w:rStyle w:val="Italics"/>
          <w:lang w:val="en-AU"/>
        </w:rPr>
        <w:t xml:space="preserve"> </w:t>
      </w:r>
      <w:r w:rsidRPr="00C6052E">
        <w:rPr>
          <w:rStyle w:val="Italics"/>
          <w:lang w:val="en-AU"/>
        </w:rPr>
        <w:t>2009</w:t>
      </w:r>
    </w:p>
    <w:p w14:paraId="7FA61CDA" w14:textId="0AA55EA4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29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international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Convention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Bureau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Fund,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World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Congress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Menopause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2024</w:t>
      </w:r>
      <w:r w:rsidR="00177848" w:rsidRPr="00C6052E">
        <w:rPr>
          <w:lang w:val="en-AU"/>
        </w:rPr>
        <w:t xml:space="preserve"> </w:t>
      </w:r>
    </w:p>
    <w:p w14:paraId="22ADCEEF" w14:textId="7CAC6AC3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improved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tourism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infrastructure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$8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Enabling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Tourism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$62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Tourism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Investment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launch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proofErr w:type="gramStart"/>
      <w:r w:rsidRPr="00C6052E">
        <w:rPr>
          <w:lang w:val="en-AU"/>
        </w:rPr>
        <w:t>fully-accessible</w:t>
      </w:r>
      <w:proofErr w:type="gramEnd"/>
      <w:r w:rsidRPr="00C6052E">
        <w:rPr>
          <w:lang w:val="en-AU"/>
        </w:rPr>
        <w:t>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all</w:t>
      </w:r>
      <w:r w:rsidRPr="00C6052E">
        <w:rPr>
          <w:lang w:val="en-AU"/>
        </w:rPr>
        <w:noBreakHyphen/>
        <w:t>seasons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houseboat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Murray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River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Mildura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opening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exhibition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space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Trafalgar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Holden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Heritage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Museum</w:t>
      </w:r>
    </w:p>
    <w:p w14:paraId="00E8647F" w14:textId="54FD60C2" w:rsidR="00EE5BB8" w:rsidRPr="00C6052E" w:rsidRDefault="00EE5BB8" w:rsidP="00EE5BB8">
      <w:pPr>
        <w:pStyle w:val="Bullet1"/>
        <w:keepLines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Contributed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implementation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Government’s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Growth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Statement,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noting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DJSIR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half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40+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initiatives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statement</w:t>
      </w:r>
    </w:p>
    <w:p w14:paraId="6E63FC0E" w14:textId="6961CA53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Undertook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comprehensive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analysis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importance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opportunities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improve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productivity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sector</w:t>
      </w:r>
    </w:p>
    <w:p w14:paraId="0CC98D77" w14:textId="3804CB2C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Released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i/>
          <w:iCs/>
          <w:lang w:val="en-AU"/>
        </w:rPr>
        <w:t>Victorian</w:t>
      </w:r>
      <w:r w:rsidR="00177848" w:rsidRPr="00C6052E">
        <w:rPr>
          <w:i/>
          <w:iCs/>
          <w:lang w:val="en-AU"/>
        </w:rPr>
        <w:t xml:space="preserve"> </w:t>
      </w:r>
      <w:r w:rsidRPr="00C6052E">
        <w:rPr>
          <w:i/>
          <w:iCs/>
          <w:lang w:val="en-AU"/>
        </w:rPr>
        <w:t>Industry</w:t>
      </w:r>
      <w:r w:rsidR="00177848" w:rsidRPr="00C6052E">
        <w:rPr>
          <w:i/>
          <w:iCs/>
          <w:lang w:val="en-AU"/>
        </w:rPr>
        <w:t xml:space="preserve"> </w:t>
      </w:r>
      <w:r w:rsidRPr="00C6052E">
        <w:rPr>
          <w:i/>
          <w:iCs/>
          <w:lang w:val="en-AU"/>
        </w:rPr>
        <w:t>Policy</w:t>
      </w:r>
      <w:r w:rsidRPr="00C6052E">
        <w:rPr>
          <w:lang w:val="en-AU"/>
        </w:rPr>
        <w:t>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provides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state’s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framework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drive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competitiveness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productivity,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build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resilience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seize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emerging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opportunities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drive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better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outcomes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Victorians</w:t>
      </w:r>
    </w:p>
    <w:p w14:paraId="2B44CE4C" w14:textId="59B918F2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Continued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strong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environment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opportunities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local,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small-to-medium-sized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enterprises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(SMEs)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to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participate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in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both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small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and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large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government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projects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through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Local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Jobs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First,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which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sets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minimum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local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content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other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requirements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strategic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projects</w:t>
      </w:r>
    </w:p>
    <w:p w14:paraId="09AAF8B4" w14:textId="196BCA0A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Progressed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reform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package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strengthen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i/>
          <w:iCs/>
          <w:lang w:val="en-AU"/>
        </w:rPr>
        <w:t>Local</w:t>
      </w:r>
      <w:r w:rsidR="00177848" w:rsidRPr="00C6052E">
        <w:rPr>
          <w:i/>
          <w:iCs/>
          <w:lang w:val="en-AU"/>
        </w:rPr>
        <w:t xml:space="preserve"> </w:t>
      </w:r>
      <w:r w:rsidRPr="00C6052E">
        <w:rPr>
          <w:i/>
          <w:iCs/>
          <w:lang w:val="en-AU"/>
        </w:rPr>
        <w:t>Jobs</w:t>
      </w:r>
      <w:r w:rsidR="00177848" w:rsidRPr="00C6052E">
        <w:rPr>
          <w:i/>
          <w:iCs/>
          <w:lang w:val="en-AU"/>
        </w:rPr>
        <w:t xml:space="preserve"> </w:t>
      </w:r>
      <w:r w:rsidRPr="00C6052E">
        <w:rPr>
          <w:i/>
          <w:iCs/>
          <w:lang w:val="en-AU"/>
        </w:rPr>
        <w:t>First</w:t>
      </w:r>
      <w:r w:rsidR="00177848" w:rsidRPr="00C6052E">
        <w:rPr>
          <w:i/>
          <w:iCs/>
          <w:lang w:val="en-AU"/>
        </w:rPr>
        <w:t xml:space="preserve"> </w:t>
      </w:r>
      <w:r w:rsidRPr="00C6052E">
        <w:rPr>
          <w:i/>
          <w:iCs/>
          <w:lang w:val="en-AU"/>
        </w:rPr>
        <w:t>Act</w:t>
      </w:r>
      <w:r w:rsidR="00177848" w:rsidRPr="00C6052E">
        <w:rPr>
          <w:i/>
          <w:iCs/>
          <w:lang w:val="en-AU"/>
        </w:rPr>
        <w:t xml:space="preserve"> </w:t>
      </w:r>
      <w:r w:rsidRPr="00C6052E">
        <w:rPr>
          <w:i/>
          <w:iCs/>
          <w:lang w:val="en-AU"/>
        </w:rPr>
        <w:t>2003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further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maximise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opportunities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ensure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continues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jurisdiction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championing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major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government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projects</w:t>
      </w:r>
    </w:p>
    <w:p w14:paraId="7F13C29D" w14:textId="330BC0C6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Expanded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scope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Fair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Code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policy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implemented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updates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enhance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Fair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Code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assessment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due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diligence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checks</w:t>
      </w:r>
    </w:p>
    <w:p w14:paraId="341E0E33" w14:textId="377D95FE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Sponsored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Information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Security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Association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(AISA)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Cyber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Conference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–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Southern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Hemisphere’s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largest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cyber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conference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–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Melbourne.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conference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attracted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5,500+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delegates,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estimated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$18.3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contribution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</w:p>
    <w:p w14:paraId="00139C76" w14:textId="65479094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Sponsored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Manufacturing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Week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Convention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Exhibition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Centre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spacing w:val="-2"/>
          <w:lang w:val="en-AU"/>
        </w:rPr>
        <w:t>May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2025.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It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was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the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largest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Australian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Manufacturing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Week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date,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400+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stalls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20,000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attendees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days</w:t>
      </w:r>
    </w:p>
    <w:p w14:paraId="0B661DDB" w14:textId="2FF89366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lastRenderedPageBreak/>
        <w:t>Released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Prefabricated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Construction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Directory,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showcases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range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products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supply</w:t>
      </w:r>
      <w:r w:rsidRPr="00C6052E">
        <w:rPr>
          <w:lang w:val="en-AU"/>
        </w:rPr>
        <w:noBreakHyphen/>
        <w:t>chain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capabilities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Modern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Methods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Construction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sector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makes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easier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procuring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government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agencies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manufacturers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specific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requirements</w:t>
      </w:r>
    </w:p>
    <w:p w14:paraId="67941CDF" w14:textId="4CF8B70A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spacing w:val="-4"/>
          <w:lang w:val="en-AU"/>
        </w:rPr>
      </w:pPr>
      <w:r w:rsidRPr="00C6052E">
        <w:rPr>
          <w:lang w:val="en-AU"/>
        </w:rPr>
        <w:t>Celebrated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30th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anniversary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Premier’s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Awards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Health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Medical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Research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honoured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outstanding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achievements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6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spacing w:val="-4"/>
          <w:lang w:val="en-AU"/>
        </w:rPr>
        <w:t xml:space="preserve"> </w:t>
      </w:r>
      <w:r w:rsidRPr="00C6052E">
        <w:rPr>
          <w:spacing w:val="-4"/>
          <w:lang w:val="en-AU"/>
        </w:rPr>
        <w:t>Victoria’s</w:t>
      </w:r>
      <w:r w:rsidR="00177848" w:rsidRPr="00C6052E">
        <w:rPr>
          <w:spacing w:val="-4"/>
          <w:lang w:val="en-AU"/>
        </w:rPr>
        <w:t xml:space="preserve"> </w:t>
      </w:r>
      <w:r w:rsidRPr="00C6052E">
        <w:rPr>
          <w:spacing w:val="-4"/>
          <w:lang w:val="en-AU"/>
        </w:rPr>
        <w:t>early</w:t>
      </w:r>
      <w:r w:rsidR="00177848" w:rsidRPr="00C6052E">
        <w:rPr>
          <w:spacing w:val="-4"/>
          <w:lang w:val="en-AU"/>
        </w:rPr>
        <w:t xml:space="preserve"> </w:t>
      </w:r>
      <w:r w:rsidRPr="00C6052E">
        <w:rPr>
          <w:spacing w:val="-4"/>
          <w:lang w:val="en-AU"/>
        </w:rPr>
        <w:t>career</w:t>
      </w:r>
      <w:r w:rsidR="00177848" w:rsidRPr="00C6052E">
        <w:rPr>
          <w:spacing w:val="-4"/>
          <w:lang w:val="en-AU"/>
        </w:rPr>
        <w:t xml:space="preserve"> </w:t>
      </w:r>
      <w:r w:rsidRPr="00C6052E">
        <w:rPr>
          <w:spacing w:val="-4"/>
          <w:lang w:val="en-AU"/>
        </w:rPr>
        <w:t>health</w:t>
      </w:r>
      <w:r w:rsidR="00177848" w:rsidRPr="00C6052E">
        <w:rPr>
          <w:spacing w:val="-4"/>
          <w:lang w:val="en-AU"/>
        </w:rPr>
        <w:t xml:space="preserve"> </w:t>
      </w:r>
      <w:r w:rsidRPr="00C6052E">
        <w:rPr>
          <w:spacing w:val="-4"/>
          <w:lang w:val="en-AU"/>
        </w:rPr>
        <w:t>and</w:t>
      </w:r>
      <w:r w:rsidR="00177848" w:rsidRPr="00C6052E">
        <w:rPr>
          <w:spacing w:val="-4"/>
          <w:lang w:val="en-AU"/>
        </w:rPr>
        <w:t xml:space="preserve"> </w:t>
      </w:r>
      <w:r w:rsidRPr="00C6052E">
        <w:rPr>
          <w:spacing w:val="-4"/>
          <w:lang w:val="en-AU"/>
        </w:rPr>
        <w:t>medical</w:t>
      </w:r>
      <w:r w:rsidR="00177848" w:rsidRPr="00C6052E">
        <w:rPr>
          <w:spacing w:val="-4"/>
          <w:lang w:val="en-AU"/>
        </w:rPr>
        <w:t xml:space="preserve"> </w:t>
      </w:r>
      <w:r w:rsidRPr="00C6052E">
        <w:rPr>
          <w:spacing w:val="-4"/>
          <w:lang w:val="en-AU"/>
        </w:rPr>
        <w:t>researchers</w:t>
      </w:r>
    </w:p>
    <w:p w14:paraId="382474FE" w14:textId="4F5FA4AF" w:rsidR="00EE5BB8" w:rsidRPr="00C6052E" w:rsidRDefault="00EE5BB8" w:rsidP="00EE5BB8">
      <w:pPr>
        <w:pStyle w:val="Bullet1"/>
        <w:keepNext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Sponsored</w:t>
      </w:r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AusBiotech</w:t>
      </w:r>
      <w:proofErr w:type="spell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Conference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deliver:</w:t>
      </w:r>
    </w:p>
    <w:p w14:paraId="69A8FDB3" w14:textId="77409F7B" w:rsidR="00EE5BB8" w:rsidRPr="00C6052E" w:rsidRDefault="00EE5BB8" w:rsidP="00EE5BB8">
      <w:pPr>
        <w:pStyle w:val="Bullet2"/>
        <w:keepLines/>
      </w:pPr>
      <w:r w:rsidRPr="00C6052E">
        <w:t>the</w:t>
      </w:r>
      <w:r w:rsidR="00177848" w:rsidRPr="00C6052E">
        <w:t xml:space="preserve"> </w:t>
      </w:r>
      <w:r w:rsidRPr="00C6052E">
        <w:t>2024</w:t>
      </w:r>
      <w:r w:rsidR="00177848" w:rsidRPr="00C6052E">
        <w:t xml:space="preserve"> </w:t>
      </w:r>
      <w:proofErr w:type="spellStart"/>
      <w:r w:rsidRPr="00C6052E">
        <w:t>AusBio</w:t>
      </w:r>
      <w:proofErr w:type="spellEnd"/>
      <w:r w:rsidR="00177848" w:rsidRPr="00C6052E">
        <w:t xml:space="preserve"> </w:t>
      </w:r>
      <w:r w:rsidRPr="00C6052E">
        <w:t>Invest,</w:t>
      </w:r>
      <w:r w:rsidR="00177848" w:rsidRPr="00C6052E">
        <w:t xml:space="preserve"> </w:t>
      </w:r>
      <w:r w:rsidRPr="00C6052E">
        <w:t>Australia’s</w:t>
      </w:r>
      <w:r w:rsidR="00177848" w:rsidRPr="00C6052E">
        <w:t xml:space="preserve"> </w:t>
      </w:r>
      <w:r w:rsidRPr="00C6052E">
        <w:t>premier</w:t>
      </w:r>
      <w:r w:rsidR="00177848" w:rsidRPr="00C6052E">
        <w:t xml:space="preserve"> </w:t>
      </w:r>
      <w:r w:rsidRPr="00C6052E">
        <w:t>life</w:t>
      </w:r>
      <w:r w:rsidR="00177848" w:rsidRPr="00C6052E">
        <w:t xml:space="preserve"> </w:t>
      </w:r>
      <w:r w:rsidRPr="00C6052E">
        <w:t>sciences</w:t>
      </w:r>
      <w:r w:rsidR="00177848" w:rsidRPr="00C6052E">
        <w:t xml:space="preserve"> </w:t>
      </w:r>
      <w:r w:rsidRPr="00C6052E">
        <w:t>investment</w:t>
      </w:r>
      <w:r w:rsidR="00177848" w:rsidRPr="00C6052E">
        <w:t xml:space="preserve"> </w:t>
      </w:r>
      <w:r w:rsidRPr="00C6052E">
        <w:t>event.</w:t>
      </w:r>
      <w:r w:rsidR="00177848" w:rsidRPr="00C6052E">
        <w:t xml:space="preserve"> </w:t>
      </w:r>
      <w:r w:rsidRPr="00C6052E">
        <w:t>It</w:t>
      </w:r>
      <w:r w:rsidR="00177848" w:rsidRPr="00C6052E">
        <w:t xml:space="preserve"> </w:t>
      </w:r>
      <w:r w:rsidRPr="00C6052E">
        <w:t>included</w:t>
      </w:r>
      <w:r w:rsidR="00177848" w:rsidRPr="00C6052E">
        <w:t xml:space="preserve"> </w:t>
      </w:r>
      <w:r w:rsidRPr="00C6052E">
        <w:t>business</w:t>
      </w:r>
      <w:r w:rsidR="00177848" w:rsidRPr="00C6052E">
        <w:t xml:space="preserve"> </w:t>
      </w:r>
      <w:r w:rsidRPr="00C6052E">
        <w:t>partnering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23</w:t>
      </w:r>
      <w:r w:rsidR="00177848" w:rsidRPr="00C6052E">
        <w:t xml:space="preserve"> </w:t>
      </w:r>
      <w:r w:rsidRPr="00C6052E">
        <w:t>private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public</w:t>
      </w:r>
      <w:r w:rsidR="00177848" w:rsidRPr="00C6052E">
        <w:t xml:space="preserve"> </w:t>
      </w:r>
      <w:r w:rsidRPr="00C6052E">
        <w:t>companies</w:t>
      </w:r>
      <w:r w:rsidR="00177848" w:rsidRPr="00C6052E">
        <w:t xml:space="preserve"> </w:t>
      </w:r>
      <w:r w:rsidRPr="00C6052E">
        <w:t>presenting</w:t>
      </w:r>
      <w:r w:rsidR="00177848" w:rsidRPr="00C6052E">
        <w:t xml:space="preserve"> </w:t>
      </w:r>
      <w:r w:rsidRPr="00C6052E">
        <w:t>investment</w:t>
      </w:r>
      <w:r w:rsidR="00177848" w:rsidRPr="00C6052E">
        <w:t xml:space="preserve"> </w:t>
      </w:r>
      <w:r w:rsidRPr="00C6052E">
        <w:t>pitches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330+</w:t>
      </w:r>
      <w:r w:rsidR="00177848" w:rsidRPr="00C6052E">
        <w:t xml:space="preserve"> </w:t>
      </w:r>
      <w:r w:rsidRPr="00C6052E">
        <w:t>registered</w:t>
      </w:r>
      <w:r w:rsidR="00177848" w:rsidRPr="00C6052E">
        <w:t xml:space="preserve"> </w:t>
      </w:r>
      <w:r w:rsidRPr="00C6052E">
        <w:t>delegates</w:t>
      </w:r>
      <w:r w:rsidR="00177848" w:rsidRPr="00C6052E">
        <w:t xml:space="preserve"> </w:t>
      </w:r>
      <w:r w:rsidRPr="00C6052E">
        <w:t>including</w:t>
      </w:r>
      <w:r w:rsidR="00177848" w:rsidRPr="00C6052E">
        <w:t xml:space="preserve"> </w:t>
      </w:r>
      <w:r w:rsidRPr="00C6052E">
        <w:t>private</w:t>
      </w:r>
      <w:r w:rsidR="00177848" w:rsidRPr="00C6052E">
        <w:t xml:space="preserve"> </w:t>
      </w:r>
      <w:r w:rsidRPr="00C6052E">
        <w:t>investors,</w:t>
      </w:r>
      <w:r w:rsidR="00177848" w:rsidRPr="00C6052E">
        <w:t xml:space="preserve"> </w:t>
      </w:r>
      <w:r w:rsidRPr="00C6052E">
        <w:t>venture</w:t>
      </w:r>
      <w:r w:rsidR="00177848" w:rsidRPr="00C6052E">
        <w:t xml:space="preserve"> </w:t>
      </w:r>
      <w:r w:rsidRPr="00C6052E">
        <w:t>capitalists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global</w:t>
      </w:r>
      <w:r w:rsidR="00177848" w:rsidRPr="00C6052E">
        <w:t xml:space="preserve"> </w:t>
      </w:r>
      <w:r w:rsidRPr="00C6052E">
        <w:t>pharmaceutical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biotechnology</w:t>
      </w:r>
      <w:r w:rsidR="00177848" w:rsidRPr="00C6052E">
        <w:t xml:space="preserve"> </w:t>
      </w:r>
      <w:r w:rsidRPr="00C6052E">
        <w:t>companies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14</w:t>
      </w:r>
      <w:r w:rsidR="00177848" w:rsidRPr="00C6052E">
        <w:t xml:space="preserve"> </w:t>
      </w:r>
      <w:r w:rsidRPr="00C6052E">
        <w:t>countries</w:t>
      </w:r>
    </w:p>
    <w:p w14:paraId="1319BC88" w14:textId="4D9EDDEA" w:rsidR="00EE5BB8" w:rsidRPr="00C6052E" w:rsidRDefault="00EE5BB8" w:rsidP="00EE5BB8">
      <w:pPr>
        <w:pStyle w:val="Bullet2"/>
      </w:pPr>
      <w:r w:rsidRPr="00C6052E">
        <w:t>the</w:t>
      </w:r>
      <w:r w:rsidR="00177848" w:rsidRPr="00C6052E">
        <w:t xml:space="preserve"> </w:t>
      </w:r>
      <w:r w:rsidRPr="00C6052E">
        <w:t>2024</w:t>
      </w:r>
      <w:r w:rsidR="00177848" w:rsidRPr="00C6052E">
        <w:t xml:space="preserve"> </w:t>
      </w:r>
      <w:proofErr w:type="spellStart"/>
      <w:r w:rsidRPr="00C6052E">
        <w:t>AusBiotech</w:t>
      </w:r>
      <w:proofErr w:type="spellEnd"/>
      <w:r w:rsidR="00177848" w:rsidRPr="00C6052E">
        <w:t xml:space="preserve"> </w:t>
      </w:r>
      <w:r w:rsidRPr="00C6052E">
        <w:t>National</w:t>
      </w:r>
      <w:r w:rsidR="00177848" w:rsidRPr="00C6052E">
        <w:t xml:space="preserve"> </w:t>
      </w:r>
      <w:r w:rsidRPr="00C6052E">
        <w:t>Conference,</w:t>
      </w:r>
      <w:r w:rsidR="00177848" w:rsidRPr="00C6052E">
        <w:t xml:space="preserve"> </w:t>
      </w:r>
      <w:r w:rsidRPr="00C6052E">
        <w:t>Australia’s</w:t>
      </w:r>
      <w:r w:rsidR="00177848" w:rsidRPr="00C6052E">
        <w:t xml:space="preserve"> </w:t>
      </w:r>
      <w:r w:rsidRPr="00C6052E">
        <w:t>leading</w:t>
      </w:r>
      <w:r w:rsidR="00177848" w:rsidRPr="00C6052E">
        <w:t xml:space="preserve"> </w:t>
      </w:r>
      <w:r w:rsidRPr="00C6052E">
        <w:t>life</w:t>
      </w:r>
      <w:r w:rsidR="00177848" w:rsidRPr="00C6052E">
        <w:t xml:space="preserve"> </w:t>
      </w:r>
      <w:r w:rsidRPr="00C6052E">
        <w:t>sciences</w:t>
      </w:r>
      <w:r w:rsidR="00177848" w:rsidRPr="00C6052E">
        <w:t xml:space="preserve"> </w:t>
      </w:r>
      <w:r w:rsidRPr="00C6052E">
        <w:t>conference.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over</w:t>
      </w:r>
      <w:r w:rsidR="00177848" w:rsidRPr="00C6052E">
        <w:t xml:space="preserve"> </w:t>
      </w:r>
      <w:r w:rsidRPr="00C6052E">
        <w:t>1,600</w:t>
      </w:r>
      <w:r w:rsidR="00177848" w:rsidRPr="00C6052E">
        <w:t xml:space="preserve"> </w:t>
      </w:r>
      <w:r w:rsidRPr="00C6052E">
        <w:t>delegates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22+</w:t>
      </w:r>
      <w:r w:rsidR="00177848" w:rsidRPr="00C6052E">
        <w:t xml:space="preserve"> </w:t>
      </w:r>
      <w:r w:rsidRPr="00C6052E">
        <w:t>international</w:t>
      </w:r>
      <w:r w:rsidR="00177848" w:rsidRPr="00C6052E">
        <w:t xml:space="preserve"> </w:t>
      </w:r>
      <w:r w:rsidRPr="00C6052E">
        <w:t>countries,</w:t>
      </w:r>
      <w:r w:rsidR="00177848" w:rsidRPr="00C6052E">
        <w:t xml:space="preserve"> </w:t>
      </w:r>
      <w:r w:rsidRPr="00C6052E">
        <w:t>it</w:t>
      </w:r>
      <w:r w:rsidR="00177848" w:rsidRPr="00C6052E">
        <w:t xml:space="preserve"> </w:t>
      </w:r>
      <w:r w:rsidRPr="00C6052E">
        <w:t>featured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industry-led</w:t>
      </w:r>
      <w:r w:rsidR="00177848" w:rsidRPr="00C6052E">
        <w:t xml:space="preserve"> </w:t>
      </w:r>
      <w:r w:rsidRPr="00C6052E">
        <w:t>program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more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260</w:t>
      </w:r>
      <w:r w:rsidR="00177848" w:rsidRPr="00C6052E">
        <w:t xml:space="preserve"> </w:t>
      </w:r>
      <w:r w:rsidRPr="00C6052E">
        <w:t>speakers</w:t>
      </w:r>
      <w:r w:rsidR="00177848" w:rsidRPr="00C6052E">
        <w:t xml:space="preserve"> </w:t>
      </w:r>
      <w:r w:rsidRPr="00C6052E">
        <w:t>across</w:t>
      </w:r>
      <w:r w:rsidR="00177848" w:rsidRPr="00C6052E">
        <w:t xml:space="preserve"> </w:t>
      </w:r>
      <w:r w:rsidRPr="00C6052E">
        <w:t>60+</w:t>
      </w:r>
      <w:r w:rsidR="00177848" w:rsidRPr="00C6052E">
        <w:t xml:space="preserve"> </w:t>
      </w:r>
      <w:r w:rsidRPr="00C6052E">
        <w:t>sessions</w:t>
      </w:r>
      <w:r w:rsidR="00177848" w:rsidRPr="00C6052E">
        <w:t xml:space="preserve"> </w:t>
      </w:r>
      <w:r w:rsidRPr="00C6052E">
        <w:t>developed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inform,</w:t>
      </w:r>
      <w:r w:rsidR="00177848" w:rsidRPr="00C6052E">
        <w:t xml:space="preserve"> </w:t>
      </w:r>
      <w:r w:rsidRPr="00C6052E">
        <w:t>educate,</w:t>
      </w:r>
      <w:r w:rsidR="00177848" w:rsidRPr="00C6052E">
        <w:t xml:space="preserve"> </w:t>
      </w:r>
      <w:r w:rsidRPr="00C6052E">
        <w:t>celebrate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inspire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health</w:t>
      </w:r>
      <w:r w:rsidR="00177848" w:rsidRPr="00C6052E">
        <w:t xml:space="preserve"> </w:t>
      </w:r>
      <w:r w:rsidRPr="00C6052E">
        <w:t>technology</w:t>
      </w:r>
      <w:r w:rsidR="00177848" w:rsidRPr="00C6052E">
        <w:t xml:space="preserve"> </w:t>
      </w:r>
      <w:r w:rsidRPr="00C6052E">
        <w:t>community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facilitated</w:t>
      </w:r>
      <w:r w:rsidR="00177848" w:rsidRPr="00C6052E">
        <w:t xml:space="preserve"> </w:t>
      </w:r>
      <w:r w:rsidRPr="00C6052E">
        <w:t>2000+</w:t>
      </w:r>
      <w:r w:rsidR="00177848" w:rsidRPr="00C6052E">
        <w:t xml:space="preserve"> </w:t>
      </w:r>
      <w:r w:rsidRPr="00C6052E">
        <w:t>business</w:t>
      </w:r>
      <w:r w:rsidR="00177848" w:rsidRPr="00C6052E">
        <w:t xml:space="preserve"> </w:t>
      </w:r>
      <w:r w:rsidRPr="00C6052E">
        <w:t>partnering</w:t>
      </w:r>
      <w:r w:rsidR="00177848" w:rsidRPr="00C6052E">
        <w:t xml:space="preserve"> </w:t>
      </w:r>
      <w:r w:rsidRPr="00C6052E">
        <w:t>meetings</w:t>
      </w:r>
      <w:r w:rsidR="00177848" w:rsidRPr="00C6052E">
        <w:t xml:space="preserve"> </w:t>
      </w:r>
    </w:p>
    <w:p w14:paraId="5D627496" w14:textId="15D8F23A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BioMelbourne</w:t>
      </w:r>
      <w:proofErr w:type="spell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key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package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</w:t>
      </w:r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biosymposiums</w:t>
      </w:r>
      <w:proofErr w:type="spellEnd"/>
      <w:r w:rsidRPr="00C6052E">
        <w:rPr>
          <w:lang w:val="en-AU"/>
        </w:rPr>
        <w:t>;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4</w:t>
      </w:r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bioforums</w:t>
      </w:r>
      <w:proofErr w:type="spellEnd"/>
      <w:r w:rsidRPr="00C6052E">
        <w:rPr>
          <w:lang w:val="en-AU"/>
        </w:rPr>
        <w:t>;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masterclass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workshop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series;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Women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Leadership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Awards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ceremony;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luncheons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roundtables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biotechnology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medical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technology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companies.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forum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BioNTech’s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Innovation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Centre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pathways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translate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mRNA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research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clinical-grade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products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suitable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clinical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trials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attended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166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scientists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biotech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representatives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from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</w:t>
      </w:r>
    </w:p>
    <w:p w14:paraId="251F8DC3" w14:textId="0C17AE76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Delivered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full-day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convention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attended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82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mRNA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grant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recipients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share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RNA</w:t>
      </w:r>
      <w:r w:rsidRPr="00C6052E">
        <w:rPr>
          <w:lang w:val="en-AU"/>
        </w:rPr>
        <w:noBreakHyphen/>
        <w:t>based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research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outcomes,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discuss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issues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facilitate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collaboration</w:t>
      </w:r>
      <w:r w:rsidR="00177848" w:rsidRPr="00C6052E">
        <w:rPr>
          <w:lang w:val="en-AU"/>
        </w:rPr>
        <w:t xml:space="preserve"> </w:t>
      </w:r>
    </w:p>
    <w:p w14:paraId="468E4190" w14:textId="7EE33A35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Medtech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Manufacturing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Alliance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(AMMA)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–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BioMelbourne</w:t>
      </w:r>
      <w:proofErr w:type="spell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other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peak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body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partners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–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united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voice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local</w:t>
      </w:r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medtech</w:t>
      </w:r>
      <w:proofErr w:type="spell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manufacturers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supplying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hospitals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health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sector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raise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procurement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locally-manufactured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health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products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health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services</w:t>
      </w:r>
      <w:r w:rsidR="00177848" w:rsidRPr="00C6052E">
        <w:rPr>
          <w:lang w:val="en-AU"/>
        </w:rPr>
        <w:t xml:space="preserve"> </w:t>
      </w:r>
    </w:p>
    <w:p w14:paraId="5A761557" w14:textId="2935635F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spacing w:val="-2"/>
          <w:lang w:val="en-AU"/>
        </w:rPr>
      </w:pPr>
      <w:r w:rsidRPr="00C6052E">
        <w:rPr>
          <w:spacing w:val="-2"/>
          <w:lang w:val="en-AU"/>
        </w:rPr>
        <w:t>Supported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Zip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Diagnostics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to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scale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up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its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production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capacity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to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meet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increased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demand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across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local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and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global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export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markets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for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life-saving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rapid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diagnostic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tests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for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infectious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diseases.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As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the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only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manufacturer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of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point-of-care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molecular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diagnostics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in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Australia,</w:t>
      </w:r>
      <w:r w:rsidR="00177848" w:rsidRPr="00C6052E">
        <w:rPr>
          <w:spacing w:val="-2"/>
          <w:lang w:val="en-AU"/>
        </w:rPr>
        <w:t xml:space="preserve"> </w:t>
      </w:r>
      <w:proofErr w:type="spellStart"/>
      <w:r w:rsidRPr="00C6052E">
        <w:rPr>
          <w:spacing w:val="-2"/>
          <w:lang w:val="en-AU"/>
        </w:rPr>
        <w:t>ZiP</w:t>
      </w:r>
      <w:proofErr w:type="spellEnd"/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Diagnostics’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products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bolster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the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state’s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supply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chain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and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play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a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critical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role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in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preventing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and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controlling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infection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in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future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pandemics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with</w:t>
      </w:r>
      <w:r w:rsidR="00177848" w:rsidRPr="00C6052E">
        <w:rPr>
          <w:spacing w:val="-2"/>
          <w:lang w:val="en-AU"/>
        </w:rPr>
        <w:t xml:space="preserve"> </w:t>
      </w:r>
      <w:proofErr w:type="gramStart"/>
      <w:r w:rsidRPr="00C6052E">
        <w:rPr>
          <w:spacing w:val="-2"/>
          <w:lang w:val="en-AU"/>
        </w:rPr>
        <w:t>locally-made</w:t>
      </w:r>
      <w:proofErr w:type="gramEnd"/>
      <w:r w:rsidRPr="00C6052E">
        <w:rPr>
          <w:spacing w:val="-2"/>
          <w:lang w:val="en-AU"/>
        </w:rPr>
        <w:t>,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lifesaving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products</w:t>
      </w:r>
    </w:p>
    <w:p w14:paraId="7F1D973F" w14:textId="37C51D69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Brandon</w:t>
      </w:r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BioCatalyst</w:t>
      </w:r>
      <w:proofErr w:type="spell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spacing w:val="-2"/>
          <w:lang w:val="en-AU"/>
        </w:rPr>
        <w:t>Brandon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Centre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of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Excellence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for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Commercialisation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BioMedical</w:t>
      </w:r>
      <w:proofErr w:type="spell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Technologies.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centre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offers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collaborative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commercialising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medicine-based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products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suite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provide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practice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translation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commercialisation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practices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early-stage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therapeutic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</w:p>
    <w:p w14:paraId="2D405AA0" w14:textId="0E22DA05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lastRenderedPageBreak/>
        <w:t>Delivered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phase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proofErr w:type="gramStart"/>
      <w:r w:rsidRPr="00C6052E">
        <w:rPr>
          <w:lang w:val="en-AU"/>
        </w:rPr>
        <w:t>Business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Friendly</w:t>
      </w:r>
      <w:proofErr w:type="gram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Council’s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pilot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councils,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contributing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partnership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11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councils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accelerate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simplify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approval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processes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seeking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council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permits</w:t>
      </w:r>
    </w:p>
    <w:p w14:paraId="18E18704" w14:textId="3BFF53D1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Continued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Made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–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R&amp;D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Infrastructure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9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projects.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designed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invest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R&amp;D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capabilities</w:t>
      </w:r>
    </w:p>
    <w:p w14:paraId="1F056498" w14:textId="4F4C8E58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Uplifted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small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free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advisory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services,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capability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building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webinars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online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learning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resources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6,701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participants,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empowering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start,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grow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businesses</w:t>
      </w:r>
    </w:p>
    <w:p w14:paraId="2CF0E147" w14:textId="77634E2F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Celebrated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years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Small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services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79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government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areas,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advice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sharing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information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805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owners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intenders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110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metropolitan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locations</w:t>
      </w:r>
    </w:p>
    <w:p w14:paraId="2FFF3444" w14:textId="17085BAD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Provided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essential,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trusted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timely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information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tools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small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digital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channels,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receiving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4.78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visits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138,000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subscribers,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helping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small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save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time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money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enabling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grow</w:t>
      </w:r>
      <w:r w:rsidR="00177848" w:rsidRPr="00C6052E">
        <w:rPr>
          <w:lang w:val="en-AU"/>
        </w:rPr>
        <w:t xml:space="preserve"> </w:t>
      </w:r>
    </w:p>
    <w:p w14:paraId="6C84D584" w14:textId="3580DB99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Boosted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multicultural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activation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grants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17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associations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visitor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campaigns,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festivals,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multilingual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resources,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capability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building,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under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our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Multicultural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Traders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Precincts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commitment</w:t>
      </w:r>
    </w:p>
    <w:p w14:paraId="3F00075D" w14:textId="2A9AAB8D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Engaged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70+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stakeholders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inform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Good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Practice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Guide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collaboration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multicultural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precinct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planning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activation.</w:t>
      </w:r>
      <w:r w:rsidR="00177848" w:rsidRPr="00C6052E">
        <w:rPr>
          <w:lang w:val="en-AU"/>
        </w:rPr>
        <w:t xml:space="preserve"> </w:t>
      </w:r>
    </w:p>
    <w:p w14:paraId="7F274F87" w14:textId="33BCD4B7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Delivered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Multicultural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Small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Days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metropolitan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councils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help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build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multicultural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free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advisory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services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capability-building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workshops,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attracting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123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participants</w:t>
      </w:r>
      <w:r w:rsidR="00177848" w:rsidRPr="00C6052E">
        <w:rPr>
          <w:lang w:val="en-AU"/>
        </w:rPr>
        <w:t xml:space="preserve"> </w:t>
      </w:r>
    </w:p>
    <w:p w14:paraId="2222D898" w14:textId="0DD8D043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spacing w:val="-2"/>
          <w:lang w:val="en-AU"/>
        </w:rPr>
      </w:pPr>
      <w:r w:rsidRPr="00C6052E">
        <w:rPr>
          <w:lang w:val="en-AU"/>
        </w:rPr>
        <w:t>Delivered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integrated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wellbeing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financial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counselling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advice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8,698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sessions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428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unique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small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owners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Small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Partners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in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Wellbeing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Helpline,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uplifting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the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mental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health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and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wellbeing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of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small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business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owners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impacted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by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the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2022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Victorian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Floods</w:t>
      </w:r>
    </w:p>
    <w:p w14:paraId="2DDBFE16" w14:textId="15FD36D6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Designed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Manufacturing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Pre</w:t>
      </w:r>
      <w:r w:rsidRPr="00C6052E">
        <w:rPr>
          <w:lang w:val="en-AU"/>
        </w:rPr>
        <w:noBreakHyphen/>
        <w:t>Employment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partnership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South-East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Manufacturers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Alliance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(SEMMA).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site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tours,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readiness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augmented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reality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welding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Card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certification,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direct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engagement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throughout.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Upon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completion,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50%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secured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apprenticeships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70%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found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employment</w:t>
      </w:r>
      <w:r w:rsidR="00177848" w:rsidRPr="00C6052E">
        <w:rPr>
          <w:lang w:val="en-AU"/>
        </w:rPr>
        <w:t xml:space="preserve"> </w:t>
      </w:r>
    </w:p>
    <w:p w14:paraId="6BAF54AD" w14:textId="194A40E2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Established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16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Disability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Transition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Officer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positions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provide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specialised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intensive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students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disability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wanting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transition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from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secondary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school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environment.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initiative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community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practice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Gordon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draws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upon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lived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experience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build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consistently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high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level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service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</w:t>
      </w:r>
    </w:p>
    <w:p w14:paraId="40506403" w14:textId="2441D297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lastRenderedPageBreak/>
        <w:t>Facilitated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2-day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camp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prepare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WorldSkills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Championships.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providers,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held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8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venues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207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apprentices,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trainees,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secondary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school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students,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teachers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experts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practical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technical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54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categories</w:t>
      </w:r>
    </w:p>
    <w:p w14:paraId="6719A7F8" w14:textId="7EC09B5C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126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WorldSkills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Competition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where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achieved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outstanding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results,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winning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19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gold,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silver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16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bronze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medals,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along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26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certificates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excellence</w:t>
      </w:r>
    </w:p>
    <w:p w14:paraId="5E4DCFFA" w14:textId="7B64F304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whole-of-government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initiatives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relating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diversity,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inclusion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equity,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LGBTIQ+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staff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students,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inclusion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disability,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initiatives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relating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gender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equity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family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violence,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Indigenous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self</w:t>
      </w:r>
      <w:r w:rsidRPr="00C6052E">
        <w:rPr>
          <w:lang w:val="en-AU"/>
        </w:rPr>
        <w:noBreakHyphen/>
        <w:t>determination</w:t>
      </w:r>
    </w:p>
    <w:p w14:paraId="6A307F76" w14:textId="70499993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Celebrated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10th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anniversary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spacing w:val="-2"/>
          <w:lang w:val="en-AU"/>
        </w:rPr>
        <w:t>International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Games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Week,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with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a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record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attendance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125,000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biggest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games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educators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game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enthusiasts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Pacific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Games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Education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Symposium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focused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building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stronger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connections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pathways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between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secondary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tertiary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students,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educators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</w:t>
      </w:r>
    </w:p>
    <w:p w14:paraId="6196C34F" w14:textId="7DEF85CC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Continued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grow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Fair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–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longest-running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fair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–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breaking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sales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records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generating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$14.8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artists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70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galleries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2025</w:t>
      </w:r>
      <w:r w:rsidR="00177848" w:rsidRPr="00C6052E">
        <w:rPr>
          <w:lang w:val="en-AU"/>
        </w:rPr>
        <w:t xml:space="preserve"> </w:t>
      </w:r>
    </w:p>
    <w:p w14:paraId="6FCF87AF" w14:textId="0D9FDFCF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Delivered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ninth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iteration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Design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Week,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largest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prestigious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annual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festival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contemporary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design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architecture.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100,000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browsed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design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presentations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greater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Metropolitan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area</w:t>
      </w:r>
      <w:r w:rsidR="00177848" w:rsidRPr="00C6052E">
        <w:rPr>
          <w:lang w:val="en-AU"/>
        </w:rPr>
        <w:t xml:space="preserve"> </w:t>
      </w:r>
    </w:p>
    <w:p w14:paraId="07954A8D" w14:textId="53EEAD1B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Showcased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capability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talent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design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annual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Premier’s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Design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Awards.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Marked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Premier’s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Literary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Awards’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40th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anniversary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730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writers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participating</w:t>
      </w:r>
      <w:r w:rsidR="00177848" w:rsidRPr="00C6052E">
        <w:rPr>
          <w:lang w:val="en-AU"/>
        </w:rPr>
        <w:t xml:space="preserve"> </w:t>
      </w:r>
    </w:p>
    <w:p w14:paraId="0559AE03" w14:textId="564B0401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Presented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Showcase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2025,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offering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50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ready-to-tour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productions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opportunity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booked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programmers,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buyers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venues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venues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2026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season.</w:t>
      </w:r>
    </w:p>
    <w:p w14:paraId="5C7551B3" w14:textId="5483137F" w:rsidR="00EE5BB8" w:rsidRPr="00C6052E" w:rsidRDefault="00EE5BB8" w:rsidP="00EE5BB8">
      <w:pPr>
        <w:pStyle w:val="Heading3"/>
      </w:pPr>
      <w:r w:rsidRPr="00C6052E">
        <w:t>4.</w:t>
      </w:r>
      <w:r w:rsidR="00177848" w:rsidRPr="00C6052E">
        <w:t xml:space="preserve"> </w:t>
      </w:r>
      <w:r w:rsidRPr="00C6052E">
        <w:t>Strengthen</w:t>
      </w:r>
      <w:r w:rsidR="00177848" w:rsidRPr="00C6052E">
        <w:t xml:space="preserve"> </w:t>
      </w:r>
      <w:r w:rsidRPr="00C6052E">
        <w:t>Victoria’s</w:t>
      </w:r>
      <w:r w:rsidR="00177848" w:rsidRPr="00C6052E">
        <w:t xml:space="preserve"> </w:t>
      </w:r>
      <w:r w:rsidRPr="00C6052E">
        <w:t>global</w:t>
      </w:r>
      <w:r w:rsidR="00177848" w:rsidRPr="00C6052E">
        <w:t xml:space="preserve"> </w:t>
      </w:r>
      <w:r w:rsidRPr="00C6052E">
        <w:t>connections</w:t>
      </w:r>
    </w:p>
    <w:p w14:paraId="1BCC2B1A" w14:textId="1CC4D738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Delivered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$3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Visitor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Servicing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grant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help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innovative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ways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encourage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longer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experience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Namaste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Westside,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Western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Tourism,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customised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visitor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information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platform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catering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unique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cultural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needs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growing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visitor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market</w:t>
      </w:r>
    </w:p>
    <w:p w14:paraId="029E4D94" w14:textId="32EB9DFF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Visit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cooperative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marketing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jointly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industry.</w:t>
      </w:r>
      <w:r w:rsidR="00177848" w:rsidRPr="00C6052E">
        <w:rPr>
          <w:rFonts w:cs="Cambria"/>
          <w:lang w:val="en-AU"/>
        </w:rPr>
        <w:t xml:space="preserve"> </w:t>
      </w:r>
      <w:r w:rsidRPr="00C6052E">
        <w:rPr>
          <w:lang w:val="en-AU"/>
        </w:rPr>
        <w:t>Outcomes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from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partnerships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Delta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Airlines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enable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extra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86,000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seats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direct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flights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Singapore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Airlines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India’s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TV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broadcasters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shoot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content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viewed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viewers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India</w:t>
      </w:r>
      <w:r w:rsidR="00177848" w:rsidRPr="00C6052E">
        <w:rPr>
          <w:lang w:val="en-AU"/>
        </w:rPr>
        <w:t xml:space="preserve"> </w:t>
      </w:r>
    </w:p>
    <w:p w14:paraId="0E12E509" w14:textId="72B73222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lastRenderedPageBreak/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2,725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engage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international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markets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specialist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trade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facilitation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advice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trade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facilitated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$834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immediate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sales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state</w:t>
      </w:r>
    </w:p>
    <w:p w14:paraId="05E93B94" w14:textId="046AAF91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397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Package,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18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initiatives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generated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$64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immediate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sales</w:t>
      </w:r>
    </w:p>
    <w:p w14:paraId="5F9F54CF" w14:textId="17A2E86D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Continued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take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products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services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global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markets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$10.9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Boosting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Exports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initiative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under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Government’s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Growth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Statement</w:t>
      </w:r>
    </w:p>
    <w:p w14:paraId="7E85844E" w14:textId="39DB4A11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Launched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USA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Cybersecurity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Trade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unlock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opportunities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USA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cyber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companies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market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entry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advisory,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matching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conference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attendance.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initiative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under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Mission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3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i/>
          <w:iCs/>
          <w:lang w:val="en-AU"/>
        </w:rPr>
        <w:t>Victoria’s</w:t>
      </w:r>
      <w:r w:rsidR="00177848" w:rsidRPr="00C6052E">
        <w:rPr>
          <w:i/>
          <w:iCs/>
          <w:lang w:val="en-AU"/>
        </w:rPr>
        <w:t xml:space="preserve"> </w:t>
      </w:r>
      <w:r w:rsidRPr="00C6052E">
        <w:rPr>
          <w:i/>
          <w:iCs/>
          <w:lang w:val="en-AU"/>
        </w:rPr>
        <w:t>Cyber</w:t>
      </w:r>
      <w:r w:rsidR="00177848" w:rsidRPr="00C6052E">
        <w:rPr>
          <w:i/>
          <w:iCs/>
          <w:lang w:val="en-AU"/>
        </w:rPr>
        <w:t xml:space="preserve"> </w:t>
      </w:r>
      <w:r w:rsidRPr="00C6052E">
        <w:rPr>
          <w:i/>
          <w:iCs/>
          <w:lang w:val="en-AU"/>
        </w:rPr>
        <w:t>Strategy</w:t>
      </w:r>
      <w:r w:rsidR="00177848" w:rsidRPr="00C6052E">
        <w:rPr>
          <w:i/>
          <w:iCs/>
          <w:lang w:val="en-AU"/>
        </w:rPr>
        <w:t xml:space="preserve"> </w:t>
      </w:r>
      <w:r w:rsidRPr="00C6052E">
        <w:rPr>
          <w:i/>
          <w:iCs/>
          <w:lang w:val="en-AU"/>
        </w:rPr>
        <w:t>2021</w:t>
      </w:r>
    </w:p>
    <w:p w14:paraId="63318EE2" w14:textId="0CB20E9F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Hosted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17,500+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guests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1,500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meetings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held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Investment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Centre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(ICV)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International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Chamber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House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(ICH)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–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key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Government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venues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international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domestic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engagement.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services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government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managing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ICV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ICH,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coordinated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hosting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41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major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5,400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government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clients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stakeholders,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managed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45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other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DJSIR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trade,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investment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outcomes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engagement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opportunities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government</w:t>
      </w:r>
    </w:p>
    <w:p w14:paraId="7F435953" w14:textId="5BF70755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Hosted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40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Government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roundtables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briefings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ambassadors,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high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commissioners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senior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officials,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increasing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understanding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capabilities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key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markets</w:t>
      </w:r>
    </w:p>
    <w:p w14:paraId="55C6D490" w14:textId="72EB3F29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Enhanced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trade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capabilities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399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from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189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organisations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Global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Women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activations,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market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sector-specific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initiatives,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showcasing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success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stories,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growing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connections</w:t>
      </w:r>
    </w:p>
    <w:p w14:paraId="47D58BA1" w14:textId="0EF43428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opening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French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Consulate-General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Netherlands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Office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Melbourne,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strengthening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bilateral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trade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opportunities</w:t>
      </w:r>
    </w:p>
    <w:p w14:paraId="665A67DE" w14:textId="7204010F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Delivered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outbound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education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missions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China,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Southeast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India.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Hosted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inbound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familiarisation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visits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school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counsellors,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education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agents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scholarship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bodies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from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China,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North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Asia,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Latin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America,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South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Southeast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Asia,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Middle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East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Africa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foster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offshore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partnerships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showcase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education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expertise</w:t>
      </w:r>
    </w:p>
    <w:p w14:paraId="354F9B52" w14:textId="1BDD8B7F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Provided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information,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legal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referrals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complex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casework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approximately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2,100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international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students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$43,000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material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aid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Study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Hub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</w:p>
    <w:p w14:paraId="4A06734D" w14:textId="15487C8F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Committed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16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public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universities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grow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transnational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education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capabilities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offshore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international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education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partnerships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Yes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International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Students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Fund</w:t>
      </w:r>
    </w:p>
    <w:p w14:paraId="74823AFE" w14:textId="1392483B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Redeveloped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Study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website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drive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greater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engagement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better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students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influencers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pre-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post-arrival,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proofErr w:type="gramStart"/>
      <w:r w:rsidRPr="00C6052E">
        <w:rPr>
          <w:lang w:val="en-AU"/>
        </w:rPr>
        <w:t>fully-integrated</w:t>
      </w:r>
      <w:proofErr w:type="gram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lastRenderedPageBreak/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on-brand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user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experience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6.2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users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8.6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user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sessions.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Increased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average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engagement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time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44%,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improved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engagement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143%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reduced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site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bounce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42%</w:t>
      </w:r>
    </w:p>
    <w:p w14:paraId="431E234D" w14:textId="362C5EE3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Co-developed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grant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Korean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Health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Institute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encouraged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enabled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international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research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collaborations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between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RNA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researchers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South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Korea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research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mRNA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therapy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rare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childhood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disease</w:t>
      </w:r>
    </w:p>
    <w:p w14:paraId="763D12B7" w14:textId="4AA84D81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Welcomed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410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artists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from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17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Asia-Pacific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countries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AsiaTOPA</w:t>
      </w:r>
      <w:proofErr w:type="spellEnd"/>
      <w:r w:rsidRPr="00C6052E">
        <w:rPr>
          <w:lang w:val="en-AU"/>
        </w:rPr>
        <w:t>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treating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400,000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attendees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1,000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performances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venues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between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February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March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2025.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AsiaTOPA</w:t>
      </w:r>
      <w:proofErr w:type="spell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Exchange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professional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hosted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61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international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delegates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28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international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touring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outcomes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confirmed.</w:t>
      </w:r>
    </w:p>
    <w:p w14:paraId="2003FD34" w14:textId="2974F4E1" w:rsidR="00EE5BB8" w:rsidRPr="00C6052E" w:rsidRDefault="00EE5BB8" w:rsidP="00880FCA">
      <w:pPr>
        <w:pStyle w:val="Heading3"/>
      </w:pPr>
      <w:bookmarkStart w:id="23" w:name="_Hlk194059881"/>
      <w:r w:rsidRPr="00C6052E">
        <w:t>5.</w:t>
      </w:r>
      <w:r w:rsidR="00177848" w:rsidRPr="00C6052E">
        <w:t xml:space="preserve"> </w:t>
      </w:r>
      <w:r w:rsidRPr="00C6052E">
        <w:t>Build</w:t>
      </w:r>
      <w:r w:rsidR="00177848" w:rsidRPr="00C6052E">
        <w:t xml:space="preserve"> </w:t>
      </w:r>
      <w:r w:rsidRPr="00C6052E">
        <w:t>prosperous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liveable</w:t>
      </w:r>
      <w:r w:rsidR="00177848" w:rsidRPr="00C6052E">
        <w:t xml:space="preserve"> </w:t>
      </w:r>
      <w:r w:rsidRPr="00C6052E">
        <w:t>regions</w:t>
      </w:r>
    </w:p>
    <w:bookmarkEnd w:id="23"/>
    <w:p w14:paraId="54157E25" w14:textId="7D96833F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Progressed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Round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Accommodation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Fund,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20+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approximately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1,000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key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bedrooms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almost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$250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investment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housing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</w:p>
    <w:p w14:paraId="57952B81" w14:textId="0EF7535A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Continued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oversee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32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under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Geelong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(GCD),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10-year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Government-led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initiative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aims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revitalise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Geelong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unlock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potential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Great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Ocean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Road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visitor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economy</w:t>
      </w:r>
    </w:p>
    <w:p w14:paraId="10B2DA71" w14:textId="628B7F32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Progressed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administration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grants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grant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value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$122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under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Government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Growing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(GRP)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Precincts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Partnerships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</w:t>
      </w:r>
      <w:proofErr w:type="spellStart"/>
      <w:r w:rsidRPr="00C6052E">
        <w:rPr>
          <w:lang w:val="en-AU"/>
        </w:rPr>
        <w:t>rPPP</w:t>
      </w:r>
      <w:proofErr w:type="spellEnd"/>
      <w:r w:rsidRPr="00C6052E">
        <w:rPr>
          <w:lang w:val="en-AU"/>
        </w:rPr>
        <w:t>)</w:t>
      </w:r>
    </w:p>
    <w:p w14:paraId="3872EE14" w14:textId="1DDB837C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Oversaw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8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Albury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Wodonga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$80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from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Government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2023.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brings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together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levels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government,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community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stakeholders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harness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opportunities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strengths,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Albury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Wodonga’s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strategic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lifestyle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advantages</w:t>
      </w:r>
    </w:p>
    <w:p w14:paraId="2C24449E" w14:textId="1C1F0B25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Continued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Committees,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Government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initiative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bringing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together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committees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talented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leaders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collaborate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stakeholders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sustainable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growth</w:t>
      </w:r>
    </w:p>
    <w:p w14:paraId="06692297" w14:textId="6E08C041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Partnered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Sailors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Grave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Brewing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company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relocation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expansion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Gippsland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assisted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creation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27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increased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production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capacity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cellar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door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experience</w:t>
      </w:r>
    </w:p>
    <w:p w14:paraId="0A60AF62" w14:textId="5A512682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large-scale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visitor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Mildura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Lights,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expected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attract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100,000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visitors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years</w:t>
      </w:r>
      <w:r w:rsidR="00177848" w:rsidRPr="00C6052E">
        <w:rPr>
          <w:lang w:val="en-AU"/>
        </w:rPr>
        <w:t xml:space="preserve"> </w:t>
      </w:r>
    </w:p>
    <w:p w14:paraId="3A3502BE" w14:textId="67BBC0BF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Delivered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Kangaroo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Harvesting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ensures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kangaroo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harvesting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ecologically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sustainable,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humane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undertaken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authorised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</w:t>
      </w:r>
      <w:r w:rsidR="00177848" w:rsidRPr="00C6052E">
        <w:rPr>
          <w:lang w:val="en-AU"/>
        </w:rPr>
        <w:t xml:space="preserve"> </w:t>
      </w:r>
    </w:p>
    <w:p w14:paraId="1EB6F915" w14:textId="19B2B001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Progressed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Tourism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reform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establish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Visitor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Partnerships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have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clear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purpose,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scale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capacity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growth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visitor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economy</w:t>
      </w:r>
    </w:p>
    <w:p w14:paraId="6C7E6E19" w14:textId="679204AA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lastRenderedPageBreak/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55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individual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Visit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Fund,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driving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visitation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extending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visitors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length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increasing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spending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</w:p>
    <w:p w14:paraId="49529C42" w14:textId="1C290F41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Commenced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capability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upskill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better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service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clients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delegates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Convention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Bureau</w:t>
      </w:r>
    </w:p>
    <w:p w14:paraId="01416E77" w14:textId="007591E5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203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infrastructure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rural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tourism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infrastructure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programs</w:t>
      </w:r>
      <w:r w:rsidR="00177848" w:rsidRPr="00C6052E">
        <w:rPr>
          <w:lang w:val="en-AU"/>
        </w:rPr>
        <w:t xml:space="preserve"> </w:t>
      </w:r>
    </w:p>
    <w:p w14:paraId="46378094" w14:textId="67A58743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Commenced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construction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Ballarat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Major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Precinct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upgrades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5,000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permanent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seats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Stadium,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raising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stadium’s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capacity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10,000</w:t>
      </w:r>
    </w:p>
    <w:p w14:paraId="5A4C9431" w14:textId="78DFA86E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spacing w:val="-2"/>
          <w:lang w:val="en-AU"/>
        </w:rPr>
      </w:pPr>
      <w:r w:rsidRPr="00C6052E">
        <w:rPr>
          <w:spacing w:val="-2"/>
          <w:lang w:val="en-AU"/>
        </w:rPr>
        <w:t>Supported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the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delivery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of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a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Western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Victoria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bushfire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recovery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support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package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which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includes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Business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Bushfire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Recovery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Grants,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a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Business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Recovery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Advisory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service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and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tourism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and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campaign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promotional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activity</w:t>
      </w:r>
    </w:p>
    <w:p w14:paraId="46DE0CB8" w14:textId="0CC327F8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144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music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venues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almost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3,000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paid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gigs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artists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Gig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since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July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2024.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Music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Festivals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festivals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almost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two-thirds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held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</w:p>
    <w:p w14:paraId="4F9ABE6B" w14:textId="6A5F97FD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wide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range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activity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Touring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singer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songwriter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David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Arden,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statewide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seasons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orchestral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chamber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music,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3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theatre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operatic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burlesque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community-focused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performance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queer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extravaganza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celebrating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BIPOC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excellence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cabaret,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dance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popular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music</w:t>
      </w:r>
    </w:p>
    <w:p w14:paraId="7E87E4F6" w14:textId="31584475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Provided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$124,000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community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government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groups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present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theatre,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circus,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cabaret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music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performances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small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halls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community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venues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remote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communities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Small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Presenters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Program.</w:t>
      </w:r>
    </w:p>
    <w:p w14:paraId="3E67A641" w14:textId="5AFB1D8F" w:rsidR="00EE5BB8" w:rsidRPr="00C6052E" w:rsidRDefault="00EE5BB8" w:rsidP="00EE5BB8">
      <w:pPr>
        <w:pStyle w:val="Heading3"/>
      </w:pPr>
      <w:r w:rsidRPr="00C6052E">
        <w:t>6.</w:t>
      </w:r>
      <w:r w:rsidR="00177848" w:rsidRPr="00C6052E">
        <w:t xml:space="preserve"> </w:t>
      </w:r>
      <w:r w:rsidRPr="00C6052E">
        <w:t>Enhance</w:t>
      </w:r>
      <w:r w:rsidR="00177848" w:rsidRPr="00C6052E">
        <w:t xml:space="preserve"> </w:t>
      </w:r>
      <w:r w:rsidRPr="00C6052E">
        <w:t>participation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industries,</w:t>
      </w:r>
      <w:r w:rsidR="00177848" w:rsidRPr="00C6052E">
        <w:t xml:space="preserve"> </w:t>
      </w:r>
      <w:r w:rsidRPr="00C6052E">
        <w:t>sport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recreation</w:t>
      </w:r>
    </w:p>
    <w:p w14:paraId="2961F33E" w14:textId="2FF27C79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Provided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$129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towards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152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community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infrastructure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help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communities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transform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sports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grounds,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build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female-friendly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change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rooms,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exciting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play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spaces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light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sports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fields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courts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state</w:t>
      </w:r>
      <w:r w:rsidR="00177848" w:rsidRPr="00C6052E">
        <w:rPr>
          <w:lang w:val="en-AU"/>
        </w:rPr>
        <w:t xml:space="preserve"> </w:t>
      </w:r>
    </w:p>
    <w:p w14:paraId="2DBD4D05" w14:textId="5F18C31C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Opened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Shepparton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BMX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Track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Cycling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Precinct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upgrades,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16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Government’s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Sports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Infrastructure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</w:p>
    <w:p w14:paraId="524074D5" w14:textId="3381F6B3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Ensured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100%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councils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have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acceptable,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adopted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gender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equitable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access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policy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community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infrastructure,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line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Fair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Access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Policy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Roadmap</w:t>
      </w:r>
      <w:r w:rsidR="00177848" w:rsidRPr="00C6052E">
        <w:rPr>
          <w:lang w:val="en-AU"/>
        </w:rPr>
        <w:t xml:space="preserve"> </w:t>
      </w:r>
    </w:p>
    <w:p w14:paraId="0DCEFC2E" w14:textId="5613641D" w:rsidR="00EE5BB8" w:rsidRPr="00C6052E" w:rsidRDefault="00EE5BB8" w:rsidP="00880FCA">
      <w:pPr>
        <w:pStyle w:val="Bullet1"/>
        <w:keepLines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lastRenderedPageBreak/>
        <w:t>Awarded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130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grants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community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clubs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organisations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2024–25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Change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Our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Game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Community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Activation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Grant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enable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participation,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build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capability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celebrate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role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women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girls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recreation</w:t>
      </w:r>
      <w:r w:rsidR="00177848" w:rsidRPr="00C6052E">
        <w:rPr>
          <w:lang w:val="en-AU"/>
        </w:rPr>
        <w:t xml:space="preserve"> </w:t>
      </w:r>
    </w:p>
    <w:p w14:paraId="58AD1A4C" w14:textId="540E539F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Distributed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41,000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vouchers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Kids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Voucher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families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children’s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sport.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Since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began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2021,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almost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190,000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vouchers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have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issued.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Close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half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recipients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would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not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have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without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voucher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almost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20%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had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not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previously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children’s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sport</w:t>
      </w:r>
      <w:r w:rsidR="00177848" w:rsidRPr="00C6052E">
        <w:rPr>
          <w:lang w:val="en-AU"/>
        </w:rPr>
        <w:t xml:space="preserve"> </w:t>
      </w:r>
    </w:p>
    <w:p w14:paraId="03D6A82F" w14:textId="38C711B7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Connected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disability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recreation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activities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redesigned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‘</w:t>
      </w:r>
      <w:proofErr w:type="spellStart"/>
      <w:r w:rsidRPr="00C6052E">
        <w:rPr>
          <w:lang w:val="en-AU"/>
        </w:rPr>
        <w:t>aaaplay</w:t>
      </w:r>
      <w:proofErr w:type="spell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service,’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interactive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Government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websites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designed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Website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Content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Accessibility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Guideline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(WCAG)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AAA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standard.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website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attracted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6,000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unique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users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months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since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re-launch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April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2025</w:t>
      </w:r>
    </w:p>
    <w:p w14:paraId="5CFECCFE" w14:textId="0EF86D68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Extended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partnership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setting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prevent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gender-based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violence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Preventing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Violence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Sports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Grants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(2022-25).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Collectively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365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clubs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11,447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50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gender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equity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plans</w:t>
      </w:r>
      <w:r w:rsidR="00177848" w:rsidRPr="00C6052E">
        <w:rPr>
          <w:lang w:val="en-AU"/>
        </w:rPr>
        <w:t xml:space="preserve"> </w:t>
      </w:r>
    </w:p>
    <w:p w14:paraId="360B15C6" w14:textId="5A9ECD96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Launched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Safe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Inclusive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Sport: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Preventing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Gender-based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Violence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Guide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Safe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Inclusive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Community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Practice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key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stakeholders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implement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guide.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involved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11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face-to-face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online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sessions</w:t>
      </w:r>
    </w:p>
    <w:p w14:paraId="624F1D2D" w14:textId="49728571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Celebrated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success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122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Institute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athletes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Olympic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Paralympic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Games,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returned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23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medals,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gold</w:t>
      </w:r>
      <w:r w:rsidR="00177848" w:rsidRPr="00C6052E">
        <w:rPr>
          <w:lang w:val="en-AU"/>
        </w:rPr>
        <w:t xml:space="preserve"> </w:t>
      </w:r>
    </w:p>
    <w:p w14:paraId="101F35CC" w14:textId="4BFC54D8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17,760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enrolments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172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metro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venues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VICSWIM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Summer</w:t>
      </w:r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Kidz</w:t>
      </w:r>
      <w:proofErr w:type="spell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40%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indicating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child(ren)’s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swimming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lessons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last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months</w:t>
      </w:r>
      <w:r w:rsidR="00177848" w:rsidRPr="00C6052E">
        <w:rPr>
          <w:lang w:val="en-AU"/>
        </w:rPr>
        <w:t xml:space="preserve"> </w:t>
      </w:r>
    </w:p>
    <w:p w14:paraId="185F7C8C" w14:textId="6343F667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Helped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remove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barriers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disabilities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involved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recreation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$40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Abilities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(AASF).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proofErr w:type="gramStart"/>
      <w:r w:rsidRPr="00C6052E">
        <w:rPr>
          <w:lang w:val="en-AU"/>
        </w:rPr>
        <w:t>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Abilities</w:t>
      </w:r>
      <w:proofErr w:type="gram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Workforce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Sector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aims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grow,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educate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upskill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recreation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workforce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</w:p>
    <w:p w14:paraId="2239CB7F" w14:textId="5AEE279B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Funded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87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grants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totalling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$1.5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Abilities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Grants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provides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grassroots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recreation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organisations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disability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non-playing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roles</w:t>
      </w:r>
      <w:r w:rsidR="00177848" w:rsidRPr="00C6052E">
        <w:rPr>
          <w:lang w:val="en-AU"/>
        </w:rPr>
        <w:t xml:space="preserve"> </w:t>
      </w:r>
    </w:p>
    <w:p w14:paraId="1E40894D" w14:textId="5F24ADCD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Continued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implementation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government’s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response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Select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Committee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Inquiry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Recreational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Bird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Hunting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Arrangements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Report.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Key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outcomes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adaptive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harvest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management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framework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setting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recreational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duck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hunting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season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arrangements,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implementation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Waterfowl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Wounding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Reduction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Plan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banning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shot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quail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non-indigenous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gamebird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hunting</w:t>
      </w:r>
      <w:r w:rsidR="00177848" w:rsidRPr="00C6052E">
        <w:rPr>
          <w:lang w:val="en-AU"/>
        </w:rPr>
        <w:t xml:space="preserve"> </w:t>
      </w:r>
    </w:p>
    <w:p w14:paraId="2CE0115C" w14:textId="3BDF080F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lastRenderedPageBreak/>
        <w:t>Delivered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Wildlife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(Game)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Regulations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informed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Select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Committee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Inquiry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Bird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Hunting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Arrangements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stakeholder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public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consultation.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Regulations,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shaped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feedback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from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5,500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introduced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significant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reforms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improve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hunting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practices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strengthen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environmental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wildlife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protections</w:t>
      </w:r>
    </w:p>
    <w:p w14:paraId="2B06CDB7" w14:textId="7B9CBE7D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Led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Wildlife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(State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Game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Reserves)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Regulations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collaboration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DEECA.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Regulations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provide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management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recreational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established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game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reserves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</w:p>
    <w:p w14:paraId="3F0EB069" w14:textId="702F2A0D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Issued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720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professional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boxing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combat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licences,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permits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registrations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supervised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745+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professional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contests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ensuring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high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safety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integrity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standards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risk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malpractice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minimised</w:t>
      </w:r>
    </w:p>
    <w:p w14:paraId="31927833" w14:textId="082164A8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91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sporting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international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significance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Significant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Sporting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Mountain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Bike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Championships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Mount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Buller,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Maurie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Plant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–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Lakeside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Stadium,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Albert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Netball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Roadshow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Ballarat,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Bendigo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Traralgon</w:t>
      </w:r>
    </w:p>
    <w:p w14:paraId="5B19FE03" w14:textId="71E72FE6" w:rsidR="00EE5BB8" w:rsidRPr="00C6052E" w:rsidRDefault="00EE5BB8" w:rsidP="00EE5BB8">
      <w:pPr>
        <w:pStyle w:val="Bullet1"/>
        <w:keepNext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Recorded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11.6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attendances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our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cultural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institutions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including:</w:t>
      </w:r>
      <w:r w:rsidR="00177848" w:rsidRPr="00C6052E">
        <w:rPr>
          <w:lang w:val="en-AU"/>
        </w:rPr>
        <w:t xml:space="preserve"> </w:t>
      </w:r>
    </w:p>
    <w:p w14:paraId="0F32AFDB" w14:textId="37AF124F" w:rsidR="00EE5BB8" w:rsidRPr="00C6052E" w:rsidRDefault="00EE5BB8" w:rsidP="00EE5BB8">
      <w:pPr>
        <w:pStyle w:val="Bullet2"/>
      </w:pPr>
      <w:r w:rsidRPr="00C6052E">
        <w:t>269,000+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Geelong</w:t>
      </w:r>
      <w:r w:rsidR="00177848" w:rsidRPr="00C6052E">
        <w:t xml:space="preserve"> </w:t>
      </w:r>
      <w:r w:rsidRPr="00C6052E">
        <w:t>Arts</w:t>
      </w:r>
      <w:r w:rsidR="00177848" w:rsidRPr="00C6052E">
        <w:t xml:space="preserve"> </w:t>
      </w:r>
      <w:r w:rsidRPr="00C6052E">
        <w:t>Centre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first</w:t>
      </w:r>
      <w:r w:rsidR="00177848" w:rsidRPr="00C6052E">
        <w:t xml:space="preserve"> </w:t>
      </w:r>
      <w:r w:rsidRPr="00C6052E">
        <w:t>full</w:t>
      </w:r>
      <w:r w:rsidR="00177848" w:rsidRPr="00C6052E">
        <w:t xml:space="preserve"> </w:t>
      </w:r>
      <w:r w:rsidRPr="00C6052E">
        <w:t>year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operations</w:t>
      </w:r>
      <w:r w:rsidR="00177848" w:rsidRPr="00C6052E">
        <w:t xml:space="preserve"> </w:t>
      </w:r>
      <w:r w:rsidRPr="00C6052E">
        <w:t>since</w:t>
      </w:r>
      <w:r w:rsidR="00177848" w:rsidRPr="00C6052E">
        <w:t xml:space="preserve"> </w:t>
      </w:r>
      <w:r w:rsidRPr="00C6052E">
        <w:t>reopening</w:t>
      </w:r>
      <w:r w:rsidR="00177848" w:rsidRPr="00C6052E">
        <w:t xml:space="preserve"> </w:t>
      </w:r>
      <w:r w:rsidRPr="00C6052E">
        <w:t>attributed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events</w:t>
      </w:r>
      <w:r w:rsidR="00177848" w:rsidRPr="00C6052E">
        <w:t xml:space="preserve"> </w:t>
      </w:r>
      <w:r w:rsidRPr="00C6052E">
        <w:t>such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‘Come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Away’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‘Dictionary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Lost</w:t>
      </w:r>
      <w:r w:rsidR="00177848" w:rsidRPr="00C6052E">
        <w:t xml:space="preserve"> </w:t>
      </w:r>
      <w:r w:rsidRPr="00C6052E">
        <w:t>Words’</w:t>
      </w:r>
      <w:r w:rsidR="00177848" w:rsidRPr="00C6052E">
        <w:t xml:space="preserve"> </w:t>
      </w:r>
      <w:r w:rsidRPr="00C6052E">
        <w:t>which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sold</w:t>
      </w:r>
      <w:r w:rsidR="00177848" w:rsidRPr="00C6052E">
        <w:t xml:space="preserve"> </w:t>
      </w:r>
      <w:r w:rsidRPr="00C6052E">
        <w:t>out</w:t>
      </w:r>
    </w:p>
    <w:p w14:paraId="26911437" w14:textId="2D5225D0" w:rsidR="00EE5BB8" w:rsidRPr="00C6052E" w:rsidRDefault="00EE5BB8" w:rsidP="00EE5BB8">
      <w:pPr>
        <w:pStyle w:val="Bullet2"/>
      </w:pPr>
      <w:r w:rsidRPr="00C6052E">
        <w:t>2.18</w:t>
      </w:r>
      <w:r w:rsidR="00177848" w:rsidRPr="00C6052E">
        <w:t xml:space="preserve"> </w:t>
      </w:r>
      <w:r w:rsidRPr="00C6052E">
        <w:t>million+</w:t>
      </w:r>
      <w:r w:rsidR="00177848" w:rsidRPr="00C6052E">
        <w:t xml:space="preserve"> </w:t>
      </w:r>
      <w:r w:rsidRPr="00C6052E">
        <w:t>attendances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State</w:t>
      </w:r>
      <w:r w:rsidR="00177848" w:rsidRPr="00C6052E">
        <w:t xml:space="preserve"> </w:t>
      </w:r>
      <w:r w:rsidRPr="00C6052E">
        <w:t>Library</w:t>
      </w:r>
      <w:r w:rsidR="00177848" w:rsidRPr="00C6052E">
        <w:t xml:space="preserve"> </w:t>
      </w:r>
      <w:r w:rsidRPr="00C6052E">
        <w:t>Victoria,</w:t>
      </w:r>
      <w:r w:rsidR="00177848" w:rsidRPr="00C6052E">
        <w:t xml:space="preserve"> </w:t>
      </w:r>
      <w:r w:rsidRPr="00C6052E">
        <w:t>recording</w:t>
      </w:r>
      <w:r w:rsidR="00177848" w:rsidRPr="00C6052E">
        <w:t xml:space="preserve"> </w:t>
      </w:r>
      <w:r w:rsidRPr="00C6052E">
        <w:t>over</w:t>
      </w:r>
      <w:r w:rsidR="00177848" w:rsidRPr="00C6052E">
        <w:t xml:space="preserve"> </w:t>
      </w:r>
      <w:r w:rsidRPr="00C6052E">
        <w:t>2</w:t>
      </w:r>
      <w:r w:rsidR="00177848" w:rsidRPr="00C6052E">
        <w:t xml:space="preserve"> </w:t>
      </w:r>
      <w:r w:rsidRPr="00C6052E">
        <w:t>million</w:t>
      </w:r>
      <w:r w:rsidR="00177848" w:rsidRPr="00C6052E">
        <w:t xml:space="preserve"> </w:t>
      </w:r>
      <w:r w:rsidRPr="00C6052E">
        <w:t>exhibition</w:t>
      </w:r>
      <w:r w:rsidR="00177848" w:rsidRPr="00C6052E">
        <w:t xml:space="preserve"> </w:t>
      </w:r>
      <w:r w:rsidRPr="00C6052E">
        <w:t>visits</w:t>
      </w:r>
      <w:r w:rsidR="00177848" w:rsidRPr="00C6052E">
        <w:rPr>
          <w:rFonts w:cs="Cambria"/>
        </w:rPr>
        <w:t xml:space="preserve"> </w:t>
      </w:r>
      <w:r w:rsidRPr="00C6052E">
        <w:t>and</w:t>
      </w:r>
      <w:r w:rsidR="00177848" w:rsidRPr="00C6052E">
        <w:t xml:space="preserve"> </w:t>
      </w:r>
      <w:r w:rsidRPr="00C6052E">
        <w:t>more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47,000</w:t>
      </w:r>
      <w:r w:rsidR="00177848" w:rsidRPr="00C6052E">
        <w:t xml:space="preserve"> </w:t>
      </w:r>
      <w:r w:rsidRPr="00C6052E">
        <w:t>attendees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onsite</w:t>
      </w:r>
      <w:r w:rsidR="00177848" w:rsidRPr="00C6052E">
        <w:rPr>
          <w:rFonts w:cs="Cambria"/>
        </w:rPr>
        <w:t xml:space="preserve"> </w:t>
      </w:r>
      <w:r w:rsidRPr="00C6052E">
        <w:t>programs</w:t>
      </w:r>
    </w:p>
    <w:p w14:paraId="26C1498A" w14:textId="6B64BFCE" w:rsidR="00EE5BB8" w:rsidRPr="00C6052E" w:rsidRDefault="00EE5BB8" w:rsidP="00EE5BB8">
      <w:pPr>
        <w:pStyle w:val="Bullet2"/>
      </w:pPr>
      <w:r w:rsidRPr="00C6052E">
        <w:t>570,537</w:t>
      </w:r>
      <w:r w:rsidR="00177848" w:rsidRPr="00C6052E">
        <w:t xml:space="preserve"> </w:t>
      </w:r>
      <w:r w:rsidRPr="00C6052E">
        <w:t>visitors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NGV</w:t>
      </w:r>
      <w:r w:rsidR="00177848" w:rsidRPr="00C6052E">
        <w:t xml:space="preserve"> </w:t>
      </w:r>
      <w:r w:rsidRPr="00C6052E">
        <w:t>Yayoi</w:t>
      </w:r>
      <w:r w:rsidR="00177848" w:rsidRPr="00C6052E">
        <w:t xml:space="preserve"> </w:t>
      </w:r>
      <w:r w:rsidRPr="00C6052E">
        <w:t>Kusama</w:t>
      </w:r>
      <w:r w:rsidR="00177848" w:rsidRPr="00C6052E">
        <w:t xml:space="preserve"> </w:t>
      </w:r>
      <w:r w:rsidRPr="00C6052E">
        <w:t>exhibition,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most</w:t>
      </w:r>
      <w:r w:rsidR="00177848" w:rsidRPr="00C6052E">
        <w:t xml:space="preserve"> </w:t>
      </w:r>
      <w:r w:rsidRPr="00C6052E">
        <w:t>popular</w:t>
      </w:r>
      <w:r w:rsidR="00177848" w:rsidRPr="00C6052E">
        <w:t xml:space="preserve"> </w:t>
      </w:r>
      <w:r w:rsidRPr="00C6052E">
        <w:t>ticketed</w:t>
      </w:r>
      <w:r w:rsidR="00177848" w:rsidRPr="00C6052E">
        <w:t xml:space="preserve"> </w:t>
      </w:r>
      <w:r w:rsidRPr="00C6052E">
        <w:t>exhibition</w:t>
      </w:r>
      <w:r w:rsidR="00177848" w:rsidRPr="00C6052E">
        <w:t xml:space="preserve"> </w:t>
      </w:r>
      <w:r w:rsidRPr="00C6052E">
        <w:t>in</w:t>
      </w:r>
      <w:r w:rsidR="00177848" w:rsidRPr="00C6052E">
        <w:rPr>
          <w:rFonts w:cs="Cambria"/>
        </w:rPr>
        <w:t xml:space="preserve"> </w:t>
      </w:r>
      <w:r w:rsidRPr="00C6052E">
        <w:t>the</w:t>
      </w:r>
      <w:r w:rsidR="00177848" w:rsidRPr="00C6052E">
        <w:t xml:space="preserve"> </w:t>
      </w:r>
      <w:r w:rsidRPr="00C6052E">
        <w:t>NGV’s</w:t>
      </w:r>
      <w:r w:rsidR="00177848" w:rsidRPr="00C6052E">
        <w:t xml:space="preserve"> </w:t>
      </w:r>
      <w:r w:rsidRPr="00C6052E">
        <w:t>history,</w:t>
      </w:r>
      <w:r w:rsidR="00177848" w:rsidRPr="00C6052E">
        <w:t xml:space="preserve"> </w:t>
      </w:r>
      <w:r w:rsidRPr="00C6052E">
        <w:t>increasing</w:t>
      </w:r>
      <w:r w:rsidR="00177848" w:rsidRPr="00C6052E">
        <w:t xml:space="preserve"> </w:t>
      </w:r>
      <w:r w:rsidRPr="00C6052E">
        <w:t>NGV</w:t>
      </w:r>
      <w:r w:rsidR="00177848" w:rsidRPr="00C6052E">
        <w:t xml:space="preserve"> </w:t>
      </w:r>
      <w:r w:rsidRPr="00C6052E">
        <w:t>annual</w:t>
      </w:r>
      <w:r w:rsidR="00177848" w:rsidRPr="00C6052E">
        <w:t xml:space="preserve"> </w:t>
      </w:r>
      <w:r w:rsidRPr="00C6052E">
        <w:t>attendance</w:t>
      </w:r>
      <w:r w:rsidR="00177848" w:rsidRPr="00C6052E">
        <w:t xml:space="preserve"> </w:t>
      </w:r>
      <w:r w:rsidRPr="00C6052E">
        <w:t>beyond</w:t>
      </w:r>
      <w:r w:rsidR="00177848" w:rsidRPr="00C6052E">
        <w:t xml:space="preserve"> </w:t>
      </w:r>
      <w:r w:rsidRPr="00C6052E">
        <w:t>3.18</w:t>
      </w:r>
      <w:r w:rsidR="00177848" w:rsidRPr="00C6052E">
        <w:t xml:space="preserve"> </w:t>
      </w:r>
      <w:r w:rsidRPr="00C6052E">
        <w:t>million</w:t>
      </w:r>
    </w:p>
    <w:p w14:paraId="602EF884" w14:textId="30099177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144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venues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round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10,000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Gigs: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Gig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Fund</w:t>
      </w:r>
    </w:p>
    <w:p w14:paraId="0500C170" w14:textId="24907BAF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Provided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grants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festivals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round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Music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Festivals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Fund</w:t>
      </w:r>
    </w:p>
    <w:p w14:paraId="0909A53B" w14:textId="44786DE4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Fair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attracted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17,500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visitors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between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23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February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2025,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3,500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from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interstate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overseas.</w:t>
      </w:r>
    </w:p>
    <w:p w14:paraId="52147D1B" w14:textId="4554CE54" w:rsidR="00EE5BB8" w:rsidRPr="00C6052E" w:rsidRDefault="00EE5BB8" w:rsidP="00EE5BB8">
      <w:pPr>
        <w:pStyle w:val="Heading3"/>
      </w:pPr>
      <w:r w:rsidRPr="00C6052E">
        <w:t>7.</w:t>
      </w:r>
      <w:r w:rsidR="00177848" w:rsidRPr="00C6052E">
        <w:t xml:space="preserve"> </w:t>
      </w:r>
      <w:r w:rsidRPr="00C6052E">
        <w:t>Support</w:t>
      </w:r>
      <w:r w:rsidR="00177848" w:rsidRPr="00C6052E">
        <w:t xml:space="preserve"> </w:t>
      </w:r>
      <w:r w:rsidRPr="00C6052E">
        <w:t>Aboriginal</w:t>
      </w:r>
      <w:r w:rsidR="00177848" w:rsidRPr="00C6052E">
        <w:t xml:space="preserve"> </w:t>
      </w:r>
      <w:r w:rsidRPr="00C6052E">
        <w:t>economic</w:t>
      </w:r>
      <w:r w:rsidR="00177848" w:rsidRPr="00C6052E">
        <w:t xml:space="preserve"> </w:t>
      </w:r>
      <w:r w:rsidRPr="00C6052E">
        <w:t>development</w:t>
      </w:r>
    </w:p>
    <w:p w14:paraId="7710693E" w14:textId="6DA9DA67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Established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self-determined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Aboriginal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initiative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partnership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Government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received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$7.84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Outcomes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Fund.</w:t>
      </w:r>
      <w:r w:rsidR="00177848" w:rsidRPr="00C6052E">
        <w:rPr>
          <w:rFonts w:cs="Cambria"/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initiative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</w:t>
      </w:r>
      <w:r w:rsidRPr="00C6052E">
        <w:rPr>
          <w:lang w:val="en-AU"/>
        </w:rPr>
        <w:noBreakHyphen/>
        <w:t>designed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Traditional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Owner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Corporations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strong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Aboriginal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communities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</w:p>
    <w:p w14:paraId="4BA27A11" w14:textId="0F5ECB62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Continued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implementation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Traditional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Owner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Game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Management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Strategy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(TOGMS)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DEECA,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facilitating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TOGMS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pilot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projects</w:t>
      </w:r>
    </w:p>
    <w:p w14:paraId="3331B279" w14:textId="1784AE01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lastRenderedPageBreak/>
        <w:t>Launched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Tourism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Strengthening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enable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Peoples-led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approach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identifying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implementing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priority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tourism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initiatives.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Registered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Aboriginal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enhance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capability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capacity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engage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tourism-related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activities</w:t>
      </w:r>
      <w:r w:rsidR="00177848" w:rsidRPr="00C6052E">
        <w:rPr>
          <w:lang w:val="en-AU"/>
        </w:rPr>
        <w:t xml:space="preserve"> </w:t>
      </w:r>
    </w:p>
    <w:p w14:paraId="14988CB3" w14:textId="65A90D12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Delivered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86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grants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Aboriginal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under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Aboriginal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Fund</w:t>
      </w:r>
      <w:r w:rsidR="00177848" w:rsidRPr="00C6052E">
        <w:rPr>
          <w:lang w:val="en-AU"/>
        </w:rPr>
        <w:t xml:space="preserve"> </w:t>
      </w:r>
    </w:p>
    <w:p w14:paraId="3B5A601B" w14:textId="785ADDB7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Continued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Yuma</w:t>
      </w:r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Yirramboi</w:t>
      </w:r>
      <w:proofErr w:type="spell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3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Aboriginal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Hubs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Bendigo,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Ballarat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Gippsland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grants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Traditional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Owner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Corporations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establish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further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hubs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throughout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(under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Aboriginal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Fund)</w:t>
      </w:r>
      <w:r w:rsidR="00177848" w:rsidRPr="00C6052E">
        <w:rPr>
          <w:lang w:val="en-AU"/>
        </w:rPr>
        <w:t xml:space="preserve"> </w:t>
      </w:r>
    </w:p>
    <w:p w14:paraId="1525C4AD" w14:textId="67F017CE" w:rsidR="00EE5BB8" w:rsidRPr="00C6052E" w:rsidRDefault="00EE5BB8" w:rsidP="00EE5BB8">
      <w:pPr>
        <w:pStyle w:val="Bullet1"/>
        <w:keepLines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function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Yuma</w:t>
      </w:r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Yirramboi</w:t>
      </w:r>
      <w:proofErr w:type="spell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Council,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continues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guide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DJSIR’s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approach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Aboriginal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convened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workshop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Koori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Caucus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Council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co-develop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range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ambitious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reforms</w:t>
      </w:r>
    </w:p>
    <w:p w14:paraId="64F6E4A8" w14:textId="09BDFF1E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Yurringa</w:t>
      </w:r>
      <w:proofErr w:type="spell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Energy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establish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Australia’s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First</w:t>
      </w:r>
      <w:proofErr w:type="spell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Nations-owned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retail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energy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provider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commercial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industrial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markets</w:t>
      </w:r>
      <w:r w:rsidR="00177848" w:rsidRPr="00C6052E">
        <w:rPr>
          <w:lang w:val="en-AU"/>
        </w:rPr>
        <w:t xml:space="preserve"> </w:t>
      </w:r>
    </w:p>
    <w:p w14:paraId="6EAEE9A1" w14:textId="1B61FE9E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Developed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launched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DJSIR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Self-determination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Toolkit,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transform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DJSIR’s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ways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better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embed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Aboriginal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self</w:t>
      </w:r>
      <w:r w:rsidRPr="00C6052E">
        <w:rPr>
          <w:rFonts w:ascii="Cambria Math" w:hAnsi="Cambria Math" w:cs="Cambria Math"/>
          <w:lang w:val="en-AU"/>
        </w:rPr>
        <w:t>‑</w:t>
      </w:r>
      <w:r w:rsidRPr="00C6052E">
        <w:rPr>
          <w:lang w:val="en-AU"/>
        </w:rPr>
        <w:t>determination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principles</w:t>
      </w:r>
      <w:r w:rsidR="00177848" w:rsidRPr="00C6052E">
        <w:rPr>
          <w:lang w:val="en-AU"/>
        </w:rPr>
        <w:t xml:space="preserve"> </w:t>
      </w:r>
    </w:p>
    <w:p w14:paraId="4745B535" w14:textId="2CC27F6A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Continued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invest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Kinaway</w:t>
      </w:r>
      <w:proofErr w:type="spell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Chamber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Commerce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Ngarrimili</w:t>
      </w:r>
      <w:proofErr w:type="spell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services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Aboriginal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Victoria.</w:t>
      </w:r>
    </w:p>
    <w:p w14:paraId="58458580" w14:textId="294F276B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Sponsored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2024</w:t>
      </w:r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Kinaway</w:t>
      </w:r>
      <w:proofErr w:type="spell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Annual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Awards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recognise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achievements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invaluable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opportunities</w:t>
      </w:r>
      <w:r w:rsidR="00177848" w:rsidRPr="00C6052E">
        <w:rPr>
          <w:lang w:val="en-AU"/>
        </w:rPr>
        <w:t xml:space="preserve"> </w:t>
      </w:r>
    </w:p>
    <w:p w14:paraId="7E1F51C5" w14:textId="70324688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Funded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dedicated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Aboriginal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Adviser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Capability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(ICN)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advance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opportunities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Aboriginal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projects</w:t>
      </w:r>
    </w:p>
    <w:p w14:paraId="1290DD58" w14:textId="2D628949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Continued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Aboriginal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Education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Association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Incorporated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(VAEAI)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Wurreker</w:t>
      </w:r>
      <w:proofErr w:type="spell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Strategy,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aims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improve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education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Koorie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students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quality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outcomes.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Koorie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Liaison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Officers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Koorie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Student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Officers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enhance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student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improve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learner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outcomes</w:t>
      </w:r>
    </w:p>
    <w:p w14:paraId="5A88264D" w14:textId="03EBD8A8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Geelong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Aboriginal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Group,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Apprenticeships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(AV)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administrative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subject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matter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expertise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valuable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connections.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exhibit,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visual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scribe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captured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voices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reflecting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enablers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challenges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surrounding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perceptions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apprenticeships.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resulting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artwork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later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shared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LinkedIn,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DJSIR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Intranet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stakeholders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Barwon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</w:t>
      </w:r>
      <w:r w:rsidR="00177848" w:rsidRPr="00C6052E">
        <w:rPr>
          <w:lang w:val="en-AU"/>
        </w:rPr>
        <w:t xml:space="preserve"> </w:t>
      </w:r>
    </w:p>
    <w:p w14:paraId="34322DB1" w14:textId="363B7178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Played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key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role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creating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pathways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$126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Twelve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Apostles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facilitating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connections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between</w:t>
      </w:r>
      <w:r w:rsidR="00177848" w:rsidRPr="00C6052E">
        <w:rPr>
          <w:rFonts w:cs="Cambria"/>
          <w:lang w:val="en-AU"/>
        </w:rPr>
        <w:t xml:space="preserve"> </w:t>
      </w:r>
      <w:r w:rsidRPr="00C6052E">
        <w:rPr>
          <w:lang w:val="en-AU"/>
        </w:rPr>
        <w:t>Kane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Constructions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Aboriginal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organisations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–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including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the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Eastern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Maar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Aboriginal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Corporation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–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AV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helped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boost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apprenticeship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opportunities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for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First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Nations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people.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Social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Procurement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Group,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AV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lastRenderedPageBreak/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Major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Guarantee,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Building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Equality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targets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social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procurement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outcomes,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ensuring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generated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lasting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benefits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community</w:t>
      </w:r>
    </w:p>
    <w:p w14:paraId="040FB15A" w14:textId="4429BD82" w:rsidR="00EE5BB8" w:rsidRPr="00C6052E" w:rsidRDefault="00EE5BB8" w:rsidP="00EE5BB8">
      <w:pPr>
        <w:pStyle w:val="Bullet1"/>
        <w:keepLines/>
        <w:numPr>
          <w:ilvl w:val="0"/>
          <w:numId w:val="1"/>
        </w:numPr>
        <w:spacing w:line="278" w:lineRule="auto"/>
        <w:ind w:left="284" w:hanging="284"/>
        <w:rPr>
          <w:spacing w:val="-2"/>
          <w:lang w:val="en-AU"/>
        </w:rPr>
      </w:pPr>
      <w:r w:rsidRPr="00C6052E">
        <w:rPr>
          <w:lang w:val="en-AU"/>
        </w:rPr>
        <w:t>Linked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apprentices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partnerships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South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(SW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TAFE),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Group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Organisations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providers,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monitoring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participation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targets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and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contributing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to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initiatives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such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as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the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Koorie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Careers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and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Aspirations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lang w:val="en-AU"/>
        </w:rPr>
        <w:t>Day,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engaged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Koorie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students</w:t>
      </w:r>
    </w:p>
    <w:p w14:paraId="69137933" w14:textId="150397D7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clean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pre-employment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Barwon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Solar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DEECA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Worn</w:t>
      </w:r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Gundidj</w:t>
      </w:r>
      <w:proofErr w:type="spellEnd"/>
      <w:r w:rsidRPr="00C6052E">
        <w:rPr>
          <w:lang w:val="en-AU"/>
        </w:rPr>
        <w:t>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aimed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engage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trust-building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targeted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education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clean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</w:p>
    <w:p w14:paraId="2B1D7983" w14:textId="7F0BFB7E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Engaged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Worn</w:t>
      </w:r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Gundidj</w:t>
      </w:r>
      <w:proofErr w:type="spell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guide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facilitated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exhibit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Geelong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Aboriginal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Expo,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recruitment,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created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tracker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planned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site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visits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Pacific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Renewable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Energy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Centre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TAFEs</w:t>
      </w:r>
      <w:r w:rsidR="00177848" w:rsidRPr="00C6052E">
        <w:rPr>
          <w:lang w:val="en-AU"/>
        </w:rPr>
        <w:t xml:space="preserve"> </w:t>
      </w:r>
    </w:p>
    <w:p w14:paraId="24CB6438" w14:textId="492CF83E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Launched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Apprentice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Employee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Assistance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(EAP)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offers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free,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short-term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strictly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confidential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counselling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services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phone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video,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available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24/7.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psychologists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social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workers,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dedicated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Helpline,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specialist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advice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Indigenous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issues,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referrals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other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Aboriginal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Torres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Strait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Islander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services.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practitioners,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either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qualified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professionals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consultants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specialist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cultural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awareness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holistic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addresses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individual,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family,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community,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environmental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connection,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cultural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practices,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language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reconnection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self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culture</w:t>
      </w:r>
    </w:p>
    <w:p w14:paraId="29D072B7" w14:textId="686194F8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Developed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Koorie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Education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Learn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Locals: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Practice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Protocols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–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good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practice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guide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help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Learn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build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capacity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self-determination,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improved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outcomes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Koorie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learners.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partnership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between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Board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Aboriginal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Education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Association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Incorporated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(VAEAI),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also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designed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professional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sessions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assist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Learn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embedding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protocols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daily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practice</w:t>
      </w:r>
    </w:p>
    <w:p w14:paraId="3CCD9D10" w14:textId="41717CF2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$11.85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Agreement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funding,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Aboriginal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community-controlled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organisations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strengthening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sustainability,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workforce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investing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leadership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capacity,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Aboriginal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Community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Controlled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RTOs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culturally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appropriate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models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–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helping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close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gap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educational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outcomes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</w:t>
      </w:r>
    </w:p>
    <w:p w14:paraId="370F4CB3" w14:textId="39D9DED7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Invested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$650,000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inaugural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Design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Fair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showcase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exhibition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Fair,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highlighting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37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independent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artists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designers,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generating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professional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market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opportunities</w:t>
      </w:r>
      <w:r w:rsidR="00177848" w:rsidRPr="00C6052E">
        <w:rPr>
          <w:lang w:val="en-AU"/>
        </w:rPr>
        <w:t xml:space="preserve"> </w:t>
      </w:r>
    </w:p>
    <w:p w14:paraId="60FE395B" w14:textId="04C36A41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Provided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$3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investment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artists,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companies.</w:t>
      </w:r>
    </w:p>
    <w:p w14:paraId="13EB3918" w14:textId="635ABF8D" w:rsidR="00EE5BB8" w:rsidRPr="00C6052E" w:rsidRDefault="00EE5BB8" w:rsidP="00EE5BB8">
      <w:pPr>
        <w:pStyle w:val="Heading3"/>
      </w:pPr>
      <w:r w:rsidRPr="00C6052E">
        <w:lastRenderedPageBreak/>
        <w:t>8.</w:t>
      </w:r>
      <w:r w:rsidR="00177848" w:rsidRPr="00C6052E">
        <w:t xml:space="preserve"> </w:t>
      </w:r>
      <w:r w:rsidRPr="00C6052E">
        <w:t>Contribute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transition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net</w:t>
      </w:r>
      <w:r w:rsidR="00177848" w:rsidRPr="00C6052E">
        <w:t xml:space="preserve"> </w:t>
      </w:r>
      <w:r w:rsidRPr="00C6052E">
        <w:t>zero</w:t>
      </w:r>
      <w:r w:rsidR="00177848" w:rsidRPr="00C6052E">
        <w:t xml:space="preserve"> </w:t>
      </w:r>
      <w:r w:rsidRPr="00C6052E">
        <w:t>economy</w:t>
      </w:r>
    </w:p>
    <w:p w14:paraId="41FA09D0" w14:textId="5359B272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Continued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Elecsome</w:t>
      </w:r>
      <w:proofErr w:type="spell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Solar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Panel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Recycling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Facility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Kilmany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contributed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Gippsland’s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sustained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net-zero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transition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renewable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energy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circular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economy.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upcycles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solar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panels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materials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construction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sector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created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30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</w:p>
    <w:p w14:paraId="30573DF7" w14:textId="45B1D81E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Continued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enable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Latrobe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Magnesium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Gippsland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deliver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waste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product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from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coal-fired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energy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production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magnesium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production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facility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Latrobe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Valley.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operational,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facility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expected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create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43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full-time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estimated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75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indirect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</w:p>
    <w:p w14:paraId="1DF0F88F" w14:textId="7E5BBB27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Designed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Certificates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Renewable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Energy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comprising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streams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TAFE-only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co-design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responses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learners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growth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net-zero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workforce</w:t>
      </w:r>
    </w:p>
    <w:p w14:paraId="407C58E5" w14:textId="47E0189B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Continued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Annual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Greenhouse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Permit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commitments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Kookaburra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Pelican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storage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sites,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prioritised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storage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sites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CarbonNet</w:t>
      </w:r>
      <w:proofErr w:type="spell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Gippsland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Basin,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progressed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geoscience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modelling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interpretation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underpin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Declaration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Storage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Formation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applications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2026</w:t>
      </w:r>
      <w:r w:rsidR="00177848" w:rsidRPr="00C6052E">
        <w:rPr>
          <w:lang w:val="en-AU"/>
        </w:rPr>
        <w:t xml:space="preserve"> </w:t>
      </w:r>
    </w:p>
    <w:p w14:paraId="7D6B25F3" w14:textId="4E3F1A54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i/>
          <w:iCs/>
          <w:lang w:val="en-AU"/>
        </w:rPr>
        <w:t>The</w:t>
      </w:r>
      <w:r w:rsidR="00177848" w:rsidRPr="00C6052E">
        <w:rPr>
          <w:i/>
          <w:iCs/>
          <w:lang w:val="en-AU"/>
        </w:rPr>
        <w:t xml:space="preserve"> </w:t>
      </w:r>
      <w:r w:rsidRPr="00C6052E">
        <w:rPr>
          <w:i/>
          <w:iCs/>
          <w:lang w:val="en-AU"/>
        </w:rPr>
        <w:t>Training</w:t>
      </w:r>
      <w:r w:rsidR="00177848" w:rsidRPr="00C6052E">
        <w:rPr>
          <w:i/>
          <w:iCs/>
          <w:lang w:val="en-AU"/>
        </w:rPr>
        <w:t xml:space="preserve"> </w:t>
      </w:r>
      <w:r w:rsidRPr="00C6052E">
        <w:rPr>
          <w:i/>
          <w:iCs/>
          <w:lang w:val="en-AU"/>
        </w:rPr>
        <w:t>for</w:t>
      </w:r>
      <w:r w:rsidR="00177848" w:rsidRPr="00C6052E">
        <w:rPr>
          <w:i/>
          <w:iCs/>
          <w:lang w:val="en-AU"/>
        </w:rPr>
        <w:t xml:space="preserve"> </w:t>
      </w:r>
      <w:r w:rsidRPr="00C6052E">
        <w:rPr>
          <w:i/>
          <w:iCs/>
          <w:lang w:val="en-AU"/>
        </w:rPr>
        <w:t>the</w:t>
      </w:r>
      <w:r w:rsidR="00177848" w:rsidRPr="00C6052E">
        <w:rPr>
          <w:i/>
          <w:iCs/>
          <w:lang w:val="en-AU"/>
        </w:rPr>
        <w:t xml:space="preserve"> </w:t>
      </w:r>
      <w:r w:rsidRPr="00C6052E">
        <w:rPr>
          <w:i/>
          <w:iCs/>
          <w:lang w:val="en-AU"/>
        </w:rPr>
        <w:t>Clean</w:t>
      </w:r>
      <w:r w:rsidR="00177848" w:rsidRPr="00C6052E">
        <w:rPr>
          <w:i/>
          <w:iCs/>
          <w:lang w:val="en-AU"/>
        </w:rPr>
        <w:t xml:space="preserve"> </w:t>
      </w:r>
      <w:r w:rsidRPr="00C6052E">
        <w:rPr>
          <w:i/>
          <w:iCs/>
          <w:lang w:val="en-AU"/>
        </w:rPr>
        <w:t>Economy</w:t>
      </w:r>
      <w:r w:rsidR="00177848" w:rsidRPr="00C6052E">
        <w:rPr>
          <w:i/>
          <w:iCs/>
          <w:lang w:val="en-AU"/>
        </w:rPr>
        <w:t xml:space="preserve"> </w:t>
      </w:r>
      <w:r w:rsidRPr="00C6052E">
        <w:rPr>
          <w:i/>
          <w:iCs/>
          <w:lang w:val="en-AU"/>
        </w:rPr>
        <w:t>–</w:t>
      </w:r>
      <w:r w:rsidR="00177848" w:rsidRPr="00C6052E">
        <w:rPr>
          <w:i/>
          <w:iCs/>
          <w:lang w:val="en-AU"/>
        </w:rPr>
        <w:t xml:space="preserve"> </w:t>
      </w:r>
      <w:r w:rsidRPr="00C6052E">
        <w:rPr>
          <w:i/>
          <w:iCs/>
          <w:lang w:val="en-AU"/>
        </w:rPr>
        <w:t>TAFE</w:t>
      </w:r>
      <w:r w:rsidR="00177848" w:rsidRPr="00C6052E">
        <w:rPr>
          <w:i/>
          <w:iCs/>
          <w:lang w:val="en-AU"/>
        </w:rPr>
        <w:t xml:space="preserve"> </w:t>
      </w:r>
      <w:r w:rsidRPr="00C6052E">
        <w:rPr>
          <w:i/>
          <w:iCs/>
          <w:lang w:val="en-AU"/>
        </w:rPr>
        <w:t>Network</w:t>
      </w:r>
      <w:r w:rsidR="00177848" w:rsidRPr="00C6052E">
        <w:rPr>
          <w:i/>
          <w:iCs/>
          <w:lang w:val="en-AU"/>
        </w:rPr>
        <w:t xml:space="preserve"> </w:t>
      </w:r>
      <w:r w:rsidRPr="00C6052E">
        <w:rPr>
          <w:i/>
          <w:iCs/>
          <w:lang w:val="en-AU"/>
        </w:rPr>
        <w:t>Clean</w:t>
      </w:r>
      <w:r w:rsidR="00177848" w:rsidRPr="00C6052E">
        <w:rPr>
          <w:i/>
          <w:iCs/>
          <w:lang w:val="en-AU"/>
        </w:rPr>
        <w:t xml:space="preserve"> </w:t>
      </w:r>
      <w:r w:rsidRPr="00C6052E">
        <w:rPr>
          <w:i/>
          <w:iCs/>
          <w:lang w:val="en-AU"/>
        </w:rPr>
        <w:t>Economy</w:t>
      </w:r>
      <w:r w:rsidR="00177848" w:rsidRPr="00C6052E">
        <w:rPr>
          <w:i/>
          <w:iCs/>
          <w:lang w:val="en-AU"/>
        </w:rPr>
        <w:t xml:space="preserve"> </w:t>
      </w:r>
      <w:r w:rsidRPr="00C6052E">
        <w:rPr>
          <w:i/>
          <w:iCs/>
          <w:lang w:val="en-AU"/>
        </w:rPr>
        <w:t>Prospectus</w:t>
      </w:r>
      <w:r w:rsidR="00177848" w:rsidRPr="00C6052E">
        <w:rPr>
          <w:i/>
          <w:iCs/>
          <w:lang w:val="en-AU"/>
        </w:rPr>
        <w:t xml:space="preserve"> </w:t>
      </w:r>
      <w:r w:rsidRPr="00C6052E">
        <w:rPr>
          <w:i/>
          <w:iCs/>
          <w:lang w:val="en-AU"/>
        </w:rPr>
        <w:t>2024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published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showcase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partnership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opportunities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clean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transition.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Funded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Polytechnic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Gippsland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clean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economy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labs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–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focused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circular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design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offshore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–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flexible,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nationally-recognised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address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urgent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shortages</w:t>
      </w:r>
    </w:p>
    <w:p w14:paraId="129BD68A" w14:textId="38D9B8C6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Diverted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95%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materials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from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landfill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reused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recycled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during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deconstruction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former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Carlton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United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Breweries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building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77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Southbank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Boulevard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preparation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Fox: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NGV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Contemporary,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accordance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Precinct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Transformation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(MAPT)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‘Aim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Zero’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sustainability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strategy.</w:t>
      </w:r>
    </w:p>
    <w:sectPr w:rsidR="00EE5BB8" w:rsidRPr="00C6052E" w:rsidSect="00EA7C7C">
      <w:endnotePr>
        <w:numFmt w:val="decimal"/>
      </w:endnotePr>
      <w:type w:val="continuous"/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EA22D" w14:textId="77777777" w:rsidR="00EE5BB8" w:rsidRPr="00C6052E" w:rsidRDefault="00EE5BB8" w:rsidP="00EE5BB8">
      <w:pPr>
        <w:spacing w:after="0" w:line="240" w:lineRule="auto"/>
      </w:pPr>
      <w:r w:rsidRPr="00C6052E">
        <w:separator/>
      </w:r>
    </w:p>
  </w:endnote>
  <w:endnote w:type="continuationSeparator" w:id="0">
    <w:p w14:paraId="62008B48" w14:textId="77777777" w:rsidR="00EE5BB8" w:rsidRPr="00C6052E" w:rsidRDefault="00EE5BB8" w:rsidP="00EE5BB8">
      <w:pPr>
        <w:spacing w:after="0" w:line="240" w:lineRule="auto"/>
      </w:pPr>
      <w:r w:rsidRPr="00C605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 Light Italic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VIC SemiBold Italic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C-Light">
    <w:altName w:val="V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Regular">
    <w:altName w:val="V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LightItalic">
    <w:altName w:val="V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SemiBold">
    <w:altName w:val="V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Medium">
    <w:altName w:val="V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BBE8" w14:textId="5212E54C" w:rsidR="00EE5BB8" w:rsidRPr="00C6052E" w:rsidRDefault="00EE5BB8">
    <w:pPr>
      <w:pStyle w:val="Footer"/>
    </w:pPr>
    <w:r w:rsidRPr="00C6052E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3" behindDoc="0" locked="0" layoutInCell="1" allowOverlap="1" wp14:anchorId="39F369F4" wp14:editId="4C3C9E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393700"/>
              <wp:effectExtent l="0" t="0" r="8255" b="0"/>
              <wp:wrapNone/>
              <wp:docPr id="388971093" name="Text Box 6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D5ABA" w14:textId="4D1E6FAE" w:rsidR="00EE5BB8" w:rsidRPr="00C6052E" w:rsidRDefault="00EE5BB8" w:rsidP="00EE5BB8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</w:rPr>
                          </w:pPr>
                          <w:r w:rsidRPr="00C6052E">
                            <w:rPr>
                              <w:rFonts w:ascii="Arial" w:eastAsia="Arial" w:hAnsi="Arial" w:cs="Arial"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369F4"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27" type="#_x0000_t202" alt="UNOFFICIAL" style="position:absolute;margin-left:0;margin-top:0;width:71.35pt;height:31pt;z-index:25165826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" filled="f" stroked="f">
              <v:textbox style="mso-fit-shape-to-text:t" inset="0,0,0,15pt">
                <w:txbxContent>
                  <w:p w14:paraId="5CCD5ABA" w14:textId="4D1E6FAE" w:rsidR="00EE5BB8" w:rsidRPr="00C6052E" w:rsidRDefault="00EE5BB8" w:rsidP="00EE5BB8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</w:rPr>
                    </w:pPr>
                    <w:r w:rsidRPr="00C6052E">
                      <w:rPr>
                        <w:rFonts w:ascii="Arial" w:eastAsia="Arial" w:hAnsi="Arial" w:cs="Arial"/>
                        <w:color w:val="00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160A" w14:textId="3B5EC136" w:rsidR="00EE5BB8" w:rsidRPr="00C6052E" w:rsidRDefault="00EE5BB8" w:rsidP="00120E3A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1F99" w14:textId="58AECF07" w:rsidR="00EE5BB8" w:rsidRPr="00C6052E" w:rsidRDefault="00EE5BB8">
    <w:pPr>
      <w:pStyle w:val="Footer"/>
    </w:pPr>
    <w:r w:rsidRPr="00C6052E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2" behindDoc="0" locked="0" layoutInCell="1" allowOverlap="1" wp14:anchorId="45492286" wp14:editId="73575B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393700"/>
              <wp:effectExtent l="0" t="0" r="8255" b="0"/>
              <wp:wrapNone/>
              <wp:docPr id="656351826" name="Text Box 6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34B7C" w14:textId="62938340" w:rsidR="00EE5BB8" w:rsidRPr="00C6052E" w:rsidRDefault="00EE5BB8" w:rsidP="00EE5BB8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</w:rPr>
                          </w:pPr>
                          <w:r w:rsidRPr="00C6052E">
                            <w:rPr>
                              <w:rFonts w:ascii="Arial" w:eastAsia="Arial" w:hAnsi="Arial" w:cs="Arial"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92286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9" type="#_x0000_t202" alt="UNOFFICIAL" style="position:absolute;margin-left:0;margin-top:0;width:71.35pt;height:31pt;z-index:25165826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" filled="f" stroked="f">
              <v:textbox style="mso-fit-shape-to-text:t" inset="0,0,0,15pt">
                <w:txbxContent>
                  <w:p w14:paraId="1BA34B7C" w14:textId="62938340" w:rsidR="00EE5BB8" w:rsidRPr="00C6052E" w:rsidRDefault="00EE5BB8" w:rsidP="00EE5BB8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</w:rPr>
                    </w:pPr>
                    <w:r w:rsidRPr="00C6052E">
                      <w:rPr>
                        <w:rFonts w:ascii="Arial" w:eastAsia="Arial" w:hAnsi="Arial" w:cs="Arial"/>
                        <w:color w:val="00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D3189" w14:textId="77777777" w:rsidR="00EE5BB8" w:rsidRPr="00C6052E" w:rsidRDefault="00EE5BB8" w:rsidP="00EE5BB8">
      <w:pPr>
        <w:spacing w:after="0" w:line="240" w:lineRule="auto"/>
      </w:pPr>
      <w:r w:rsidRPr="00C6052E">
        <w:separator/>
      </w:r>
    </w:p>
  </w:footnote>
  <w:footnote w:type="continuationSeparator" w:id="0">
    <w:p w14:paraId="288FF812" w14:textId="77777777" w:rsidR="00EE5BB8" w:rsidRPr="00C6052E" w:rsidRDefault="00EE5BB8" w:rsidP="00EE5BB8">
      <w:pPr>
        <w:spacing w:after="0" w:line="240" w:lineRule="auto"/>
      </w:pPr>
      <w:r w:rsidRPr="00C605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4AA38" w14:textId="52C52956" w:rsidR="00EE5BB8" w:rsidRPr="00C6052E" w:rsidRDefault="00EE5BB8">
    <w:pPr>
      <w:pStyle w:val="Header"/>
    </w:pPr>
    <w:r w:rsidRPr="00C6052E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0CFA4C7" wp14:editId="4EB275C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393700"/>
              <wp:effectExtent l="0" t="0" r="8255" b="6350"/>
              <wp:wrapNone/>
              <wp:docPr id="1203786081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163494" w14:textId="4AEBD50D" w:rsidR="00EE5BB8" w:rsidRPr="00C6052E" w:rsidRDefault="00EE5BB8" w:rsidP="00EE5BB8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</w:rPr>
                          </w:pPr>
                          <w:r w:rsidRPr="00C6052E">
                            <w:rPr>
                              <w:rFonts w:ascii="Arial" w:eastAsia="Arial" w:hAnsi="Arial" w:cs="Arial"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FA4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71.35pt;height:3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" filled="f" stroked="f">
              <v:textbox style="mso-fit-shape-to-text:t" inset="0,15pt,0,0">
                <w:txbxContent>
                  <w:p w14:paraId="0C163494" w14:textId="4AEBD50D" w:rsidR="00EE5BB8" w:rsidRPr="00C6052E" w:rsidRDefault="00EE5BB8" w:rsidP="00EE5BB8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</w:rPr>
                    </w:pPr>
                    <w:r w:rsidRPr="00C6052E">
                      <w:rPr>
                        <w:rFonts w:ascii="Arial" w:eastAsia="Arial" w:hAnsi="Arial" w:cs="Arial"/>
                        <w:color w:val="00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0DA1" w14:textId="7422EA31" w:rsidR="00EE5BB8" w:rsidRPr="00C6052E" w:rsidRDefault="00EE5BB8">
    <w:pPr>
      <w:pStyle w:val="Header"/>
    </w:pPr>
    <w:r w:rsidRPr="00C6052E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A7F550E" wp14:editId="2E3946F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393700"/>
              <wp:effectExtent l="0" t="0" r="8255" b="6350"/>
              <wp:wrapNone/>
              <wp:docPr id="1659975559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F87D2" w14:textId="086A6201" w:rsidR="00EE5BB8" w:rsidRPr="00C6052E" w:rsidRDefault="00EE5BB8" w:rsidP="00EE5BB8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</w:rPr>
                          </w:pPr>
                          <w:r w:rsidRPr="00C6052E">
                            <w:rPr>
                              <w:rFonts w:ascii="Arial" w:eastAsia="Arial" w:hAnsi="Arial" w:cs="Arial"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F55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OFFICIAL" style="position:absolute;margin-left:0;margin-top:0;width:71.35pt;height:3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" filled="f" stroked="f">
              <v:textbox style="mso-fit-shape-to-text:t" inset="0,15pt,0,0">
                <w:txbxContent>
                  <w:p w14:paraId="46DF87D2" w14:textId="086A6201" w:rsidR="00EE5BB8" w:rsidRPr="00C6052E" w:rsidRDefault="00EE5BB8" w:rsidP="00EE5BB8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</w:rPr>
                    </w:pPr>
                    <w:r w:rsidRPr="00C6052E">
                      <w:rPr>
                        <w:rFonts w:ascii="Arial" w:eastAsia="Arial" w:hAnsi="Arial" w:cs="Arial"/>
                        <w:color w:val="00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B44"/>
    <w:multiLevelType w:val="hybridMultilevel"/>
    <w:tmpl w:val="0F4C2FF6"/>
    <w:lvl w:ilvl="0" w:tplc="FFFFFFFF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0CD6"/>
    <w:multiLevelType w:val="hybridMultilevel"/>
    <w:tmpl w:val="56EAA8FC"/>
    <w:lvl w:ilvl="0" w:tplc="FFFFFFFF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F0493"/>
    <w:multiLevelType w:val="hybridMultilevel"/>
    <w:tmpl w:val="CEF2D786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15893"/>
    <w:multiLevelType w:val="hybridMultilevel"/>
    <w:tmpl w:val="7DD00AA8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456EE"/>
    <w:multiLevelType w:val="hybridMultilevel"/>
    <w:tmpl w:val="ED8808EA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B6ECF"/>
    <w:multiLevelType w:val="hybridMultilevel"/>
    <w:tmpl w:val="EE66435A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6629C"/>
    <w:multiLevelType w:val="hybridMultilevel"/>
    <w:tmpl w:val="EECE1768"/>
    <w:lvl w:ilvl="0" w:tplc="04090019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26E91"/>
    <w:multiLevelType w:val="hybridMultilevel"/>
    <w:tmpl w:val="2C0044A2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F6FBC"/>
    <w:multiLevelType w:val="hybridMultilevel"/>
    <w:tmpl w:val="BF5EF25A"/>
    <w:lvl w:ilvl="0" w:tplc="28CC6E1A">
      <w:start w:val="1"/>
      <w:numFmt w:val="decimal"/>
      <w:lvlText w:val="%1."/>
      <w:lvlJc w:val="left"/>
      <w:pPr>
        <w:ind w:left="284" w:hanging="284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57A56"/>
    <w:multiLevelType w:val="hybridMultilevel"/>
    <w:tmpl w:val="7EFAD776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00B84"/>
    <w:multiLevelType w:val="hybridMultilevel"/>
    <w:tmpl w:val="4B986B64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57E37"/>
    <w:multiLevelType w:val="hybridMultilevel"/>
    <w:tmpl w:val="D7B25184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E277B"/>
    <w:multiLevelType w:val="hybridMultilevel"/>
    <w:tmpl w:val="7D2A40B6"/>
    <w:lvl w:ilvl="0" w:tplc="F66AFD0A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7D44FF"/>
    <w:multiLevelType w:val="hybridMultilevel"/>
    <w:tmpl w:val="9C62F9A8"/>
    <w:lvl w:ilvl="0" w:tplc="27A2F330">
      <w:start w:val="1"/>
      <w:numFmt w:val="lowerLetter"/>
      <w:lvlText w:val="(%1)"/>
      <w:lvlJc w:val="left"/>
      <w:pPr>
        <w:ind w:left="284" w:hanging="284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0001E"/>
    <w:multiLevelType w:val="hybridMultilevel"/>
    <w:tmpl w:val="79949276"/>
    <w:lvl w:ilvl="0" w:tplc="8E909B6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8B43A7"/>
    <w:multiLevelType w:val="hybridMultilevel"/>
    <w:tmpl w:val="5824DDB0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AE08BB"/>
    <w:multiLevelType w:val="hybridMultilevel"/>
    <w:tmpl w:val="FE464DB6"/>
    <w:lvl w:ilvl="0" w:tplc="E83CF0FE">
      <w:start w:val="1"/>
      <w:numFmt w:val="decimal"/>
      <w:pStyle w:val="Tablenotes-numbered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8520FE"/>
    <w:multiLevelType w:val="hybridMultilevel"/>
    <w:tmpl w:val="7EFAD776"/>
    <w:lvl w:ilvl="0" w:tplc="FFFFFFFF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15455"/>
    <w:multiLevelType w:val="hybridMultilevel"/>
    <w:tmpl w:val="0C30E990"/>
    <w:lvl w:ilvl="0" w:tplc="BB484E26">
      <w:numFmt w:val="bullet"/>
      <w:lvlText w:val="•"/>
      <w:lvlJc w:val="left"/>
      <w:pPr>
        <w:ind w:left="832" w:hanging="36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3"/>
        <w:sz w:val="17"/>
        <w:szCs w:val="17"/>
        <w:lang w:val="en-US" w:eastAsia="en-US" w:bidi="ar-SA"/>
      </w:rPr>
    </w:lvl>
    <w:lvl w:ilvl="1" w:tplc="7494D044">
      <w:numFmt w:val="bullet"/>
      <w:lvlText w:val="•"/>
      <w:lvlJc w:val="left"/>
      <w:pPr>
        <w:ind w:left="1580" w:hanging="366"/>
      </w:pPr>
      <w:rPr>
        <w:rFonts w:hint="default"/>
        <w:lang w:val="en-US" w:eastAsia="en-US" w:bidi="ar-SA"/>
      </w:rPr>
    </w:lvl>
    <w:lvl w:ilvl="2" w:tplc="7114A724">
      <w:numFmt w:val="bullet"/>
      <w:lvlText w:val="•"/>
      <w:lvlJc w:val="left"/>
      <w:pPr>
        <w:ind w:left="2321" w:hanging="366"/>
      </w:pPr>
      <w:rPr>
        <w:rFonts w:hint="default"/>
        <w:lang w:val="en-US" w:eastAsia="en-US" w:bidi="ar-SA"/>
      </w:rPr>
    </w:lvl>
    <w:lvl w:ilvl="3" w:tplc="797034B4">
      <w:numFmt w:val="bullet"/>
      <w:lvlText w:val="•"/>
      <w:lvlJc w:val="left"/>
      <w:pPr>
        <w:ind w:left="3061" w:hanging="366"/>
      </w:pPr>
      <w:rPr>
        <w:rFonts w:hint="default"/>
        <w:lang w:val="en-US" w:eastAsia="en-US" w:bidi="ar-SA"/>
      </w:rPr>
    </w:lvl>
    <w:lvl w:ilvl="4" w:tplc="3B8E462C">
      <w:numFmt w:val="bullet"/>
      <w:lvlText w:val="•"/>
      <w:lvlJc w:val="left"/>
      <w:pPr>
        <w:ind w:left="3802" w:hanging="366"/>
      </w:pPr>
      <w:rPr>
        <w:rFonts w:hint="default"/>
        <w:lang w:val="en-US" w:eastAsia="en-US" w:bidi="ar-SA"/>
      </w:rPr>
    </w:lvl>
    <w:lvl w:ilvl="5" w:tplc="8E3C00B6">
      <w:numFmt w:val="bullet"/>
      <w:lvlText w:val="•"/>
      <w:lvlJc w:val="left"/>
      <w:pPr>
        <w:ind w:left="4543" w:hanging="366"/>
      </w:pPr>
      <w:rPr>
        <w:rFonts w:hint="default"/>
        <w:lang w:val="en-US" w:eastAsia="en-US" w:bidi="ar-SA"/>
      </w:rPr>
    </w:lvl>
    <w:lvl w:ilvl="6" w:tplc="AF281E9C">
      <w:numFmt w:val="bullet"/>
      <w:lvlText w:val="•"/>
      <w:lvlJc w:val="left"/>
      <w:pPr>
        <w:ind w:left="5283" w:hanging="366"/>
      </w:pPr>
      <w:rPr>
        <w:rFonts w:hint="default"/>
        <w:lang w:val="en-US" w:eastAsia="en-US" w:bidi="ar-SA"/>
      </w:rPr>
    </w:lvl>
    <w:lvl w:ilvl="7" w:tplc="CCB01ACA">
      <w:numFmt w:val="bullet"/>
      <w:lvlText w:val="•"/>
      <w:lvlJc w:val="left"/>
      <w:pPr>
        <w:ind w:left="6024" w:hanging="366"/>
      </w:pPr>
      <w:rPr>
        <w:rFonts w:hint="default"/>
        <w:lang w:val="en-US" w:eastAsia="en-US" w:bidi="ar-SA"/>
      </w:rPr>
    </w:lvl>
    <w:lvl w:ilvl="8" w:tplc="214A9AB4">
      <w:numFmt w:val="bullet"/>
      <w:lvlText w:val="•"/>
      <w:lvlJc w:val="left"/>
      <w:pPr>
        <w:ind w:left="6765" w:hanging="366"/>
      </w:pPr>
      <w:rPr>
        <w:rFonts w:hint="default"/>
        <w:lang w:val="en-US" w:eastAsia="en-US" w:bidi="ar-SA"/>
      </w:rPr>
    </w:lvl>
  </w:abstractNum>
  <w:abstractNum w:abstractNumId="19" w15:restartNumberingAfterBreak="0">
    <w:nsid w:val="1E0F51A3"/>
    <w:multiLevelType w:val="hybridMultilevel"/>
    <w:tmpl w:val="BEFC745E"/>
    <w:lvl w:ilvl="0" w:tplc="32E86D06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57707E"/>
    <w:multiLevelType w:val="hybridMultilevel"/>
    <w:tmpl w:val="071E645A"/>
    <w:lvl w:ilvl="0" w:tplc="04090019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60E8C"/>
    <w:multiLevelType w:val="hybridMultilevel"/>
    <w:tmpl w:val="25467588"/>
    <w:lvl w:ilvl="0" w:tplc="04090019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34EFC"/>
    <w:multiLevelType w:val="hybridMultilevel"/>
    <w:tmpl w:val="690EBEE0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F50187"/>
    <w:multiLevelType w:val="hybridMultilevel"/>
    <w:tmpl w:val="308CB480"/>
    <w:lvl w:ilvl="0" w:tplc="32E86D06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352FFB"/>
    <w:multiLevelType w:val="hybridMultilevel"/>
    <w:tmpl w:val="EB5CAA00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8860EE"/>
    <w:multiLevelType w:val="hybridMultilevel"/>
    <w:tmpl w:val="147C5580"/>
    <w:lvl w:ilvl="0" w:tplc="92B8491A">
      <w:start w:val="1"/>
      <w:numFmt w:val="lowerLetter"/>
      <w:pStyle w:val="Bulleta"/>
      <w:lvlText w:val="%1)"/>
      <w:lvlJc w:val="left"/>
      <w:pPr>
        <w:ind w:left="284" w:hanging="284"/>
      </w:pPr>
      <w:rPr>
        <w:rFonts w:ascii="Arial" w:eastAsia="Arial" w:hAnsi="Arial" w:cs="Arial" w:hint="default"/>
        <w:color w:val="383834"/>
        <w:spacing w:val="-2"/>
        <w:w w:val="103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3744F2"/>
    <w:multiLevelType w:val="hybridMultilevel"/>
    <w:tmpl w:val="80BAD51A"/>
    <w:lvl w:ilvl="0" w:tplc="FFFFFFFF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E1443"/>
    <w:multiLevelType w:val="hybridMultilevel"/>
    <w:tmpl w:val="F0989CDC"/>
    <w:lvl w:ilvl="0" w:tplc="32E86D06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CF6C8A"/>
    <w:multiLevelType w:val="hybridMultilevel"/>
    <w:tmpl w:val="C6842A4E"/>
    <w:lvl w:ilvl="0" w:tplc="68A05D72">
      <w:start w:val="1"/>
      <w:numFmt w:val="decimal"/>
      <w:pStyle w:val="Heading5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690DD0"/>
    <w:multiLevelType w:val="hybridMultilevel"/>
    <w:tmpl w:val="58C4DDD4"/>
    <w:lvl w:ilvl="0" w:tplc="88104A3C">
      <w:start w:val="9"/>
      <w:numFmt w:val="bullet"/>
      <w:lvlText w:val="–"/>
      <w:lvlJc w:val="left"/>
      <w:pPr>
        <w:ind w:left="644" w:hanging="360"/>
      </w:pPr>
      <w:rPr>
        <w:rFonts w:ascii="VIC Light Italic" w:eastAsiaTheme="minorHAnsi" w:hAnsi="VIC Light Ital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5356FE0"/>
    <w:multiLevelType w:val="hybridMultilevel"/>
    <w:tmpl w:val="B352DDFE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D41CCC"/>
    <w:multiLevelType w:val="hybridMultilevel"/>
    <w:tmpl w:val="22C4260A"/>
    <w:lvl w:ilvl="0" w:tplc="D9D697CA">
      <w:numFmt w:val="bullet"/>
      <w:pStyle w:val="Bullet1"/>
      <w:lvlText w:val="•"/>
      <w:lvlJc w:val="left"/>
      <w:pPr>
        <w:ind w:left="717" w:hanging="360"/>
      </w:pPr>
      <w:rPr>
        <w:rFonts w:ascii="Arial" w:hAnsi="Arial" w:cstheme="minorBidi" w:hint="default"/>
        <w:sz w:val="24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FE42FC"/>
    <w:multiLevelType w:val="multilevel"/>
    <w:tmpl w:val="B6509240"/>
    <w:styleLink w:val="ListBulletStyl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33" w15:restartNumberingAfterBreak="0">
    <w:nsid w:val="38460243"/>
    <w:multiLevelType w:val="hybridMultilevel"/>
    <w:tmpl w:val="F26C99C8"/>
    <w:lvl w:ilvl="0" w:tplc="0F408CB0">
      <w:numFmt w:val="bullet"/>
      <w:lvlText w:val="•"/>
      <w:lvlJc w:val="left"/>
      <w:pPr>
        <w:ind w:left="569" w:hanging="360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3"/>
        <w:sz w:val="17"/>
        <w:szCs w:val="17"/>
        <w:lang w:val="en-US" w:eastAsia="en-US" w:bidi="ar-SA"/>
      </w:rPr>
    </w:lvl>
    <w:lvl w:ilvl="1" w:tplc="B37650EA">
      <w:numFmt w:val="bullet"/>
      <w:lvlText w:val="•"/>
      <w:lvlJc w:val="left"/>
      <w:pPr>
        <w:ind w:left="1047" w:hanging="360"/>
      </w:pPr>
      <w:rPr>
        <w:rFonts w:hint="default"/>
        <w:lang w:val="en-US" w:eastAsia="en-US" w:bidi="ar-SA"/>
      </w:rPr>
    </w:lvl>
    <w:lvl w:ilvl="2" w:tplc="98DE0CBE">
      <w:numFmt w:val="bullet"/>
      <w:lvlText w:val="•"/>
      <w:lvlJc w:val="left"/>
      <w:pPr>
        <w:ind w:left="1535" w:hanging="360"/>
      </w:pPr>
      <w:rPr>
        <w:rFonts w:hint="default"/>
        <w:lang w:val="en-US" w:eastAsia="en-US" w:bidi="ar-SA"/>
      </w:rPr>
    </w:lvl>
    <w:lvl w:ilvl="3" w:tplc="3BE674EC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4" w:tplc="F07C54C8">
      <w:numFmt w:val="bullet"/>
      <w:lvlText w:val="•"/>
      <w:lvlJc w:val="left"/>
      <w:pPr>
        <w:ind w:left="2510" w:hanging="360"/>
      </w:pPr>
      <w:rPr>
        <w:rFonts w:hint="default"/>
        <w:lang w:val="en-US" w:eastAsia="en-US" w:bidi="ar-SA"/>
      </w:rPr>
    </w:lvl>
    <w:lvl w:ilvl="5" w:tplc="E4F63546"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6" w:tplc="23D64A8E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7" w:tplc="86A8704E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8" w:tplc="B98262E8">
      <w:numFmt w:val="bullet"/>
      <w:lvlText w:val="•"/>
      <w:lvlJc w:val="left"/>
      <w:pPr>
        <w:ind w:left="4461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391109B2"/>
    <w:multiLevelType w:val="hybridMultilevel"/>
    <w:tmpl w:val="41DC0D9A"/>
    <w:lvl w:ilvl="0" w:tplc="26ACE7AE">
      <w:numFmt w:val="bullet"/>
      <w:lvlText w:val="•"/>
      <w:lvlJc w:val="left"/>
      <w:pPr>
        <w:ind w:left="814" w:hanging="359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6"/>
        <w:sz w:val="17"/>
        <w:szCs w:val="17"/>
        <w:lang w:val="en-US" w:eastAsia="en-US" w:bidi="ar-SA"/>
      </w:rPr>
    </w:lvl>
    <w:lvl w:ilvl="1" w:tplc="AACE50F8">
      <w:numFmt w:val="bullet"/>
      <w:lvlText w:val="•"/>
      <w:lvlJc w:val="left"/>
      <w:pPr>
        <w:ind w:left="1547" w:hanging="359"/>
      </w:pPr>
      <w:rPr>
        <w:rFonts w:hint="default"/>
        <w:lang w:val="en-US" w:eastAsia="en-US" w:bidi="ar-SA"/>
      </w:rPr>
    </w:lvl>
    <w:lvl w:ilvl="2" w:tplc="9C0C27A2">
      <w:numFmt w:val="bullet"/>
      <w:lvlText w:val="•"/>
      <w:lvlJc w:val="left"/>
      <w:pPr>
        <w:ind w:left="2274" w:hanging="359"/>
      </w:pPr>
      <w:rPr>
        <w:rFonts w:hint="default"/>
        <w:lang w:val="en-US" w:eastAsia="en-US" w:bidi="ar-SA"/>
      </w:rPr>
    </w:lvl>
    <w:lvl w:ilvl="3" w:tplc="CE540748">
      <w:numFmt w:val="bullet"/>
      <w:lvlText w:val="•"/>
      <w:lvlJc w:val="left"/>
      <w:pPr>
        <w:ind w:left="3002" w:hanging="359"/>
      </w:pPr>
      <w:rPr>
        <w:rFonts w:hint="default"/>
        <w:lang w:val="en-US" w:eastAsia="en-US" w:bidi="ar-SA"/>
      </w:rPr>
    </w:lvl>
    <w:lvl w:ilvl="4" w:tplc="BBEAAE70">
      <w:numFmt w:val="bullet"/>
      <w:lvlText w:val="•"/>
      <w:lvlJc w:val="left"/>
      <w:pPr>
        <w:ind w:left="3729" w:hanging="359"/>
      </w:pPr>
      <w:rPr>
        <w:rFonts w:hint="default"/>
        <w:lang w:val="en-US" w:eastAsia="en-US" w:bidi="ar-SA"/>
      </w:rPr>
    </w:lvl>
    <w:lvl w:ilvl="5" w:tplc="AA52B048">
      <w:numFmt w:val="bullet"/>
      <w:lvlText w:val="•"/>
      <w:lvlJc w:val="left"/>
      <w:pPr>
        <w:ind w:left="4457" w:hanging="359"/>
      </w:pPr>
      <w:rPr>
        <w:rFonts w:hint="default"/>
        <w:lang w:val="en-US" w:eastAsia="en-US" w:bidi="ar-SA"/>
      </w:rPr>
    </w:lvl>
    <w:lvl w:ilvl="6" w:tplc="470601EA">
      <w:numFmt w:val="bullet"/>
      <w:lvlText w:val="•"/>
      <w:lvlJc w:val="left"/>
      <w:pPr>
        <w:ind w:left="5184" w:hanging="359"/>
      </w:pPr>
      <w:rPr>
        <w:rFonts w:hint="default"/>
        <w:lang w:val="en-US" w:eastAsia="en-US" w:bidi="ar-SA"/>
      </w:rPr>
    </w:lvl>
    <w:lvl w:ilvl="7" w:tplc="DC7877FC">
      <w:numFmt w:val="bullet"/>
      <w:lvlText w:val="•"/>
      <w:lvlJc w:val="left"/>
      <w:pPr>
        <w:ind w:left="5912" w:hanging="359"/>
      </w:pPr>
      <w:rPr>
        <w:rFonts w:hint="default"/>
        <w:lang w:val="en-US" w:eastAsia="en-US" w:bidi="ar-SA"/>
      </w:rPr>
    </w:lvl>
    <w:lvl w:ilvl="8" w:tplc="64B609B0">
      <w:numFmt w:val="bullet"/>
      <w:lvlText w:val="•"/>
      <w:lvlJc w:val="left"/>
      <w:pPr>
        <w:ind w:left="6639" w:hanging="359"/>
      </w:pPr>
      <w:rPr>
        <w:rFonts w:hint="default"/>
        <w:lang w:val="en-US" w:eastAsia="en-US" w:bidi="ar-SA"/>
      </w:rPr>
    </w:lvl>
  </w:abstractNum>
  <w:abstractNum w:abstractNumId="35" w15:restartNumberingAfterBreak="0">
    <w:nsid w:val="39343991"/>
    <w:multiLevelType w:val="hybridMultilevel"/>
    <w:tmpl w:val="B0BCC27C"/>
    <w:lvl w:ilvl="0" w:tplc="A498DC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3CC93DB9"/>
    <w:multiLevelType w:val="hybridMultilevel"/>
    <w:tmpl w:val="80BAD51A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2F6730"/>
    <w:multiLevelType w:val="hybridMultilevel"/>
    <w:tmpl w:val="4DECEE42"/>
    <w:lvl w:ilvl="0" w:tplc="6F5CBED0">
      <w:numFmt w:val="bullet"/>
      <w:pStyle w:val="Tablebullet0"/>
      <w:lvlText w:val="•"/>
      <w:lvlJc w:val="left"/>
      <w:pPr>
        <w:ind w:left="720" w:hanging="360"/>
      </w:pPr>
      <w:rPr>
        <w:rFonts w:ascii="Arial" w:hAnsi="Arial" w:cstheme="minorBidi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586DCD"/>
    <w:multiLevelType w:val="hybridMultilevel"/>
    <w:tmpl w:val="56EAA8FC"/>
    <w:lvl w:ilvl="0" w:tplc="FFFFFFFF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7908D8"/>
    <w:multiLevelType w:val="hybridMultilevel"/>
    <w:tmpl w:val="38C64B28"/>
    <w:lvl w:ilvl="0" w:tplc="04090019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F8070A"/>
    <w:multiLevelType w:val="hybridMultilevel"/>
    <w:tmpl w:val="894E16F4"/>
    <w:lvl w:ilvl="0" w:tplc="32E86D06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C42A07"/>
    <w:multiLevelType w:val="hybridMultilevel"/>
    <w:tmpl w:val="A8C2C1A2"/>
    <w:lvl w:ilvl="0" w:tplc="5EF43A4A">
      <w:start w:val="1"/>
      <w:numFmt w:val="bullet"/>
      <w:pStyle w:val="Bullet2"/>
      <w:lvlText w:val=""/>
      <w:lvlJc w:val="left"/>
      <w:pPr>
        <w:ind w:left="56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AD0E0A"/>
    <w:multiLevelType w:val="hybridMultilevel"/>
    <w:tmpl w:val="3FA03BBC"/>
    <w:lvl w:ilvl="0" w:tplc="32E86D06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8315A6"/>
    <w:multiLevelType w:val="multilevel"/>
    <w:tmpl w:val="47421C64"/>
    <w:lvl w:ilvl="0">
      <w:start w:val="1"/>
      <w:numFmt w:val="decimal"/>
      <w:pStyle w:val="Heading1Numbered"/>
      <w:lvlText w:val="%1."/>
      <w:lvlJc w:val="left"/>
      <w:pPr>
        <w:ind w:left="567" w:hanging="567"/>
      </w:p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50534059"/>
    <w:multiLevelType w:val="hybridMultilevel"/>
    <w:tmpl w:val="950C99C0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F13EFE"/>
    <w:multiLevelType w:val="hybridMultilevel"/>
    <w:tmpl w:val="070CA036"/>
    <w:lvl w:ilvl="0" w:tplc="8F2E4E24">
      <w:start w:val="1"/>
      <w:numFmt w:val="decimal"/>
      <w:pStyle w:val="AppendixHeading2numbered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560550B8"/>
    <w:multiLevelType w:val="hybridMultilevel"/>
    <w:tmpl w:val="6D4C6CD0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320D01"/>
    <w:multiLevelType w:val="hybridMultilevel"/>
    <w:tmpl w:val="352EA56E"/>
    <w:lvl w:ilvl="0" w:tplc="37FAD234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727018"/>
    <w:multiLevelType w:val="hybridMultilevel"/>
    <w:tmpl w:val="4C2EEC1A"/>
    <w:lvl w:ilvl="0" w:tplc="23607E76">
      <w:start w:val="1"/>
      <w:numFmt w:val="bullet"/>
      <w:pStyle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043A0A"/>
    <w:multiLevelType w:val="hybridMultilevel"/>
    <w:tmpl w:val="08C842A6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FC2898"/>
    <w:multiLevelType w:val="hybridMultilevel"/>
    <w:tmpl w:val="A5948DBE"/>
    <w:lvl w:ilvl="0" w:tplc="32E86D06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6A13FC"/>
    <w:multiLevelType w:val="hybridMultilevel"/>
    <w:tmpl w:val="56EAA8FC"/>
    <w:lvl w:ilvl="0" w:tplc="FFFFFFFF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78727A"/>
    <w:multiLevelType w:val="hybridMultilevel"/>
    <w:tmpl w:val="B60C91A0"/>
    <w:lvl w:ilvl="0" w:tplc="32E86D06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97557E"/>
    <w:multiLevelType w:val="hybridMultilevel"/>
    <w:tmpl w:val="0F4C2FF6"/>
    <w:lvl w:ilvl="0" w:tplc="FFFFFFFF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6C67CA4"/>
    <w:multiLevelType w:val="hybridMultilevel"/>
    <w:tmpl w:val="3A64906A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F568FF"/>
    <w:multiLevelType w:val="hybridMultilevel"/>
    <w:tmpl w:val="32346908"/>
    <w:lvl w:ilvl="0" w:tplc="32E86D06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211583"/>
    <w:multiLevelType w:val="hybridMultilevel"/>
    <w:tmpl w:val="35207828"/>
    <w:lvl w:ilvl="0" w:tplc="2DAA2390">
      <w:start w:val="1"/>
      <w:numFmt w:val="lowerLetter"/>
      <w:pStyle w:val="ListParagrapha"/>
      <w:lvlText w:val="%1)"/>
      <w:lvlJc w:val="left"/>
      <w:pPr>
        <w:ind w:left="720" w:hanging="360"/>
      </w:pPr>
      <w:rPr>
        <w:rFonts w:ascii="Arial" w:eastAsia="Arial" w:hAnsi="Arial" w:cs="Arial" w:hint="default"/>
        <w:color w:val="383834"/>
        <w:spacing w:val="-2"/>
        <w:w w:val="103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5D75AE"/>
    <w:multiLevelType w:val="hybridMultilevel"/>
    <w:tmpl w:val="ED8808EA"/>
    <w:lvl w:ilvl="0" w:tplc="FFFFFFFF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C435D1"/>
    <w:multiLevelType w:val="hybridMultilevel"/>
    <w:tmpl w:val="2EAE37B0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965071"/>
    <w:multiLevelType w:val="hybridMultilevel"/>
    <w:tmpl w:val="28EE7636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182B45"/>
    <w:multiLevelType w:val="multilevel"/>
    <w:tmpl w:val="B4ACC6EA"/>
    <w:lvl w:ilvl="0">
      <w:start w:val="1"/>
      <w:numFmt w:val="decimal"/>
      <w:pStyle w:val="Heading1numbered0"/>
      <w:lvlText w:val="%1.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pStyle w:val="Heading2numbered0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0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71546C2F"/>
    <w:multiLevelType w:val="hybridMultilevel"/>
    <w:tmpl w:val="1898F8C0"/>
    <w:lvl w:ilvl="0" w:tplc="6BA8646C">
      <w:start w:val="1"/>
      <w:numFmt w:val="decimal"/>
      <w:pStyle w:val="ListParagraph"/>
      <w:lvlText w:val="%1."/>
      <w:lvlJc w:val="left"/>
      <w:pPr>
        <w:ind w:left="369" w:hanging="369"/>
      </w:pPr>
      <w:rPr>
        <w:rFonts w:ascii="Arial" w:eastAsia="Arial" w:hAnsi="Arial" w:cs="Arial" w:hint="default"/>
        <w:color w:val="383834"/>
        <w:spacing w:val="-2"/>
        <w:w w:val="103"/>
        <w:sz w:val="20"/>
        <w:szCs w:val="20"/>
        <w:lang w:val="en-AU" w:eastAsia="en-US" w:bidi="ar-SA"/>
      </w:rPr>
    </w:lvl>
    <w:lvl w:ilvl="1" w:tplc="93AEFE8E">
      <w:numFmt w:val="bullet"/>
      <w:lvlText w:val="•"/>
      <w:lvlJc w:val="left"/>
      <w:pPr>
        <w:ind w:left="3078" w:hanging="369"/>
      </w:pPr>
      <w:rPr>
        <w:rFonts w:hint="default"/>
        <w:lang w:val="en-AU" w:eastAsia="en-US" w:bidi="ar-SA"/>
      </w:rPr>
    </w:lvl>
    <w:lvl w:ilvl="2" w:tplc="12D4977C">
      <w:numFmt w:val="bullet"/>
      <w:lvlText w:val="•"/>
      <w:lvlJc w:val="left"/>
      <w:pPr>
        <w:ind w:left="3976" w:hanging="369"/>
      </w:pPr>
      <w:rPr>
        <w:rFonts w:hint="default"/>
        <w:lang w:val="en-AU" w:eastAsia="en-US" w:bidi="ar-SA"/>
      </w:rPr>
    </w:lvl>
    <w:lvl w:ilvl="3" w:tplc="DF12600A">
      <w:numFmt w:val="bullet"/>
      <w:lvlText w:val="•"/>
      <w:lvlJc w:val="left"/>
      <w:pPr>
        <w:ind w:left="4875" w:hanging="369"/>
      </w:pPr>
      <w:rPr>
        <w:rFonts w:hint="default"/>
        <w:lang w:val="en-AU" w:eastAsia="en-US" w:bidi="ar-SA"/>
      </w:rPr>
    </w:lvl>
    <w:lvl w:ilvl="4" w:tplc="E3CA3F6E">
      <w:numFmt w:val="bullet"/>
      <w:lvlText w:val="•"/>
      <w:lvlJc w:val="left"/>
      <w:pPr>
        <w:ind w:left="5773" w:hanging="369"/>
      </w:pPr>
      <w:rPr>
        <w:rFonts w:hint="default"/>
        <w:lang w:val="en-AU" w:eastAsia="en-US" w:bidi="ar-SA"/>
      </w:rPr>
    </w:lvl>
    <w:lvl w:ilvl="5" w:tplc="CBBC68C0">
      <w:numFmt w:val="bullet"/>
      <w:lvlText w:val="•"/>
      <w:lvlJc w:val="left"/>
      <w:pPr>
        <w:ind w:left="6672" w:hanging="369"/>
      </w:pPr>
      <w:rPr>
        <w:rFonts w:hint="default"/>
        <w:lang w:val="en-AU" w:eastAsia="en-US" w:bidi="ar-SA"/>
      </w:rPr>
    </w:lvl>
    <w:lvl w:ilvl="6" w:tplc="E9A064E6">
      <w:numFmt w:val="bullet"/>
      <w:lvlText w:val="•"/>
      <w:lvlJc w:val="left"/>
      <w:pPr>
        <w:ind w:left="7570" w:hanging="369"/>
      </w:pPr>
      <w:rPr>
        <w:rFonts w:hint="default"/>
        <w:lang w:val="en-AU" w:eastAsia="en-US" w:bidi="ar-SA"/>
      </w:rPr>
    </w:lvl>
    <w:lvl w:ilvl="7" w:tplc="4A0AAF2E">
      <w:numFmt w:val="bullet"/>
      <w:lvlText w:val="•"/>
      <w:lvlJc w:val="left"/>
      <w:pPr>
        <w:ind w:left="8468" w:hanging="369"/>
      </w:pPr>
      <w:rPr>
        <w:rFonts w:hint="default"/>
        <w:lang w:val="en-AU" w:eastAsia="en-US" w:bidi="ar-SA"/>
      </w:rPr>
    </w:lvl>
    <w:lvl w:ilvl="8" w:tplc="0CD834B4">
      <w:numFmt w:val="bullet"/>
      <w:lvlText w:val="•"/>
      <w:lvlJc w:val="left"/>
      <w:pPr>
        <w:ind w:left="9367" w:hanging="369"/>
      </w:pPr>
      <w:rPr>
        <w:rFonts w:hint="default"/>
        <w:lang w:val="en-AU" w:eastAsia="en-US" w:bidi="ar-SA"/>
      </w:rPr>
    </w:lvl>
  </w:abstractNum>
  <w:abstractNum w:abstractNumId="64" w15:restartNumberingAfterBreak="0">
    <w:nsid w:val="7493057A"/>
    <w:multiLevelType w:val="hybridMultilevel"/>
    <w:tmpl w:val="0226D09A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C1098B"/>
    <w:multiLevelType w:val="hybridMultilevel"/>
    <w:tmpl w:val="841EEEEC"/>
    <w:lvl w:ilvl="0" w:tplc="32E86D06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D24AA6"/>
    <w:multiLevelType w:val="hybridMultilevel"/>
    <w:tmpl w:val="EB640E18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857542"/>
    <w:multiLevelType w:val="hybridMultilevel"/>
    <w:tmpl w:val="232C9A6A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680121">
    <w:abstractNumId w:val="31"/>
  </w:num>
  <w:num w:numId="2" w16cid:durableId="1348017532">
    <w:abstractNumId w:val="31"/>
  </w:num>
  <w:num w:numId="3" w16cid:durableId="1276909800">
    <w:abstractNumId w:val="42"/>
  </w:num>
  <w:num w:numId="4" w16cid:durableId="1095596940">
    <w:abstractNumId w:val="49"/>
  </w:num>
  <w:num w:numId="5" w16cid:durableId="10035801">
    <w:abstractNumId w:val="28"/>
  </w:num>
  <w:num w:numId="6" w16cid:durableId="1046485235">
    <w:abstractNumId w:val="63"/>
  </w:num>
  <w:num w:numId="7" w16cid:durableId="1737119480">
    <w:abstractNumId w:val="12"/>
  </w:num>
  <w:num w:numId="8" w16cid:durableId="5313842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645934">
    <w:abstractNumId w:val="55"/>
  </w:num>
  <w:num w:numId="10" w16cid:durableId="1767537595">
    <w:abstractNumId w:val="41"/>
  </w:num>
  <w:num w:numId="11" w16cid:durableId="1744600531">
    <w:abstractNumId w:val="35"/>
  </w:num>
  <w:num w:numId="12" w16cid:durableId="1265452756">
    <w:abstractNumId w:val="62"/>
  </w:num>
  <w:num w:numId="13" w16cid:durableId="248542423">
    <w:abstractNumId w:val="37"/>
  </w:num>
  <w:num w:numId="14" w16cid:durableId="552620858">
    <w:abstractNumId w:val="16"/>
  </w:num>
  <w:num w:numId="15" w16cid:durableId="722800995">
    <w:abstractNumId w:val="36"/>
  </w:num>
  <w:num w:numId="16" w16cid:durableId="1689984267">
    <w:abstractNumId w:val="52"/>
  </w:num>
  <w:num w:numId="17" w16cid:durableId="796529045">
    <w:abstractNumId w:val="38"/>
  </w:num>
  <w:num w:numId="18" w16cid:durableId="377557111">
    <w:abstractNumId w:val="1"/>
  </w:num>
  <w:num w:numId="19" w16cid:durableId="254825739">
    <w:abstractNumId w:val="29"/>
  </w:num>
  <w:num w:numId="20" w16cid:durableId="1204751160">
    <w:abstractNumId w:val="26"/>
  </w:num>
  <w:num w:numId="21" w16cid:durableId="904602790">
    <w:abstractNumId w:val="3"/>
  </w:num>
  <w:num w:numId="22" w16cid:durableId="1431318513">
    <w:abstractNumId w:val="11"/>
  </w:num>
  <w:num w:numId="23" w16cid:durableId="1828398994">
    <w:abstractNumId w:val="47"/>
  </w:num>
  <w:num w:numId="24" w16cid:durableId="1136530042">
    <w:abstractNumId w:val="60"/>
  </w:num>
  <w:num w:numId="25" w16cid:durableId="513543286">
    <w:abstractNumId w:val="15"/>
  </w:num>
  <w:num w:numId="26" w16cid:durableId="861818024">
    <w:abstractNumId w:val="67"/>
  </w:num>
  <w:num w:numId="27" w16cid:durableId="1474176640">
    <w:abstractNumId w:val="22"/>
  </w:num>
  <w:num w:numId="28" w16cid:durableId="1318414999">
    <w:abstractNumId w:val="64"/>
  </w:num>
  <w:num w:numId="29" w16cid:durableId="410615178">
    <w:abstractNumId w:val="2"/>
  </w:num>
  <w:num w:numId="30" w16cid:durableId="974527482">
    <w:abstractNumId w:val="25"/>
    <w:lvlOverride w:ilvl="0">
      <w:startOverride w:val="1"/>
    </w:lvlOverride>
  </w:num>
  <w:num w:numId="31" w16cid:durableId="950161115">
    <w:abstractNumId w:val="4"/>
  </w:num>
  <w:num w:numId="32" w16cid:durableId="1348144043">
    <w:abstractNumId w:val="45"/>
  </w:num>
  <w:num w:numId="33" w16cid:durableId="100804273">
    <w:abstractNumId w:val="56"/>
  </w:num>
  <w:num w:numId="34" w16cid:durableId="1854875897">
    <w:abstractNumId w:val="7"/>
  </w:num>
  <w:num w:numId="35" w16cid:durableId="1866406196">
    <w:abstractNumId w:val="10"/>
  </w:num>
  <w:num w:numId="36" w16cid:durableId="1486817022">
    <w:abstractNumId w:val="5"/>
  </w:num>
  <w:num w:numId="37" w16cid:durableId="132645977">
    <w:abstractNumId w:val="66"/>
  </w:num>
  <w:num w:numId="38" w16cid:durableId="1838576120">
    <w:abstractNumId w:val="24"/>
  </w:num>
  <w:num w:numId="39" w16cid:durableId="216092471">
    <w:abstractNumId w:val="9"/>
  </w:num>
  <w:num w:numId="40" w16cid:durableId="1519390386">
    <w:abstractNumId w:val="50"/>
  </w:num>
  <w:num w:numId="41" w16cid:durableId="1194415084">
    <w:abstractNumId w:val="30"/>
  </w:num>
  <w:num w:numId="42" w16cid:durableId="1177579557">
    <w:abstractNumId w:val="61"/>
  </w:num>
  <w:num w:numId="43" w16cid:durableId="1387413112">
    <w:abstractNumId w:val="25"/>
    <w:lvlOverride w:ilvl="0">
      <w:startOverride w:val="1"/>
    </w:lvlOverride>
  </w:num>
  <w:num w:numId="44" w16cid:durableId="1844735731">
    <w:abstractNumId w:val="25"/>
    <w:lvlOverride w:ilvl="0">
      <w:startOverride w:val="1"/>
    </w:lvlOverride>
  </w:num>
  <w:num w:numId="45" w16cid:durableId="1018586129">
    <w:abstractNumId w:val="44"/>
  </w:num>
  <w:num w:numId="46" w16cid:durableId="648100325">
    <w:abstractNumId w:val="32"/>
  </w:num>
  <w:num w:numId="47" w16cid:durableId="1072580293">
    <w:abstractNumId w:val="58"/>
  </w:num>
  <w:num w:numId="48" w16cid:durableId="138960282">
    <w:abstractNumId w:val="39"/>
  </w:num>
  <w:num w:numId="49" w16cid:durableId="997808520">
    <w:abstractNumId w:val="21"/>
  </w:num>
  <w:num w:numId="50" w16cid:durableId="1777824625">
    <w:abstractNumId w:val="20"/>
  </w:num>
  <w:num w:numId="51" w16cid:durableId="1454206979">
    <w:abstractNumId w:val="6"/>
  </w:num>
  <w:num w:numId="52" w16cid:durableId="355233517">
    <w:abstractNumId w:val="16"/>
    <w:lvlOverride w:ilvl="0">
      <w:startOverride w:val="1"/>
    </w:lvlOverride>
  </w:num>
  <w:num w:numId="53" w16cid:durableId="1309627910">
    <w:abstractNumId w:val="8"/>
  </w:num>
  <w:num w:numId="54" w16cid:durableId="983240121">
    <w:abstractNumId w:val="43"/>
  </w:num>
  <w:num w:numId="55" w16cid:durableId="1316959962">
    <w:abstractNumId w:val="23"/>
  </w:num>
  <w:num w:numId="56" w16cid:durableId="1282683006">
    <w:abstractNumId w:val="57"/>
  </w:num>
  <w:num w:numId="57" w16cid:durableId="2050569955">
    <w:abstractNumId w:val="53"/>
  </w:num>
  <w:num w:numId="58" w16cid:durableId="1061368095">
    <w:abstractNumId w:val="65"/>
  </w:num>
  <w:num w:numId="59" w16cid:durableId="201215040">
    <w:abstractNumId w:val="27"/>
  </w:num>
  <w:num w:numId="60" w16cid:durableId="313609179">
    <w:abstractNumId w:val="19"/>
  </w:num>
  <w:num w:numId="61" w16cid:durableId="257300619">
    <w:abstractNumId w:val="51"/>
  </w:num>
  <w:num w:numId="62" w16cid:durableId="1266041855">
    <w:abstractNumId w:val="40"/>
  </w:num>
  <w:num w:numId="63" w16cid:durableId="2051801187">
    <w:abstractNumId w:val="54"/>
  </w:num>
  <w:num w:numId="64" w16cid:durableId="865868752">
    <w:abstractNumId w:val="0"/>
  </w:num>
  <w:num w:numId="65" w16cid:durableId="466777864">
    <w:abstractNumId w:val="13"/>
  </w:num>
  <w:num w:numId="66" w16cid:durableId="1392148243">
    <w:abstractNumId w:val="14"/>
  </w:num>
  <w:num w:numId="67" w16cid:durableId="308941162">
    <w:abstractNumId w:val="46"/>
  </w:num>
  <w:num w:numId="68" w16cid:durableId="1426027262">
    <w:abstractNumId w:val="48"/>
  </w:num>
  <w:num w:numId="69" w16cid:durableId="1520269185">
    <w:abstractNumId w:val="17"/>
  </w:num>
  <w:num w:numId="70" w16cid:durableId="1941451797">
    <w:abstractNumId w:val="59"/>
  </w:num>
  <w:num w:numId="71" w16cid:durableId="1341664884">
    <w:abstractNumId w:val="18"/>
  </w:num>
  <w:num w:numId="72" w16cid:durableId="1656957921">
    <w:abstractNumId w:val="33"/>
  </w:num>
  <w:num w:numId="73" w16cid:durableId="1412460413">
    <w:abstractNumId w:val="3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B8"/>
    <w:rsid w:val="00003EF4"/>
    <w:rsid w:val="00006100"/>
    <w:rsid w:val="00030B7E"/>
    <w:rsid w:val="0005118D"/>
    <w:rsid w:val="000B7BBB"/>
    <w:rsid w:val="000C0740"/>
    <w:rsid w:val="000E75FB"/>
    <w:rsid w:val="000F5B20"/>
    <w:rsid w:val="00104228"/>
    <w:rsid w:val="00114908"/>
    <w:rsid w:val="00157285"/>
    <w:rsid w:val="001629A5"/>
    <w:rsid w:val="001700E3"/>
    <w:rsid w:val="001713CE"/>
    <w:rsid w:val="001772C9"/>
    <w:rsid w:val="00177848"/>
    <w:rsid w:val="00193B39"/>
    <w:rsid w:val="001C20F9"/>
    <w:rsid w:val="001D1E8C"/>
    <w:rsid w:val="001E567B"/>
    <w:rsid w:val="00203239"/>
    <w:rsid w:val="00242AA9"/>
    <w:rsid w:val="00246C6A"/>
    <w:rsid w:val="00265891"/>
    <w:rsid w:val="00274ABA"/>
    <w:rsid w:val="0028635E"/>
    <w:rsid w:val="00291743"/>
    <w:rsid w:val="002A0A54"/>
    <w:rsid w:val="002A2311"/>
    <w:rsid w:val="002A3B26"/>
    <w:rsid w:val="002A3CC0"/>
    <w:rsid w:val="002A4825"/>
    <w:rsid w:val="002A4D98"/>
    <w:rsid w:val="002C10CE"/>
    <w:rsid w:val="002C2DC7"/>
    <w:rsid w:val="0035690A"/>
    <w:rsid w:val="00362CF6"/>
    <w:rsid w:val="00366FA4"/>
    <w:rsid w:val="00370FD2"/>
    <w:rsid w:val="003829F5"/>
    <w:rsid w:val="0039148E"/>
    <w:rsid w:val="003957FF"/>
    <w:rsid w:val="003A3F2A"/>
    <w:rsid w:val="003D4A8B"/>
    <w:rsid w:val="003E05F4"/>
    <w:rsid w:val="003E1C09"/>
    <w:rsid w:val="00421510"/>
    <w:rsid w:val="004450EB"/>
    <w:rsid w:val="00445EF8"/>
    <w:rsid w:val="004635F2"/>
    <w:rsid w:val="00483058"/>
    <w:rsid w:val="00487AB1"/>
    <w:rsid w:val="0049039B"/>
    <w:rsid w:val="00494786"/>
    <w:rsid w:val="004C0653"/>
    <w:rsid w:val="00513A15"/>
    <w:rsid w:val="005227B7"/>
    <w:rsid w:val="0052379D"/>
    <w:rsid w:val="00590BC1"/>
    <w:rsid w:val="0059361A"/>
    <w:rsid w:val="005C6D11"/>
    <w:rsid w:val="005D78C4"/>
    <w:rsid w:val="005E4417"/>
    <w:rsid w:val="005F1F70"/>
    <w:rsid w:val="00602595"/>
    <w:rsid w:val="00615ADA"/>
    <w:rsid w:val="006232BC"/>
    <w:rsid w:val="00667796"/>
    <w:rsid w:val="00686513"/>
    <w:rsid w:val="006B5FCB"/>
    <w:rsid w:val="006C36CA"/>
    <w:rsid w:val="006D5FE0"/>
    <w:rsid w:val="006E345D"/>
    <w:rsid w:val="006F1C8C"/>
    <w:rsid w:val="00730A3C"/>
    <w:rsid w:val="00756F8D"/>
    <w:rsid w:val="00774F8D"/>
    <w:rsid w:val="007C69B9"/>
    <w:rsid w:val="007D0236"/>
    <w:rsid w:val="007D3D95"/>
    <w:rsid w:val="00814D77"/>
    <w:rsid w:val="0082442A"/>
    <w:rsid w:val="00842B07"/>
    <w:rsid w:val="008475A5"/>
    <w:rsid w:val="008543A0"/>
    <w:rsid w:val="00857D46"/>
    <w:rsid w:val="00880FCA"/>
    <w:rsid w:val="00887305"/>
    <w:rsid w:val="008E7383"/>
    <w:rsid w:val="00906363"/>
    <w:rsid w:val="00912EEA"/>
    <w:rsid w:val="00914AF9"/>
    <w:rsid w:val="009564D4"/>
    <w:rsid w:val="0096090B"/>
    <w:rsid w:val="009952C1"/>
    <w:rsid w:val="009B2A17"/>
    <w:rsid w:val="009C530E"/>
    <w:rsid w:val="009F04B2"/>
    <w:rsid w:val="00A05778"/>
    <w:rsid w:val="00A42238"/>
    <w:rsid w:val="00A45FFA"/>
    <w:rsid w:val="00A6480E"/>
    <w:rsid w:val="00AA0230"/>
    <w:rsid w:val="00AB1A66"/>
    <w:rsid w:val="00AD2C21"/>
    <w:rsid w:val="00B03435"/>
    <w:rsid w:val="00B1545C"/>
    <w:rsid w:val="00B26B52"/>
    <w:rsid w:val="00B515DB"/>
    <w:rsid w:val="00B52EBC"/>
    <w:rsid w:val="00B53837"/>
    <w:rsid w:val="00B66698"/>
    <w:rsid w:val="00BD048B"/>
    <w:rsid w:val="00BD0FAC"/>
    <w:rsid w:val="00BE3C43"/>
    <w:rsid w:val="00BF20ED"/>
    <w:rsid w:val="00C17A57"/>
    <w:rsid w:val="00C34F64"/>
    <w:rsid w:val="00C50F53"/>
    <w:rsid w:val="00C6052E"/>
    <w:rsid w:val="00C80666"/>
    <w:rsid w:val="00CA7AB2"/>
    <w:rsid w:val="00CC2B8F"/>
    <w:rsid w:val="00D02276"/>
    <w:rsid w:val="00D051D2"/>
    <w:rsid w:val="00D33AA2"/>
    <w:rsid w:val="00D41E95"/>
    <w:rsid w:val="00D50D3B"/>
    <w:rsid w:val="00D51F51"/>
    <w:rsid w:val="00D52474"/>
    <w:rsid w:val="00D807D2"/>
    <w:rsid w:val="00D83915"/>
    <w:rsid w:val="00D966F0"/>
    <w:rsid w:val="00D97857"/>
    <w:rsid w:val="00DA7266"/>
    <w:rsid w:val="00DB608A"/>
    <w:rsid w:val="00DD1B40"/>
    <w:rsid w:val="00DF33C2"/>
    <w:rsid w:val="00E0291D"/>
    <w:rsid w:val="00E02B91"/>
    <w:rsid w:val="00E16C0A"/>
    <w:rsid w:val="00E26B6E"/>
    <w:rsid w:val="00E611C7"/>
    <w:rsid w:val="00E828ED"/>
    <w:rsid w:val="00E9084D"/>
    <w:rsid w:val="00E95FCD"/>
    <w:rsid w:val="00E97D0C"/>
    <w:rsid w:val="00EA66F2"/>
    <w:rsid w:val="00EA6770"/>
    <w:rsid w:val="00EA7A88"/>
    <w:rsid w:val="00EA7C7C"/>
    <w:rsid w:val="00EC3A08"/>
    <w:rsid w:val="00EE5BB8"/>
    <w:rsid w:val="00EF4E9E"/>
    <w:rsid w:val="00F04AE1"/>
    <w:rsid w:val="00F660D1"/>
    <w:rsid w:val="00F704C8"/>
    <w:rsid w:val="00FD0B0B"/>
    <w:rsid w:val="00FD7B75"/>
    <w:rsid w:val="00FE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835CEDD"/>
  <w15:chartTrackingRefBased/>
  <w15:docId w15:val="{BE36425F-83E1-4075-B61E-BC827ECD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7B7"/>
    <w:pPr>
      <w:autoSpaceDE w:val="0"/>
      <w:autoSpaceDN w:val="0"/>
      <w:spacing w:after="24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BB8"/>
    <w:pPr>
      <w:keepNext/>
      <w:keepLines/>
      <w:pageBreakBefore/>
      <w:spacing w:before="480"/>
      <w:outlineLvl w:val="0"/>
    </w:pPr>
    <w:rPr>
      <w:rFonts w:eastAsia="MS Gothic" w:cs="Times New Roman"/>
      <w:b/>
      <w:bCs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BB8"/>
    <w:pPr>
      <w:keepNext/>
      <w:keepLines/>
      <w:spacing w:before="360"/>
      <w:outlineLvl w:val="1"/>
    </w:pPr>
    <w:rPr>
      <w:rFonts w:eastAsia="MS Gothic" w:cs="Times New Roman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5BB8"/>
    <w:pPr>
      <w:keepNext/>
      <w:keepLines/>
      <w:suppressAutoHyphens/>
      <w:autoSpaceDE/>
      <w:autoSpaceDN/>
      <w:spacing w:before="240" w:after="200"/>
      <w:outlineLvl w:val="2"/>
    </w:pPr>
    <w:rPr>
      <w:rFonts w:ascii="Arial" w:eastAsia="MS Gothic" w:hAnsi="Arial" w:cs="Arial"/>
      <w:b/>
      <w:bCs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5BB8"/>
    <w:pPr>
      <w:keepNext/>
      <w:keepLines/>
      <w:suppressAutoHyphens/>
      <w:autoSpaceDE/>
      <w:autoSpaceDN/>
      <w:spacing w:before="240" w:after="120"/>
      <w:outlineLvl w:val="3"/>
    </w:pPr>
    <w:rPr>
      <w:rFonts w:ascii="Arial" w:eastAsia="MS Gothic" w:hAnsi="Arial" w:cs="Arial"/>
      <w:b/>
      <w:bCs/>
      <w:iCs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5BB8"/>
    <w:pPr>
      <w:numPr>
        <w:numId w:val="5"/>
      </w:numPr>
      <w:spacing w:before="240" w:after="60"/>
      <w:outlineLvl w:val="4"/>
    </w:pPr>
    <w:rPr>
      <w:rFonts w:cs="Times New Roman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052E"/>
    <w:pPr>
      <w:keepNext/>
      <w:spacing w:before="240" w:after="60"/>
      <w:outlineLvl w:val="5"/>
    </w:pPr>
    <w:rPr>
      <w:rFonts w:eastAsia="Times New Roman" w:cs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30A3C"/>
    <w:pPr>
      <w:keepNext/>
      <w:tabs>
        <w:tab w:val="right" w:leader="dot" w:pos="9629"/>
      </w:tabs>
      <w:spacing w:before="120" w:after="0"/>
    </w:pPr>
    <w:rPr>
      <w:b/>
    </w:rPr>
  </w:style>
  <w:style w:type="paragraph" w:customStyle="1" w:styleId="Tablenotes-indented">
    <w:name w:val="Table notes - indented"/>
    <w:basedOn w:val="Normal"/>
    <w:qFormat/>
    <w:rsid w:val="00D52474"/>
    <w:pPr>
      <w:tabs>
        <w:tab w:val="left" w:pos="294"/>
      </w:tabs>
      <w:spacing w:after="113"/>
      <w:ind w:left="397" w:hanging="170"/>
    </w:pPr>
    <w:rPr>
      <w:rFonts w:ascii="Arial" w:hAnsi="Arial"/>
      <w:i/>
      <w:color w:val="262626" w:themeColor="text1" w:themeTint="D9"/>
      <w:sz w:val="20"/>
      <w:szCs w:val="14"/>
      <w:lang w:val="en-GB"/>
    </w:rPr>
  </w:style>
  <w:style w:type="paragraph" w:customStyle="1" w:styleId="Bullet1">
    <w:name w:val="Bullet 1"/>
    <w:basedOn w:val="Normal"/>
    <w:qFormat/>
    <w:rsid w:val="00EC3A08"/>
    <w:pPr>
      <w:numPr>
        <w:numId w:val="2"/>
      </w:numPr>
      <w:spacing w:after="120" w:line="240" w:lineRule="exact"/>
    </w:pPr>
    <w:rPr>
      <w:color w:val="262626" w:themeColor="text1" w:themeTint="D9"/>
      <w:szCs w:val="18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EE5BB8"/>
    <w:pPr>
      <w:spacing w:after="0"/>
      <w:ind w:left="200"/>
    </w:pPr>
    <w:rPr>
      <w:szCs w:val="22"/>
    </w:rPr>
  </w:style>
  <w:style w:type="paragraph" w:customStyle="1" w:styleId="Bullet1last">
    <w:name w:val="Bullet 1 last"/>
    <w:basedOn w:val="Bullet1"/>
    <w:qFormat/>
    <w:rsid w:val="001713CE"/>
    <w:pPr>
      <w:spacing w:after="240"/>
      <w:ind w:left="284" w:hanging="284"/>
    </w:pPr>
  </w:style>
  <w:style w:type="character" w:customStyle="1" w:styleId="Heading1Char">
    <w:name w:val="Heading 1 Char"/>
    <w:link w:val="Heading1"/>
    <w:uiPriority w:val="9"/>
    <w:rsid w:val="00EE5BB8"/>
    <w:rPr>
      <w:rFonts w:eastAsia="MS Gothic" w:cs="Times New Roman"/>
      <w:b/>
      <w:bCs/>
      <w:kern w:val="0"/>
      <w:sz w:val="36"/>
      <w:lang w:val="en-US"/>
      <w14:ligatures w14:val="none"/>
    </w:rPr>
  </w:style>
  <w:style w:type="character" w:customStyle="1" w:styleId="Heading2Char">
    <w:name w:val="Heading 2 Char"/>
    <w:link w:val="Heading2"/>
    <w:uiPriority w:val="9"/>
    <w:rsid w:val="00EE5BB8"/>
    <w:rPr>
      <w:rFonts w:eastAsia="MS Gothic" w:cs="Times New Roman"/>
      <w:b/>
      <w:bCs/>
      <w:kern w:val="0"/>
      <w:sz w:val="32"/>
      <w:szCs w:val="26"/>
      <w:lang w:val="en-US"/>
      <w14:ligatures w14:val="none"/>
    </w:rPr>
  </w:style>
  <w:style w:type="character" w:customStyle="1" w:styleId="Heading3Char">
    <w:name w:val="Heading 3 Char"/>
    <w:link w:val="Heading3"/>
    <w:uiPriority w:val="9"/>
    <w:rsid w:val="00EE5BB8"/>
    <w:rPr>
      <w:rFonts w:ascii="Arial" w:eastAsia="MS Gothic" w:hAnsi="Arial" w:cs="Arial"/>
      <w:b/>
      <w:bCs/>
      <w:kern w:val="0"/>
      <w:sz w:val="28"/>
      <w:szCs w:val="32"/>
      <w:lang w:val="en-US"/>
      <w14:ligatures w14:val="none"/>
    </w:rPr>
  </w:style>
  <w:style w:type="character" w:customStyle="1" w:styleId="Heading4Char">
    <w:name w:val="Heading 4 Char"/>
    <w:link w:val="Heading4"/>
    <w:uiPriority w:val="9"/>
    <w:rsid w:val="00EE5BB8"/>
    <w:rPr>
      <w:rFonts w:ascii="Arial" w:eastAsia="MS Gothic" w:hAnsi="Arial" w:cs="Arial"/>
      <w:b/>
      <w:bCs/>
      <w:iCs/>
      <w:kern w:val="0"/>
      <w:szCs w:val="32"/>
      <w:lang w:val="en-US"/>
      <w14:ligatures w14:val="none"/>
    </w:rPr>
  </w:style>
  <w:style w:type="character" w:customStyle="1" w:styleId="Heading5Char">
    <w:name w:val="Heading 5 Char"/>
    <w:link w:val="Heading5"/>
    <w:uiPriority w:val="9"/>
    <w:rsid w:val="00EE5BB8"/>
    <w:rPr>
      <w:rFonts w:cs="Times New Roman"/>
      <w:b/>
      <w:bCs/>
      <w:iCs/>
      <w:kern w:val="0"/>
      <w:szCs w:val="26"/>
      <w:lang w:val="en-US"/>
      <w14:ligatures w14:val="none"/>
    </w:rPr>
  </w:style>
  <w:style w:type="character" w:customStyle="1" w:styleId="Heading6Char">
    <w:name w:val="Heading 6 Char"/>
    <w:link w:val="Heading6"/>
    <w:uiPriority w:val="9"/>
    <w:rsid w:val="00C6052E"/>
    <w:rPr>
      <w:rFonts w:eastAsia="Times New Roman" w:cs="Times New Roman"/>
      <w:b/>
      <w:bCs/>
      <w:kern w:val="0"/>
      <w:szCs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EE5B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EE5B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EE5B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BB8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BB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BB8"/>
    <w:pPr>
      <w:outlineLvl w:val="1"/>
    </w:pPr>
    <w:rPr>
      <w:rFonts w:eastAsia="Times New Roman" w:cs="Times New Roman"/>
      <w:sz w:val="28"/>
      <w:szCs w:val="36"/>
    </w:rPr>
  </w:style>
  <w:style w:type="character" w:customStyle="1" w:styleId="SubtitleChar">
    <w:name w:val="Subtitle Char"/>
    <w:link w:val="Subtitle"/>
    <w:uiPriority w:val="11"/>
    <w:rsid w:val="00EE5BB8"/>
    <w:rPr>
      <w:rFonts w:eastAsia="Times New Roman" w:cs="Times New Roman"/>
      <w:kern w:val="0"/>
      <w:sz w:val="28"/>
      <w:szCs w:val="36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EE5BB8"/>
    <w:pPr>
      <w:numPr>
        <w:numId w:val="6"/>
      </w:numPr>
      <w:tabs>
        <w:tab w:val="left" w:pos="2180"/>
        <w:tab w:val="left" w:pos="2181"/>
      </w:tabs>
      <w:spacing w:after="140"/>
    </w:pPr>
    <w:rPr>
      <w:rFonts w:eastAsia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B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5BB8"/>
    <w:rPr>
      <w:rFonts w:ascii="Lucida Grande" w:hAnsi="Lucida Grande" w:cs="Lucida Grande"/>
      <w:kern w:val="0"/>
      <w:sz w:val="18"/>
      <w:szCs w:val="18"/>
      <w:lang w:val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E5BB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EE5BB8"/>
    <w:rPr>
      <w:kern w:val="0"/>
      <w:lang w:val="en-US"/>
      <w14:ligatures w14:val="none"/>
    </w:rPr>
  </w:style>
  <w:style w:type="paragraph" w:customStyle="1" w:styleId="Bullet">
    <w:name w:val="Bullet"/>
    <w:basedOn w:val="Normal"/>
    <w:qFormat/>
    <w:rsid w:val="00EE5BB8"/>
    <w:pPr>
      <w:numPr>
        <w:numId w:val="4"/>
      </w:numPr>
      <w:spacing w:after="140"/>
    </w:pPr>
  </w:style>
  <w:style w:type="paragraph" w:customStyle="1" w:styleId="Bullet2">
    <w:name w:val="Bullet 2"/>
    <w:basedOn w:val="Bullet"/>
    <w:qFormat/>
    <w:rsid w:val="00EE5BB8"/>
    <w:pPr>
      <w:numPr>
        <w:numId w:val="3"/>
      </w:numPr>
    </w:pPr>
  </w:style>
  <w:style w:type="paragraph" w:customStyle="1" w:styleId="Bulletlast">
    <w:name w:val="Bullet last"/>
    <w:basedOn w:val="Bullet"/>
    <w:qFormat/>
    <w:rsid w:val="00EE5BB8"/>
    <w:pPr>
      <w:spacing w:after="280"/>
    </w:pPr>
  </w:style>
  <w:style w:type="paragraph" w:customStyle="1" w:styleId="Default">
    <w:name w:val="Default"/>
    <w:rsid w:val="00EE5BB8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  <w:style w:type="character" w:styleId="FollowedHyperlink">
    <w:name w:val="FollowedHyperlink"/>
    <w:uiPriority w:val="99"/>
    <w:semiHidden/>
    <w:unhideWhenUsed/>
    <w:rsid w:val="00EE5BB8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EE5BB8"/>
    <w:pPr>
      <w:tabs>
        <w:tab w:val="center" w:pos="4320"/>
        <w:tab w:val="right" w:pos="9639"/>
      </w:tabs>
      <w:spacing w:after="0" w:line="200" w:lineRule="atLeast"/>
    </w:pPr>
    <w:rPr>
      <w:sz w:val="16"/>
    </w:rPr>
  </w:style>
  <w:style w:type="character" w:customStyle="1" w:styleId="FooterChar">
    <w:name w:val="Footer Char"/>
    <w:link w:val="Footer"/>
    <w:uiPriority w:val="99"/>
    <w:rsid w:val="00EE5BB8"/>
    <w:rPr>
      <w:kern w:val="0"/>
      <w:sz w:val="16"/>
      <w:lang w:val="en-US"/>
      <w14:ligatures w14:val="none"/>
    </w:rPr>
  </w:style>
  <w:style w:type="character" w:styleId="FootnoteReference">
    <w:name w:val="footnote reference"/>
    <w:uiPriority w:val="99"/>
    <w:unhideWhenUsed/>
    <w:rsid w:val="00EE5BB8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E5BB8"/>
    <w:pPr>
      <w:spacing w:after="60"/>
    </w:pPr>
    <w:rPr>
      <w:sz w:val="20"/>
    </w:rPr>
  </w:style>
  <w:style w:type="character" w:customStyle="1" w:styleId="FootnoteTextChar">
    <w:name w:val="Footnote Text Char"/>
    <w:link w:val="FootnoteText"/>
    <w:uiPriority w:val="99"/>
    <w:rsid w:val="00EE5BB8"/>
    <w:rPr>
      <w:kern w:val="0"/>
      <w:sz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E5BB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E5BB8"/>
    <w:rPr>
      <w:kern w:val="0"/>
      <w:lang w:val="en-US"/>
      <w14:ligatures w14:val="none"/>
    </w:rPr>
  </w:style>
  <w:style w:type="character" w:styleId="Hyperlink">
    <w:name w:val="Hyperlink"/>
    <w:uiPriority w:val="99"/>
    <w:unhideWhenUsed/>
    <w:rsid w:val="00EE5BB8"/>
    <w:rPr>
      <w:rFonts w:ascii="Arial" w:hAnsi="Arial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E5B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ormalbeforebullets">
    <w:name w:val="Normal before bullets"/>
    <w:basedOn w:val="Normal"/>
    <w:qFormat/>
    <w:rsid w:val="00EE5BB8"/>
    <w:pPr>
      <w:keepNext/>
      <w:spacing w:after="140"/>
    </w:pPr>
  </w:style>
  <w:style w:type="character" w:styleId="PageNumber">
    <w:name w:val="page number"/>
    <w:uiPriority w:val="99"/>
    <w:unhideWhenUsed/>
    <w:rsid w:val="00EE5BB8"/>
  </w:style>
  <w:style w:type="paragraph" w:customStyle="1" w:styleId="TableCopy">
    <w:name w:val="Table Copy"/>
    <w:basedOn w:val="Normal"/>
    <w:qFormat/>
    <w:rsid w:val="00EA66F2"/>
    <w:pPr>
      <w:spacing w:after="120"/>
    </w:pPr>
  </w:style>
  <w:style w:type="paragraph" w:customStyle="1" w:styleId="TableBullet">
    <w:name w:val="Table Bullet"/>
    <w:basedOn w:val="TableCopy"/>
    <w:qFormat/>
    <w:rsid w:val="00EE5BB8"/>
    <w:pPr>
      <w:numPr>
        <w:numId w:val="7"/>
      </w:numPr>
      <w:spacing w:before="60" w:after="60"/>
    </w:pPr>
    <w:rPr>
      <w:szCs w:val="22"/>
    </w:rPr>
  </w:style>
  <w:style w:type="paragraph" w:customStyle="1" w:styleId="TableHeading">
    <w:name w:val="Table Heading"/>
    <w:basedOn w:val="Normal"/>
    <w:qFormat/>
    <w:rsid w:val="00EE5BB8"/>
    <w:pPr>
      <w:keepNext/>
      <w:spacing w:after="60"/>
    </w:pPr>
    <w:rPr>
      <w:b/>
      <w:lang w:eastAsia="en-GB"/>
    </w:rPr>
  </w:style>
  <w:style w:type="paragraph" w:customStyle="1" w:styleId="TableColumnHeading">
    <w:name w:val="Table Column Heading"/>
    <w:basedOn w:val="TableHeading"/>
    <w:qFormat/>
    <w:rsid w:val="00EE5BB8"/>
    <w:pPr>
      <w:spacing w:before="80" w:after="80"/>
    </w:pPr>
    <w:rPr>
      <w:szCs w:val="36"/>
      <w:lang w:val="en-GB"/>
    </w:rPr>
  </w:style>
  <w:style w:type="table" w:styleId="TableGrid">
    <w:name w:val="Table Grid"/>
    <w:basedOn w:val="TableNormal"/>
    <w:uiPriority w:val="59"/>
    <w:rsid w:val="00177848"/>
    <w:rPr>
      <w:rFonts w:ascii="Arial" w:eastAsia="MS Mincho" w:hAnsi="Arial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table" w:styleId="TableGridLight">
    <w:name w:val="Grid Table Light"/>
    <w:basedOn w:val="TableNormal"/>
    <w:uiPriority w:val="40"/>
    <w:rsid w:val="00EE5BB8"/>
    <w:pPr>
      <w:widowControl w:val="0"/>
      <w:autoSpaceDE w:val="0"/>
      <w:autoSpaceDN w:val="0"/>
    </w:pPr>
    <w:rPr>
      <w:kern w:val="0"/>
      <w:lang w:val="en-US"/>
      <w14:ligatures w14:val="none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</w:style>
  <w:style w:type="paragraph" w:customStyle="1" w:styleId="TableParagraph">
    <w:name w:val="Table Paragraph"/>
    <w:basedOn w:val="Normal"/>
    <w:uiPriority w:val="1"/>
    <w:qFormat/>
    <w:rsid w:val="00EE5BB8"/>
    <w:pPr>
      <w:spacing w:after="140"/>
    </w:pPr>
    <w:rPr>
      <w:rFonts w:eastAsia="Arial"/>
      <w:szCs w:val="22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EE5BB8"/>
    <w:pPr>
      <w:spacing w:after="0"/>
      <w:ind w:left="600"/>
    </w:pPr>
    <w:rPr>
      <w:rFonts w:ascii="Cambria" w:hAnsi="Cambria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E5BB8"/>
    <w:pPr>
      <w:spacing w:after="0"/>
      <w:ind w:left="800"/>
    </w:pPr>
    <w:rPr>
      <w:rFonts w:ascii="Cambria" w:hAnsi="Cambria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E5BB8"/>
    <w:pPr>
      <w:spacing w:after="0"/>
      <w:ind w:left="1000"/>
    </w:pPr>
    <w:rPr>
      <w:rFonts w:ascii="Cambria" w:hAnsi="Cambria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E5BB8"/>
    <w:pPr>
      <w:spacing w:after="0"/>
      <w:ind w:left="1200"/>
    </w:pPr>
    <w:rPr>
      <w:rFonts w:ascii="Cambria" w:hAnsi="Cambria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E5BB8"/>
    <w:pPr>
      <w:spacing w:after="0"/>
      <w:ind w:left="1400"/>
    </w:pPr>
    <w:rPr>
      <w:rFonts w:ascii="Cambria" w:hAnsi="Cambria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E5BB8"/>
    <w:pPr>
      <w:spacing w:after="0"/>
      <w:ind w:left="1600"/>
    </w:pPr>
    <w:rPr>
      <w:rFonts w:ascii="Cambria" w:hAnsi="Cambria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E5BB8"/>
    <w:pPr>
      <w:pageBreakBefore w:val="0"/>
      <w:spacing w:line="360" w:lineRule="auto"/>
      <w:outlineLvl w:val="9"/>
    </w:pPr>
    <w:rPr>
      <w:sz w:val="32"/>
      <w:szCs w:val="28"/>
    </w:rPr>
  </w:style>
  <w:style w:type="numbering" w:customStyle="1" w:styleId="CurrentList1">
    <w:name w:val="Current List1"/>
    <w:uiPriority w:val="99"/>
    <w:rsid w:val="00EE5BB8"/>
    <w:pPr>
      <w:numPr>
        <w:numId w:val="9"/>
      </w:numPr>
    </w:pPr>
  </w:style>
  <w:style w:type="numbering" w:customStyle="1" w:styleId="CurrentList2">
    <w:name w:val="Current List2"/>
    <w:uiPriority w:val="99"/>
    <w:rsid w:val="00EE5BB8"/>
    <w:pPr>
      <w:numPr>
        <w:numId w:val="10"/>
      </w:numPr>
    </w:pPr>
  </w:style>
  <w:style w:type="paragraph" w:customStyle="1" w:styleId="Contentsheading">
    <w:name w:val="Contents heading"/>
    <w:basedOn w:val="Normal"/>
    <w:qFormat/>
    <w:rsid w:val="00EE5BB8"/>
    <w:pPr>
      <w:keepNext/>
      <w:spacing w:line="240" w:lineRule="auto"/>
    </w:pPr>
    <w:rPr>
      <w:b/>
      <w:color w:val="000000" w:themeColor="text1"/>
      <w:sz w:val="32"/>
      <w:szCs w:val="44"/>
    </w:rPr>
  </w:style>
  <w:style w:type="table" w:customStyle="1" w:styleId="14514AnnualReport">
    <w:name w:val="14514_Annual_Report"/>
    <w:basedOn w:val="TableNormal"/>
    <w:uiPriority w:val="99"/>
    <w:rsid w:val="00EE5BB8"/>
    <w:pPr>
      <w:spacing w:after="0" w:line="240" w:lineRule="auto"/>
    </w:pPr>
    <w:rPr>
      <w:sz w:val="16"/>
    </w:rPr>
    <w:tblPr>
      <w:tblBorders>
        <w:top w:val="single" w:sz="6" w:space="0" w:color="196B24" w:themeColor="accent3"/>
        <w:bottom w:val="single" w:sz="6" w:space="0" w:color="196B24" w:themeColor="accent3"/>
        <w:insideH w:val="dashed" w:sz="4" w:space="0" w:color="ADADAD" w:themeColor="background2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jc w:val="left"/>
      </w:pPr>
      <w:rPr>
        <w:rFonts w:asciiTheme="minorHAnsi" w:hAnsiTheme="minorHAnsi"/>
        <w:sz w:val="16"/>
      </w:rPr>
      <w:tblPr/>
      <w:tcPr>
        <w:tcBorders>
          <w:top w:val="single" w:sz="6" w:space="0" w:color="196B24" w:themeColor="accent3"/>
          <w:left w:val="nil"/>
          <w:bottom w:val="single" w:sz="6" w:space="0" w:color="196B24" w:themeColor="accent3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Theme="minorHAnsi" w:hAnsiTheme="minorHAnsi"/>
        <w:sz w:val="16"/>
      </w:rPr>
      <w:tblPr/>
      <w:tcPr>
        <w:tcBorders>
          <w:top w:val="single" w:sz="6" w:space="0" w:color="196B24" w:themeColor="accent3"/>
          <w:left w:val="nil"/>
          <w:bottom w:val="single" w:sz="6" w:space="0" w:color="196B24" w:themeColor="accent3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ChapterNumber">
    <w:name w:val="Chapter Number"/>
    <w:basedOn w:val="Normal"/>
    <w:qFormat/>
    <w:rsid w:val="00EE5BB8"/>
    <w:pPr>
      <w:spacing w:before="4960" w:after="500" w:line="4800" w:lineRule="exact"/>
      <w:ind w:left="-425"/>
    </w:pPr>
    <w:rPr>
      <w:color w:val="196B24" w:themeColor="accent3"/>
      <w:spacing w:val="-420"/>
      <w:sz w:val="804"/>
      <w:szCs w:val="804"/>
    </w:rPr>
  </w:style>
  <w:style w:type="paragraph" w:customStyle="1" w:styleId="Chaptertitle">
    <w:name w:val="Chapter title"/>
    <w:basedOn w:val="Normal"/>
    <w:qFormat/>
    <w:rsid w:val="00EE5BB8"/>
    <w:pPr>
      <w:spacing w:line="920" w:lineRule="exact"/>
      <w:ind w:left="113"/>
    </w:pPr>
    <w:rPr>
      <w:color w:val="196B24" w:themeColor="accent3"/>
      <w:sz w:val="100"/>
      <w:szCs w:val="100"/>
    </w:rPr>
  </w:style>
  <w:style w:type="paragraph" w:customStyle="1" w:styleId="Graph">
    <w:name w:val="Graph"/>
    <w:basedOn w:val="Normal"/>
    <w:qFormat/>
    <w:rsid w:val="00EE5BB8"/>
    <w:pPr>
      <w:spacing w:before="113" w:line="240" w:lineRule="auto"/>
    </w:pPr>
    <w:rPr>
      <w:noProof/>
    </w:rPr>
  </w:style>
  <w:style w:type="paragraph" w:customStyle="1" w:styleId="Introtext">
    <w:name w:val="Intro text"/>
    <w:basedOn w:val="Normal"/>
    <w:qFormat/>
    <w:rsid w:val="00EE5BB8"/>
    <w:pPr>
      <w:spacing w:line="280" w:lineRule="exact"/>
    </w:pPr>
  </w:style>
  <w:style w:type="character" w:customStyle="1" w:styleId="Italics">
    <w:name w:val="Italics"/>
    <w:basedOn w:val="DefaultParagraphFont"/>
    <w:uiPriority w:val="1"/>
    <w:qFormat/>
    <w:rsid w:val="00C6052E"/>
    <w:rPr>
      <w:rFonts w:asciiTheme="minorHAnsi" w:hAnsiTheme="minorHAnsi"/>
      <w:i/>
      <w:iCs/>
    </w:rPr>
  </w:style>
  <w:style w:type="paragraph" w:customStyle="1" w:styleId="Normalbeforebullet">
    <w:name w:val="Normal before bullet"/>
    <w:basedOn w:val="Normal"/>
    <w:qFormat/>
    <w:rsid w:val="001713CE"/>
    <w:pPr>
      <w:spacing w:after="120"/>
    </w:pPr>
  </w:style>
  <w:style w:type="paragraph" w:customStyle="1" w:styleId="Tabletext">
    <w:name w:val="Table text"/>
    <w:basedOn w:val="Normal"/>
    <w:link w:val="TabletextChar"/>
    <w:qFormat/>
    <w:rsid w:val="00EE5BB8"/>
    <w:pPr>
      <w:spacing w:after="0" w:line="220" w:lineRule="exact"/>
    </w:pPr>
    <w:rPr>
      <w:sz w:val="16"/>
      <w:szCs w:val="16"/>
    </w:rPr>
  </w:style>
  <w:style w:type="paragraph" w:customStyle="1" w:styleId="Tablebullet0">
    <w:name w:val="Table bullet"/>
    <w:basedOn w:val="Tabletext"/>
    <w:qFormat/>
    <w:rsid w:val="00EE5BB8"/>
    <w:pPr>
      <w:numPr>
        <w:numId w:val="13"/>
      </w:numPr>
      <w:ind w:left="0" w:firstLine="0"/>
    </w:pPr>
  </w:style>
  <w:style w:type="paragraph" w:customStyle="1" w:styleId="Tableheading0">
    <w:name w:val="Table heading"/>
    <w:basedOn w:val="Tabletext"/>
    <w:qFormat/>
    <w:rsid w:val="00EE5BB8"/>
    <w:pPr>
      <w:keepNext/>
    </w:pPr>
    <w:rPr>
      <w:rFonts w:ascii="VIC Medium" w:hAnsi="VIC Medium"/>
      <w:color w:val="196B24" w:themeColor="accent3"/>
    </w:rPr>
  </w:style>
  <w:style w:type="paragraph" w:customStyle="1" w:styleId="Tablenotes">
    <w:name w:val="Table notes"/>
    <w:basedOn w:val="Normal"/>
    <w:qFormat/>
    <w:rsid w:val="00EE5BB8"/>
    <w:pPr>
      <w:tabs>
        <w:tab w:val="left" w:pos="294"/>
      </w:tabs>
      <w:spacing w:before="120" w:after="120" w:line="240" w:lineRule="auto"/>
      <w:ind w:left="295" w:hanging="295"/>
    </w:pPr>
    <w:rPr>
      <w:i/>
      <w:sz w:val="18"/>
      <w:szCs w:val="14"/>
    </w:rPr>
  </w:style>
  <w:style w:type="paragraph" w:customStyle="1" w:styleId="Tablenotes-numbered">
    <w:name w:val="Table notes - numbered"/>
    <w:basedOn w:val="Tablenotes"/>
    <w:qFormat/>
    <w:rsid w:val="001713CE"/>
    <w:pPr>
      <w:numPr>
        <w:numId w:val="14"/>
      </w:numPr>
      <w:spacing w:line="276" w:lineRule="auto"/>
      <w:ind w:left="0" w:firstLine="0"/>
    </w:pPr>
  </w:style>
  <w:style w:type="paragraph" w:customStyle="1" w:styleId="Tabletotal">
    <w:name w:val="Table total"/>
    <w:basedOn w:val="Tabletext"/>
    <w:qFormat/>
    <w:rsid w:val="003957FF"/>
    <w:pPr>
      <w:spacing w:after="120" w:line="264" w:lineRule="auto"/>
    </w:pPr>
    <w:rPr>
      <w:rFonts w:ascii="Arial" w:hAnsi="Arial"/>
      <w:b/>
      <w:sz w:val="20"/>
    </w:rPr>
  </w:style>
  <w:style w:type="character" w:customStyle="1" w:styleId="Wingdings">
    <w:name w:val="Wingdings"/>
    <w:basedOn w:val="DefaultParagraphFont"/>
    <w:uiPriority w:val="1"/>
    <w:qFormat/>
    <w:rsid w:val="00EE5BB8"/>
    <w:rPr>
      <w:rFonts w:ascii="Wingdings" w:hAnsi="Wingdings"/>
    </w:rPr>
  </w:style>
  <w:style w:type="paragraph" w:customStyle="1" w:styleId="Footnote">
    <w:name w:val="Footnote"/>
    <w:basedOn w:val="Normal"/>
    <w:qFormat/>
    <w:rsid w:val="004C0653"/>
    <w:pPr>
      <w:spacing w:after="60"/>
      <w:ind w:left="170" w:hanging="170"/>
    </w:pPr>
    <w:rPr>
      <w:sz w:val="16"/>
      <w:szCs w:val="14"/>
    </w:rPr>
  </w:style>
  <w:style w:type="paragraph" w:customStyle="1" w:styleId="Structurepoints">
    <w:name w:val="Structure points"/>
    <w:basedOn w:val="Normal"/>
    <w:qFormat/>
    <w:rsid w:val="00EE5BB8"/>
    <w:pPr>
      <w:spacing w:after="85"/>
      <w:ind w:left="454" w:hanging="454"/>
    </w:pPr>
    <w:rPr>
      <w:b/>
    </w:rPr>
  </w:style>
  <w:style w:type="character" w:customStyle="1" w:styleId="Medium">
    <w:name w:val="Medium"/>
    <w:basedOn w:val="DefaultParagraphFont"/>
    <w:uiPriority w:val="1"/>
    <w:qFormat/>
    <w:rsid w:val="00C6052E"/>
    <w:rPr>
      <w:rFonts w:ascii="Arial" w:hAnsi="Arial" w:hint="default"/>
      <w:b/>
    </w:rPr>
  </w:style>
  <w:style w:type="table" w:customStyle="1" w:styleId="14514AnnualReport1">
    <w:name w:val="14514_Annual_Report1"/>
    <w:basedOn w:val="TableNormal"/>
    <w:uiPriority w:val="99"/>
    <w:rsid w:val="00EE5BB8"/>
    <w:pPr>
      <w:spacing w:after="0" w:line="240" w:lineRule="auto"/>
    </w:pPr>
    <w:rPr>
      <w:sz w:val="16"/>
    </w:rPr>
    <w:tblPr>
      <w:tblBorders>
        <w:insideH w:val="dashed" w:sz="4" w:space="0" w:color="ADADAD" w:themeColor="background2" w:themeShade="BF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jc w:val="left"/>
      </w:pPr>
      <w:rPr>
        <w:rFonts w:ascii="VIC SemiBold Italic" w:hAnsi="VIC SemiBold Italic"/>
        <w:sz w:val="16"/>
      </w:rPr>
      <w:tblPr/>
      <w:trPr>
        <w:cantSplit/>
      </w:trPr>
      <w:tcPr>
        <w:tcBorders>
          <w:top w:val="single" w:sz="6" w:space="0" w:color="156082" w:themeColor="accent1"/>
          <w:left w:val="nil"/>
          <w:bottom w:val="single" w:sz="6" w:space="0" w:color="156082" w:themeColor="accent1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="VIC SemiBold Italic" w:hAnsi="VIC SemiBold Italic"/>
        <w:sz w:val="16"/>
      </w:rPr>
      <w:tblPr/>
      <w:tcPr>
        <w:tcBorders>
          <w:top w:val="single" w:sz="6" w:space="0" w:color="156082" w:themeColor="accent1"/>
          <w:left w:val="nil"/>
          <w:bottom w:val="single" w:sz="6" w:space="0" w:color="156082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riveDocumentControl">
    <w:name w:val="Strive Document Control"/>
    <w:basedOn w:val="TableNormal"/>
    <w:uiPriority w:val="99"/>
    <w:rsid w:val="00EE5BB8"/>
    <w:pPr>
      <w:spacing w:after="0" w:line="240" w:lineRule="auto"/>
    </w:pPr>
    <w:rPr>
      <w:rFonts w:ascii="Arial" w:eastAsia="MS Mincho" w:hAnsi="Arial" w:cs="Times New Roman"/>
      <w:kern w:val="0"/>
      <w:sz w:val="20"/>
      <w:szCs w:val="20"/>
      <w:lang w:eastAsia="en-AU"/>
      <w14:ligatures w14:val="none"/>
    </w:rPr>
    <w:tblPr>
      <w:tblBorders>
        <w:bottom w:val="single" w:sz="6" w:space="0" w:color="196B24" w:themeColor="accent3"/>
        <w:insideH w:val="single" w:sz="4" w:space="0" w:color="196B24" w:themeColor="accent3"/>
        <w:insideV w:val="single" w:sz="4" w:space="0" w:color="196B24" w:themeColor="accent3"/>
      </w:tblBorders>
    </w:tblPr>
    <w:tblStylePr w:type="firstRow">
      <w:tblPr/>
      <w:tcPr>
        <w:tcBorders>
          <w:top w:val="single" w:sz="6" w:space="0" w:color="196B24" w:themeColor="accent3"/>
          <w:left w:val="nil"/>
          <w:bottom w:val="nil"/>
          <w:right w:val="nil"/>
          <w:insideH w:val="nil"/>
          <w:insideV w:val="single" w:sz="4" w:space="0" w:color="196B24" w:themeColor="accent3"/>
          <w:tl2br w:val="nil"/>
          <w:tr2bl w:val="nil"/>
        </w:tcBorders>
        <w:shd w:val="clear" w:color="auto" w:fill="DFF7E2" w:themeFill="accent3" w:themeFillTint="1A"/>
      </w:tcPr>
    </w:tblStylePr>
  </w:style>
  <w:style w:type="paragraph" w:customStyle="1" w:styleId="Bullet2last">
    <w:name w:val="Bullet 2 last"/>
    <w:basedOn w:val="Bullet2"/>
    <w:qFormat/>
    <w:rsid w:val="00EE5BB8"/>
    <w:pPr>
      <w:numPr>
        <w:numId w:val="0"/>
      </w:numPr>
      <w:spacing w:after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E5BB8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2A4D98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2A4D98"/>
    <w:rPr>
      <w:b/>
      <w:bCs/>
      <w:kern w:val="0"/>
      <w:sz w:val="20"/>
      <w:szCs w:val="20"/>
      <w:lang w:val="en-US"/>
      <w14:ligatures w14:val="none"/>
    </w:rPr>
  </w:style>
  <w:style w:type="table" w:styleId="GridTable1Light-Accent3">
    <w:name w:val="Grid Table 1 Light Accent 3"/>
    <w:basedOn w:val="TableNormal"/>
    <w:uiPriority w:val="46"/>
    <w:rsid w:val="00EE5BB8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Heading3numbered0">
    <w:name w:val="Heading 3 numbered"/>
    <w:basedOn w:val="Heading4"/>
    <w:qFormat/>
    <w:rsid w:val="00157285"/>
    <w:pPr>
      <w:numPr>
        <w:ilvl w:val="2"/>
        <w:numId w:val="12"/>
      </w:numPr>
      <w:ind w:left="709" w:hanging="709"/>
    </w:pPr>
    <w:rPr>
      <w:sz w:val="26"/>
      <w:szCs w:val="22"/>
    </w:rPr>
  </w:style>
  <w:style w:type="paragraph" w:styleId="ListBullet">
    <w:name w:val="List Bullet"/>
    <w:basedOn w:val="Normal"/>
    <w:uiPriority w:val="99"/>
    <w:semiHidden/>
    <w:unhideWhenUsed/>
    <w:rsid w:val="00EE5BB8"/>
    <w:pPr>
      <w:contextualSpacing/>
    </w:pPr>
  </w:style>
  <w:style w:type="paragraph" w:styleId="ListBullet2">
    <w:name w:val="List Bullet 2"/>
    <w:basedOn w:val="Normal"/>
    <w:uiPriority w:val="99"/>
    <w:semiHidden/>
    <w:unhideWhenUsed/>
    <w:rsid w:val="00EE5BB8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EE5BB8"/>
    <w:p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5BB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E5BB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E5BB8"/>
    <w:pPr>
      <w:spacing w:after="120"/>
      <w:ind w:left="849"/>
      <w:contextualSpacing/>
    </w:pPr>
  </w:style>
  <w:style w:type="table" w:styleId="ListTable1Light-Accent3">
    <w:name w:val="List Table 1 Light Accent 3"/>
    <w:basedOn w:val="TableNormal"/>
    <w:uiPriority w:val="46"/>
    <w:rsid w:val="00EE5B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EE5BB8"/>
    <w:rPr>
      <w:color w:val="666666"/>
    </w:rPr>
  </w:style>
  <w:style w:type="paragraph" w:customStyle="1" w:styleId="RHFooter">
    <w:name w:val="RH Footer"/>
    <w:basedOn w:val="Footer"/>
    <w:qFormat/>
    <w:rsid w:val="00EE5BB8"/>
    <w:pPr>
      <w:jc w:val="right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5BB8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EE5BB8"/>
    <w:rPr>
      <w:color w:val="605E5C"/>
      <w:shd w:val="clear" w:color="auto" w:fill="E1DFDD"/>
    </w:rPr>
  </w:style>
  <w:style w:type="paragraph" w:customStyle="1" w:styleId="NoParagraphStyle">
    <w:name w:val="[No Paragraph Style]"/>
    <w:rsid w:val="00EE5BB8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kern w:val="0"/>
      <w:lang w:val="en-US"/>
      <w14:ligatures w14:val="none"/>
    </w:rPr>
  </w:style>
  <w:style w:type="table" w:customStyle="1" w:styleId="DJSIR">
    <w:name w:val="DJSIR"/>
    <w:basedOn w:val="TableNormal"/>
    <w:uiPriority w:val="99"/>
    <w:rsid w:val="00EE5BB8"/>
    <w:pPr>
      <w:spacing w:before="60" w:after="60" w:line="240" w:lineRule="auto"/>
    </w:pPr>
    <w:rPr>
      <w:kern w:val="0"/>
      <w:sz w:val="18"/>
      <w14:ligatures w14:val="none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156082" w:themeFill="accent1"/>
      </w:tcPr>
    </w:tblStylePr>
  </w:style>
  <w:style w:type="paragraph" w:styleId="Revision">
    <w:name w:val="Revision"/>
    <w:hidden/>
    <w:uiPriority w:val="99"/>
    <w:semiHidden/>
    <w:rsid w:val="00EE5BB8"/>
    <w:pPr>
      <w:spacing w:after="0" w:line="240" w:lineRule="auto"/>
    </w:pPr>
    <w:rPr>
      <w:rFonts w:ascii="Arial" w:hAnsi="Arial" w:cs="Arial"/>
      <w:color w:val="000000"/>
      <w:kern w:val="0"/>
      <w:sz w:val="18"/>
      <w:szCs w:val="18"/>
      <w:lang w:val="en-US"/>
      <w14:ligatures w14:val="none"/>
    </w:rPr>
  </w:style>
  <w:style w:type="paragraph" w:customStyle="1" w:styleId="Bulleta">
    <w:name w:val="Bullet a)"/>
    <w:basedOn w:val="Normal"/>
    <w:qFormat/>
    <w:rsid w:val="00EE5BB8"/>
    <w:pPr>
      <w:numPr>
        <w:numId w:val="8"/>
      </w:numPr>
      <w:spacing w:after="57"/>
      <w:ind w:left="0" w:firstLine="0"/>
    </w:pPr>
  </w:style>
  <w:style w:type="paragraph" w:styleId="BlockText">
    <w:name w:val="Block Text"/>
    <w:basedOn w:val="Normal"/>
    <w:uiPriority w:val="99"/>
    <w:semiHidden/>
    <w:unhideWhenUsed/>
    <w:rsid w:val="00EE5BB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E5B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E5BB8"/>
    <w:rPr>
      <w:kern w:val="0"/>
      <w:lang w:val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E5BB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E5BB8"/>
    <w:rPr>
      <w:kern w:val="0"/>
      <w:sz w:val="16"/>
      <w:szCs w:val="16"/>
      <w:lang w:val="en-U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5BB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E5BB8"/>
    <w:rPr>
      <w:rFonts w:ascii="Segoe UI" w:hAnsi="Segoe UI" w:cs="Segoe UI"/>
      <w:kern w:val="0"/>
      <w:sz w:val="16"/>
      <w:szCs w:val="16"/>
      <w:lang w:val="en-US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EE5BB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5BB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E5BB8"/>
    <w:rPr>
      <w:kern w:val="0"/>
      <w:sz w:val="20"/>
      <w:szCs w:val="20"/>
      <w:lang w:val="en-US"/>
      <w14:ligatures w14:val="none"/>
    </w:rPr>
  </w:style>
  <w:style w:type="paragraph" w:customStyle="1" w:styleId="FinancialstatementsTOC">
    <w:name w:val="Financial statements TOC"/>
    <w:basedOn w:val="Normal"/>
    <w:qFormat/>
    <w:rsid w:val="00D52474"/>
    <w:pPr>
      <w:tabs>
        <w:tab w:val="left" w:pos="284"/>
        <w:tab w:val="right" w:pos="9498"/>
      </w:tabs>
    </w:pPr>
    <w:rPr>
      <w:rFonts w:ascii="Arial" w:hAnsi="Arial"/>
    </w:rPr>
  </w:style>
  <w:style w:type="paragraph" w:customStyle="1" w:styleId="FinancialstatementsTOCL2">
    <w:name w:val="Financial statements TOC L2"/>
    <w:basedOn w:val="FinancialstatementsTOC"/>
    <w:qFormat/>
    <w:rsid w:val="00EE5BB8"/>
    <w:pPr>
      <w:tabs>
        <w:tab w:val="clear" w:pos="284"/>
        <w:tab w:val="left" w:pos="567"/>
        <w:tab w:val="left" w:pos="851"/>
      </w:tabs>
      <w:ind w:left="567" w:hanging="283"/>
    </w:pPr>
    <w:rPr>
      <w:rFonts w:asciiTheme="minorHAnsi" w:hAnsiTheme="minorHAnsi"/>
      <w:noProof/>
    </w:rPr>
  </w:style>
  <w:style w:type="paragraph" w:customStyle="1" w:styleId="Heading1numbered0">
    <w:name w:val="Heading 1 numbered"/>
    <w:basedOn w:val="Heading2"/>
    <w:qFormat/>
    <w:rsid w:val="00EE5BB8"/>
    <w:pPr>
      <w:numPr>
        <w:numId w:val="12"/>
      </w:numPr>
      <w:ind w:left="567"/>
    </w:pPr>
  </w:style>
  <w:style w:type="paragraph" w:customStyle="1" w:styleId="Heading2numbered0">
    <w:name w:val="Heading 2 numbered"/>
    <w:basedOn w:val="Heading3"/>
    <w:qFormat/>
    <w:rsid w:val="006F1C8C"/>
    <w:pPr>
      <w:numPr>
        <w:ilvl w:val="1"/>
        <w:numId w:val="12"/>
      </w:numPr>
      <w:spacing w:line="320" w:lineRule="exact"/>
      <w:ind w:left="709" w:hanging="709"/>
    </w:pPr>
    <w:rPr>
      <w:szCs w:val="28"/>
    </w:rPr>
  </w:style>
  <w:style w:type="paragraph" w:styleId="MacroText">
    <w:name w:val="macro"/>
    <w:link w:val="MacroTextChar"/>
    <w:uiPriority w:val="99"/>
    <w:semiHidden/>
    <w:unhideWhenUsed/>
    <w:rsid w:val="00EE5B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exact"/>
    </w:pPr>
    <w:rPr>
      <w:rFonts w:ascii="Consolas" w:hAnsi="Consolas"/>
      <w:color w:val="262626" w:themeColor="text1" w:themeTint="D9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E5BB8"/>
    <w:rPr>
      <w:rFonts w:ascii="Consolas" w:hAnsi="Consolas"/>
      <w:color w:val="262626" w:themeColor="text1" w:themeTint="D9"/>
      <w:sz w:val="20"/>
      <w:szCs w:val="2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5BB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E5BB8"/>
    <w:rPr>
      <w:rFonts w:ascii="Consolas" w:hAnsi="Consolas"/>
      <w:kern w:val="0"/>
      <w:sz w:val="21"/>
      <w:szCs w:val="21"/>
      <w:lang w:val="en-US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E5BB8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E5BB8"/>
    <w:rPr>
      <w:kern w:val="0"/>
      <w:lang w:val="en-US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rsid w:val="00EE5BB8"/>
    <w:pPr>
      <w:pBdr>
        <w:top w:val="single" w:sz="6" w:space="1" w:color="auto"/>
      </w:pBdr>
      <w:spacing w:after="0" w:line="240" w:lineRule="auto"/>
      <w:jc w:val="center"/>
    </w:pPr>
    <w:rPr>
      <w:rFonts w:ascii="Century Gothic" w:eastAsia="Times New Roman" w:hAnsi="Century Gothic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EE5BB8"/>
    <w:rPr>
      <w:rFonts w:ascii="Century Gothic" w:eastAsia="Times New Roman" w:hAnsi="Century Gothic"/>
      <w:vanish/>
      <w:kern w:val="0"/>
      <w:sz w:val="16"/>
      <w:szCs w:val="16"/>
      <w:lang w:val="en-US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rsid w:val="00EE5BB8"/>
    <w:pPr>
      <w:pBdr>
        <w:bottom w:val="single" w:sz="6" w:space="1" w:color="auto"/>
      </w:pBdr>
      <w:spacing w:after="0" w:line="240" w:lineRule="auto"/>
      <w:jc w:val="center"/>
    </w:pPr>
    <w:rPr>
      <w:rFonts w:ascii="Century Gothic" w:eastAsia="Times New Roman" w:hAnsi="Century Gothic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EE5BB8"/>
    <w:rPr>
      <w:rFonts w:ascii="Century Gothic" w:eastAsia="Times New Roman" w:hAnsi="Century Gothic"/>
      <w:vanish/>
      <w:kern w:val="0"/>
      <w:sz w:val="16"/>
      <w:szCs w:val="16"/>
      <w:lang w:val="en-US"/>
      <w14:ligatures w14:val="none"/>
    </w:rPr>
  </w:style>
  <w:style w:type="paragraph" w:customStyle="1" w:styleId="Heading1Numbered">
    <w:name w:val="Heading 1 Numbered"/>
    <w:basedOn w:val="Heading1"/>
    <w:uiPriority w:val="99"/>
    <w:semiHidden/>
    <w:qFormat/>
    <w:rsid w:val="00EE5BB8"/>
    <w:pPr>
      <w:numPr>
        <w:numId w:val="45"/>
      </w:numPr>
      <w:ind w:left="0" w:firstLine="0"/>
    </w:pPr>
    <w:rPr>
      <w:b w:val="0"/>
      <w:bCs w:val="0"/>
    </w:rPr>
  </w:style>
  <w:style w:type="paragraph" w:customStyle="1" w:styleId="Heading2Numbered">
    <w:name w:val="Heading 2 Numbered"/>
    <w:basedOn w:val="Heading2"/>
    <w:uiPriority w:val="99"/>
    <w:semiHidden/>
    <w:qFormat/>
    <w:rsid w:val="00EE5BB8"/>
    <w:pPr>
      <w:numPr>
        <w:ilvl w:val="1"/>
        <w:numId w:val="45"/>
      </w:numPr>
      <w:ind w:left="0" w:firstLine="0"/>
    </w:pPr>
    <w:rPr>
      <w:b w:val="0"/>
      <w:bCs w:val="0"/>
    </w:rPr>
  </w:style>
  <w:style w:type="paragraph" w:customStyle="1" w:styleId="Heading3Numbered">
    <w:name w:val="Heading 3 Numbered"/>
    <w:basedOn w:val="Heading3"/>
    <w:uiPriority w:val="99"/>
    <w:semiHidden/>
    <w:qFormat/>
    <w:rsid w:val="00EE5BB8"/>
    <w:pPr>
      <w:numPr>
        <w:ilvl w:val="2"/>
        <w:numId w:val="45"/>
      </w:numPr>
      <w:ind w:left="0" w:firstLine="0"/>
    </w:pPr>
    <w:rPr>
      <w:b w:val="0"/>
      <w:bCs w:val="0"/>
    </w:rPr>
  </w:style>
  <w:style w:type="character" w:customStyle="1" w:styleId="TabletextChar">
    <w:name w:val="Table text Char"/>
    <w:link w:val="Tabletext"/>
    <w:rsid w:val="00EE5BB8"/>
    <w:rPr>
      <w:kern w:val="0"/>
      <w:sz w:val="16"/>
      <w:szCs w:val="16"/>
      <w:lang w:val="en-US"/>
      <w14:ligatures w14:val="none"/>
    </w:rPr>
  </w:style>
  <w:style w:type="table" w:customStyle="1" w:styleId="DTFFinancialTable">
    <w:name w:val="DTF Financial Table"/>
    <w:basedOn w:val="TableNormal"/>
    <w:uiPriority w:val="99"/>
    <w:rsid w:val="00EE5BB8"/>
    <w:pPr>
      <w:spacing w:before="20" w:after="20" w:line="240" w:lineRule="auto"/>
    </w:pPr>
    <w:rPr>
      <w:rFonts w:ascii="Arial" w:hAnsi="Arial"/>
      <w:spacing w:val="2"/>
      <w:kern w:val="0"/>
      <w:sz w:val="16"/>
      <w:szCs w:val="20"/>
      <w14:ligatures w14:val="none"/>
    </w:rPr>
    <w:tblPr>
      <w:tblStyleRowBandSize w:val="1"/>
      <w:tblStyleColBandSize w:val="1"/>
      <w:tblInd w:w="28" w:type="dxa"/>
      <w:tblBorders>
        <w:bottom w:val="single" w:sz="12" w:space="0" w:color="auto"/>
      </w:tblBorders>
      <w:tblCellMar>
        <w:left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 w:line="240" w:lineRule="auto"/>
      </w:pPr>
      <w:rPr>
        <w:b w:val="0"/>
        <w:i w:val="0"/>
        <w:color w:val="FFFFFF" w:themeColor="background1"/>
        <w:sz w:val="16"/>
      </w:rPr>
      <w:tblPr/>
      <w:trPr>
        <w:cantSplit w:val="0"/>
      </w:trPr>
      <w:tcPr>
        <w:shd w:val="clear" w:color="auto" w:fill="000000"/>
        <w:vAlign w:val="bottom"/>
      </w:tcPr>
    </w:tblStylePr>
    <w:tblStylePr w:type="lastRow">
      <w:rPr>
        <w:b w:val="0"/>
      </w:rPr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/>
      </w:tcPr>
    </w:tblStylePr>
    <w:tblStylePr w:type="band1Vert">
      <w:tblPr/>
      <w:tcPr>
        <w:shd w:val="clear" w:color="auto" w:fill="EBEBEB"/>
      </w:tcPr>
    </w:tblStylePr>
    <w:tblStylePr w:type="band1Horz">
      <w:tblPr/>
      <w:tcPr>
        <w:shd w:val="clear" w:color="auto" w:fill="EBEBEB"/>
      </w:tcPr>
    </w:tblStylePr>
    <w:tblStylePr w:type="band2Horz">
      <w:tblPr/>
      <w:tcPr>
        <w:shd w:val="clear" w:color="auto" w:fill="FFFFFF"/>
      </w:tcPr>
    </w:tblStylePr>
  </w:style>
  <w:style w:type="table" w:customStyle="1" w:styleId="DTFTable">
    <w:name w:val="DTF Table"/>
    <w:basedOn w:val="TableNormal"/>
    <w:uiPriority w:val="99"/>
    <w:rsid w:val="00EE5BB8"/>
    <w:pPr>
      <w:spacing w:before="20" w:after="20" w:line="240" w:lineRule="auto"/>
      <w:jc w:val="right"/>
    </w:pPr>
    <w:rPr>
      <w:rFonts w:asciiTheme="majorHAnsi" w:hAnsiTheme="majorHAnsi"/>
      <w:kern w:val="0"/>
      <w:sz w:val="17"/>
      <w:szCs w:val="22"/>
      <w14:ligatures w14:val="none"/>
    </w:rPr>
    <w:tblPr>
      <w:tblStyleRowBandSize w:val="1"/>
      <w:tblStyleColBandSize w:val="1"/>
      <w:tblInd w:w="28" w:type="dxa"/>
      <w:tblBorders>
        <w:bottom w:val="single" w:sz="12" w:space="0" w:color="auto"/>
      </w:tblBorders>
      <w:tblCellMar>
        <w:left w:w="57" w:type="dxa"/>
        <w:right w:w="57" w:type="dxa"/>
      </w:tblCellMar>
    </w:tblPr>
    <w:trPr>
      <w:cantSplit/>
    </w:trPr>
    <w:tblStylePr w:type="firstRow">
      <w:rPr>
        <w:i/>
      </w:rPr>
      <w:tblPr/>
      <w:trPr>
        <w:cantSplit w:val="0"/>
      </w:trPr>
      <w:tcPr>
        <w:shd w:val="clear" w:color="auto" w:fill="000000" w:themeFill="text1"/>
        <w:vAlign w:val="bottom"/>
      </w:tcPr>
    </w:tblStylePr>
    <w:tblStylePr w:type="lastRow">
      <w:rPr>
        <w:b/>
      </w:rPr>
      <w:tblPr/>
      <w:tcPr>
        <w:tcBorders>
          <w:top w:val="single" w:sz="6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E8E8E8" w:themeFill="background2"/>
      </w:tcPr>
    </w:tblStylePr>
    <w:tblStylePr w:type="band1Horz">
      <w:tblPr/>
      <w:tcPr>
        <w:shd w:val="clear" w:color="auto" w:fill="E8E8E8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ListBulletStyle">
    <w:name w:val="List Bullet Style"/>
    <w:uiPriority w:val="99"/>
    <w:rsid w:val="00EE5BB8"/>
    <w:pPr>
      <w:numPr>
        <w:numId w:val="46"/>
      </w:numPr>
    </w:pPr>
  </w:style>
  <w:style w:type="paragraph" w:customStyle="1" w:styleId="msonormal0">
    <w:name w:val="msonormal"/>
    <w:basedOn w:val="Normal"/>
    <w:uiPriority w:val="99"/>
    <w:semiHidden/>
    <w:rsid w:val="00EE5B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HHeader2-Appendix02Headers">
    <w:name w:val="H: Header 2 - Appendix (02. Headers)"/>
    <w:basedOn w:val="Normal"/>
    <w:uiPriority w:val="99"/>
    <w:semiHidden/>
    <w:rsid w:val="00EE5BB8"/>
    <w:pPr>
      <w:pageBreakBefore/>
      <w:adjustRightInd w:val="0"/>
      <w:spacing w:before="170" w:line="400" w:lineRule="atLeast"/>
    </w:pPr>
    <w:rPr>
      <w:rFonts w:ascii="VIC-Light" w:eastAsiaTheme="minorEastAsia" w:hAnsi="VIC-Light" w:cs="VIC-Light"/>
      <w:color w:val="000002"/>
      <w:sz w:val="36"/>
      <w:szCs w:val="36"/>
    </w:rPr>
  </w:style>
  <w:style w:type="paragraph" w:customStyle="1" w:styleId="BBody-912ptVICLight03Body">
    <w:name w:val="B: Body - 9/12pt VIC Light (03. Body)"/>
    <w:basedOn w:val="Normal"/>
    <w:uiPriority w:val="99"/>
    <w:semiHidden/>
    <w:rsid w:val="00EE5BB8"/>
    <w:pPr>
      <w:keepLines/>
      <w:adjustRightInd w:val="0"/>
      <w:spacing w:line="240" w:lineRule="atLeast"/>
    </w:pPr>
    <w:rPr>
      <w:rFonts w:ascii="VIC-Light" w:eastAsiaTheme="minorEastAsia" w:hAnsi="VIC-Light" w:cs="VIC-Light"/>
      <w:color w:val="000000"/>
    </w:rPr>
  </w:style>
  <w:style w:type="paragraph" w:customStyle="1" w:styleId="BBodyColonbeforeBullets03Body">
    <w:name w:val="B: Body (Colon before Bullets) (03. Body)"/>
    <w:basedOn w:val="Normal"/>
    <w:uiPriority w:val="99"/>
    <w:semiHidden/>
    <w:rsid w:val="00EE5BB8"/>
    <w:pPr>
      <w:adjustRightInd w:val="0"/>
      <w:spacing w:after="57" w:line="240" w:lineRule="atLeast"/>
    </w:pPr>
    <w:rPr>
      <w:rFonts w:ascii="VIC-Light" w:eastAsiaTheme="minorEastAsia" w:hAnsi="VIC-Light" w:cs="VIC-Light"/>
      <w:color w:val="000000"/>
    </w:rPr>
  </w:style>
  <w:style w:type="paragraph" w:customStyle="1" w:styleId="BL1Bullets-912VICLight03Body">
    <w:name w:val="B: L1 Bullets - 9/12 VIC Light (03. Body)"/>
    <w:basedOn w:val="Normal"/>
    <w:uiPriority w:val="99"/>
    <w:semiHidden/>
    <w:rsid w:val="00EE5BB8"/>
    <w:pPr>
      <w:adjustRightInd w:val="0"/>
      <w:spacing w:after="57" w:line="240" w:lineRule="atLeast"/>
      <w:ind w:left="227" w:hanging="227"/>
    </w:pPr>
    <w:rPr>
      <w:rFonts w:ascii="VIC-Light" w:eastAsiaTheme="minorEastAsia" w:hAnsi="VIC-Light" w:cs="VIC-Light"/>
      <w:color w:val="000000"/>
    </w:rPr>
  </w:style>
  <w:style w:type="paragraph" w:customStyle="1" w:styleId="BL1BulletsLast-912VICLight03Body">
    <w:name w:val="B: L1 Bullets Last - 9/12 VIC Light (03. Body)"/>
    <w:basedOn w:val="BL1Bullets-912VICLight03Body"/>
    <w:uiPriority w:val="99"/>
    <w:semiHidden/>
    <w:rsid w:val="00EE5BB8"/>
  </w:style>
  <w:style w:type="paragraph" w:customStyle="1" w:styleId="HHeader5-1012VICReg02Headers">
    <w:name w:val="H: Header 5 - 10/12 VIC Reg (02. Headers)"/>
    <w:basedOn w:val="Normal"/>
    <w:next w:val="Normal"/>
    <w:uiPriority w:val="99"/>
    <w:semiHidden/>
    <w:rsid w:val="00EE5BB8"/>
    <w:pPr>
      <w:keepLines/>
      <w:adjustRightInd w:val="0"/>
      <w:spacing w:before="170" w:after="57" w:line="240" w:lineRule="atLeast"/>
    </w:pPr>
    <w:rPr>
      <w:rFonts w:ascii="VIC-Regular" w:eastAsiaTheme="minorEastAsia" w:hAnsi="VIC-Regular" w:cs="VIC-Regular"/>
      <w:caps/>
      <w:color w:val="0C143F"/>
      <w:sz w:val="20"/>
      <w:szCs w:val="20"/>
    </w:rPr>
  </w:style>
  <w:style w:type="paragraph" w:customStyle="1" w:styleId="TNotesNormalSpaceAfter204Table">
    <w:name w:val="T: Notes – Normal Space After 2 (04. Table)"/>
    <w:basedOn w:val="Normal"/>
    <w:uiPriority w:val="99"/>
    <w:semiHidden/>
    <w:rsid w:val="00EE5BB8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</w:tabs>
      <w:adjustRightInd w:val="0"/>
      <w:spacing w:after="113" w:line="160" w:lineRule="atLeast"/>
    </w:pPr>
    <w:rPr>
      <w:rFonts w:ascii="VIC-LightItalic" w:eastAsiaTheme="minorEastAsia" w:hAnsi="VIC-LightItalic" w:cs="VIC-LightItalic"/>
      <w:i/>
      <w:iCs/>
      <w:color w:val="000000"/>
      <w:sz w:val="14"/>
      <w:szCs w:val="14"/>
    </w:rPr>
  </w:style>
  <w:style w:type="paragraph" w:customStyle="1" w:styleId="TNotesAlphaa">
    <w:name w:val="T: Notes – Alpha (a"/>
    <w:aliases w:val="b,c) (04. Table)"/>
    <w:basedOn w:val="Normal"/>
    <w:uiPriority w:val="99"/>
    <w:semiHidden/>
    <w:rsid w:val="00EE5BB8"/>
    <w:pPr>
      <w:tabs>
        <w:tab w:val="left" w:pos="227"/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</w:tabs>
      <w:adjustRightInd w:val="0"/>
      <w:spacing w:after="113" w:line="160" w:lineRule="atLeast"/>
      <w:ind w:left="227" w:hanging="227"/>
    </w:pPr>
    <w:rPr>
      <w:rFonts w:ascii="VIC-LightItalic" w:eastAsiaTheme="minorEastAsia" w:hAnsi="VIC-LightItalic" w:cs="VIC-LightItalic"/>
      <w:i/>
      <w:iCs/>
      <w:color w:val="000000"/>
      <w:sz w:val="14"/>
      <w:szCs w:val="14"/>
    </w:rPr>
  </w:style>
  <w:style w:type="paragraph" w:customStyle="1" w:styleId="TBodycopy04Table">
    <w:name w:val="T: Body copy (04. Table)"/>
    <w:basedOn w:val="Normal"/>
    <w:uiPriority w:val="99"/>
    <w:semiHidden/>
    <w:rsid w:val="00EE5BB8"/>
    <w:pPr>
      <w:adjustRightInd w:val="0"/>
      <w:spacing w:after="113" w:line="220" w:lineRule="atLeast"/>
    </w:pPr>
    <w:rPr>
      <w:rFonts w:ascii="VIC-Light" w:eastAsiaTheme="minorEastAsia" w:hAnsi="VIC-Light" w:cs="VIC-Light"/>
      <w:color w:val="000000"/>
      <w:sz w:val="16"/>
      <w:szCs w:val="16"/>
    </w:rPr>
  </w:style>
  <w:style w:type="paragraph" w:customStyle="1" w:styleId="TNotesRomanNumerials04Table">
    <w:name w:val="T: Notes – Roman Numerials (04. Table)"/>
    <w:basedOn w:val="Normal"/>
    <w:uiPriority w:val="99"/>
    <w:semiHidden/>
    <w:rsid w:val="00EE5BB8"/>
    <w:pPr>
      <w:tabs>
        <w:tab w:val="left" w:pos="227"/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</w:tabs>
      <w:adjustRightInd w:val="0"/>
      <w:spacing w:after="113" w:line="160" w:lineRule="atLeast"/>
      <w:ind w:left="227" w:hanging="227"/>
    </w:pPr>
    <w:rPr>
      <w:rFonts w:ascii="VIC-LightItalic" w:eastAsiaTheme="minorEastAsia" w:hAnsi="VIC-LightItalic" w:cs="VIC-LightItalic"/>
      <w:i/>
      <w:iCs/>
      <w:color w:val="000000"/>
      <w:sz w:val="14"/>
      <w:szCs w:val="14"/>
    </w:rPr>
  </w:style>
  <w:style w:type="paragraph" w:customStyle="1" w:styleId="TNotesIndent04Table">
    <w:name w:val="T: Notes – Indent  (04. Table)"/>
    <w:basedOn w:val="Normal"/>
    <w:uiPriority w:val="99"/>
    <w:semiHidden/>
    <w:rsid w:val="00EE5BB8"/>
    <w:pPr>
      <w:tabs>
        <w:tab w:val="left" w:pos="227"/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</w:tabs>
      <w:adjustRightInd w:val="0"/>
      <w:spacing w:after="0" w:line="160" w:lineRule="atLeast"/>
      <w:ind w:left="227" w:hanging="227"/>
    </w:pPr>
    <w:rPr>
      <w:rFonts w:ascii="VIC-LightItalic" w:eastAsiaTheme="minorEastAsia" w:hAnsi="VIC-LightItalic" w:cs="VIC-LightItalic"/>
      <w:i/>
      <w:iCs/>
      <w:color w:val="000000"/>
      <w:sz w:val="14"/>
      <w:szCs w:val="14"/>
    </w:rPr>
  </w:style>
  <w:style w:type="paragraph" w:customStyle="1" w:styleId="HHeader3-1416ptVICReg02Headers">
    <w:name w:val="H: Header 3 - 14/16pt VIC Reg (02. Headers)"/>
    <w:basedOn w:val="Normal"/>
    <w:uiPriority w:val="99"/>
    <w:semiHidden/>
    <w:rsid w:val="00EE5BB8"/>
    <w:pPr>
      <w:adjustRightInd w:val="0"/>
      <w:spacing w:before="170" w:after="57" w:line="320" w:lineRule="atLeast"/>
    </w:pPr>
    <w:rPr>
      <w:rFonts w:ascii="VIC-Regular" w:eastAsiaTheme="minorEastAsia" w:hAnsi="VIC-Regular" w:cs="VIC-Regular"/>
      <w:color w:val="000002"/>
      <w:sz w:val="28"/>
      <w:szCs w:val="28"/>
    </w:rPr>
  </w:style>
  <w:style w:type="paragraph" w:customStyle="1" w:styleId="HHeader4-1113VICSemiBold02Headers">
    <w:name w:val="H: Header 4 - 11/13 VIC SemiBold (02. Headers)"/>
    <w:basedOn w:val="Normal"/>
    <w:next w:val="BBody-912ptVICLight03Body"/>
    <w:uiPriority w:val="99"/>
    <w:semiHidden/>
    <w:rsid w:val="00EE5BB8"/>
    <w:pPr>
      <w:adjustRightInd w:val="0"/>
      <w:spacing w:before="170" w:after="57" w:line="260" w:lineRule="atLeast"/>
    </w:pPr>
    <w:rPr>
      <w:rFonts w:ascii="VIC-SemiBold" w:eastAsiaTheme="minorEastAsia" w:hAnsi="VIC-SemiBold" w:cs="VIC-SemiBold"/>
      <w:b/>
      <w:bCs/>
      <w:color w:val="000002"/>
      <w:sz w:val="22"/>
      <w:szCs w:val="22"/>
    </w:rPr>
  </w:style>
  <w:style w:type="paragraph" w:customStyle="1" w:styleId="BL1NoList-912VICLight03Body">
    <w:name w:val="B: L1 No. List - 9/12 VIC Light (03. Body)"/>
    <w:basedOn w:val="Normal"/>
    <w:uiPriority w:val="99"/>
    <w:semiHidden/>
    <w:rsid w:val="00EE5BB8"/>
    <w:pPr>
      <w:adjustRightInd w:val="0"/>
      <w:spacing w:after="57" w:line="240" w:lineRule="atLeast"/>
      <w:ind w:left="227" w:hanging="227"/>
    </w:pPr>
    <w:rPr>
      <w:rFonts w:ascii="VIC-Light" w:eastAsiaTheme="minorEastAsia" w:hAnsi="VIC-Light" w:cs="VIC-Light"/>
      <w:color w:val="000000"/>
    </w:rPr>
  </w:style>
  <w:style w:type="paragraph" w:customStyle="1" w:styleId="BL1NoListLast-912VICLight03Body">
    <w:name w:val="B: L1 No. List Last - 9/12 VIC Light (03. Body)"/>
    <w:basedOn w:val="BL1Bullets-912VICLight03Body"/>
    <w:uiPriority w:val="99"/>
    <w:semiHidden/>
    <w:rsid w:val="00EE5BB8"/>
  </w:style>
  <w:style w:type="paragraph" w:customStyle="1" w:styleId="BL2Bullets-912VICLight03Body">
    <w:name w:val="B: L2 Bullets - 9/12 VIC Light (03. Body)"/>
    <w:basedOn w:val="BL1Bullets-912VICLight03Body"/>
    <w:uiPriority w:val="99"/>
    <w:semiHidden/>
    <w:rsid w:val="00EE5BB8"/>
  </w:style>
  <w:style w:type="paragraph" w:customStyle="1" w:styleId="BL2BulletsLast-912VICLight03Body">
    <w:name w:val="B: L2 Bullets Last - 9/12 VIC Light (03. Body)"/>
    <w:basedOn w:val="BL2Bullets-912VICLight03Body"/>
    <w:uiPriority w:val="99"/>
    <w:semiHidden/>
    <w:rsid w:val="00EE5BB8"/>
    <w:pPr>
      <w:spacing w:after="170"/>
      <w:ind w:left="454"/>
    </w:pPr>
  </w:style>
  <w:style w:type="paragraph" w:customStyle="1" w:styleId="TNotesNos1">
    <w:name w:val="T: Notes – No.s (1"/>
    <w:aliases w:val="2,3) (04. Table)"/>
    <w:basedOn w:val="Normal"/>
    <w:uiPriority w:val="99"/>
    <w:semiHidden/>
    <w:rsid w:val="00EE5BB8"/>
    <w:pPr>
      <w:tabs>
        <w:tab w:val="left" w:pos="227"/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</w:tabs>
      <w:adjustRightInd w:val="0"/>
      <w:spacing w:after="113" w:line="160" w:lineRule="atLeast"/>
      <w:ind w:left="227" w:hanging="227"/>
    </w:pPr>
    <w:rPr>
      <w:rFonts w:ascii="VIC-LightItalic" w:eastAsiaTheme="minorEastAsia" w:hAnsi="VIC-LightItalic" w:cs="VIC-LightItalic"/>
      <w:i/>
      <w:iCs/>
      <w:color w:val="000000"/>
      <w:sz w:val="14"/>
      <w:szCs w:val="14"/>
    </w:rPr>
  </w:style>
  <w:style w:type="paragraph" w:customStyle="1" w:styleId="HHeader1-2224VicMedium02Headers">
    <w:name w:val="H: Header 1 - 22/24 Vic Medium (02. Headers)"/>
    <w:basedOn w:val="Normal"/>
    <w:uiPriority w:val="99"/>
    <w:semiHidden/>
    <w:rsid w:val="00EE5BB8"/>
    <w:pPr>
      <w:tabs>
        <w:tab w:val="left" w:pos="1240"/>
        <w:tab w:val="left" w:pos="2100"/>
        <w:tab w:val="right" w:pos="7580"/>
      </w:tabs>
      <w:adjustRightInd w:val="0"/>
      <w:spacing w:after="510" w:line="480" w:lineRule="atLeast"/>
    </w:pPr>
    <w:rPr>
      <w:rFonts w:ascii="VIC-Medium" w:eastAsiaTheme="minorEastAsia" w:hAnsi="VIC-Medium" w:cs="VIC-Medium"/>
      <w:color w:val="000002"/>
      <w:sz w:val="44"/>
      <w:szCs w:val="44"/>
    </w:rPr>
  </w:style>
  <w:style w:type="paragraph" w:customStyle="1" w:styleId="TNotesIndentSpaceAfter204Table">
    <w:name w:val="T: Notes – Indent – Space After 2  (04. Table)"/>
    <w:basedOn w:val="TNotesIndent04Table"/>
    <w:uiPriority w:val="99"/>
    <w:semiHidden/>
    <w:rsid w:val="00EE5BB8"/>
  </w:style>
  <w:style w:type="paragraph" w:customStyle="1" w:styleId="BFootnote03Body">
    <w:name w:val="B: Footnote (03. Body)"/>
    <w:basedOn w:val="Normal"/>
    <w:next w:val="Normal"/>
    <w:uiPriority w:val="99"/>
    <w:semiHidden/>
    <w:rsid w:val="00EE5BB8"/>
    <w:pPr>
      <w:tabs>
        <w:tab w:val="left" w:pos="200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</w:tabs>
      <w:adjustRightInd w:val="0"/>
      <w:spacing w:after="0" w:line="150" w:lineRule="atLeast"/>
      <w:ind w:left="198" w:hanging="198"/>
    </w:pPr>
    <w:rPr>
      <w:rFonts w:ascii="VIC-Light" w:eastAsiaTheme="minorEastAsia" w:hAnsi="VIC-Light" w:cs="VIC-Light"/>
      <w:color w:val="000000"/>
      <w:sz w:val="14"/>
      <w:szCs w:val="14"/>
    </w:rPr>
  </w:style>
  <w:style w:type="paragraph" w:customStyle="1" w:styleId="TNotesNormal04Table">
    <w:name w:val="T: Notes – Normal (04. Table)"/>
    <w:basedOn w:val="Normal"/>
    <w:uiPriority w:val="99"/>
    <w:semiHidden/>
    <w:rsid w:val="00EE5BB8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</w:tabs>
      <w:adjustRightInd w:val="0"/>
      <w:spacing w:after="0" w:line="160" w:lineRule="atLeast"/>
    </w:pPr>
    <w:rPr>
      <w:rFonts w:ascii="VIC-LightItalic" w:eastAsiaTheme="minorEastAsia" w:hAnsi="VIC-LightItalic" w:cs="VIC-LightItalic"/>
      <w:i/>
      <w:iCs/>
      <w:color w:val="000000"/>
      <w:sz w:val="14"/>
      <w:szCs w:val="14"/>
    </w:rPr>
  </w:style>
  <w:style w:type="paragraph" w:customStyle="1" w:styleId="HHeader6912ptVICMed02Headers">
    <w:name w:val="H: Header 6 – 9/12pt VIC Med (02. Headers)"/>
    <w:basedOn w:val="BBody-912ptVICLight03Body"/>
    <w:uiPriority w:val="99"/>
    <w:semiHidden/>
    <w:rsid w:val="00EE5BB8"/>
    <w:pPr>
      <w:keepNext/>
      <w:spacing w:after="57"/>
    </w:pPr>
    <w:rPr>
      <w:rFonts w:ascii="VIC-Medium" w:hAnsi="VIC-Medium" w:cs="VIC-Medium"/>
    </w:rPr>
  </w:style>
  <w:style w:type="paragraph" w:customStyle="1" w:styleId="Tspace23Light91204Table">
    <w:name w:val="T: space 2/3 (Light 9/12) (04. Table)"/>
    <w:basedOn w:val="Normal"/>
    <w:uiPriority w:val="99"/>
    <w:semiHidden/>
    <w:rsid w:val="00EE5BB8"/>
    <w:pPr>
      <w:adjustRightInd w:val="0"/>
      <w:spacing w:before="113" w:line="240" w:lineRule="atLeast"/>
    </w:pPr>
    <w:rPr>
      <w:rFonts w:ascii="VIC-Light" w:eastAsiaTheme="minorEastAsia" w:hAnsi="VIC-Light" w:cs="VIC-Light"/>
      <w:color w:val="000000"/>
    </w:rPr>
  </w:style>
  <w:style w:type="paragraph" w:customStyle="1" w:styleId="TColumnHeaderMedium04Table">
    <w:name w:val="T: Column Header Medium (04. Table)"/>
    <w:basedOn w:val="TBodycopy04Table"/>
    <w:uiPriority w:val="99"/>
    <w:semiHidden/>
    <w:rsid w:val="00EE5BB8"/>
  </w:style>
  <w:style w:type="paragraph" w:customStyle="1" w:styleId="TbodyboldtotalGrey04Table">
    <w:name w:val="T: body bold (total) Grey (04. Table)"/>
    <w:basedOn w:val="TBodycopy04Table"/>
    <w:uiPriority w:val="99"/>
    <w:semiHidden/>
    <w:rsid w:val="00EE5BB8"/>
  </w:style>
  <w:style w:type="paragraph" w:customStyle="1" w:styleId="Tbodybullets04Table">
    <w:name w:val="T: body bullets (04. Table)"/>
    <w:basedOn w:val="Normal"/>
    <w:uiPriority w:val="99"/>
    <w:semiHidden/>
    <w:rsid w:val="00EE5BB8"/>
    <w:pPr>
      <w:adjustRightInd w:val="0"/>
      <w:spacing w:after="57" w:line="220" w:lineRule="atLeast"/>
      <w:ind w:left="283" w:hanging="170"/>
    </w:pPr>
    <w:rPr>
      <w:rFonts w:ascii="VIC-Light" w:eastAsiaTheme="minorEastAsia" w:hAnsi="VIC-Light" w:cs="VIC-Light"/>
      <w:color w:val="000000"/>
      <w:sz w:val="16"/>
      <w:szCs w:val="16"/>
    </w:rPr>
  </w:style>
  <w:style w:type="paragraph" w:customStyle="1" w:styleId="TcrossheadBlue04Table">
    <w:name w:val="T: crosshead (Blue) (04. Table)"/>
    <w:basedOn w:val="Normal"/>
    <w:uiPriority w:val="99"/>
    <w:semiHidden/>
    <w:rsid w:val="00EE5BB8"/>
    <w:pPr>
      <w:adjustRightInd w:val="0"/>
      <w:spacing w:after="0" w:line="220" w:lineRule="atLeast"/>
    </w:pPr>
    <w:rPr>
      <w:rFonts w:ascii="VIC-Medium" w:eastAsiaTheme="minorEastAsia" w:hAnsi="VIC-Medium" w:cs="VIC-Medium"/>
      <w:color w:val="0059D8"/>
      <w:sz w:val="16"/>
      <w:szCs w:val="16"/>
    </w:rPr>
  </w:style>
  <w:style w:type="paragraph" w:customStyle="1" w:styleId="BIntroPara-1214VICLight03Body">
    <w:name w:val="B: Intro Para - 12/14 VIC Light (03. Body)"/>
    <w:basedOn w:val="Normal"/>
    <w:uiPriority w:val="99"/>
    <w:semiHidden/>
    <w:rsid w:val="00EE5BB8"/>
    <w:pPr>
      <w:adjustRightInd w:val="0"/>
      <w:spacing w:line="280" w:lineRule="atLeast"/>
    </w:pPr>
    <w:rPr>
      <w:rFonts w:ascii="VIC-Light" w:eastAsiaTheme="minorEastAsia" w:hAnsi="VIC-Light" w:cs="VIC-Light"/>
      <w:color w:val="000000"/>
      <w:spacing w:val="-2"/>
    </w:rPr>
  </w:style>
  <w:style w:type="paragraph" w:customStyle="1" w:styleId="BL1Alphabullets03Body">
    <w:name w:val="B: L1 Alpha bullets  (03. Body)"/>
    <w:basedOn w:val="Normal"/>
    <w:uiPriority w:val="99"/>
    <w:semiHidden/>
    <w:rsid w:val="00EE5BB8"/>
    <w:pPr>
      <w:adjustRightInd w:val="0"/>
      <w:spacing w:after="57" w:line="240" w:lineRule="atLeast"/>
      <w:ind w:left="227" w:hanging="227"/>
    </w:pPr>
    <w:rPr>
      <w:rFonts w:ascii="VIC-Light" w:eastAsiaTheme="minorEastAsia" w:hAnsi="VIC-Light" w:cs="VIC-Light"/>
      <w:color w:val="000000"/>
    </w:rPr>
  </w:style>
  <w:style w:type="paragraph" w:customStyle="1" w:styleId="BL1Alphabulletslast03Body">
    <w:name w:val="B: L1 Alpha bullets last (03. Body)"/>
    <w:basedOn w:val="Normal"/>
    <w:uiPriority w:val="99"/>
    <w:semiHidden/>
    <w:rsid w:val="00EE5BB8"/>
    <w:pPr>
      <w:adjustRightInd w:val="0"/>
      <w:spacing w:after="113" w:line="240" w:lineRule="atLeast"/>
      <w:ind w:left="227" w:hanging="227"/>
    </w:pPr>
    <w:rPr>
      <w:rFonts w:ascii="VIC-Light" w:eastAsiaTheme="minorEastAsia" w:hAnsi="VIC-Light" w:cs="VIC-Light"/>
      <w:color w:val="000000"/>
    </w:rPr>
  </w:style>
  <w:style w:type="paragraph" w:customStyle="1" w:styleId="BL2BulletsAlpha-912VICLight03Body">
    <w:name w:val="B: L2 Bullets Alpha - 9/12 VIC Light (03. Body)"/>
    <w:basedOn w:val="BL1Bullets-912VICLight03Body"/>
    <w:uiPriority w:val="99"/>
    <w:semiHidden/>
    <w:rsid w:val="00EE5BB8"/>
  </w:style>
  <w:style w:type="paragraph" w:customStyle="1" w:styleId="BL2BulletsAlpha-912VICLightlast03Body">
    <w:name w:val="B: L2 Bullets Alpha - 9/12 VIC Light last (03. Body)"/>
    <w:basedOn w:val="BL1Bullets-912VICLight03Body"/>
    <w:uiPriority w:val="99"/>
    <w:semiHidden/>
    <w:rsid w:val="00EE5BB8"/>
  </w:style>
  <w:style w:type="paragraph" w:customStyle="1" w:styleId="HHeader2-1820ptVicLight02Headers">
    <w:name w:val="H: Header 2 - 18/20pt Vic Light (02. Headers)"/>
    <w:basedOn w:val="Normal"/>
    <w:uiPriority w:val="99"/>
    <w:semiHidden/>
    <w:rsid w:val="00EE5BB8"/>
    <w:pPr>
      <w:adjustRightInd w:val="0"/>
      <w:spacing w:before="170" w:line="400" w:lineRule="atLeast"/>
    </w:pPr>
    <w:rPr>
      <w:rFonts w:ascii="VIC-Light" w:eastAsiaTheme="minorEastAsia" w:hAnsi="VIC-Light" w:cs="VIC-Light"/>
      <w:color w:val="000002"/>
      <w:sz w:val="36"/>
      <w:szCs w:val="36"/>
    </w:rPr>
  </w:style>
  <w:style w:type="paragraph" w:customStyle="1" w:styleId="HHeader3-numberedforTOC02Headers">
    <w:name w:val="H: Header 3 - numbered for TOC (02. Headers)"/>
    <w:basedOn w:val="Normal"/>
    <w:uiPriority w:val="99"/>
    <w:semiHidden/>
    <w:rsid w:val="00EE5BB8"/>
    <w:pPr>
      <w:adjustRightInd w:val="0"/>
      <w:spacing w:before="170" w:after="57" w:line="320" w:lineRule="atLeast"/>
    </w:pPr>
    <w:rPr>
      <w:rFonts w:ascii="VIC-Regular" w:eastAsiaTheme="minorEastAsia" w:hAnsi="VIC-Regular" w:cs="VIC-Regular"/>
      <w:color w:val="000002"/>
      <w:sz w:val="28"/>
      <w:szCs w:val="28"/>
    </w:rPr>
  </w:style>
  <w:style w:type="paragraph" w:customStyle="1" w:styleId="ListParagrapha">
    <w:name w:val="List Paragraph a)"/>
    <w:basedOn w:val="Normal"/>
    <w:uiPriority w:val="99"/>
    <w:semiHidden/>
    <w:qFormat/>
    <w:rsid w:val="00EE5BB8"/>
    <w:pPr>
      <w:numPr>
        <w:numId w:val="47"/>
      </w:numPr>
      <w:tabs>
        <w:tab w:val="left" w:pos="2181"/>
      </w:tabs>
      <w:spacing w:after="140"/>
      <w:ind w:left="0" w:firstLine="0"/>
    </w:pPr>
    <w:rPr>
      <w:rFonts w:eastAsia="Times New Roman"/>
      <w:lang w:eastAsia="en-GB"/>
    </w:rPr>
  </w:style>
  <w:style w:type="paragraph" w:customStyle="1" w:styleId="Sec2NotesBoldSectionSpecificSec2">
    <w:name w:val="Sec 2: Notes Bold (Section Specific:Sec 2)"/>
    <w:basedOn w:val="Normal"/>
    <w:uiPriority w:val="99"/>
    <w:semiHidden/>
    <w:rsid w:val="00EE5BB8"/>
    <w:pPr>
      <w:tabs>
        <w:tab w:val="right" w:pos="4620"/>
      </w:tabs>
      <w:adjustRightInd w:val="0"/>
      <w:spacing w:after="85" w:line="240" w:lineRule="atLeast"/>
      <w:ind w:left="380" w:hanging="380"/>
    </w:pPr>
    <w:rPr>
      <w:rFonts w:ascii="VIC-Medium" w:eastAsiaTheme="minorEastAsia" w:hAnsi="VIC-Medium" w:cs="VIC-Medium"/>
      <w:color w:val="000000"/>
    </w:rPr>
  </w:style>
  <w:style w:type="paragraph" w:customStyle="1" w:styleId="Sec2NotesdescriptorSectionSpecificSec2">
    <w:name w:val="Sec 2: Notes descriptor (Section Specific:Sec 2)"/>
    <w:basedOn w:val="BBody-912ptVICLight03Body"/>
    <w:uiPriority w:val="99"/>
    <w:semiHidden/>
    <w:rsid w:val="00EE5BB8"/>
    <w:pPr>
      <w:ind w:left="380"/>
    </w:pPr>
  </w:style>
  <w:style w:type="paragraph" w:customStyle="1" w:styleId="Sec2NoteslightSectionSpecificSec2">
    <w:name w:val="Sec 2: Notes light (Section Specific:Sec 2)"/>
    <w:basedOn w:val="BBody-912ptVICLight03Body"/>
    <w:uiPriority w:val="99"/>
    <w:semiHidden/>
    <w:rsid w:val="00EE5BB8"/>
    <w:pPr>
      <w:tabs>
        <w:tab w:val="right" w:pos="860"/>
        <w:tab w:val="right" w:pos="4620"/>
      </w:tabs>
      <w:ind w:left="780" w:hanging="380"/>
    </w:pPr>
  </w:style>
  <w:style w:type="paragraph" w:customStyle="1" w:styleId="Tablefootnotes">
    <w:name w:val="Table footnotes"/>
    <w:basedOn w:val="Normal"/>
    <w:uiPriority w:val="99"/>
    <w:semiHidden/>
    <w:qFormat/>
    <w:rsid w:val="00EE5BB8"/>
    <w:pPr>
      <w:spacing w:before="60"/>
      <w:contextualSpacing/>
    </w:pPr>
    <w:rPr>
      <w:szCs w:val="22"/>
    </w:rPr>
  </w:style>
  <w:style w:type="table" w:styleId="PlainTable1">
    <w:name w:val="Plain Table 1"/>
    <w:basedOn w:val="TableNormal"/>
    <w:uiPriority w:val="41"/>
    <w:rsid w:val="00EE5BB8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ppendixHeading2numbered">
    <w:name w:val="Appendix Heading 2 numbered"/>
    <w:basedOn w:val="Heading2numbered0"/>
    <w:qFormat/>
    <w:rsid w:val="00EE5BB8"/>
    <w:pPr>
      <w:numPr>
        <w:ilvl w:val="0"/>
        <w:numId w:val="67"/>
      </w:numPr>
      <w:tabs>
        <w:tab w:val="clear" w:pos="284"/>
        <w:tab w:val="left" w:pos="454"/>
      </w:tabs>
      <w:suppressAutoHyphens w:val="0"/>
      <w:autoSpaceDE w:val="0"/>
      <w:autoSpaceDN w:val="0"/>
      <w:spacing w:before="360" w:after="240"/>
      <w:ind w:left="0" w:firstLine="0"/>
      <w:outlineLvl w:val="1"/>
    </w:pPr>
    <w:rPr>
      <w:rFonts w:asciiTheme="minorHAnsi" w:hAnsiTheme="minorHAns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EE5BB8"/>
    <w:pPr>
      <w:spacing w:after="100"/>
      <w:ind w:left="480"/>
    </w:pPr>
    <w:rPr>
      <w:rFonts w:eastAsiaTheme="minorEastAsia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djsir.vic.gov.a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 xmlns="98caef77-545b-4d4b-96ac-f88472b9d9b5">true</Reviewed>
    <_Flow_SignoffStatus xmlns="98caef77-545b-4d4b-96ac-f88472b9d9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9A2E9D89755488B54E51C8AC2DA7E" ma:contentTypeVersion="18" ma:contentTypeDescription="Create a new document." ma:contentTypeScope="" ma:versionID="e861b19e9769b4e45c71cda0196d5776">
  <xsd:schema xmlns:xsd="http://www.w3.org/2001/XMLSchema" xmlns:xs="http://www.w3.org/2001/XMLSchema" xmlns:p="http://schemas.microsoft.com/office/2006/metadata/properties" xmlns:ns2="98caef77-545b-4d4b-96ac-f88472b9d9b5" xmlns:ns3="62f59a1f-816a-4bca-bfc0-c901c4a1cb3d" targetNamespace="http://schemas.microsoft.com/office/2006/metadata/properties" ma:root="true" ma:fieldsID="56f458fb6da20a6ad1a288d1405e10ec" ns2:_="" ns3:_="">
    <xsd:import namespace="98caef77-545b-4d4b-96ac-f88472b9d9b5"/>
    <xsd:import namespace="62f59a1f-816a-4bca-bfc0-c901c4a1c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Reviewed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aef77-545b-4d4b-96ac-f88472b9d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viewed" ma:index="14" nillable="true" ma:displayName="Reviewed" ma:default="1" ma:internalName="Reviewed">
      <xsd:simpleType>
        <xsd:restriction base="dms:Boolean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59a1f-816a-4bca-bfc0-c901c4a1cb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6ADF40-F9EF-4048-8D24-9207C7CAC751}">
  <ds:schemaRefs>
    <ds:schemaRef ds:uri="http://purl.org/dc/elements/1.1/"/>
    <ds:schemaRef ds:uri="http://schemas.microsoft.com/office/2006/metadata/properties"/>
    <ds:schemaRef ds:uri="3b4993c4-1e12-480f-8829-7529dfd7c42d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1970f3ff-c7c3-4b73-8f0c-0bc260d159f3"/>
    <ds:schemaRef ds:uri="http://purl.org/dc/terms/"/>
    <ds:schemaRef ds:uri="http://schemas.microsoft.com/office/infopath/2007/PartnerControls"/>
    <ds:schemaRef ds:uri="4ae6eb50-8777-409e-ac69-0f23188bec3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661EA53-C266-4145-9872-24DA4D5A5945}"/>
</file>

<file path=customXml/itemProps3.xml><?xml version="1.0" encoding="utf-8"?>
<ds:datastoreItem xmlns:ds="http://schemas.openxmlformats.org/officeDocument/2006/customXml" ds:itemID="{86CBB39B-F2E4-463E-9D6D-326AC7D111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1D7BB9-3BF5-4CE9-8F7E-A557B1AFFD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11982</Words>
  <Characters>68304</Characters>
  <Application>Microsoft Office Word</Application>
  <DocSecurity>0</DocSecurity>
  <Lines>569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DJSIR Annual Report 2024-25</vt:lpstr>
    </vt:vector>
  </TitlesOfParts>
  <Company/>
  <LinksUpToDate>false</LinksUpToDate>
  <CharactersWithSpaces>80126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DJSIR Annual Report 2024-25</dc:title>
  <dc:subject/>
  <dc:creator>Samaa Kirby</dc:creator>
  <cp:keywords/>
  <dc:description/>
  <cp:lastModifiedBy>Samaa Kirby</cp:lastModifiedBy>
  <cp:revision>3</cp:revision>
  <dcterms:created xsi:type="dcterms:W3CDTF">2025-11-18T05:13:00Z</dcterms:created>
  <dcterms:modified xsi:type="dcterms:W3CDTF">2025-11-18T05:30:00Z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62f13787,47c05161,3e085ea9,4ed87d0,27e79231,69ca529b,4f087126,76ab39ce,6611ede9,47f394a,55266e20,6b7128e8,4515363d,db5b93f,29b72c68,6fa8f8cc,4143d8c1,6a6b43f5,3f8a6553,2325c60a,3c2f33c3,44963f78,32135276</vt:lpwstr>
  </property>
  <property fmtid="{D5CDD505-2E9C-101B-9397-08002B2CF9AE}" pid="3" name="ClassificationContentMarkingHeaderShapeIds-1">
    <vt:lpwstr>396fa51b,55e6e75,7e23160c,be4f721,34c8b859,72abf282,399a8346,1cb85674,1772becd,636ea566,5df7ef7d,68a39c7,39d55ebe,5daa66ac,2b4a8eae,6060c80d,386fbaa,38c3b6e,19ebd3e9,beefb00,2af6415f,3d8cb520,c5dc048,56e8e47</vt:lpwstr>
  </property>
  <property fmtid="{D5CDD505-2E9C-101B-9397-08002B2CF9AE}" pid="4" name="ClassificationContentMarkingHeaderShapeIds-2">
    <vt:lpwstr>2c066eb4,2456516d,6eb8a74e,5ae0ecd5,2904f3b2,50826f52,586521d4,11bc9564,355a73c6,d145261,52b584e2,2f415cc5,429e1a6f,3da421e8,345b18a4,4cb99985,69230f7</vt:lpwstr>
  </property>
  <property fmtid="{D5CDD505-2E9C-101B-9397-08002B2CF9AE}" pid="5" name="ClassificationContentMarkingHeaderFontProps">
    <vt:lpwstr>#000000,12,Arial</vt:lpwstr>
  </property>
  <property fmtid="{D5CDD505-2E9C-101B-9397-08002B2CF9AE}" pid="6" name="ClassificationContentMarkingHeaderText">
    <vt:lpwstr>UNOFFICIAL</vt:lpwstr>
  </property>
  <property fmtid="{D5CDD505-2E9C-101B-9397-08002B2CF9AE}" pid="7" name="ClassificationContentMarkingFooterShapeIds">
    <vt:lpwstr>271f2252,172f3a55,569fc37c,53bb76f9,38496114,11675c26,2e90eda8,2cc09be9,161adbd8,59bb17b5,46e8736f,7398ff35,2c28ca13,7ac56a46,7b89d853,368a71a7,16b7f8f8,437cc82d,4d2e66a,255e80d7,33b96e4b,c764e98,6044acf4</vt:lpwstr>
  </property>
  <property fmtid="{D5CDD505-2E9C-101B-9397-08002B2CF9AE}" pid="8" name="ClassificationContentMarkingFooterShapeIds-1">
    <vt:lpwstr>70ca500f,64492885,7aa4e647,4b7bd1c3,39ef710a,4edafcf9,693bd29b,363e6320,4471d216,37578aff,401ae6ee,673f54bc,126ca364,5ebbbf07,49735cb</vt:lpwstr>
  </property>
  <property fmtid="{D5CDD505-2E9C-101B-9397-08002B2CF9AE}" pid="9" name="ClassificationContentMarkingFooterFontProps">
    <vt:lpwstr>#000000,12,Arial</vt:lpwstr>
  </property>
  <property fmtid="{D5CDD505-2E9C-101B-9397-08002B2CF9AE}" pid="10" name="ClassificationContentMarkingFooterText">
    <vt:lpwstr>UNOFFICIAL</vt:lpwstr>
  </property>
  <property fmtid="{D5CDD505-2E9C-101B-9397-08002B2CF9AE}" pid="11" name="MSIP_Label_aada7abd-22af-4be4-9080-cf0e1de95e2f_Enabled">
    <vt:lpwstr>true</vt:lpwstr>
  </property>
  <property fmtid="{D5CDD505-2E9C-101B-9397-08002B2CF9AE}" pid="12" name="MSIP_Label_aada7abd-22af-4be4-9080-cf0e1de95e2f_SetDate">
    <vt:lpwstr>2025-11-09T03:31:36Z</vt:lpwstr>
  </property>
  <property fmtid="{D5CDD505-2E9C-101B-9397-08002B2CF9AE}" pid="13" name="MSIP_Label_aada7abd-22af-4be4-9080-cf0e1de95e2f_Method">
    <vt:lpwstr>Privileged</vt:lpwstr>
  </property>
  <property fmtid="{D5CDD505-2E9C-101B-9397-08002B2CF9AE}" pid="14" name="MSIP_Label_aada7abd-22af-4be4-9080-cf0e1de95e2f_Name">
    <vt:lpwstr>Unofficial (DJPR)</vt:lpwstr>
  </property>
  <property fmtid="{D5CDD505-2E9C-101B-9397-08002B2CF9AE}" pid="15" name="MSIP_Label_aada7abd-22af-4be4-9080-cf0e1de95e2f_SiteId">
    <vt:lpwstr>722ea0be-3e1c-4b11-ad6f-9401d6856e24</vt:lpwstr>
  </property>
  <property fmtid="{D5CDD505-2E9C-101B-9397-08002B2CF9AE}" pid="16" name="MSIP_Label_aada7abd-22af-4be4-9080-cf0e1de95e2f_ActionId">
    <vt:lpwstr>b83cf70f-e4ce-47ef-8357-c52d7c11ce77</vt:lpwstr>
  </property>
  <property fmtid="{D5CDD505-2E9C-101B-9397-08002B2CF9AE}" pid="17" name="MSIP_Label_aada7abd-22af-4be4-9080-cf0e1de95e2f_ContentBits">
    <vt:lpwstr>3</vt:lpwstr>
  </property>
  <property fmtid="{D5CDD505-2E9C-101B-9397-08002B2CF9AE}" pid="18" name="MSIP_Label_aada7abd-22af-4be4-9080-cf0e1de95e2f_Tag">
    <vt:lpwstr>10, 0, 1, 1</vt:lpwstr>
  </property>
  <property fmtid="{D5CDD505-2E9C-101B-9397-08002B2CF9AE}" pid="19" name="ContentTypeId">
    <vt:lpwstr>0x010100EE89A2E9D89755488B54E51C8AC2DA7E</vt:lpwstr>
  </property>
  <property fmtid="{D5CDD505-2E9C-101B-9397-08002B2CF9AE}" pid="20" name="MediaServiceImageTags">
    <vt:lpwstr/>
  </property>
  <property fmtid="{D5CDD505-2E9C-101B-9397-08002B2CF9AE}" pid="21" name="DEDJTRSection">
    <vt:lpwstr/>
  </property>
  <property fmtid="{D5CDD505-2E9C-101B-9397-08002B2CF9AE}" pid="22" name="DEDJTRGroup">
    <vt:lpwstr/>
  </property>
  <property fmtid="{D5CDD505-2E9C-101B-9397-08002B2CF9AE}" pid="23" name="DEDJTRSecurityClassification">
    <vt:lpwstr/>
  </property>
  <property fmtid="{D5CDD505-2E9C-101B-9397-08002B2CF9AE}" pid="24" name="DEDJTRDivision">
    <vt:lpwstr/>
  </property>
  <property fmtid="{D5CDD505-2E9C-101B-9397-08002B2CF9AE}" pid="25" name="DEDJTRBranch">
    <vt:lpwstr/>
  </property>
</Properties>
</file>