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AE840" w14:textId="557F63D7" w:rsidR="008C298B" w:rsidRPr="00F967BD" w:rsidRDefault="009E0098" w:rsidP="000F5E65">
      <w:pPr>
        <w:pStyle w:val="Title"/>
      </w:pPr>
      <w:bookmarkStart w:id="0" w:name="_Toc195024272"/>
      <w:bookmarkStart w:id="1" w:name="_Toc198738843"/>
      <w:r w:rsidRPr="009E0098">
        <w:t xml:space="preserve">Economic </w:t>
      </w:r>
      <w:r w:rsidR="005237DE">
        <w:t>I</w:t>
      </w:r>
      <w:r w:rsidRPr="009E0098">
        <w:t xml:space="preserve">mpact </w:t>
      </w:r>
      <w:r w:rsidR="005237DE">
        <w:t>A</w:t>
      </w:r>
      <w:r w:rsidRPr="009E0098">
        <w:t>ssessment of the 2024 and 2025 Australian Grand Prix</w:t>
      </w:r>
      <w:r w:rsidR="00792456">
        <w:br/>
      </w:r>
      <w:r w:rsidR="000F5E65">
        <w:br/>
      </w:r>
      <w:r w:rsidR="00D9144C" w:rsidRPr="000F5E65">
        <w:rPr>
          <w:rStyle w:val="Heading2Char"/>
        </w:rPr>
        <w:t xml:space="preserve">Final </w:t>
      </w:r>
      <w:r w:rsidRPr="000F5E65">
        <w:rPr>
          <w:rStyle w:val="Heading2Char"/>
        </w:rPr>
        <w:t xml:space="preserve">Public </w:t>
      </w:r>
      <w:r w:rsidR="00D9144C" w:rsidRPr="000F5E65">
        <w:rPr>
          <w:rStyle w:val="Heading2Char"/>
        </w:rPr>
        <w:t>Report</w:t>
      </w:r>
      <w:bookmarkEnd w:id="0"/>
      <w:bookmarkEnd w:id="1"/>
    </w:p>
    <w:sdt>
      <w:sdtPr>
        <w:rPr>
          <w:rFonts w:ascii="Arial" w:eastAsiaTheme="minorHAnsi" w:hAnsi="Arial" w:cstheme="minorBidi"/>
          <w:color w:val="auto"/>
          <w:sz w:val="22"/>
          <w:szCs w:val="22"/>
          <w:lang w:val="en-AU"/>
        </w:rPr>
        <w:id w:val="509953927"/>
        <w:docPartObj>
          <w:docPartGallery w:val="Table of Contents"/>
          <w:docPartUnique/>
        </w:docPartObj>
      </w:sdtPr>
      <w:sdtEndPr>
        <w:rPr>
          <w:b/>
          <w:bCs/>
          <w:noProof/>
          <w:sz w:val="24"/>
        </w:rPr>
      </w:sdtEndPr>
      <w:sdtContent>
        <w:p w14:paraId="2B623B63" w14:textId="1D1D7317" w:rsidR="0034666D" w:rsidRPr="0034666D" w:rsidRDefault="0034666D" w:rsidP="006A4F96">
          <w:pPr>
            <w:pStyle w:val="TOCHeading"/>
            <w:rPr>
              <w:color w:val="auto"/>
            </w:rPr>
          </w:pPr>
          <w:r w:rsidRPr="0034666D">
            <w:rPr>
              <w:color w:val="auto"/>
            </w:rPr>
            <w:t>Table of Contents</w:t>
          </w:r>
          <w:r w:rsidR="00C63763">
            <w:rPr>
              <w:color w:val="auto"/>
            </w:rPr>
            <w:t xml:space="preserve"> </w:t>
          </w:r>
        </w:p>
        <w:p w14:paraId="249890C4" w14:textId="6BDB8FB2" w:rsidR="00912ADE" w:rsidRDefault="0034666D" w:rsidP="00355E68">
          <w:pPr>
            <w:pStyle w:val="TOC1"/>
            <w:tabs>
              <w:tab w:val="right" w:leader="dot" w:pos="9016"/>
            </w:tabs>
            <w:spacing w:line="240" w:lineRule="auto"/>
            <w:rPr>
              <w:rFonts w:asciiTheme="minorHAnsi" w:eastAsiaTheme="minorEastAsia" w:hAnsiTheme="minorHAnsi"/>
              <w:noProof/>
              <w:kern w:val="2"/>
              <w:szCs w:val="24"/>
              <w:lang w:eastAsia="en-AU"/>
              <w14:ligatures w14:val="standardContextual"/>
            </w:rPr>
          </w:pPr>
          <w:r>
            <w:fldChar w:fldCharType="begin"/>
          </w:r>
          <w:r>
            <w:instrText xml:space="preserve"> TOC \o "1-3" \h \z \u </w:instrText>
          </w:r>
          <w:r>
            <w:fldChar w:fldCharType="separate"/>
          </w:r>
          <w:hyperlink w:anchor="_Toc209511905" w:history="1">
            <w:r w:rsidR="00912ADE" w:rsidRPr="00F7281A">
              <w:rPr>
                <w:rStyle w:val="Hyperlink"/>
                <w:noProof/>
              </w:rPr>
              <w:t>1. Executive Summary</w:t>
            </w:r>
            <w:r w:rsidR="00912ADE">
              <w:rPr>
                <w:noProof/>
                <w:webHidden/>
              </w:rPr>
              <w:tab/>
            </w:r>
            <w:r w:rsidR="00912ADE">
              <w:rPr>
                <w:noProof/>
                <w:webHidden/>
              </w:rPr>
              <w:fldChar w:fldCharType="begin"/>
            </w:r>
            <w:r w:rsidR="00912ADE">
              <w:rPr>
                <w:noProof/>
                <w:webHidden/>
              </w:rPr>
              <w:instrText xml:space="preserve"> PAGEREF _Toc209511905 \h </w:instrText>
            </w:r>
            <w:r w:rsidR="00912ADE">
              <w:rPr>
                <w:noProof/>
                <w:webHidden/>
              </w:rPr>
            </w:r>
            <w:r w:rsidR="00912ADE">
              <w:rPr>
                <w:noProof/>
                <w:webHidden/>
              </w:rPr>
              <w:fldChar w:fldCharType="separate"/>
            </w:r>
            <w:r w:rsidR="00455E36">
              <w:rPr>
                <w:noProof/>
                <w:webHidden/>
              </w:rPr>
              <w:t>3</w:t>
            </w:r>
            <w:r w:rsidR="00912ADE">
              <w:rPr>
                <w:noProof/>
                <w:webHidden/>
              </w:rPr>
              <w:fldChar w:fldCharType="end"/>
            </w:r>
          </w:hyperlink>
        </w:p>
        <w:p w14:paraId="0BF67D82" w14:textId="0453366A" w:rsidR="00912ADE" w:rsidRDefault="00912ADE" w:rsidP="00355E68">
          <w:pPr>
            <w:pStyle w:val="TOC2"/>
            <w:tabs>
              <w:tab w:val="right" w:leader="dot" w:pos="9016"/>
            </w:tabs>
            <w:spacing w:line="240" w:lineRule="auto"/>
            <w:rPr>
              <w:rFonts w:asciiTheme="minorHAnsi" w:eastAsiaTheme="minorEastAsia" w:hAnsiTheme="minorHAnsi"/>
              <w:noProof/>
              <w:kern w:val="2"/>
              <w:szCs w:val="24"/>
              <w:lang w:eastAsia="en-AU"/>
              <w14:ligatures w14:val="standardContextual"/>
            </w:rPr>
          </w:pPr>
          <w:hyperlink w:anchor="_Toc209511906" w:history="1">
            <w:r w:rsidRPr="00F7281A">
              <w:rPr>
                <w:rStyle w:val="Hyperlink"/>
                <w:noProof/>
              </w:rPr>
              <w:t>Economic impact of the F1® GP to Victoria</w:t>
            </w:r>
            <w:r>
              <w:rPr>
                <w:noProof/>
                <w:webHidden/>
              </w:rPr>
              <w:tab/>
            </w:r>
            <w:r>
              <w:rPr>
                <w:noProof/>
                <w:webHidden/>
              </w:rPr>
              <w:fldChar w:fldCharType="begin"/>
            </w:r>
            <w:r>
              <w:rPr>
                <w:noProof/>
                <w:webHidden/>
              </w:rPr>
              <w:instrText xml:space="preserve"> PAGEREF _Toc209511906 \h </w:instrText>
            </w:r>
            <w:r>
              <w:rPr>
                <w:noProof/>
                <w:webHidden/>
              </w:rPr>
            </w:r>
            <w:r>
              <w:rPr>
                <w:noProof/>
                <w:webHidden/>
              </w:rPr>
              <w:fldChar w:fldCharType="separate"/>
            </w:r>
            <w:r w:rsidR="00455E36">
              <w:rPr>
                <w:noProof/>
                <w:webHidden/>
              </w:rPr>
              <w:t>4</w:t>
            </w:r>
            <w:r>
              <w:rPr>
                <w:noProof/>
                <w:webHidden/>
              </w:rPr>
              <w:fldChar w:fldCharType="end"/>
            </w:r>
          </w:hyperlink>
        </w:p>
        <w:p w14:paraId="0A399096" w14:textId="1C2C3A4F" w:rsidR="00912ADE" w:rsidRDefault="00912ADE" w:rsidP="00355E68">
          <w:pPr>
            <w:pStyle w:val="TOC2"/>
            <w:tabs>
              <w:tab w:val="right" w:leader="dot" w:pos="9016"/>
            </w:tabs>
            <w:spacing w:line="240" w:lineRule="auto"/>
            <w:rPr>
              <w:rFonts w:asciiTheme="minorHAnsi" w:eastAsiaTheme="minorEastAsia" w:hAnsiTheme="minorHAnsi"/>
              <w:noProof/>
              <w:kern w:val="2"/>
              <w:szCs w:val="24"/>
              <w:lang w:eastAsia="en-AU"/>
              <w14:ligatures w14:val="standardContextual"/>
            </w:rPr>
          </w:pPr>
          <w:hyperlink w:anchor="_Toc209511907" w:history="1">
            <w:r w:rsidRPr="00F7281A">
              <w:rPr>
                <w:rStyle w:val="Hyperlink"/>
                <w:noProof/>
              </w:rPr>
              <w:t>The F1®GP has achieved record gross attendance</w:t>
            </w:r>
            <w:r>
              <w:rPr>
                <w:noProof/>
                <w:webHidden/>
              </w:rPr>
              <w:tab/>
            </w:r>
            <w:r>
              <w:rPr>
                <w:noProof/>
                <w:webHidden/>
              </w:rPr>
              <w:fldChar w:fldCharType="begin"/>
            </w:r>
            <w:r>
              <w:rPr>
                <w:noProof/>
                <w:webHidden/>
              </w:rPr>
              <w:instrText xml:space="preserve"> PAGEREF _Toc209511907 \h </w:instrText>
            </w:r>
            <w:r>
              <w:rPr>
                <w:noProof/>
                <w:webHidden/>
              </w:rPr>
            </w:r>
            <w:r>
              <w:rPr>
                <w:noProof/>
                <w:webHidden/>
              </w:rPr>
              <w:fldChar w:fldCharType="separate"/>
            </w:r>
            <w:r w:rsidR="00455E36">
              <w:rPr>
                <w:noProof/>
                <w:webHidden/>
              </w:rPr>
              <w:t>5</w:t>
            </w:r>
            <w:r>
              <w:rPr>
                <w:noProof/>
                <w:webHidden/>
              </w:rPr>
              <w:fldChar w:fldCharType="end"/>
            </w:r>
          </w:hyperlink>
        </w:p>
        <w:p w14:paraId="5D6C9259" w14:textId="5161BBDA" w:rsidR="00912ADE" w:rsidRDefault="00912ADE" w:rsidP="00355E68">
          <w:pPr>
            <w:pStyle w:val="TOC2"/>
            <w:tabs>
              <w:tab w:val="right" w:leader="dot" w:pos="9016"/>
            </w:tabs>
            <w:spacing w:line="240" w:lineRule="auto"/>
            <w:rPr>
              <w:rFonts w:asciiTheme="minorHAnsi" w:eastAsiaTheme="minorEastAsia" w:hAnsiTheme="minorHAnsi"/>
              <w:noProof/>
              <w:kern w:val="2"/>
              <w:szCs w:val="24"/>
              <w:lang w:eastAsia="en-AU"/>
              <w14:ligatures w14:val="standardContextual"/>
            </w:rPr>
          </w:pPr>
          <w:hyperlink w:anchor="_Toc209511908" w:history="1">
            <w:r w:rsidRPr="00F7281A">
              <w:rPr>
                <w:rStyle w:val="Hyperlink"/>
                <w:noProof/>
              </w:rPr>
              <w:t>More visitors are travelling to Victoria to attend the F1®GP</w:t>
            </w:r>
            <w:r>
              <w:rPr>
                <w:noProof/>
                <w:webHidden/>
              </w:rPr>
              <w:tab/>
            </w:r>
            <w:r>
              <w:rPr>
                <w:noProof/>
                <w:webHidden/>
              </w:rPr>
              <w:fldChar w:fldCharType="begin"/>
            </w:r>
            <w:r>
              <w:rPr>
                <w:noProof/>
                <w:webHidden/>
              </w:rPr>
              <w:instrText xml:space="preserve"> PAGEREF _Toc209511908 \h </w:instrText>
            </w:r>
            <w:r>
              <w:rPr>
                <w:noProof/>
                <w:webHidden/>
              </w:rPr>
            </w:r>
            <w:r>
              <w:rPr>
                <w:noProof/>
                <w:webHidden/>
              </w:rPr>
              <w:fldChar w:fldCharType="separate"/>
            </w:r>
            <w:r w:rsidR="00455E36">
              <w:rPr>
                <w:noProof/>
                <w:webHidden/>
              </w:rPr>
              <w:t>5</w:t>
            </w:r>
            <w:r>
              <w:rPr>
                <w:noProof/>
                <w:webHidden/>
              </w:rPr>
              <w:fldChar w:fldCharType="end"/>
            </w:r>
          </w:hyperlink>
        </w:p>
        <w:p w14:paraId="29374197" w14:textId="391C10B8" w:rsidR="00912ADE" w:rsidRDefault="00912ADE" w:rsidP="00355E68">
          <w:pPr>
            <w:pStyle w:val="TOC2"/>
            <w:tabs>
              <w:tab w:val="right" w:leader="dot" w:pos="9016"/>
            </w:tabs>
            <w:spacing w:line="240" w:lineRule="auto"/>
            <w:rPr>
              <w:rFonts w:asciiTheme="minorHAnsi" w:eastAsiaTheme="minorEastAsia" w:hAnsiTheme="minorHAnsi"/>
              <w:noProof/>
              <w:kern w:val="2"/>
              <w:szCs w:val="24"/>
              <w:lang w:eastAsia="en-AU"/>
              <w14:ligatures w14:val="standardContextual"/>
            </w:rPr>
          </w:pPr>
          <w:hyperlink w:anchor="_Toc209511909" w:history="1">
            <w:r w:rsidRPr="00F7281A">
              <w:rPr>
                <w:rStyle w:val="Hyperlink"/>
                <w:noProof/>
              </w:rPr>
              <w:t>Groundbreaking TV viewership</w:t>
            </w:r>
            <w:r>
              <w:rPr>
                <w:noProof/>
                <w:webHidden/>
              </w:rPr>
              <w:tab/>
            </w:r>
            <w:r>
              <w:rPr>
                <w:noProof/>
                <w:webHidden/>
              </w:rPr>
              <w:fldChar w:fldCharType="begin"/>
            </w:r>
            <w:r>
              <w:rPr>
                <w:noProof/>
                <w:webHidden/>
              </w:rPr>
              <w:instrText xml:space="preserve"> PAGEREF _Toc209511909 \h </w:instrText>
            </w:r>
            <w:r>
              <w:rPr>
                <w:noProof/>
                <w:webHidden/>
              </w:rPr>
            </w:r>
            <w:r>
              <w:rPr>
                <w:noProof/>
                <w:webHidden/>
              </w:rPr>
              <w:fldChar w:fldCharType="separate"/>
            </w:r>
            <w:r w:rsidR="00455E36">
              <w:rPr>
                <w:noProof/>
                <w:webHidden/>
              </w:rPr>
              <w:t>5</w:t>
            </w:r>
            <w:r>
              <w:rPr>
                <w:noProof/>
                <w:webHidden/>
              </w:rPr>
              <w:fldChar w:fldCharType="end"/>
            </w:r>
          </w:hyperlink>
        </w:p>
        <w:p w14:paraId="47DC0EDA" w14:textId="4E008EAF" w:rsidR="00912ADE" w:rsidRDefault="00912ADE" w:rsidP="00355E68">
          <w:pPr>
            <w:pStyle w:val="TOC2"/>
            <w:tabs>
              <w:tab w:val="right" w:leader="dot" w:pos="9016"/>
            </w:tabs>
            <w:spacing w:line="240" w:lineRule="auto"/>
            <w:rPr>
              <w:rFonts w:asciiTheme="minorHAnsi" w:eastAsiaTheme="minorEastAsia" w:hAnsiTheme="minorHAnsi"/>
              <w:noProof/>
              <w:kern w:val="2"/>
              <w:szCs w:val="24"/>
              <w:lang w:eastAsia="en-AU"/>
              <w14:ligatures w14:val="standardContextual"/>
            </w:rPr>
          </w:pPr>
          <w:hyperlink w:anchor="_Toc209511910" w:history="1">
            <w:r w:rsidRPr="00F7281A">
              <w:rPr>
                <w:rStyle w:val="Hyperlink"/>
                <w:noProof/>
              </w:rPr>
              <w:t>Attracting new and diverse audiences</w:t>
            </w:r>
            <w:r>
              <w:rPr>
                <w:noProof/>
                <w:webHidden/>
              </w:rPr>
              <w:tab/>
            </w:r>
            <w:r>
              <w:rPr>
                <w:noProof/>
                <w:webHidden/>
              </w:rPr>
              <w:fldChar w:fldCharType="begin"/>
            </w:r>
            <w:r>
              <w:rPr>
                <w:noProof/>
                <w:webHidden/>
              </w:rPr>
              <w:instrText xml:space="preserve"> PAGEREF _Toc209511910 \h </w:instrText>
            </w:r>
            <w:r>
              <w:rPr>
                <w:noProof/>
                <w:webHidden/>
              </w:rPr>
            </w:r>
            <w:r>
              <w:rPr>
                <w:noProof/>
                <w:webHidden/>
              </w:rPr>
              <w:fldChar w:fldCharType="separate"/>
            </w:r>
            <w:r w:rsidR="00455E36">
              <w:rPr>
                <w:noProof/>
                <w:webHidden/>
              </w:rPr>
              <w:t>5</w:t>
            </w:r>
            <w:r>
              <w:rPr>
                <w:noProof/>
                <w:webHidden/>
              </w:rPr>
              <w:fldChar w:fldCharType="end"/>
            </w:r>
          </w:hyperlink>
        </w:p>
        <w:p w14:paraId="6032A898" w14:textId="44CE85AD" w:rsidR="00912ADE" w:rsidRDefault="00912ADE" w:rsidP="00355E68">
          <w:pPr>
            <w:pStyle w:val="TOC2"/>
            <w:tabs>
              <w:tab w:val="right" w:leader="dot" w:pos="9016"/>
            </w:tabs>
            <w:spacing w:line="240" w:lineRule="auto"/>
            <w:rPr>
              <w:rFonts w:asciiTheme="minorHAnsi" w:eastAsiaTheme="minorEastAsia" w:hAnsiTheme="minorHAnsi"/>
              <w:noProof/>
              <w:kern w:val="2"/>
              <w:szCs w:val="24"/>
              <w:lang w:eastAsia="en-AU"/>
              <w14:ligatures w14:val="standardContextual"/>
            </w:rPr>
          </w:pPr>
          <w:hyperlink w:anchor="_Toc209511911" w:history="1">
            <w:r w:rsidRPr="00F7281A">
              <w:rPr>
                <w:rStyle w:val="Hyperlink"/>
                <w:noProof/>
                <w:lang w:val="en-US"/>
              </w:rPr>
              <w:t>Gross Attendance at the Formula 1® Australian Grand Prix since 1996</w:t>
            </w:r>
            <w:r>
              <w:rPr>
                <w:noProof/>
                <w:webHidden/>
              </w:rPr>
              <w:tab/>
            </w:r>
            <w:r>
              <w:rPr>
                <w:noProof/>
                <w:webHidden/>
              </w:rPr>
              <w:fldChar w:fldCharType="begin"/>
            </w:r>
            <w:r>
              <w:rPr>
                <w:noProof/>
                <w:webHidden/>
              </w:rPr>
              <w:instrText xml:space="preserve"> PAGEREF _Toc209511911 \h </w:instrText>
            </w:r>
            <w:r>
              <w:rPr>
                <w:noProof/>
                <w:webHidden/>
              </w:rPr>
            </w:r>
            <w:r>
              <w:rPr>
                <w:noProof/>
                <w:webHidden/>
              </w:rPr>
              <w:fldChar w:fldCharType="separate"/>
            </w:r>
            <w:r w:rsidR="00455E36">
              <w:rPr>
                <w:noProof/>
                <w:webHidden/>
              </w:rPr>
              <w:t>6</w:t>
            </w:r>
            <w:r>
              <w:rPr>
                <w:noProof/>
                <w:webHidden/>
              </w:rPr>
              <w:fldChar w:fldCharType="end"/>
            </w:r>
          </w:hyperlink>
        </w:p>
        <w:p w14:paraId="127AC289" w14:textId="091D59BA" w:rsidR="00912ADE" w:rsidRDefault="00912ADE" w:rsidP="00355E68">
          <w:pPr>
            <w:pStyle w:val="TOC2"/>
            <w:tabs>
              <w:tab w:val="right" w:leader="dot" w:pos="9016"/>
            </w:tabs>
            <w:spacing w:line="240" w:lineRule="auto"/>
            <w:rPr>
              <w:rFonts w:asciiTheme="minorHAnsi" w:eastAsiaTheme="minorEastAsia" w:hAnsiTheme="minorHAnsi"/>
              <w:noProof/>
              <w:kern w:val="2"/>
              <w:szCs w:val="24"/>
              <w:lang w:eastAsia="en-AU"/>
              <w14:ligatures w14:val="standardContextual"/>
            </w:rPr>
          </w:pPr>
          <w:hyperlink w:anchor="_Toc209511912" w:history="1">
            <w:r w:rsidRPr="00F7281A">
              <w:rPr>
                <w:rStyle w:val="Hyperlink"/>
                <w:noProof/>
              </w:rPr>
              <w:t>Return on Government investment</w:t>
            </w:r>
            <w:r>
              <w:rPr>
                <w:noProof/>
                <w:webHidden/>
              </w:rPr>
              <w:tab/>
            </w:r>
            <w:r>
              <w:rPr>
                <w:noProof/>
                <w:webHidden/>
              </w:rPr>
              <w:fldChar w:fldCharType="begin"/>
            </w:r>
            <w:r>
              <w:rPr>
                <w:noProof/>
                <w:webHidden/>
              </w:rPr>
              <w:instrText xml:space="preserve"> PAGEREF _Toc209511912 \h </w:instrText>
            </w:r>
            <w:r>
              <w:rPr>
                <w:noProof/>
                <w:webHidden/>
              </w:rPr>
            </w:r>
            <w:r>
              <w:rPr>
                <w:noProof/>
                <w:webHidden/>
              </w:rPr>
              <w:fldChar w:fldCharType="separate"/>
            </w:r>
            <w:r w:rsidR="00455E36">
              <w:rPr>
                <w:noProof/>
                <w:webHidden/>
              </w:rPr>
              <w:t>7</w:t>
            </w:r>
            <w:r>
              <w:rPr>
                <w:noProof/>
                <w:webHidden/>
              </w:rPr>
              <w:fldChar w:fldCharType="end"/>
            </w:r>
          </w:hyperlink>
        </w:p>
        <w:p w14:paraId="0A85CA27" w14:textId="5105BCFF" w:rsidR="00912ADE" w:rsidRDefault="00912ADE" w:rsidP="00355E68">
          <w:pPr>
            <w:pStyle w:val="TOC2"/>
            <w:tabs>
              <w:tab w:val="right" w:leader="dot" w:pos="9016"/>
            </w:tabs>
            <w:spacing w:line="240" w:lineRule="auto"/>
            <w:rPr>
              <w:rFonts w:asciiTheme="minorHAnsi" w:eastAsiaTheme="minorEastAsia" w:hAnsiTheme="minorHAnsi"/>
              <w:noProof/>
              <w:kern w:val="2"/>
              <w:szCs w:val="24"/>
              <w:lang w:eastAsia="en-AU"/>
              <w14:ligatures w14:val="standardContextual"/>
            </w:rPr>
          </w:pPr>
          <w:hyperlink w:anchor="_Toc209511913" w:history="1">
            <w:r w:rsidRPr="00F7281A">
              <w:rPr>
                <w:rStyle w:val="Hyperlink"/>
                <w:noProof/>
              </w:rPr>
              <w:t>The spectacle of the F1®GP has continued to improve year on year [1]</w:t>
            </w:r>
            <w:r>
              <w:rPr>
                <w:noProof/>
                <w:webHidden/>
              </w:rPr>
              <w:tab/>
            </w:r>
            <w:r>
              <w:rPr>
                <w:noProof/>
                <w:webHidden/>
              </w:rPr>
              <w:fldChar w:fldCharType="begin"/>
            </w:r>
            <w:r>
              <w:rPr>
                <w:noProof/>
                <w:webHidden/>
              </w:rPr>
              <w:instrText xml:space="preserve"> PAGEREF _Toc209511913 \h </w:instrText>
            </w:r>
            <w:r>
              <w:rPr>
                <w:noProof/>
                <w:webHidden/>
              </w:rPr>
            </w:r>
            <w:r>
              <w:rPr>
                <w:noProof/>
                <w:webHidden/>
              </w:rPr>
              <w:fldChar w:fldCharType="separate"/>
            </w:r>
            <w:r w:rsidR="00455E36">
              <w:rPr>
                <w:noProof/>
                <w:webHidden/>
              </w:rPr>
              <w:t>8</w:t>
            </w:r>
            <w:r>
              <w:rPr>
                <w:noProof/>
                <w:webHidden/>
              </w:rPr>
              <w:fldChar w:fldCharType="end"/>
            </w:r>
          </w:hyperlink>
        </w:p>
        <w:p w14:paraId="49A8FF7A" w14:textId="03EC59FD" w:rsidR="00912ADE" w:rsidRDefault="00912ADE" w:rsidP="00355E68">
          <w:pPr>
            <w:pStyle w:val="TOC2"/>
            <w:tabs>
              <w:tab w:val="right" w:leader="dot" w:pos="9016"/>
            </w:tabs>
            <w:spacing w:line="240" w:lineRule="auto"/>
            <w:rPr>
              <w:rFonts w:asciiTheme="minorHAnsi" w:eastAsiaTheme="minorEastAsia" w:hAnsiTheme="minorHAnsi"/>
              <w:noProof/>
              <w:kern w:val="2"/>
              <w:szCs w:val="24"/>
              <w:lang w:eastAsia="en-AU"/>
              <w14:ligatures w14:val="standardContextual"/>
            </w:rPr>
          </w:pPr>
          <w:hyperlink w:anchor="_Toc209511914" w:history="1">
            <w:r w:rsidRPr="00F7281A">
              <w:rPr>
                <w:rStyle w:val="Hyperlink"/>
                <w:noProof/>
              </w:rPr>
              <w:t>An unforgettable fan experience [2]</w:t>
            </w:r>
            <w:r>
              <w:rPr>
                <w:noProof/>
                <w:webHidden/>
              </w:rPr>
              <w:tab/>
            </w:r>
            <w:r>
              <w:rPr>
                <w:noProof/>
                <w:webHidden/>
              </w:rPr>
              <w:fldChar w:fldCharType="begin"/>
            </w:r>
            <w:r>
              <w:rPr>
                <w:noProof/>
                <w:webHidden/>
              </w:rPr>
              <w:instrText xml:space="preserve"> PAGEREF _Toc209511914 \h </w:instrText>
            </w:r>
            <w:r>
              <w:rPr>
                <w:noProof/>
                <w:webHidden/>
              </w:rPr>
            </w:r>
            <w:r>
              <w:rPr>
                <w:noProof/>
                <w:webHidden/>
              </w:rPr>
              <w:fldChar w:fldCharType="separate"/>
            </w:r>
            <w:r w:rsidR="00455E36">
              <w:rPr>
                <w:noProof/>
                <w:webHidden/>
              </w:rPr>
              <w:t>9</w:t>
            </w:r>
            <w:r>
              <w:rPr>
                <w:noProof/>
                <w:webHidden/>
              </w:rPr>
              <w:fldChar w:fldCharType="end"/>
            </w:r>
          </w:hyperlink>
        </w:p>
        <w:p w14:paraId="735DC5D5" w14:textId="4571697D" w:rsidR="00912ADE" w:rsidRDefault="00912ADE" w:rsidP="00355E68">
          <w:pPr>
            <w:pStyle w:val="TOC3"/>
            <w:tabs>
              <w:tab w:val="right" w:leader="dot" w:pos="9016"/>
            </w:tabs>
            <w:spacing w:line="240" w:lineRule="auto"/>
            <w:rPr>
              <w:rFonts w:asciiTheme="minorHAnsi" w:eastAsiaTheme="minorEastAsia" w:hAnsiTheme="minorHAnsi"/>
              <w:noProof/>
              <w:kern w:val="2"/>
              <w:szCs w:val="24"/>
              <w:lang w:eastAsia="en-AU"/>
              <w14:ligatures w14:val="standardContextual"/>
            </w:rPr>
          </w:pPr>
          <w:hyperlink w:anchor="_Toc209511915" w:history="1">
            <w:r w:rsidRPr="00F7281A">
              <w:rPr>
                <w:rStyle w:val="Hyperlink"/>
                <w:noProof/>
              </w:rPr>
              <w:t>Changes to Improve Fan Experience (2025)</w:t>
            </w:r>
            <w:r>
              <w:rPr>
                <w:noProof/>
                <w:webHidden/>
              </w:rPr>
              <w:tab/>
            </w:r>
            <w:r>
              <w:rPr>
                <w:noProof/>
                <w:webHidden/>
              </w:rPr>
              <w:fldChar w:fldCharType="begin"/>
            </w:r>
            <w:r>
              <w:rPr>
                <w:noProof/>
                <w:webHidden/>
              </w:rPr>
              <w:instrText xml:space="preserve"> PAGEREF _Toc209511915 \h </w:instrText>
            </w:r>
            <w:r>
              <w:rPr>
                <w:noProof/>
                <w:webHidden/>
              </w:rPr>
            </w:r>
            <w:r>
              <w:rPr>
                <w:noProof/>
                <w:webHidden/>
              </w:rPr>
              <w:fldChar w:fldCharType="separate"/>
            </w:r>
            <w:r w:rsidR="00455E36">
              <w:rPr>
                <w:noProof/>
                <w:webHidden/>
              </w:rPr>
              <w:t>9</w:t>
            </w:r>
            <w:r>
              <w:rPr>
                <w:noProof/>
                <w:webHidden/>
              </w:rPr>
              <w:fldChar w:fldCharType="end"/>
            </w:r>
          </w:hyperlink>
        </w:p>
        <w:p w14:paraId="6F7B6666" w14:textId="397372C9" w:rsidR="00912ADE" w:rsidRDefault="00912ADE" w:rsidP="00355E68">
          <w:pPr>
            <w:pStyle w:val="TOC3"/>
            <w:tabs>
              <w:tab w:val="right" w:leader="dot" w:pos="9016"/>
            </w:tabs>
            <w:spacing w:line="240" w:lineRule="auto"/>
            <w:rPr>
              <w:rFonts w:asciiTheme="minorHAnsi" w:eastAsiaTheme="minorEastAsia" w:hAnsiTheme="minorHAnsi"/>
              <w:noProof/>
              <w:kern w:val="2"/>
              <w:szCs w:val="24"/>
              <w:lang w:eastAsia="en-AU"/>
              <w14:ligatures w14:val="standardContextual"/>
            </w:rPr>
          </w:pPr>
          <w:hyperlink w:anchor="_Toc209511916" w:history="1">
            <w:r w:rsidRPr="00F7281A">
              <w:rPr>
                <w:rStyle w:val="Hyperlink"/>
                <w:noProof/>
              </w:rPr>
              <w:t>Highlights from the Fan Survey (2025)</w:t>
            </w:r>
            <w:r>
              <w:rPr>
                <w:noProof/>
                <w:webHidden/>
              </w:rPr>
              <w:tab/>
            </w:r>
            <w:r>
              <w:rPr>
                <w:noProof/>
                <w:webHidden/>
              </w:rPr>
              <w:fldChar w:fldCharType="begin"/>
            </w:r>
            <w:r>
              <w:rPr>
                <w:noProof/>
                <w:webHidden/>
              </w:rPr>
              <w:instrText xml:space="preserve"> PAGEREF _Toc209511916 \h </w:instrText>
            </w:r>
            <w:r>
              <w:rPr>
                <w:noProof/>
                <w:webHidden/>
              </w:rPr>
            </w:r>
            <w:r>
              <w:rPr>
                <w:noProof/>
                <w:webHidden/>
              </w:rPr>
              <w:fldChar w:fldCharType="separate"/>
            </w:r>
            <w:r w:rsidR="00455E36">
              <w:rPr>
                <w:noProof/>
                <w:webHidden/>
              </w:rPr>
              <w:t>9</w:t>
            </w:r>
            <w:r>
              <w:rPr>
                <w:noProof/>
                <w:webHidden/>
              </w:rPr>
              <w:fldChar w:fldCharType="end"/>
            </w:r>
          </w:hyperlink>
        </w:p>
        <w:p w14:paraId="6C145827" w14:textId="6BBCEB80" w:rsidR="00912ADE" w:rsidRDefault="00912ADE" w:rsidP="00355E68">
          <w:pPr>
            <w:pStyle w:val="TOC1"/>
            <w:tabs>
              <w:tab w:val="right" w:leader="dot" w:pos="9016"/>
            </w:tabs>
            <w:spacing w:line="240" w:lineRule="auto"/>
            <w:rPr>
              <w:rFonts w:asciiTheme="minorHAnsi" w:eastAsiaTheme="minorEastAsia" w:hAnsiTheme="minorHAnsi"/>
              <w:noProof/>
              <w:kern w:val="2"/>
              <w:szCs w:val="24"/>
              <w:lang w:eastAsia="en-AU"/>
              <w14:ligatures w14:val="standardContextual"/>
            </w:rPr>
          </w:pPr>
          <w:hyperlink w:anchor="_Toc209511917" w:history="1">
            <w:r w:rsidRPr="00F7281A">
              <w:rPr>
                <w:rStyle w:val="Hyperlink"/>
                <w:noProof/>
              </w:rPr>
              <w:t>2. Approach</w:t>
            </w:r>
            <w:r>
              <w:rPr>
                <w:noProof/>
                <w:webHidden/>
              </w:rPr>
              <w:tab/>
            </w:r>
            <w:r>
              <w:rPr>
                <w:noProof/>
                <w:webHidden/>
              </w:rPr>
              <w:fldChar w:fldCharType="begin"/>
            </w:r>
            <w:r>
              <w:rPr>
                <w:noProof/>
                <w:webHidden/>
              </w:rPr>
              <w:instrText xml:space="preserve"> PAGEREF _Toc209511917 \h </w:instrText>
            </w:r>
            <w:r>
              <w:rPr>
                <w:noProof/>
                <w:webHidden/>
              </w:rPr>
            </w:r>
            <w:r>
              <w:rPr>
                <w:noProof/>
                <w:webHidden/>
              </w:rPr>
              <w:fldChar w:fldCharType="separate"/>
            </w:r>
            <w:r w:rsidR="00455E36">
              <w:rPr>
                <w:noProof/>
                <w:webHidden/>
              </w:rPr>
              <w:t>10</w:t>
            </w:r>
            <w:r>
              <w:rPr>
                <w:noProof/>
                <w:webHidden/>
              </w:rPr>
              <w:fldChar w:fldCharType="end"/>
            </w:r>
          </w:hyperlink>
        </w:p>
        <w:p w14:paraId="6386CF2B" w14:textId="6BCD13DB" w:rsidR="00912ADE" w:rsidRDefault="00912ADE" w:rsidP="00355E68">
          <w:pPr>
            <w:pStyle w:val="TOC2"/>
            <w:tabs>
              <w:tab w:val="right" w:leader="dot" w:pos="9016"/>
            </w:tabs>
            <w:spacing w:line="240" w:lineRule="auto"/>
            <w:rPr>
              <w:rFonts w:asciiTheme="minorHAnsi" w:eastAsiaTheme="minorEastAsia" w:hAnsiTheme="minorHAnsi"/>
              <w:noProof/>
              <w:kern w:val="2"/>
              <w:szCs w:val="24"/>
              <w:lang w:eastAsia="en-AU"/>
              <w14:ligatures w14:val="standardContextual"/>
            </w:rPr>
          </w:pPr>
          <w:hyperlink w:anchor="_Toc209511918" w:history="1">
            <w:r w:rsidRPr="00F7281A">
              <w:rPr>
                <w:rStyle w:val="Hyperlink"/>
                <w:noProof/>
              </w:rPr>
              <w:t>Economic Impact on Victoria</w:t>
            </w:r>
            <w:r>
              <w:rPr>
                <w:noProof/>
                <w:webHidden/>
              </w:rPr>
              <w:tab/>
            </w:r>
            <w:r>
              <w:rPr>
                <w:noProof/>
                <w:webHidden/>
              </w:rPr>
              <w:fldChar w:fldCharType="begin"/>
            </w:r>
            <w:r>
              <w:rPr>
                <w:noProof/>
                <w:webHidden/>
              </w:rPr>
              <w:instrText xml:space="preserve"> PAGEREF _Toc209511918 \h </w:instrText>
            </w:r>
            <w:r>
              <w:rPr>
                <w:noProof/>
                <w:webHidden/>
              </w:rPr>
            </w:r>
            <w:r>
              <w:rPr>
                <w:noProof/>
                <w:webHidden/>
              </w:rPr>
              <w:fldChar w:fldCharType="separate"/>
            </w:r>
            <w:r w:rsidR="00455E36">
              <w:rPr>
                <w:noProof/>
                <w:webHidden/>
              </w:rPr>
              <w:t>10</w:t>
            </w:r>
            <w:r>
              <w:rPr>
                <w:noProof/>
                <w:webHidden/>
              </w:rPr>
              <w:fldChar w:fldCharType="end"/>
            </w:r>
          </w:hyperlink>
        </w:p>
        <w:p w14:paraId="45C6A054" w14:textId="22390150" w:rsidR="00912ADE" w:rsidRDefault="00912ADE" w:rsidP="00355E68">
          <w:pPr>
            <w:pStyle w:val="TOC2"/>
            <w:tabs>
              <w:tab w:val="right" w:leader="dot" w:pos="9016"/>
            </w:tabs>
            <w:spacing w:line="240" w:lineRule="auto"/>
            <w:rPr>
              <w:rFonts w:asciiTheme="minorHAnsi" w:eastAsiaTheme="minorEastAsia" w:hAnsiTheme="minorHAnsi"/>
              <w:noProof/>
              <w:kern w:val="2"/>
              <w:szCs w:val="24"/>
              <w:lang w:eastAsia="en-AU"/>
              <w14:ligatures w14:val="standardContextual"/>
            </w:rPr>
          </w:pPr>
          <w:hyperlink w:anchor="_Toc209511919" w:history="1">
            <w:r w:rsidRPr="00F7281A">
              <w:rPr>
                <w:rStyle w:val="Hyperlink"/>
                <w:noProof/>
              </w:rPr>
              <w:t>Direct impact</w:t>
            </w:r>
            <w:r>
              <w:rPr>
                <w:noProof/>
                <w:webHidden/>
              </w:rPr>
              <w:tab/>
            </w:r>
            <w:r>
              <w:rPr>
                <w:noProof/>
                <w:webHidden/>
              </w:rPr>
              <w:fldChar w:fldCharType="begin"/>
            </w:r>
            <w:r>
              <w:rPr>
                <w:noProof/>
                <w:webHidden/>
              </w:rPr>
              <w:instrText xml:space="preserve"> PAGEREF _Toc209511919 \h </w:instrText>
            </w:r>
            <w:r>
              <w:rPr>
                <w:noProof/>
                <w:webHidden/>
              </w:rPr>
            </w:r>
            <w:r>
              <w:rPr>
                <w:noProof/>
                <w:webHidden/>
              </w:rPr>
              <w:fldChar w:fldCharType="separate"/>
            </w:r>
            <w:r w:rsidR="00455E36">
              <w:rPr>
                <w:noProof/>
                <w:webHidden/>
              </w:rPr>
              <w:t>10</w:t>
            </w:r>
            <w:r>
              <w:rPr>
                <w:noProof/>
                <w:webHidden/>
              </w:rPr>
              <w:fldChar w:fldCharType="end"/>
            </w:r>
          </w:hyperlink>
        </w:p>
        <w:p w14:paraId="70018C15" w14:textId="4D66B19E" w:rsidR="00912ADE" w:rsidRDefault="00912ADE" w:rsidP="00355E68">
          <w:pPr>
            <w:pStyle w:val="TOC2"/>
            <w:tabs>
              <w:tab w:val="right" w:leader="dot" w:pos="9016"/>
            </w:tabs>
            <w:spacing w:line="240" w:lineRule="auto"/>
            <w:rPr>
              <w:rFonts w:asciiTheme="minorHAnsi" w:eastAsiaTheme="minorEastAsia" w:hAnsiTheme="minorHAnsi"/>
              <w:noProof/>
              <w:kern w:val="2"/>
              <w:szCs w:val="24"/>
              <w:lang w:eastAsia="en-AU"/>
              <w14:ligatures w14:val="standardContextual"/>
            </w:rPr>
          </w:pPr>
          <w:hyperlink w:anchor="_Toc209511920" w:history="1">
            <w:r w:rsidRPr="00F7281A">
              <w:rPr>
                <w:rStyle w:val="Hyperlink"/>
                <w:noProof/>
              </w:rPr>
              <w:t>Indirect and induced impacts</w:t>
            </w:r>
            <w:r>
              <w:rPr>
                <w:noProof/>
                <w:webHidden/>
              </w:rPr>
              <w:tab/>
            </w:r>
            <w:r>
              <w:rPr>
                <w:noProof/>
                <w:webHidden/>
              </w:rPr>
              <w:fldChar w:fldCharType="begin"/>
            </w:r>
            <w:r>
              <w:rPr>
                <w:noProof/>
                <w:webHidden/>
              </w:rPr>
              <w:instrText xml:space="preserve"> PAGEREF _Toc209511920 \h </w:instrText>
            </w:r>
            <w:r>
              <w:rPr>
                <w:noProof/>
                <w:webHidden/>
              </w:rPr>
            </w:r>
            <w:r>
              <w:rPr>
                <w:noProof/>
                <w:webHidden/>
              </w:rPr>
              <w:fldChar w:fldCharType="separate"/>
            </w:r>
            <w:r w:rsidR="00455E36">
              <w:rPr>
                <w:noProof/>
                <w:webHidden/>
              </w:rPr>
              <w:t>10</w:t>
            </w:r>
            <w:r>
              <w:rPr>
                <w:noProof/>
                <w:webHidden/>
              </w:rPr>
              <w:fldChar w:fldCharType="end"/>
            </w:r>
          </w:hyperlink>
        </w:p>
        <w:p w14:paraId="0667EC1B" w14:textId="7F215A5F" w:rsidR="00912ADE" w:rsidRDefault="00912ADE" w:rsidP="00355E68">
          <w:pPr>
            <w:pStyle w:val="TOC2"/>
            <w:tabs>
              <w:tab w:val="right" w:leader="dot" w:pos="9016"/>
            </w:tabs>
            <w:spacing w:line="240" w:lineRule="auto"/>
            <w:rPr>
              <w:rFonts w:asciiTheme="minorHAnsi" w:eastAsiaTheme="minorEastAsia" w:hAnsiTheme="minorHAnsi"/>
              <w:noProof/>
              <w:kern w:val="2"/>
              <w:szCs w:val="24"/>
              <w:lang w:eastAsia="en-AU"/>
              <w14:ligatures w14:val="standardContextual"/>
            </w:rPr>
          </w:pPr>
          <w:hyperlink w:anchor="_Toc209511921" w:history="1">
            <w:r w:rsidRPr="00F7281A">
              <w:rPr>
                <w:rStyle w:val="Hyperlink"/>
                <w:noProof/>
              </w:rPr>
              <w:t>Full-time equivalent (FTE) jobs</w:t>
            </w:r>
            <w:r>
              <w:rPr>
                <w:noProof/>
                <w:webHidden/>
              </w:rPr>
              <w:tab/>
            </w:r>
            <w:r>
              <w:rPr>
                <w:noProof/>
                <w:webHidden/>
              </w:rPr>
              <w:fldChar w:fldCharType="begin"/>
            </w:r>
            <w:r>
              <w:rPr>
                <w:noProof/>
                <w:webHidden/>
              </w:rPr>
              <w:instrText xml:space="preserve"> PAGEREF _Toc209511921 \h </w:instrText>
            </w:r>
            <w:r>
              <w:rPr>
                <w:noProof/>
                <w:webHidden/>
              </w:rPr>
            </w:r>
            <w:r>
              <w:rPr>
                <w:noProof/>
                <w:webHidden/>
              </w:rPr>
              <w:fldChar w:fldCharType="separate"/>
            </w:r>
            <w:r w:rsidR="00455E36">
              <w:rPr>
                <w:noProof/>
                <w:webHidden/>
              </w:rPr>
              <w:t>11</w:t>
            </w:r>
            <w:r>
              <w:rPr>
                <w:noProof/>
                <w:webHidden/>
              </w:rPr>
              <w:fldChar w:fldCharType="end"/>
            </w:r>
          </w:hyperlink>
        </w:p>
        <w:p w14:paraId="5BD97FA1" w14:textId="658ECA58" w:rsidR="00912ADE" w:rsidRDefault="00912ADE" w:rsidP="00355E68">
          <w:pPr>
            <w:pStyle w:val="TOC2"/>
            <w:tabs>
              <w:tab w:val="right" w:leader="dot" w:pos="9016"/>
            </w:tabs>
            <w:spacing w:line="240" w:lineRule="auto"/>
            <w:rPr>
              <w:rFonts w:asciiTheme="minorHAnsi" w:eastAsiaTheme="minorEastAsia" w:hAnsiTheme="minorHAnsi"/>
              <w:noProof/>
              <w:kern w:val="2"/>
              <w:szCs w:val="24"/>
              <w:lang w:eastAsia="en-AU"/>
              <w14:ligatures w14:val="standardContextual"/>
            </w:rPr>
          </w:pPr>
          <w:hyperlink w:anchor="_Toc209511922" w:history="1">
            <w:r w:rsidRPr="00F7281A">
              <w:rPr>
                <w:rStyle w:val="Hyperlink"/>
                <w:noProof/>
              </w:rPr>
              <w:t>Simplified economic impact methodology</w:t>
            </w:r>
            <w:r>
              <w:rPr>
                <w:noProof/>
                <w:webHidden/>
              </w:rPr>
              <w:tab/>
            </w:r>
            <w:r>
              <w:rPr>
                <w:noProof/>
                <w:webHidden/>
              </w:rPr>
              <w:fldChar w:fldCharType="begin"/>
            </w:r>
            <w:r>
              <w:rPr>
                <w:noProof/>
                <w:webHidden/>
              </w:rPr>
              <w:instrText xml:space="preserve"> PAGEREF _Toc209511922 \h </w:instrText>
            </w:r>
            <w:r>
              <w:rPr>
                <w:noProof/>
                <w:webHidden/>
              </w:rPr>
            </w:r>
            <w:r>
              <w:rPr>
                <w:noProof/>
                <w:webHidden/>
              </w:rPr>
              <w:fldChar w:fldCharType="separate"/>
            </w:r>
            <w:r w:rsidR="00455E36">
              <w:rPr>
                <w:noProof/>
                <w:webHidden/>
              </w:rPr>
              <w:t>11</w:t>
            </w:r>
            <w:r>
              <w:rPr>
                <w:noProof/>
                <w:webHidden/>
              </w:rPr>
              <w:fldChar w:fldCharType="end"/>
            </w:r>
          </w:hyperlink>
        </w:p>
        <w:p w14:paraId="420229B1" w14:textId="070E8432" w:rsidR="00912ADE" w:rsidRDefault="00912ADE" w:rsidP="00355E68">
          <w:pPr>
            <w:pStyle w:val="TOC1"/>
            <w:tabs>
              <w:tab w:val="right" w:leader="dot" w:pos="9016"/>
            </w:tabs>
            <w:spacing w:line="240" w:lineRule="auto"/>
            <w:rPr>
              <w:rFonts w:asciiTheme="minorHAnsi" w:eastAsiaTheme="minorEastAsia" w:hAnsiTheme="minorHAnsi"/>
              <w:noProof/>
              <w:kern w:val="2"/>
              <w:szCs w:val="24"/>
              <w:lang w:eastAsia="en-AU"/>
              <w14:ligatures w14:val="standardContextual"/>
            </w:rPr>
          </w:pPr>
          <w:hyperlink w:anchor="_Toc209511923" w:history="1">
            <w:r w:rsidRPr="00F7281A">
              <w:rPr>
                <w:rStyle w:val="Hyperlink"/>
                <w:noProof/>
              </w:rPr>
              <w:t>3.Economic Impact Assessment</w:t>
            </w:r>
            <w:r>
              <w:rPr>
                <w:noProof/>
                <w:webHidden/>
              </w:rPr>
              <w:tab/>
            </w:r>
            <w:r>
              <w:rPr>
                <w:noProof/>
                <w:webHidden/>
              </w:rPr>
              <w:fldChar w:fldCharType="begin"/>
            </w:r>
            <w:r>
              <w:rPr>
                <w:noProof/>
                <w:webHidden/>
              </w:rPr>
              <w:instrText xml:space="preserve"> PAGEREF _Toc209511923 \h </w:instrText>
            </w:r>
            <w:r>
              <w:rPr>
                <w:noProof/>
                <w:webHidden/>
              </w:rPr>
            </w:r>
            <w:r>
              <w:rPr>
                <w:noProof/>
                <w:webHidden/>
              </w:rPr>
              <w:fldChar w:fldCharType="separate"/>
            </w:r>
            <w:r w:rsidR="00455E36">
              <w:rPr>
                <w:noProof/>
                <w:webHidden/>
              </w:rPr>
              <w:t>13</w:t>
            </w:r>
            <w:r>
              <w:rPr>
                <w:noProof/>
                <w:webHidden/>
              </w:rPr>
              <w:fldChar w:fldCharType="end"/>
            </w:r>
          </w:hyperlink>
        </w:p>
        <w:p w14:paraId="68063BD9" w14:textId="5323E736" w:rsidR="00912ADE" w:rsidRDefault="00912ADE" w:rsidP="00355E68">
          <w:pPr>
            <w:pStyle w:val="TOC2"/>
            <w:tabs>
              <w:tab w:val="right" w:leader="dot" w:pos="9016"/>
            </w:tabs>
            <w:spacing w:line="240" w:lineRule="auto"/>
            <w:rPr>
              <w:rFonts w:asciiTheme="minorHAnsi" w:eastAsiaTheme="minorEastAsia" w:hAnsiTheme="minorHAnsi"/>
              <w:noProof/>
              <w:kern w:val="2"/>
              <w:szCs w:val="24"/>
              <w:lang w:eastAsia="en-AU"/>
              <w14:ligatures w14:val="standardContextual"/>
            </w:rPr>
          </w:pPr>
          <w:hyperlink w:anchor="_Toc209511924" w:history="1">
            <w:r w:rsidRPr="00F7281A">
              <w:rPr>
                <w:rStyle w:val="Hyperlink"/>
                <w:noProof/>
              </w:rPr>
              <w:t>2024 and 2025 Attendance</w:t>
            </w:r>
            <w:r>
              <w:rPr>
                <w:noProof/>
                <w:webHidden/>
              </w:rPr>
              <w:tab/>
            </w:r>
            <w:r>
              <w:rPr>
                <w:noProof/>
                <w:webHidden/>
              </w:rPr>
              <w:fldChar w:fldCharType="begin"/>
            </w:r>
            <w:r>
              <w:rPr>
                <w:noProof/>
                <w:webHidden/>
              </w:rPr>
              <w:instrText xml:space="preserve"> PAGEREF _Toc209511924 \h </w:instrText>
            </w:r>
            <w:r>
              <w:rPr>
                <w:noProof/>
                <w:webHidden/>
              </w:rPr>
            </w:r>
            <w:r>
              <w:rPr>
                <w:noProof/>
                <w:webHidden/>
              </w:rPr>
              <w:fldChar w:fldCharType="separate"/>
            </w:r>
            <w:r w:rsidR="00455E36">
              <w:rPr>
                <w:noProof/>
                <w:webHidden/>
              </w:rPr>
              <w:t>13</w:t>
            </w:r>
            <w:r>
              <w:rPr>
                <w:noProof/>
                <w:webHidden/>
              </w:rPr>
              <w:fldChar w:fldCharType="end"/>
            </w:r>
          </w:hyperlink>
        </w:p>
        <w:p w14:paraId="5232D7C9" w14:textId="40123604" w:rsidR="00912ADE" w:rsidRDefault="00912ADE" w:rsidP="00355E68">
          <w:pPr>
            <w:pStyle w:val="TOC2"/>
            <w:tabs>
              <w:tab w:val="right" w:leader="dot" w:pos="9016"/>
            </w:tabs>
            <w:spacing w:line="240" w:lineRule="auto"/>
            <w:rPr>
              <w:rFonts w:asciiTheme="minorHAnsi" w:eastAsiaTheme="minorEastAsia" w:hAnsiTheme="minorHAnsi"/>
              <w:noProof/>
              <w:kern w:val="2"/>
              <w:szCs w:val="24"/>
              <w:lang w:eastAsia="en-AU"/>
              <w14:ligatures w14:val="standardContextual"/>
            </w:rPr>
          </w:pPr>
          <w:hyperlink w:anchor="_Toc209511925" w:history="1">
            <w:r w:rsidRPr="00F7281A">
              <w:rPr>
                <w:rStyle w:val="Hyperlink"/>
                <w:noProof/>
              </w:rPr>
              <w:t>Direct expenditure consists of three components:</w:t>
            </w:r>
            <w:r>
              <w:rPr>
                <w:noProof/>
                <w:webHidden/>
              </w:rPr>
              <w:tab/>
            </w:r>
            <w:r>
              <w:rPr>
                <w:noProof/>
                <w:webHidden/>
              </w:rPr>
              <w:fldChar w:fldCharType="begin"/>
            </w:r>
            <w:r>
              <w:rPr>
                <w:noProof/>
                <w:webHidden/>
              </w:rPr>
              <w:instrText xml:space="preserve"> PAGEREF _Toc209511925 \h </w:instrText>
            </w:r>
            <w:r>
              <w:rPr>
                <w:noProof/>
                <w:webHidden/>
              </w:rPr>
            </w:r>
            <w:r>
              <w:rPr>
                <w:noProof/>
                <w:webHidden/>
              </w:rPr>
              <w:fldChar w:fldCharType="separate"/>
            </w:r>
            <w:r w:rsidR="00455E36">
              <w:rPr>
                <w:noProof/>
                <w:webHidden/>
              </w:rPr>
              <w:t>14</w:t>
            </w:r>
            <w:r>
              <w:rPr>
                <w:noProof/>
                <w:webHidden/>
              </w:rPr>
              <w:fldChar w:fldCharType="end"/>
            </w:r>
          </w:hyperlink>
        </w:p>
        <w:p w14:paraId="038D1FB4" w14:textId="68BA543D" w:rsidR="00912ADE" w:rsidRDefault="00912ADE" w:rsidP="00355E68">
          <w:pPr>
            <w:pStyle w:val="TOC2"/>
            <w:tabs>
              <w:tab w:val="right" w:leader="dot" w:pos="9016"/>
            </w:tabs>
            <w:spacing w:line="240" w:lineRule="auto"/>
            <w:rPr>
              <w:rFonts w:asciiTheme="minorHAnsi" w:eastAsiaTheme="minorEastAsia" w:hAnsiTheme="minorHAnsi"/>
              <w:noProof/>
              <w:kern w:val="2"/>
              <w:szCs w:val="24"/>
              <w:lang w:eastAsia="en-AU"/>
              <w14:ligatures w14:val="standardContextual"/>
            </w:rPr>
          </w:pPr>
          <w:hyperlink w:anchor="_Toc209511926" w:history="1">
            <w:r w:rsidRPr="00F7281A">
              <w:rPr>
                <w:rStyle w:val="Hyperlink"/>
                <w:noProof/>
              </w:rPr>
              <w:t>Specific and extended stay visitors</w:t>
            </w:r>
            <w:r>
              <w:rPr>
                <w:noProof/>
                <w:webHidden/>
              </w:rPr>
              <w:tab/>
            </w:r>
            <w:r>
              <w:rPr>
                <w:noProof/>
                <w:webHidden/>
              </w:rPr>
              <w:fldChar w:fldCharType="begin"/>
            </w:r>
            <w:r>
              <w:rPr>
                <w:noProof/>
                <w:webHidden/>
              </w:rPr>
              <w:instrText xml:space="preserve"> PAGEREF _Toc209511926 \h </w:instrText>
            </w:r>
            <w:r>
              <w:rPr>
                <w:noProof/>
                <w:webHidden/>
              </w:rPr>
            </w:r>
            <w:r>
              <w:rPr>
                <w:noProof/>
                <w:webHidden/>
              </w:rPr>
              <w:fldChar w:fldCharType="separate"/>
            </w:r>
            <w:r w:rsidR="00455E36">
              <w:rPr>
                <w:noProof/>
                <w:webHidden/>
              </w:rPr>
              <w:t>14</w:t>
            </w:r>
            <w:r>
              <w:rPr>
                <w:noProof/>
                <w:webHidden/>
              </w:rPr>
              <w:fldChar w:fldCharType="end"/>
            </w:r>
          </w:hyperlink>
        </w:p>
        <w:p w14:paraId="5805DC29" w14:textId="2F72F170" w:rsidR="00912ADE" w:rsidRDefault="00912ADE" w:rsidP="00355E68">
          <w:pPr>
            <w:pStyle w:val="TOC2"/>
            <w:tabs>
              <w:tab w:val="right" w:leader="dot" w:pos="9016"/>
            </w:tabs>
            <w:spacing w:line="240" w:lineRule="auto"/>
            <w:rPr>
              <w:rFonts w:asciiTheme="minorHAnsi" w:eastAsiaTheme="minorEastAsia" w:hAnsiTheme="minorHAnsi"/>
              <w:noProof/>
              <w:kern w:val="2"/>
              <w:szCs w:val="24"/>
              <w:lang w:eastAsia="en-AU"/>
              <w14:ligatures w14:val="standardContextual"/>
            </w:rPr>
          </w:pPr>
          <w:hyperlink w:anchor="_Toc209511927" w:history="1">
            <w:r w:rsidRPr="00F7281A">
              <w:rPr>
                <w:rStyle w:val="Hyperlink"/>
                <w:noProof/>
              </w:rPr>
              <w:t>2024 and 2025 F1® GP – Attendance and Visitors</w:t>
            </w:r>
            <w:r>
              <w:rPr>
                <w:noProof/>
                <w:webHidden/>
              </w:rPr>
              <w:tab/>
            </w:r>
            <w:r>
              <w:rPr>
                <w:noProof/>
                <w:webHidden/>
              </w:rPr>
              <w:fldChar w:fldCharType="begin"/>
            </w:r>
            <w:r>
              <w:rPr>
                <w:noProof/>
                <w:webHidden/>
              </w:rPr>
              <w:instrText xml:space="preserve"> PAGEREF _Toc209511927 \h </w:instrText>
            </w:r>
            <w:r>
              <w:rPr>
                <w:noProof/>
                <w:webHidden/>
              </w:rPr>
            </w:r>
            <w:r>
              <w:rPr>
                <w:noProof/>
                <w:webHidden/>
              </w:rPr>
              <w:fldChar w:fldCharType="separate"/>
            </w:r>
            <w:r w:rsidR="00455E36">
              <w:rPr>
                <w:noProof/>
                <w:webHidden/>
              </w:rPr>
              <w:t>15</w:t>
            </w:r>
            <w:r>
              <w:rPr>
                <w:noProof/>
                <w:webHidden/>
              </w:rPr>
              <w:fldChar w:fldCharType="end"/>
            </w:r>
          </w:hyperlink>
        </w:p>
        <w:p w14:paraId="73DBEB55" w14:textId="4D1578A5" w:rsidR="00912ADE" w:rsidRDefault="00912ADE" w:rsidP="00355E68">
          <w:pPr>
            <w:pStyle w:val="TOC1"/>
            <w:tabs>
              <w:tab w:val="right" w:leader="dot" w:pos="9016"/>
            </w:tabs>
            <w:spacing w:line="240" w:lineRule="auto"/>
            <w:rPr>
              <w:rFonts w:asciiTheme="minorHAnsi" w:eastAsiaTheme="minorEastAsia" w:hAnsiTheme="minorHAnsi"/>
              <w:noProof/>
              <w:kern w:val="2"/>
              <w:szCs w:val="24"/>
              <w:lang w:eastAsia="en-AU"/>
              <w14:ligatures w14:val="standardContextual"/>
            </w:rPr>
          </w:pPr>
          <w:hyperlink w:anchor="_Toc209511928" w:history="1">
            <w:r w:rsidRPr="00F7281A">
              <w:rPr>
                <w:rStyle w:val="Hyperlink"/>
                <w:noProof/>
              </w:rPr>
              <w:t>Disclaimer Notice</w:t>
            </w:r>
            <w:r>
              <w:rPr>
                <w:noProof/>
                <w:webHidden/>
              </w:rPr>
              <w:tab/>
            </w:r>
            <w:r>
              <w:rPr>
                <w:noProof/>
                <w:webHidden/>
              </w:rPr>
              <w:fldChar w:fldCharType="begin"/>
            </w:r>
            <w:r>
              <w:rPr>
                <w:noProof/>
                <w:webHidden/>
              </w:rPr>
              <w:instrText xml:space="preserve"> PAGEREF _Toc209511928 \h </w:instrText>
            </w:r>
            <w:r>
              <w:rPr>
                <w:noProof/>
                <w:webHidden/>
              </w:rPr>
            </w:r>
            <w:r>
              <w:rPr>
                <w:noProof/>
                <w:webHidden/>
              </w:rPr>
              <w:fldChar w:fldCharType="separate"/>
            </w:r>
            <w:r w:rsidR="00455E36">
              <w:rPr>
                <w:noProof/>
                <w:webHidden/>
              </w:rPr>
              <w:t>17</w:t>
            </w:r>
            <w:r>
              <w:rPr>
                <w:noProof/>
                <w:webHidden/>
              </w:rPr>
              <w:fldChar w:fldCharType="end"/>
            </w:r>
          </w:hyperlink>
        </w:p>
        <w:p w14:paraId="56DFFEEF" w14:textId="3EBBEA16" w:rsidR="00912ADE" w:rsidRDefault="00912ADE" w:rsidP="00355E68">
          <w:pPr>
            <w:pStyle w:val="TOC1"/>
            <w:tabs>
              <w:tab w:val="right" w:leader="dot" w:pos="9016"/>
            </w:tabs>
            <w:spacing w:line="240" w:lineRule="auto"/>
            <w:rPr>
              <w:rFonts w:asciiTheme="minorHAnsi" w:eastAsiaTheme="minorEastAsia" w:hAnsiTheme="minorHAnsi"/>
              <w:noProof/>
              <w:kern w:val="2"/>
              <w:szCs w:val="24"/>
              <w:lang w:eastAsia="en-AU"/>
              <w14:ligatures w14:val="standardContextual"/>
            </w:rPr>
          </w:pPr>
          <w:hyperlink w:anchor="_Toc209511929" w:history="1">
            <w:r w:rsidRPr="00F7281A">
              <w:rPr>
                <w:rStyle w:val="Hyperlink"/>
                <w:noProof/>
              </w:rPr>
              <w:t>BDO</w:t>
            </w:r>
            <w:r>
              <w:rPr>
                <w:noProof/>
                <w:webHidden/>
              </w:rPr>
              <w:tab/>
            </w:r>
            <w:r>
              <w:rPr>
                <w:noProof/>
                <w:webHidden/>
              </w:rPr>
              <w:fldChar w:fldCharType="begin"/>
            </w:r>
            <w:r>
              <w:rPr>
                <w:noProof/>
                <w:webHidden/>
              </w:rPr>
              <w:instrText xml:space="preserve"> PAGEREF _Toc209511929 \h </w:instrText>
            </w:r>
            <w:r>
              <w:rPr>
                <w:noProof/>
                <w:webHidden/>
              </w:rPr>
            </w:r>
            <w:r>
              <w:rPr>
                <w:noProof/>
                <w:webHidden/>
              </w:rPr>
              <w:fldChar w:fldCharType="separate"/>
            </w:r>
            <w:r w:rsidR="00455E36">
              <w:rPr>
                <w:noProof/>
                <w:webHidden/>
              </w:rPr>
              <w:t>19</w:t>
            </w:r>
            <w:r>
              <w:rPr>
                <w:noProof/>
                <w:webHidden/>
              </w:rPr>
              <w:fldChar w:fldCharType="end"/>
            </w:r>
          </w:hyperlink>
        </w:p>
        <w:p w14:paraId="728CFD3C" w14:textId="4C37F2A3" w:rsidR="0034666D" w:rsidRDefault="0034666D" w:rsidP="00355E68">
          <w:pPr>
            <w:spacing w:line="240" w:lineRule="auto"/>
          </w:pPr>
          <w:r>
            <w:rPr>
              <w:b/>
              <w:bCs/>
              <w:noProof/>
            </w:rPr>
            <w:fldChar w:fldCharType="end"/>
          </w:r>
        </w:p>
      </w:sdtContent>
    </w:sdt>
    <w:p w14:paraId="29CA41B1" w14:textId="691D507C" w:rsidR="0052759C" w:rsidRDefault="00070C64" w:rsidP="00457E4D">
      <w:pPr>
        <w:spacing w:line="259" w:lineRule="auto"/>
      </w:pPr>
      <w:r>
        <w:br w:type="page"/>
      </w:r>
    </w:p>
    <w:p w14:paraId="3A921D88" w14:textId="5D6F56D4" w:rsidR="00BA111B" w:rsidRPr="0050721C" w:rsidRDefault="007E24BE" w:rsidP="0050721C">
      <w:pPr>
        <w:pStyle w:val="Heading1"/>
      </w:pPr>
      <w:bookmarkStart w:id="2" w:name="_Toc198738845"/>
      <w:bookmarkStart w:id="3" w:name="_Toc209511905"/>
      <w:r w:rsidRPr="0050721C">
        <w:lastRenderedPageBreak/>
        <w:t xml:space="preserve">1. </w:t>
      </w:r>
      <w:r w:rsidR="00BA111B" w:rsidRPr="0050721C">
        <w:t>Executive Summary</w:t>
      </w:r>
      <w:bookmarkEnd w:id="2"/>
      <w:bookmarkEnd w:id="3"/>
    </w:p>
    <w:p w14:paraId="4963928F" w14:textId="75FC3DB3" w:rsidR="00CE3519" w:rsidRDefault="007023E8" w:rsidP="00355E68">
      <w:r w:rsidRPr="007023E8">
        <w:t>Attendance at the F1® Australian Grand Prix (F1® GP) has continued to grow since the last economic impact study in 2023. Gross attendance at the 2024 F1® GP was 452,055, making it the second highest attended F1® GP in 2024. This record was surpassed in 2025 with gross attendance of 465,498</w:t>
      </w:r>
      <w:r w:rsidR="005F205C" w:rsidRPr="00725DFD">
        <w:t xml:space="preserve"> </w:t>
      </w:r>
      <w:hyperlink w:anchor="ref1" w:history="1">
        <w:r w:rsidR="00B5566A" w:rsidRPr="006A5AE4">
          <w:rPr>
            <w:rStyle w:val="Hyperlink"/>
          </w:rPr>
          <w:t>[1]</w:t>
        </w:r>
      </w:hyperlink>
      <w:r w:rsidR="006A5AE4">
        <w:t xml:space="preserve"> </w:t>
      </w:r>
      <w:hyperlink w:anchor="ref2" w:history="1">
        <w:r w:rsidR="006A5AE4" w:rsidRPr="006A5AE4">
          <w:rPr>
            <w:rStyle w:val="Hyperlink"/>
          </w:rPr>
          <w:t>[2]</w:t>
        </w:r>
      </w:hyperlink>
      <w:r w:rsidR="006A5AE4">
        <w:t>.</w:t>
      </w:r>
    </w:p>
    <w:p w14:paraId="7ED00072" w14:textId="77777777" w:rsidR="006F33F5" w:rsidRDefault="00B75FDF" w:rsidP="00846710">
      <w:r>
        <w:t xml:space="preserve">In </w:t>
      </w:r>
      <w:r w:rsidR="000B230F" w:rsidRPr="000B230F">
        <w:t>May 2025, AGPC engaged BDO to undertake an independent economic impact assessment of the 2024 and 2025 F1</w:t>
      </w:r>
      <w:r w:rsidR="000B230F" w:rsidRPr="000B230F">
        <w:rPr>
          <w:vertAlign w:val="superscript"/>
        </w:rPr>
        <w:t>®</w:t>
      </w:r>
      <w:r w:rsidR="000B230F" w:rsidRPr="000B230F">
        <w:t xml:space="preserve"> GP. The methodology used for this study has been applied by BDO’s Sports and Entertainment Team in numerous major sporting and cultural event assessments and accepted by major event bodies and government departments across Australia.</w:t>
      </w:r>
    </w:p>
    <w:p w14:paraId="350D670D" w14:textId="23C2AF68" w:rsidR="000B230F" w:rsidRPr="000B230F" w:rsidRDefault="000B230F" w:rsidP="00B64086">
      <w:r w:rsidRPr="000B230F">
        <w:t>This study finds that F1</w:t>
      </w:r>
      <w:r w:rsidRPr="000B230F">
        <w:rPr>
          <w:vertAlign w:val="superscript"/>
        </w:rPr>
        <w:t>®</w:t>
      </w:r>
      <w:r w:rsidRPr="000B230F">
        <w:t xml:space="preserve"> GP has continued to generate significant economic benefits for the Victorian economy. Growth in both gross attendance (number of people through the gates each day) and unique specific and extended stay visitors (the number of people who travelled from interstate or overseas specifically to attend the event) have been the key drivers of this growth.  </w:t>
      </w:r>
    </w:p>
    <w:p w14:paraId="61FE41BC" w14:textId="4FAF3FEF" w:rsidR="000B230F" w:rsidRPr="00CE3519" w:rsidRDefault="000B230F" w:rsidP="00B64086">
      <w:r w:rsidRPr="000B230F">
        <w:t>Direct expenditure related to the event has increased consistently from $144.0m in 2023, to $151.5m</w:t>
      </w:r>
      <w:r w:rsidR="002E18D3">
        <w:t xml:space="preserve"> </w:t>
      </w:r>
      <w:hyperlink w:anchor="ref3" w:history="1">
        <w:r w:rsidR="002E18D3" w:rsidRPr="006A5AE4">
          <w:rPr>
            <w:rStyle w:val="Hyperlink"/>
          </w:rPr>
          <w:t>[3</w:t>
        </w:r>
        <w:r w:rsidR="005F205C" w:rsidRPr="006A5AE4">
          <w:rPr>
            <w:rStyle w:val="Hyperlink"/>
          </w:rPr>
          <w:t>]</w:t>
        </w:r>
      </w:hyperlink>
      <w:r w:rsidR="005F205C">
        <w:rPr>
          <w:vertAlign w:val="superscript"/>
        </w:rPr>
        <w:t xml:space="preserve"> </w:t>
      </w:r>
      <w:r w:rsidR="005F205C" w:rsidRPr="000B230F">
        <w:t>in</w:t>
      </w:r>
      <w:r w:rsidRPr="000B230F">
        <w:t xml:space="preserve"> 2024, to $174.1m in 2025. </w:t>
      </w:r>
      <w:r w:rsidR="00875A9F" w:rsidRPr="000B230F">
        <w:t>Gross State Product (GSP)</w:t>
      </w:r>
      <w:r w:rsidRPr="000B230F">
        <w:t xml:space="preserve"> measures the total value added to the Victorian economy. The estimated GSP impact of F1</w:t>
      </w:r>
      <w:r w:rsidRPr="000B230F">
        <w:rPr>
          <w:vertAlign w:val="superscript"/>
        </w:rPr>
        <w:t>®</w:t>
      </w:r>
      <w:r w:rsidRPr="000B230F">
        <w:t xml:space="preserve"> GP in 2024 was $281.8m, growing to $323.9m in 2025. The event also generated a direct and indirect employment impact. It created the equivalent of 1,419 direct and indirect FTEs in 2024 and 1,631 direct and indirect FTEs in 2025.  </w:t>
      </w:r>
    </w:p>
    <w:p w14:paraId="6E347E27" w14:textId="77777777" w:rsidR="00355E68" w:rsidRDefault="00355E68">
      <w:pPr>
        <w:spacing w:before="0" w:after="160" w:line="259" w:lineRule="auto"/>
        <w:rPr>
          <w:rFonts w:eastAsiaTheme="majorEastAsia" w:cstheme="majorBidi"/>
          <w:color w:val="000000" w:themeColor="text1"/>
          <w:sz w:val="32"/>
          <w:szCs w:val="32"/>
        </w:rPr>
      </w:pPr>
      <w:bookmarkStart w:id="4" w:name="_Toc209511906"/>
      <w:r>
        <w:br w:type="page"/>
      </w:r>
    </w:p>
    <w:p w14:paraId="0E66B5A1" w14:textId="08A2F242" w:rsidR="000D236C" w:rsidRDefault="007B6227" w:rsidP="00952DA0">
      <w:pPr>
        <w:pStyle w:val="Heading2"/>
        <w:spacing w:before="240" w:after="120" w:line="360" w:lineRule="auto"/>
      </w:pPr>
      <w:r w:rsidRPr="007B6227">
        <w:lastRenderedPageBreak/>
        <w:t>Economic impact of the F1® GP to Victoria</w:t>
      </w:r>
      <w:bookmarkEnd w:id="4"/>
    </w:p>
    <w:tbl>
      <w:tblPr>
        <w:tblStyle w:val="GridTable4"/>
        <w:tblW w:w="0" w:type="auto"/>
        <w:tblLook w:val="06A0" w:firstRow="1" w:lastRow="0" w:firstColumn="1" w:lastColumn="0" w:noHBand="1" w:noVBand="1"/>
      </w:tblPr>
      <w:tblGrid>
        <w:gridCol w:w="3005"/>
        <w:gridCol w:w="3005"/>
        <w:gridCol w:w="3006"/>
      </w:tblGrid>
      <w:tr w:rsidR="00396082" w:rsidRPr="00396082" w14:paraId="55CDAF0B" w14:textId="77777777" w:rsidTr="0057417C">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005" w:type="dxa"/>
            <w:hideMark/>
          </w:tcPr>
          <w:p w14:paraId="1E3B7259" w14:textId="77777777" w:rsidR="00396082" w:rsidRPr="0057417C" w:rsidRDefault="00396082" w:rsidP="00952DA0">
            <w:pPr>
              <w:rPr>
                <w:rFonts w:eastAsia="Times New Roman" w:cs="Arial"/>
                <w:b w:val="0"/>
                <w:bCs w:val="0"/>
                <w:lang w:eastAsia="en-AU"/>
              </w:rPr>
            </w:pPr>
            <w:r w:rsidRPr="0057417C">
              <w:rPr>
                <w:rFonts w:eastAsia="Times New Roman" w:cs="Arial"/>
                <w:lang w:eastAsia="en-AU"/>
              </w:rPr>
              <w:t>Measure</w:t>
            </w:r>
          </w:p>
        </w:tc>
        <w:tc>
          <w:tcPr>
            <w:tcW w:w="3005" w:type="dxa"/>
            <w:hideMark/>
          </w:tcPr>
          <w:p w14:paraId="699E9393" w14:textId="77777777" w:rsidR="00396082" w:rsidRPr="00F13CEA" w:rsidRDefault="00396082" w:rsidP="00952DA0">
            <w:pPr>
              <w:cnfStyle w:val="100000000000" w:firstRow="1" w:lastRow="0" w:firstColumn="0" w:lastColumn="0" w:oddVBand="0" w:evenVBand="0" w:oddHBand="0" w:evenHBand="0" w:firstRowFirstColumn="0" w:firstRowLastColumn="0" w:lastRowFirstColumn="0" w:lastRowLastColumn="0"/>
              <w:rPr>
                <w:rFonts w:eastAsia="Times New Roman" w:cs="Arial"/>
                <w:b w:val="0"/>
                <w:bCs w:val="0"/>
                <w:lang w:eastAsia="en-AU"/>
              </w:rPr>
            </w:pPr>
            <w:r w:rsidRPr="00F13CEA">
              <w:rPr>
                <w:rFonts w:eastAsia="Times New Roman" w:cs="Arial"/>
                <w:lang w:eastAsia="en-AU"/>
              </w:rPr>
              <w:t>2024</w:t>
            </w:r>
          </w:p>
        </w:tc>
        <w:tc>
          <w:tcPr>
            <w:tcW w:w="3006" w:type="dxa"/>
            <w:hideMark/>
          </w:tcPr>
          <w:p w14:paraId="0390670A" w14:textId="77777777" w:rsidR="00396082" w:rsidRPr="00F13CEA" w:rsidRDefault="00396082" w:rsidP="00952DA0">
            <w:pPr>
              <w:cnfStyle w:val="100000000000" w:firstRow="1" w:lastRow="0" w:firstColumn="0" w:lastColumn="0" w:oddVBand="0" w:evenVBand="0" w:oddHBand="0" w:evenHBand="0" w:firstRowFirstColumn="0" w:firstRowLastColumn="0" w:lastRowFirstColumn="0" w:lastRowLastColumn="0"/>
              <w:rPr>
                <w:rFonts w:eastAsia="Times New Roman" w:cs="Arial"/>
                <w:b w:val="0"/>
                <w:bCs w:val="0"/>
                <w:lang w:eastAsia="en-AU"/>
              </w:rPr>
            </w:pPr>
            <w:r w:rsidRPr="00F13CEA">
              <w:rPr>
                <w:rFonts w:eastAsia="Times New Roman" w:cs="Arial"/>
                <w:lang w:eastAsia="en-AU"/>
              </w:rPr>
              <w:t>2025</w:t>
            </w:r>
          </w:p>
        </w:tc>
      </w:tr>
      <w:tr w:rsidR="00396082" w:rsidRPr="00396082" w14:paraId="334DC8F4" w14:textId="77777777" w:rsidTr="0057417C">
        <w:trPr>
          <w:trHeight w:val="519"/>
        </w:trPr>
        <w:tc>
          <w:tcPr>
            <w:cnfStyle w:val="001000000000" w:firstRow="0" w:lastRow="0" w:firstColumn="1" w:lastColumn="0" w:oddVBand="0" w:evenVBand="0" w:oddHBand="0" w:evenHBand="0" w:firstRowFirstColumn="0" w:firstRowLastColumn="0" w:lastRowFirstColumn="0" w:lastRowLastColumn="0"/>
            <w:tcW w:w="3005" w:type="dxa"/>
            <w:hideMark/>
          </w:tcPr>
          <w:p w14:paraId="4EC10C9E" w14:textId="58B66FDD" w:rsidR="00396082" w:rsidRPr="00455E36" w:rsidRDefault="00AB14CB" w:rsidP="00952DA0">
            <w:pPr>
              <w:rPr>
                <w:rFonts w:eastAsia="Times New Roman" w:cs="Arial"/>
                <w:color w:val="000000"/>
                <w:szCs w:val="24"/>
                <w:lang w:eastAsia="en-AU"/>
              </w:rPr>
            </w:pPr>
            <w:r w:rsidRPr="00455E36">
              <w:rPr>
                <w:rFonts w:eastAsia="Times New Roman" w:cs="Arial"/>
                <w:color w:val="000000"/>
                <w:szCs w:val="24"/>
                <w:lang w:eastAsia="en-AU"/>
              </w:rPr>
              <w:t xml:space="preserve">Gross </w:t>
            </w:r>
            <w:r w:rsidR="00396082" w:rsidRPr="00455E36">
              <w:rPr>
                <w:rFonts w:eastAsia="Times New Roman" w:cs="Arial"/>
                <w:color w:val="000000"/>
                <w:szCs w:val="24"/>
                <w:lang w:eastAsia="en-AU"/>
              </w:rPr>
              <w:t>attendance</w:t>
            </w:r>
          </w:p>
        </w:tc>
        <w:tc>
          <w:tcPr>
            <w:tcW w:w="3005" w:type="dxa"/>
            <w:hideMark/>
          </w:tcPr>
          <w:p w14:paraId="5F0DD826" w14:textId="77777777" w:rsidR="00396082" w:rsidRPr="00396082" w:rsidRDefault="00396082" w:rsidP="00952DA0">
            <w:pPr>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en-AU"/>
              </w:rPr>
            </w:pPr>
            <w:r w:rsidRPr="00396082">
              <w:rPr>
                <w:rFonts w:eastAsia="Times New Roman" w:cs="Arial"/>
                <w:color w:val="000000"/>
                <w:lang w:eastAsia="en-AU"/>
              </w:rPr>
              <w:t>452,055 people</w:t>
            </w:r>
          </w:p>
        </w:tc>
        <w:tc>
          <w:tcPr>
            <w:tcW w:w="3006" w:type="dxa"/>
            <w:hideMark/>
          </w:tcPr>
          <w:p w14:paraId="3129FFF9" w14:textId="77777777" w:rsidR="00396082" w:rsidRPr="00396082" w:rsidRDefault="00396082" w:rsidP="00952DA0">
            <w:pPr>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en-AU"/>
              </w:rPr>
            </w:pPr>
            <w:r w:rsidRPr="00396082">
              <w:rPr>
                <w:rFonts w:eastAsia="Times New Roman" w:cs="Arial"/>
                <w:color w:val="000000"/>
                <w:lang w:eastAsia="en-AU"/>
              </w:rPr>
              <w:t>465,498 people</w:t>
            </w:r>
          </w:p>
        </w:tc>
      </w:tr>
      <w:tr w:rsidR="00396082" w:rsidRPr="00396082" w14:paraId="3F81B258" w14:textId="77777777" w:rsidTr="0057417C">
        <w:trPr>
          <w:trHeight w:val="488"/>
        </w:trPr>
        <w:tc>
          <w:tcPr>
            <w:cnfStyle w:val="001000000000" w:firstRow="0" w:lastRow="0" w:firstColumn="1" w:lastColumn="0" w:oddVBand="0" w:evenVBand="0" w:oddHBand="0" w:evenHBand="0" w:firstRowFirstColumn="0" w:firstRowLastColumn="0" w:lastRowFirstColumn="0" w:lastRowLastColumn="0"/>
            <w:tcW w:w="3005" w:type="dxa"/>
            <w:hideMark/>
          </w:tcPr>
          <w:p w14:paraId="4A22F5C8" w14:textId="69EE5BC2" w:rsidR="00396082" w:rsidRPr="00455E36" w:rsidRDefault="00396082" w:rsidP="00952DA0">
            <w:pPr>
              <w:rPr>
                <w:rFonts w:eastAsia="Times New Roman" w:cs="Arial"/>
                <w:color w:val="000000"/>
                <w:szCs w:val="24"/>
                <w:lang w:eastAsia="en-AU"/>
              </w:rPr>
            </w:pPr>
            <w:r w:rsidRPr="00455E36">
              <w:rPr>
                <w:rFonts w:eastAsia="Times New Roman" w:cs="Arial"/>
                <w:color w:val="000000"/>
                <w:szCs w:val="24"/>
                <w:lang w:eastAsia="en-AU"/>
              </w:rPr>
              <w:t xml:space="preserve">Direct </w:t>
            </w:r>
            <w:r w:rsidR="007B41AB" w:rsidRPr="00455E36">
              <w:rPr>
                <w:rFonts w:eastAsia="Times New Roman" w:cs="Arial"/>
                <w:color w:val="000000"/>
                <w:szCs w:val="24"/>
                <w:lang w:eastAsia="en-AU"/>
              </w:rPr>
              <w:t>expenditure</w:t>
            </w:r>
          </w:p>
        </w:tc>
        <w:tc>
          <w:tcPr>
            <w:tcW w:w="3005" w:type="dxa"/>
            <w:hideMark/>
          </w:tcPr>
          <w:p w14:paraId="3A3BDBE3" w14:textId="77777777" w:rsidR="00396082" w:rsidRPr="00396082" w:rsidRDefault="00396082" w:rsidP="00952DA0">
            <w:pPr>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en-AU"/>
              </w:rPr>
            </w:pPr>
            <w:r w:rsidRPr="00396082">
              <w:rPr>
                <w:rFonts w:eastAsia="Times New Roman" w:cs="Arial"/>
                <w:color w:val="000000"/>
                <w:lang w:eastAsia="en-AU"/>
              </w:rPr>
              <w:t>$151.5 million</w:t>
            </w:r>
          </w:p>
        </w:tc>
        <w:tc>
          <w:tcPr>
            <w:tcW w:w="3006" w:type="dxa"/>
            <w:hideMark/>
          </w:tcPr>
          <w:p w14:paraId="256F7253" w14:textId="77777777" w:rsidR="00396082" w:rsidRPr="00396082" w:rsidRDefault="00396082" w:rsidP="00952DA0">
            <w:pPr>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en-AU"/>
              </w:rPr>
            </w:pPr>
            <w:r w:rsidRPr="00396082">
              <w:rPr>
                <w:rFonts w:eastAsia="Times New Roman" w:cs="Arial"/>
                <w:color w:val="000000"/>
                <w:lang w:eastAsia="en-AU"/>
              </w:rPr>
              <w:t>$174.1 million</w:t>
            </w:r>
          </w:p>
        </w:tc>
      </w:tr>
      <w:tr w:rsidR="00396082" w:rsidRPr="00396082" w14:paraId="6593D0D1" w14:textId="77777777" w:rsidTr="0057417C">
        <w:trPr>
          <w:trHeight w:val="1057"/>
        </w:trPr>
        <w:tc>
          <w:tcPr>
            <w:cnfStyle w:val="001000000000" w:firstRow="0" w:lastRow="0" w:firstColumn="1" w:lastColumn="0" w:oddVBand="0" w:evenVBand="0" w:oddHBand="0" w:evenHBand="0" w:firstRowFirstColumn="0" w:firstRowLastColumn="0" w:lastRowFirstColumn="0" w:lastRowLastColumn="0"/>
            <w:tcW w:w="3005" w:type="dxa"/>
            <w:hideMark/>
          </w:tcPr>
          <w:p w14:paraId="6DA3ABCA" w14:textId="680D50DC" w:rsidR="00396082" w:rsidRPr="00455E36" w:rsidRDefault="007B41AB" w:rsidP="00952DA0">
            <w:pPr>
              <w:rPr>
                <w:rFonts w:eastAsia="Times New Roman" w:cs="Arial"/>
                <w:color w:val="000000"/>
                <w:szCs w:val="24"/>
                <w:lang w:eastAsia="en-AU"/>
              </w:rPr>
            </w:pPr>
            <w:r w:rsidRPr="00455E36">
              <w:rPr>
                <w:rFonts w:eastAsia="Times New Roman" w:cs="Arial"/>
                <w:color w:val="000000"/>
                <w:szCs w:val="24"/>
                <w:lang w:eastAsia="en-AU"/>
              </w:rPr>
              <w:t xml:space="preserve">Increase in </w:t>
            </w:r>
            <w:r w:rsidR="00455E36">
              <w:rPr>
                <w:rFonts w:eastAsia="Times New Roman" w:cs="Arial"/>
                <w:color w:val="000000"/>
                <w:szCs w:val="24"/>
                <w:lang w:eastAsia="en-AU"/>
              </w:rPr>
              <w:t xml:space="preserve">GSP </w:t>
            </w:r>
            <w:r w:rsidR="00396082" w:rsidRPr="00455E36">
              <w:rPr>
                <w:rFonts w:eastAsia="Times New Roman" w:cs="Arial"/>
                <w:color w:val="000000"/>
                <w:szCs w:val="24"/>
                <w:lang w:eastAsia="en-AU"/>
              </w:rPr>
              <w:t>(Gross State Product)</w:t>
            </w:r>
          </w:p>
        </w:tc>
        <w:tc>
          <w:tcPr>
            <w:tcW w:w="3005" w:type="dxa"/>
            <w:hideMark/>
          </w:tcPr>
          <w:p w14:paraId="3B024BB6" w14:textId="77777777" w:rsidR="00396082" w:rsidRPr="00396082" w:rsidRDefault="00396082" w:rsidP="00952DA0">
            <w:pPr>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en-AU"/>
              </w:rPr>
            </w:pPr>
            <w:r w:rsidRPr="00396082">
              <w:rPr>
                <w:rFonts w:eastAsia="Times New Roman" w:cs="Arial"/>
                <w:color w:val="000000"/>
                <w:lang w:eastAsia="en-AU"/>
              </w:rPr>
              <w:t>$281.8 million</w:t>
            </w:r>
          </w:p>
        </w:tc>
        <w:tc>
          <w:tcPr>
            <w:tcW w:w="3006" w:type="dxa"/>
            <w:hideMark/>
          </w:tcPr>
          <w:p w14:paraId="621F4B2C" w14:textId="77777777" w:rsidR="00396082" w:rsidRPr="00396082" w:rsidRDefault="00396082" w:rsidP="00952DA0">
            <w:pPr>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en-AU"/>
              </w:rPr>
            </w:pPr>
            <w:r w:rsidRPr="00396082">
              <w:rPr>
                <w:rFonts w:eastAsia="Times New Roman" w:cs="Arial"/>
                <w:color w:val="000000"/>
                <w:lang w:eastAsia="en-AU"/>
              </w:rPr>
              <w:t>$323.9 million</w:t>
            </w:r>
          </w:p>
        </w:tc>
      </w:tr>
      <w:tr w:rsidR="00396082" w:rsidRPr="00396082" w14:paraId="5433CA85" w14:textId="77777777" w:rsidTr="0057417C">
        <w:trPr>
          <w:trHeight w:val="704"/>
        </w:trPr>
        <w:tc>
          <w:tcPr>
            <w:cnfStyle w:val="001000000000" w:firstRow="0" w:lastRow="0" w:firstColumn="1" w:lastColumn="0" w:oddVBand="0" w:evenVBand="0" w:oddHBand="0" w:evenHBand="0" w:firstRowFirstColumn="0" w:firstRowLastColumn="0" w:lastRowFirstColumn="0" w:lastRowLastColumn="0"/>
            <w:tcW w:w="3005" w:type="dxa"/>
            <w:hideMark/>
          </w:tcPr>
          <w:p w14:paraId="72BEC919" w14:textId="61E40354" w:rsidR="00396082" w:rsidRPr="00455E36" w:rsidRDefault="00FC183B" w:rsidP="00952DA0">
            <w:pPr>
              <w:rPr>
                <w:rFonts w:eastAsia="Times New Roman" w:cs="Arial"/>
                <w:color w:val="000000"/>
                <w:szCs w:val="24"/>
                <w:lang w:eastAsia="en-AU"/>
              </w:rPr>
            </w:pPr>
            <w:r w:rsidRPr="00455E36">
              <w:rPr>
                <w:rFonts w:eastAsia="Times New Roman" w:cs="Arial"/>
                <w:color w:val="000000"/>
                <w:szCs w:val="24"/>
                <w:lang w:eastAsia="en-AU"/>
              </w:rPr>
              <w:t xml:space="preserve">Total </w:t>
            </w:r>
            <w:r w:rsidR="00396082" w:rsidRPr="00455E36">
              <w:rPr>
                <w:rFonts w:eastAsia="Times New Roman" w:cs="Arial"/>
                <w:color w:val="000000"/>
                <w:szCs w:val="24"/>
                <w:lang w:eastAsia="en-AU"/>
              </w:rPr>
              <w:t>(Full-Time Equivalent – FTE)</w:t>
            </w:r>
            <w:r w:rsidRPr="00455E36">
              <w:rPr>
                <w:rFonts w:eastAsia="Times New Roman" w:cs="Arial"/>
                <w:color w:val="000000"/>
                <w:szCs w:val="24"/>
                <w:lang w:eastAsia="en-AU"/>
              </w:rPr>
              <w:t xml:space="preserve"> Jobs</w:t>
            </w:r>
          </w:p>
        </w:tc>
        <w:tc>
          <w:tcPr>
            <w:tcW w:w="3005" w:type="dxa"/>
            <w:hideMark/>
          </w:tcPr>
          <w:p w14:paraId="1C35C8DC" w14:textId="77777777" w:rsidR="00396082" w:rsidRPr="00396082" w:rsidRDefault="00396082" w:rsidP="00952DA0">
            <w:pPr>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en-AU"/>
              </w:rPr>
            </w:pPr>
            <w:r w:rsidRPr="00396082">
              <w:rPr>
                <w:rFonts w:eastAsia="Times New Roman" w:cs="Arial"/>
                <w:color w:val="000000"/>
                <w:lang w:eastAsia="en-AU"/>
              </w:rPr>
              <w:t>1,419</w:t>
            </w:r>
          </w:p>
        </w:tc>
        <w:tc>
          <w:tcPr>
            <w:tcW w:w="3006" w:type="dxa"/>
            <w:hideMark/>
          </w:tcPr>
          <w:p w14:paraId="56674E4D" w14:textId="77777777" w:rsidR="00396082" w:rsidRPr="00396082" w:rsidRDefault="00396082" w:rsidP="00952DA0">
            <w:pPr>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en-AU"/>
              </w:rPr>
            </w:pPr>
            <w:r w:rsidRPr="00396082">
              <w:rPr>
                <w:rFonts w:eastAsia="Times New Roman" w:cs="Arial"/>
                <w:color w:val="000000"/>
                <w:lang w:eastAsia="en-AU"/>
              </w:rPr>
              <w:t>1,631</w:t>
            </w:r>
          </w:p>
        </w:tc>
      </w:tr>
      <w:tr w:rsidR="00396082" w:rsidRPr="00396082" w14:paraId="166D4CCD" w14:textId="77777777" w:rsidTr="0057417C">
        <w:trPr>
          <w:trHeight w:val="872"/>
        </w:trPr>
        <w:tc>
          <w:tcPr>
            <w:cnfStyle w:val="001000000000" w:firstRow="0" w:lastRow="0" w:firstColumn="1" w:lastColumn="0" w:oddVBand="0" w:evenVBand="0" w:oddHBand="0" w:evenHBand="0" w:firstRowFirstColumn="0" w:firstRowLastColumn="0" w:lastRowFirstColumn="0" w:lastRowLastColumn="0"/>
            <w:tcW w:w="3005" w:type="dxa"/>
            <w:hideMark/>
          </w:tcPr>
          <w:p w14:paraId="61ED3565" w14:textId="2A2414FF" w:rsidR="00396082" w:rsidRPr="00455E36" w:rsidRDefault="002C049B" w:rsidP="00952DA0">
            <w:pPr>
              <w:rPr>
                <w:szCs w:val="24"/>
              </w:rPr>
            </w:pPr>
            <w:r w:rsidRPr="00455E36">
              <w:rPr>
                <w:szCs w:val="24"/>
              </w:rPr>
              <w:t xml:space="preserve">Total: </w:t>
            </w:r>
            <w:r w:rsidR="00971211" w:rsidRPr="00455E36">
              <w:rPr>
                <w:szCs w:val="24"/>
              </w:rPr>
              <w:t>Unique specific and extended stay and attendance</w:t>
            </w:r>
          </w:p>
        </w:tc>
        <w:tc>
          <w:tcPr>
            <w:tcW w:w="3005" w:type="dxa"/>
            <w:hideMark/>
          </w:tcPr>
          <w:p w14:paraId="64263ECD" w14:textId="5DAEF0B6" w:rsidR="00396082" w:rsidRPr="00396082" w:rsidRDefault="00396082" w:rsidP="00952DA0">
            <w:pP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lang w:eastAsia="en-AU"/>
              </w:rPr>
            </w:pPr>
            <w:r w:rsidRPr="00396082">
              <w:rPr>
                <w:rFonts w:ascii="Aptos" w:eastAsia="Times New Roman" w:hAnsi="Aptos" w:cs="Times New Roman"/>
                <w:color w:val="000000"/>
                <w:lang w:eastAsia="en-AU"/>
              </w:rPr>
              <w:t> </w:t>
            </w:r>
            <w:r w:rsidR="00DF1B5F">
              <w:rPr>
                <w:rFonts w:ascii="Aptos" w:eastAsia="Times New Roman" w:hAnsi="Aptos" w:cs="Times New Roman"/>
                <w:color w:val="000000"/>
                <w:lang w:eastAsia="en-AU"/>
              </w:rPr>
              <w:t>86,664</w:t>
            </w:r>
          </w:p>
        </w:tc>
        <w:tc>
          <w:tcPr>
            <w:tcW w:w="3006" w:type="dxa"/>
            <w:hideMark/>
          </w:tcPr>
          <w:p w14:paraId="2A4439E2" w14:textId="45465740" w:rsidR="00396082" w:rsidRPr="00396082" w:rsidRDefault="00BB614D" w:rsidP="00952DA0">
            <w:pP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lang w:eastAsia="en-AU"/>
              </w:rPr>
            </w:pPr>
            <w:r>
              <w:rPr>
                <w:rFonts w:ascii="Aptos" w:eastAsia="Times New Roman" w:hAnsi="Aptos" w:cs="Times New Roman"/>
                <w:color w:val="000000"/>
                <w:lang w:eastAsia="en-AU"/>
              </w:rPr>
              <w:t>99,046</w:t>
            </w:r>
          </w:p>
        </w:tc>
      </w:tr>
      <w:tr w:rsidR="00396082" w:rsidRPr="00396082" w14:paraId="09964D3B" w14:textId="77777777" w:rsidTr="0057417C">
        <w:trPr>
          <w:trHeight w:val="374"/>
        </w:trPr>
        <w:tc>
          <w:tcPr>
            <w:cnfStyle w:val="001000000000" w:firstRow="0" w:lastRow="0" w:firstColumn="1" w:lastColumn="0" w:oddVBand="0" w:evenVBand="0" w:oddHBand="0" w:evenHBand="0" w:firstRowFirstColumn="0" w:firstRowLastColumn="0" w:lastRowFirstColumn="0" w:lastRowLastColumn="0"/>
            <w:tcW w:w="3005" w:type="dxa"/>
            <w:hideMark/>
          </w:tcPr>
          <w:p w14:paraId="517E08F3" w14:textId="77777777" w:rsidR="00396082" w:rsidRPr="00455E36" w:rsidRDefault="00396082" w:rsidP="00952DA0">
            <w:pPr>
              <w:rPr>
                <w:rFonts w:eastAsia="Times New Roman" w:cs="Arial"/>
                <w:b w:val="0"/>
                <w:bCs w:val="0"/>
                <w:color w:val="000000"/>
                <w:szCs w:val="24"/>
                <w:lang w:eastAsia="en-AU"/>
              </w:rPr>
            </w:pPr>
            <w:r w:rsidRPr="00455E36">
              <w:rPr>
                <w:rFonts w:eastAsia="Times New Roman" w:cs="Arial"/>
                <w:color w:val="000000"/>
                <w:szCs w:val="24"/>
                <w:lang w:eastAsia="en-AU"/>
              </w:rPr>
              <w:t>– From interstate</w:t>
            </w:r>
          </w:p>
          <w:p w14:paraId="5DF0DFBB" w14:textId="701B275E" w:rsidR="002C049B" w:rsidRPr="00455E36" w:rsidRDefault="002C049B" w:rsidP="002C049B">
            <w:pPr>
              <w:rPr>
                <w:szCs w:val="24"/>
              </w:rPr>
            </w:pPr>
            <w:r w:rsidRPr="00455E36">
              <w:rPr>
                <w:szCs w:val="24"/>
              </w:rPr>
              <w:t>(Unique specific and extended stay and attendance)</w:t>
            </w:r>
          </w:p>
          <w:p w14:paraId="7A2802B3" w14:textId="77777777" w:rsidR="002C049B" w:rsidRPr="00455E36" w:rsidRDefault="002C049B" w:rsidP="00952DA0">
            <w:pPr>
              <w:rPr>
                <w:rFonts w:eastAsia="Times New Roman" w:cs="Arial"/>
                <w:color w:val="000000"/>
                <w:szCs w:val="24"/>
                <w:lang w:eastAsia="en-AU"/>
              </w:rPr>
            </w:pPr>
          </w:p>
        </w:tc>
        <w:tc>
          <w:tcPr>
            <w:tcW w:w="3005" w:type="dxa"/>
            <w:hideMark/>
          </w:tcPr>
          <w:p w14:paraId="6BFC9000" w14:textId="77777777" w:rsidR="00396082" w:rsidRPr="00396082" w:rsidRDefault="00396082" w:rsidP="00952DA0">
            <w:pPr>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en-AU"/>
              </w:rPr>
            </w:pPr>
            <w:r w:rsidRPr="00396082">
              <w:rPr>
                <w:rFonts w:eastAsia="Times New Roman" w:cs="Arial"/>
                <w:color w:val="000000"/>
                <w:lang w:eastAsia="en-AU"/>
              </w:rPr>
              <w:t>70,731</w:t>
            </w:r>
          </w:p>
        </w:tc>
        <w:tc>
          <w:tcPr>
            <w:tcW w:w="3006" w:type="dxa"/>
            <w:hideMark/>
          </w:tcPr>
          <w:p w14:paraId="532D3D52" w14:textId="77777777" w:rsidR="00396082" w:rsidRPr="00396082" w:rsidRDefault="00396082" w:rsidP="00952DA0">
            <w:pPr>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en-AU"/>
              </w:rPr>
            </w:pPr>
            <w:r w:rsidRPr="00396082">
              <w:rPr>
                <w:rFonts w:eastAsia="Times New Roman" w:cs="Arial"/>
                <w:color w:val="000000"/>
                <w:lang w:eastAsia="en-AU"/>
              </w:rPr>
              <w:t>78,254</w:t>
            </w:r>
          </w:p>
        </w:tc>
      </w:tr>
      <w:tr w:rsidR="00396082" w:rsidRPr="00396082" w14:paraId="1E846018" w14:textId="77777777" w:rsidTr="0057417C">
        <w:trPr>
          <w:trHeight w:val="315"/>
        </w:trPr>
        <w:tc>
          <w:tcPr>
            <w:cnfStyle w:val="001000000000" w:firstRow="0" w:lastRow="0" w:firstColumn="1" w:lastColumn="0" w:oddVBand="0" w:evenVBand="0" w:oddHBand="0" w:evenHBand="0" w:firstRowFirstColumn="0" w:firstRowLastColumn="0" w:lastRowFirstColumn="0" w:lastRowLastColumn="0"/>
            <w:tcW w:w="3005" w:type="dxa"/>
            <w:hideMark/>
          </w:tcPr>
          <w:p w14:paraId="52B481FA" w14:textId="77777777" w:rsidR="00396082" w:rsidRPr="00455E36" w:rsidRDefault="00396082" w:rsidP="00952DA0">
            <w:pPr>
              <w:rPr>
                <w:rFonts w:eastAsia="Times New Roman" w:cs="Arial"/>
                <w:b w:val="0"/>
                <w:bCs w:val="0"/>
                <w:color w:val="000000"/>
                <w:szCs w:val="24"/>
                <w:lang w:eastAsia="en-AU"/>
              </w:rPr>
            </w:pPr>
            <w:r w:rsidRPr="00455E36">
              <w:rPr>
                <w:rFonts w:eastAsia="Times New Roman" w:cs="Arial"/>
                <w:color w:val="000000"/>
                <w:szCs w:val="24"/>
                <w:lang w:eastAsia="en-AU"/>
              </w:rPr>
              <w:t>– From overseas</w:t>
            </w:r>
          </w:p>
          <w:p w14:paraId="2B3DE70A" w14:textId="3D7BE32C" w:rsidR="002C049B" w:rsidRPr="00455E36" w:rsidRDefault="002C049B" w:rsidP="002C049B">
            <w:pPr>
              <w:rPr>
                <w:szCs w:val="24"/>
              </w:rPr>
            </w:pPr>
            <w:r w:rsidRPr="00455E36">
              <w:rPr>
                <w:szCs w:val="24"/>
              </w:rPr>
              <w:t>(Unique specific and extended stay and attendance)</w:t>
            </w:r>
          </w:p>
          <w:p w14:paraId="661D8D20" w14:textId="77777777" w:rsidR="002C049B" w:rsidRPr="00455E36" w:rsidRDefault="002C049B" w:rsidP="00952DA0">
            <w:pPr>
              <w:rPr>
                <w:rFonts w:eastAsia="Times New Roman" w:cs="Arial"/>
                <w:color w:val="000000"/>
                <w:szCs w:val="24"/>
                <w:lang w:eastAsia="en-AU"/>
              </w:rPr>
            </w:pPr>
          </w:p>
        </w:tc>
        <w:tc>
          <w:tcPr>
            <w:tcW w:w="3005" w:type="dxa"/>
            <w:hideMark/>
          </w:tcPr>
          <w:p w14:paraId="16BBE36A" w14:textId="77777777" w:rsidR="00396082" w:rsidRPr="00396082" w:rsidRDefault="00396082" w:rsidP="00952DA0">
            <w:pPr>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en-AU"/>
              </w:rPr>
            </w:pPr>
            <w:r w:rsidRPr="00396082">
              <w:rPr>
                <w:rFonts w:eastAsia="Times New Roman" w:cs="Arial"/>
                <w:color w:val="000000"/>
                <w:lang w:eastAsia="en-AU"/>
              </w:rPr>
              <w:t>15,933</w:t>
            </w:r>
          </w:p>
        </w:tc>
        <w:tc>
          <w:tcPr>
            <w:tcW w:w="3006" w:type="dxa"/>
            <w:hideMark/>
          </w:tcPr>
          <w:p w14:paraId="4110045E" w14:textId="77777777" w:rsidR="00396082" w:rsidRPr="00396082" w:rsidRDefault="00396082" w:rsidP="00952DA0">
            <w:pPr>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en-AU"/>
              </w:rPr>
            </w:pPr>
            <w:r w:rsidRPr="00396082">
              <w:rPr>
                <w:rFonts w:eastAsia="Times New Roman" w:cs="Arial"/>
                <w:color w:val="000000"/>
                <w:lang w:eastAsia="en-AU"/>
              </w:rPr>
              <w:t>20,792</w:t>
            </w:r>
          </w:p>
        </w:tc>
      </w:tr>
    </w:tbl>
    <w:p w14:paraId="465AA4CE" w14:textId="77777777" w:rsidR="00F073B9" w:rsidRDefault="00F073B9" w:rsidP="00BF5C84">
      <w:pPr>
        <w:spacing w:before="120" w:after="120"/>
        <w:rPr>
          <w:b/>
          <w:bCs/>
          <w:sz w:val="18"/>
          <w:szCs w:val="18"/>
        </w:rPr>
      </w:pPr>
    </w:p>
    <w:p w14:paraId="0254709C" w14:textId="1F7E2B95" w:rsidR="00EE0F94" w:rsidRPr="00F073B9" w:rsidRDefault="00EE0F94" w:rsidP="00BF5C84">
      <w:pPr>
        <w:spacing w:before="120" w:after="120"/>
        <w:rPr>
          <w:b/>
          <w:bCs/>
          <w:sz w:val="18"/>
          <w:szCs w:val="18"/>
        </w:rPr>
      </w:pPr>
      <w:r w:rsidRPr="00F073B9">
        <w:rPr>
          <w:b/>
          <w:bCs/>
          <w:sz w:val="18"/>
          <w:szCs w:val="18"/>
        </w:rPr>
        <w:t>List of References</w:t>
      </w:r>
    </w:p>
    <w:p w14:paraId="7C70CEDC" w14:textId="0EF206AE" w:rsidR="00EE0F94" w:rsidRPr="00EE0F94" w:rsidRDefault="00EE0F94" w:rsidP="00BF5C84">
      <w:pPr>
        <w:spacing w:before="120" w:after="120"/>
        <w:rPr>
          <w:sz w:val="18"/>
          <w:szCs w:val="18"/>
        </w:rPr>
      </w:pPr>
      <w:bookmarkStart w:id="5" w:name="ref1"/>
      <w:bookmarkEnd w:id="5"/>
      <w:r w:rsidRPr="00EE0F94">
        <w:rPr>
          <w:sz w:val="18"/>
          <w:szCs w:val="18"/>
        </w:rPr>
        <w:t xml:space="preserve">[1] </w:t>
      </w:r>
      <w:r w:rsidR="001278E6" w:rsidRPr="001278E6">
        <w:rPr>
          <w:sz w:val="18"/>
          <w:szCs w:val="18"/>
        </w:rPr>
        <w:t>Gross attendance estimates provided by AGPC.</w:t>
      </w:r>
    </w:p>
    <w:p w14:paraId="0EBCC4FD" w14:textId="49E5C92E" w:rsidR="00EE0F94" w:rsidRPr="00EE0F94" w:rsidRDefault="00EE0F94" w:rsidP="00BF5C84">
      <w:pPr>
        <w:spacing w:before="120" w:after="120"/>
        <w:rPr>
          <w:sz w:val="18"/>
          <w:szCs w:val="18"/>
        </w:rPr>
      </w:pPr>
      <w:bookmarkStart w:id="6" w:name="ref2"/>
      <w:bookmarkEnd w:id="6"/>
      <w:r w:rsidRPr="00EE0F94">
        <w:rPr>
          <w:sz w:val="18"/>
          <w:szCs w:val="18"/>
        </w:rPr>
        <w:t xml:space="preserve">[2] </w:t>
      </w:r>
      <w:r w:rsidR="007C2676" w:rsidRPr="007C2676">
        <w:rPr>
          <w:sz w:val="18"/>
          <w:szCs w:val="18"/>
        </w:rPr>
        <w:t xml:space="preserve">As </w:t>
      </w:r>
      <w:proofErr w:type="gramStart"/>
      <w:r w:rsidR="007C2676" w:rsidRPr="007C2676">
        <w:rPr>
          <w:sz w:val="18"/>
          <w:szCs w:val="18"/>
        </w:rPr>
        <w:t>at</w:t>
      </w:r>
      <w:proofErr w:type="gramEnd"/>
      <w:r w:rsidR="007C2676" w:rsidRPr="007C2676">
        <w:rPr>
          <w:sz w:val="18"/>
          <w:szCs w:val="18"/>
        </w:rPr>
        <w:t xml:space="preserve"> June 2025. F1 Destinations. F1 Attendance Figures. </w:t>
      </w:r>
      <w:r w:rsidR="002B1255">
        <w:rPr>
          <w:sz w:val="18"/>
          <w:szCs w:val="18"/>
        </w:rPr>
        <w:t xml:space="preserve">Retrieved from </w:t>
      </w:r>
      <w:hyperlink r:id="rId11" w:history="1">
        <w:r w:rsidR="002B1255" w:rsidRPr="002B1255">
          <w:rPr>
            <w:rStyle w:val="Hyperlink"/>
            <w:sz w:val="18"/>
            <w:szCs w:val="18"/>
          </w:rPr>
          <w:t>F1 Attendance Figures - F1Destinations.com</w:t>
        </w:r>
      </w:hyperlink>
      <w:r w:rsidR="007C2676" w:rsidRPr="007C2676">
        <w:rPr>
          <w:sz w:val="18"/>
          <w:szCs w:val="18"/>
        </w:rPr>
        <w:t>.</w:t>
      </w:r>
    </w:p>
    <w:p w14:paraId="7468F870" w14:textId="590B9186" w:rsidR="00EE0F94" w:rsidRPr="002B550B" w:rsidRDefault="00EE0F94" w:rsidP="00BF5C84">
      <w:pPr>
        <w:spacing w:before="120" w:after="120"/>
        <w:rPr>
          <w:sz w:val="18"/>
          <w:szCs w:val="18"/>
        </w:rPr>
      </w:pPr>
      <w:bookmarkStart w:id="7" w:name="ref3"/>
      <w:bookmarkEnd w:id="7"/>
      <w:r w:rsidRPr="00EE0F94">
        <w:rPr>
          <w:sz w:val="18"/>
          <w:szCs w:val="18"/>
        </w:rPr>
        <w:lastRenderedPageBreak/>
        <w:t xml:space="preserve">[3] </w:t>
      </w:r>
      <w:r w:rsidR="007C2676">
        <w:rPr>
          <w:sz w:val="18"/>
          <w:szCs w:val="18"/>
        </w:rPr>
        <w:t xml:space="preserve">The </w:t>
      </w:r>
      <w:r w:rsidR="007C2676" w:rsidRPr="007C2676">
        <w:rPr>
          <w:sz w:val="18"/>
          <w:szCs w:val="18"/>
        </w:rPr>
        <w:t>relatively small increase in direct spend between 2023 to 2024, is due greater multi-day attendance by this group in 2024, reducing the proportion of unique attendees.</w:t>
      </w:r>
    </w:p>
    <w:p w14:paraId="0E624DE1" w14:textId="590B9186" w:rsidR="00057F81" w:rsidRDefault="00057F81" w:rsidP="00BF5C84">
      <w:pPr>
        <w:pStyle w:val="Heading2"/>
        <w:spacing w:before="240" w:after="120" w:line="360" w:lineRule="auto"/>
      </w:pPr>
      <w:bookmarkStart w:id="8" w:name="_Toc209511907"/>
      <w:r w:rsidRPr="00057F81">
        <w:t>The F1®GP has achieved record gross attendance</w:t>
      </w:r>
      <w:bookmarkEnd w:id="8"/>
    </w:p>
    <w:p w14:paraId="2E3A9668" w14:textId="7EDC87E0" w:rsidR="00057F81" w:rsidRPr="00184226" w:rsidRDefault="00057F81" w:rsidP="00E67FF1">
      <w:r w:rsidRPr="00184226">
        <w:t>The F1®GP is one of Victoria’s premier sporting events and a key feature of Victoria’s major events calendar. Since moving to Melbourne in 1996</w:t>
      </w:r>
      <w:r w:rsidR="00C57A90" w:rsidRPr="00184226">
        <w:t xml:space="preserve"> </w:t>
      </w:r>
      <w:hyperlink w:anchor="ref01" w:history="1">
        <w:r w:rsidR="00C57A90" w:rsidRPr="00184226">
          <w:rPr>
            <w:rStyle w:val="Hyperlink"/>
          </w:rPr>
          <w:t>[1]</w:t>
        </w:r>
        <w:r w:rsidRPr="00184226">
          <w:rPr>
            <w:rStyle w:val="Hyperlink"/>
          </w:rPr>
          <w:t>,</w:t>
        </w:r>
      </w:hyperlink>
      <w:r w:rsidR="00334D47">
        <w:t xml:space="preserve"> </w:t>
      </w:r>
      <w:r w:rsidRPr="00184226">
        <w:t>the event has consistently drawn large crowds and international attention, none greater than in 2025 when Melbourne hosted the F1 season opener. With gross attendances of 452,055 and 465,498, the 2024 and 2025 F1®GP are the most attended in Australia’s history</w:t>
      </w:r>
      <w:r w:rsidR="00333960" w:rsidRPr="00184226">
        <w:t xml:space="preserve"> </w:t>
      </w:r>
      <w:hyperlink w:anchor="ref02" w:history="1">
        <w:r w:rsidR="00333960" w:rsidRPr="00184226">
          <w:rPr>
            <w:rStyle w:val="Hyperlink"/>
          </w:rPr>
          <w:t>[2]</w:t>
        </w:r>
      </w:hyperlink>
      <w:r w:rsidRPr="00184226">
        <w:t>.Only the British GP achieved higher gross attendance in 2024 and 2025 at the time of writing this report</w:t>
      </w:r>
      <w:r w:rsidR="00653D10" w:rsidRPr="00184226">
        <w:t xml:space="preserve"> </w:t>
      </w:r>
      <w:hyperlink w:anchor="ref03" w:history="1">
        <w:r w:rsidR="00653D10" w:rsidRPr="00184226">
          <w:rPr>
            <w:rStyle w:val="Hyperlink"/>
          </w:rPr>
          <w:t>[3]</w:t>
        </w:r>
      </w:hyperlink>
      <w:r w:rsidR="00653D10" w:rsidRPr="00184226">
        <w:t>.</w:t>
      </w:r>
    </w:p>
    <w:p w14:paraId="2E091780" w14:textId="77777777" w:rsidR="00D5518A" w:rsidRPr="00D5518A" w:rsidRDefault="00D5518A" w:rsidP="00BF5C84">
      <w:pPr>
        <w:pStyle w:val="Heading2"/>
        <w:spacing w:line="360" w:lineRule="auto"/>
      </w:pPr>
      <w:bookmarkStart w:id="9" w:name="_Toc209511908"/>
      <w:r w:rsidRPr="00D5518A">
        <w:t>More visitors are travelling to Victoria to attend the F1®GP</w:t>
      </w:r>
      <w:bookmarkEnd w:id="9"/>
    </w:p>
    <w:p w14:paraId="2DD75DB9" w14:textId="39BD9D1F" w:rsidR="00D5518A" w:rsidRPr="00D5518A" w:rsidRDefault="00D5518A" w:rsidP="00E67FF1">
      <w:r w:rsidRPr="00D5518A">
        <w:t>The F1®GP attracted an estimated 86,664 and 99,046 unique specific and extended stay visitors to Victoria in 2024 and 2025 respectively (compared to 80,987 in 2023)</w:t>
      </w:r>
      <w:r w:rsidR="002B4A7D">
        <w:t xml:space="preserve"> </w:t>
      </w:r>
      <w:hyperlink w:anchor="ref04" w:history="1">
        <w:r w:rsidR="002B4A7D" w:rsidRPr="00C51AE2">
          <w:rPr>
            <w:rStyle w:val="Hyperlink"/>
          </w:rPr>
          <w:t>[</w:t>
        </w:r>
        <w:r w:rsidRPr="00C51AE2">
          <w:rPr>
            <w:rStyle w:val="Hyperlink"/>
          </w:rPr>
          <w:t>4</w:t>
        </w:r>
        <w:r w:rsidR="002B4A7D" w:rsidRPr="00C51AE2">
          <w:rPr>
            <w:rStyle w:val="Hyperlink"/>
          </w:rPr>
          <w:t>]</w:t>
        </w:r>
      </w:hyperlink>
      <w:r w:rsidR="00C51AE2">
        <w:t>.</w:t>
      </w:r>
      <w:r w:rsidRPr="00D5518A">
        <w:t xml:space="preserve">These year-on-year increases demonstrate the growing desire of interstate and overseas visitors to travel to Melbourne for the event. Growing interstate and overseas attendance </w:t>
      </w:r>
      <w:proofErr w:type="gramStart"/>
      <w:r w:rsidRPr="00D5518A">
        <w:t>is</w:t>
      </w:r>
      <w:proofErr w:type="gramEnd"/>
      <w:r w:rsidRPr="00D5518A">
        <w:t xml:space="preserve"> the key driver of the event’s increased economic impact.</w:t>
      </w:r>
    </w:p>
    <w:p w14:paraId="3A333BFA" w14:textId="77777777" w:rsidR="00D5518A" w:rsidRPr="00D5518A" w:rsidRDefault="00D5518A" w:rsidP="00C15AFE">
      <w:pPr>
        <w:pStyle w:val="Heading2"/>
        <w:spacing w:before="240" w:after="120" w:line="360" w:lineRule="auto"/>
      </w:pPr>
      <w:bookmarkStart w:id="10" w:name="_Toc209511909"/>
      <w:r w:rsidRPr="00D5518A">
        <w:t>Groundbreaking TV viewership</w:t>
      </w:r>
      <w:bookmarkEnd w:id="10"/>
      <w:r w:rsidRPr="00D5518A">
        <w:t xml:space="preserve"> </w:t>
      </w:r>
    </w:p>
    <w:p w14:paraId="5A90C162" w14:textId="61805599" w:rsidR="00D5518A" w:rsidRPr="00D5518A" w:rsidRDefault="00D5518A" w:rsidP="00E67FF1">
      <w:r w:rsidRPr="00D5518A">
        <w:t>In addition to record in-person attendance, TV viewership of the F1®GP also reached new heights in 2024 and 2025. In 2024, 57.9m global TV viewers tuned in, increasing to 60.9m in 2025 (including 3.6m Australians)</w:t>
      </w:r>
      <w:r w:rsidR="00F32897">
        <w:t xml:space="preserve"> </w:t>
      </w:r>
      <w:hyperlink w:anchor="ref05" w:history="1">
        <w:r w:rsidR="00F32897" w:rsidRPr="00F32897">
          <w:rPr>
            <w:rStyle w:val="Hyperlink"/>
          </w:rPr>
          <w:t>[</w:t>
        </w:r>
        <w:r w:rsidRPr="00F32897">
          <w:rPr>
            <w:rStyle w:val="Hyperlink"/>
          </w:rPr>
          <w:t>5</w:t>
        </w:r>
        <w:r w:rsidR="00F32897" w:rsidRPr="00F32897">
          <w:rPr>
            <w:rStyle w:val="Hyperlink"/>
          </w:rPr>
          <w:t>]</w:t>
        </w:r>
      </w:hyperlink>
      <w:r w:rsidR="00F32897">
        <w:t>.</w:t>
      </w:r>
      <w:r w:rsidRPr="00D5518A">
        <w:t>The 2025 F1® GP also had a 16.0m digital YouTube audience. Digital audiences were not recorded prior to 2025.</w:t>
      </w:r>
    </w:p>
    <w:p w14:paraId="7E57A517" w14:textId="7C8EE6D0" w:rsidR="00D5518A" w:rsidRPr="00D5518A" w:rsidRDefault="00D5518A" w:rsidP="00E67FF1">
      <w:r w:rsidRPr="00D5518A">
        <w:t xml:space="preserve">The F1® GP creates a unique global branding platform for Melbourne and Victoria, not only driving tourism during the event, but also promoting the region to households across the world. It </w:t>
      </w:r>
      <w:r w:rsidR="008A1405" w:rsidRPr="00D5518A">
        <w:t>reinforces</w:t>
      </w:r>
      <w:r w:rsidRPr="00D5518A">
        <w:t xml:space="preserve"> Melbourne’s reputation as a vibrant, world-class destination, the event is an opportunity to inspire ongoing interest and attract future visitors to Victoria year-round. </w:t>
      </w:r>
    </w:p>
    <w:p w14:paraId="0365510E" w14:textId="77777777" w:rsidR="00D5518A" w:rsidRPr="00D5518A" w:rsidRDefault="00D5518A" w:rsidP="00BF5C84">
      <w:pPr>
        <w:pStyle w:val="Heading2"/>
        <w:spacing w:line="360" w:lineRule="auto"/>
      </w:pPr>
      <w:bookmarkStart w:id="11" w:name="_Toc209511910"/>
      <w:r w:rsidRPr="00D5518A">
        <w:t>Attracting new and diverse audiences</w:t>
      </w:r>
      <w:bookmarkEnd w:id="11"/>
    </w:p>
    <w:p w14:paraId="70BE8A59" w14:textId="2CA1B316" w:rsidR="00057F81" w:rsidRDefault="00D5518A" w:rsidP="00E67FF1">
      <w:r w:rsidRPr="00D5518A">
        <w:t xml:space="preserve">Netflix series </w:t>
      </w:r>
      <w:r w:rsidRPr="00D5518A">
        <w:rPr>
          <w:i/>
          <w:iCs/>
        </w:rPr>
        <w:t>Drive to Survive</w:t>
      </w:r>
      <w:r w:rsidRPr="00D5518A">
        <w:t xml:space="preserve">, has broadened the appeal of the event by introducing F1 to new audiences and heightened the sport’s drama and accessibility. In Australia, young fans and </w:t>
      </w:r>
      <w:r w:rsidRPr="00D5518A">
        <w:lastRenderedPageBreak/>
        <w:t>women have become the fastest growing attendee segments. In 2024, 40% of racegoers identified as female, giving the event the highest female interest of any F1 race worldwide</w:t>
      </w:r>
      <w:r w:rsidR="00295649">
        <w:t xml:space="preserve"> </w:t>
      </w:r>
      <w:hyperlink w:anchor="ref06" w:history="1">
        <w:r w:rsidR="00295649" w:rsidRPr="00295649">
          <w:rPr>
            <w:rStyle w:val="Hyperlink"/>
          </w:rPr>
          <w:t>[</w:t>
        </w:r>
        <w:r w:rsidRPr="00295649">
          <w:rPr>
            <w:rStyle w:val="Hyperlink"/>
          </w:rPr>
          <w:t>6</w:t>
        </w:r>
        <w:r w:rsidR="00295649" w:rsidRPr="00295649">
          <w:rPr>
            <w:rStyle w:val="Hyperlink"/>
          </w:rPr>
          <w:t>]</w:t>
        </w:r>
      </w:hyperlink>
      <w:r w:rsidR="00295649">
        <w:t xml:space="preserve">. </w:t>
      </w:r>
    </w:p>
    <w:p w14:paraId="34B244EA" w14:textId="018A6D34" w:rsidR="00A36005" w:rsidRDefault="00A36005" w:rsidP="00881542">
      <w:pPr>
        <w:pStyle w:val="Heading2"/>
        <w:spacing w:line="360" w:lineRule="auto"/>
        <w:rPr>
          <w:lang w:val="en-US"/>
        </w:rPr>
      </w:pPr>
      <w:bookmarkStart w:id="12" w:name="_Toc209511911"/>
      <w:r w:rsidRPr="004F6F7B">
        <w:rPr>
          <w:lang w:val="en-US"/>
        </w:rPr>
        <w:t xml:space="preserve">Gross Attendance at the Formula 1® Australian Grand Prix </w:t>
      </w:r>
      <w:r w:rsidR="003D181B">
        <w:rPr>
          <w:lang w:val="en-US"/>
        </w:rPr>
        <w:t>since 1996</w:t>
      </w:r>
      <w:bookmarkEnd w:id="12"/>
    </w:p>
    <w:p w14:paraId="44EA0FAC" w14:textId="3E99BC97" w:rsidR="009433A0" w:rsidRDefault="009433A0" w:rsidP="009433A0">
      <w:pPr>
        <w:rPr>
          <w:lang w:val="en-US"/>
        </w:rPr>
      </w:pPr>
      <w:r w:rsidRPr="009433A0">
        <w:rPr>
          <w:lang w:val="en-US"/>
        </w:rPr>
        <w:t>A bar chart was originally used to present this information</w:t>
      </w:r>
      <w:r w:rsidR="00394C44">
        <w:rPr>
          <w:lang w:val="en-US"/>
        </w:rPr>
        <w:t xml:space="preserve"> </w:t>
      </w:r>
      <w:hyperlink w:anchor="ref07" w:history="1">
        <w:r w:rsidR="00C75222" w:rsidRPr="00C75222">
          <w:rPr>
            <w:rStyle w:val="Hyperlink"/>
            <w:lang w:val="en-US"/>
          </w:rPr>
          <w:t>[7]</w:t>
        </w:r>
      </w:hyperlink>
      <w:r w:rsidRPr="009433A0">
        <w:rPr>
          <w:lang w:val="en-US"/>
        </w:rPr>
        <w:t>. To ensure accessibility, the key information is provided in text below.</w:t>
      </w:r>
    </w:p>
    <w:p w14:paraId="6306FF3D" w14:textId="34273785" w:rsidR="009433A0" w:rsidRDefault="005D1C6C" w:rsidP="005D1C6C">
      <w:pPr>
        <w:pStyle w:val="Heading3"/>
        <w:rPr>
          <w:lang w:val="en-US"/>
        </w:rPr>
      </w:pPr>
      <w:r>
        <w:rPr>
          <w:lang w:val="en-US"/>
        </w:rPr>
        <w:t>Description</w:t>
      </w:r>
    </w:p>
    <w:p w14:paraId="415E9ABB" w14:textId="6AF447CB" w:rsidR="005D1C6C" w:rsidRPr="005D1C6C" w:rsidRDefault="00F25F77" w:rsidP="005D1C6C">
      <w:pPr>
        <w:rPr>
          <w:lang w:val="en-US"/>
        </w:rPr>
      </w:pPr>
      <w:r w:rsidRPr="00F25F77">
        <w:t xml:space="preserve">The chart shows the total yearly attendance at the event from 1996 to 2025. Attendance fluctuated between roughly </w:t>
      </w:r>
      <w:r w:rsidRPr="004C508D">
        <w:t>280,000 and 370,000</w:t>
      </w:r>
      <w:r w:rsidRPr="00F25F77">
        <w:t xml:space="preserve"> people from the late 1990s through the mid-2000s, with several years reaching around </w:t>
      </w:r>
      <w:r w:rsidRPr="007F7160">
        <w:t>350,000 to 370,000.</w:t>
      </w:r>
      <w:r w:rsidRPr="00F25F77">
        <w:t xml:space="preserve"> From about </w:t>
      </w:r>
      <w:r w:rsidRPr="007F7160">
        <w:t>2007 to 2019</w:t>
      </w:r>
      <w:r w:rsidRPr="00F25F77">
        <w:t xml:space="preserve">, attendance was generally lower and more variable, mostly ranging between </w:t>
      </w:r>
      <w:r w:rsidRPr="007F7160">
        <w:t>270,000 and 330,000</w:t>
      </w:r>
      <w:r w:rsidRPr="00F25F77">
        <w:t xml:space="preserve">, and remaining below the chart’s indicated </w:t>
      </w:r>
      <w:r w:rsidRPr="007F7160">
        <w:t>average annual attendance line of approximately 340,000</w:t>
      </w:r>
      <w:r w:rsidRPr="00F25F77">
        <w:t xml:space="preserve">. After </w:t>
      </w:r>
      <w:r w:rsidR="007F7160">
        <w:t xml:space="preserve">the </w:t>
      </w:r>
      <w:r w:rsidR="00336E2B" w:rsidRPr="00336E2B">
        <w:t>F1®GP was cancelled in 2020 and 2021 due to the COVID-19 pandemic</w:t>
      </w:r>
      <w:r w:rsidRPr="00F25F77">
        <w:t xml:space="preserve">, attendance increased sharply beginning in </w:t>
      </w:r>
      <w:r w:rsidRPr="00336E2B">
        <w:t>2022, exceeding the historical average and setting record levels each year since 2022</w:t>
      </w:r>
      <w:r w:rsidRPr="00F25F77">
        <w:t xml:space="preserve">. The highest figures occur in the most recent years, with </w:t>
      </w:r>
      <w:r w:rsidRPr="00336E2B">
        <w:t>452,055 attendees in 2024 and a new record of 465,498 attendees in 2025</w:t>
      </w:r>
      <w:r w:rsidRPr="00F25F77">
        <w:t>. Overall, the chart shows relatively stable attendance for many years followed by a significant surge in the early 2020s.</w:t>
      </w:r>
    </w:p>
    <w:p w14:paraId="1BEFCD4D" w14:textId="77777777" w:rsidR="008A1405" w:rsidRPr="008A1405" w:rsidRDefault="008A1405" w:rsidP="00881542">
      <w:pPr>
        <w:pStyle w:val="Heading2"/>
        <w:spacing w:line="360" w:lineRule="auto"/>
      </w:pPr>
      <w:bookmarkStart w:id="13" w:name="_Toc209511912"/>
      <w:r w:rsidRPr="008A1405">
        <w:t>Return on Government investment</w:t>
      </w:r>
      <w:bookmarkEnd w:id="13"/>
    </w:p>
    <w:p w14:paraId="01B9CB20" w14:textId="2641D230" w:rsidR="00057F81" w:rsidRPr="00D53BA3" w:rsidRDefault="008A1405" w:rsidP="00E67FF1">
      <w:r w:rsidRPr="00D53BA3">
        <w:t>The F1®GP received $102.3m in government operational support in 2024 and estimated $105.1m in 2025. While this report has not undertaken a full cost benefit analysis of the event, the ratio of Government operational support to Gross State Product ($281.8m in 2024 and $323.9m in 2025) demonstrates a continued return on investment for Government</w:t>
      </w:r>
      <w:r w:rsidR="00E763AA">
        <w:t xml:space="preserve"> </w:t>
      </w:r>
      <w:hyperlink w:anchor="ref08" w:history="1">
        <w:r w:rsidR="00E763AA" w:rsidRPr="00E763AA">
          <w:rPr>
            <w:rStyle w:val="Hyperlink"/>
          </w:rPr>
          <w:t>[</w:t>
        </w:r>
        <w:r w:rsidRPr="00E763AA">
          <w:rPr>
            <w:rStyle w:val="Hyperlink"/>
          </w:rPr>
          <w:t>8</w:t>
        </w:r>
        <w:r w:rsidR="00E763AA" w:rsidRPr="00E763AA">
          <w:rPr>
            <w:rStyle w:val="Hyperlink"/>
          </w:rPr>
          <w:t>]</w:t>
        </w:r>
      </w:hyperlink>
      <w:r w:rsidR="00E763AA">
        <w:t>.</w:t>
      </w:r>
    </w:p>
    <w:p w14:paraId="761FB806" w14:textId="58E65428" w:rsidR="00057F81" w:rsidRDefault="0077243A" w:rsidP="00E67FF1">
      <w:pPr>
        <w:rPr>
          <w:rFonts w:eastAsiaTheme="majorEastAsia" w:cstheme="majorBidi"/>
          <w:color w:val="000000" w:themeColor="text1"/>
        </w:rPr>
      </w:pPr>
      <w:r w:rsidRPr="0077243A">
        <w:rPr>
          <w:rFonts w:eastAsiaTheme="majorEastAsia" w:cstheme="majorBidi"/>
          <w:color w:val="000000" w:themeColor="text1"/>
        </w:rPr>
        <w:t>“For every dollar the Victorian State Government invested in operational funding to run the event, the F1®GP generated an estimated $2.75 to the Victorian economy in 2024 and $3.08 in 2025.”</w:t>
      </w:r>
    </w:p>
    <w:p w14:paraId="084617A9" w14:textId="77777777" w:rsidR="00520EA8" w:rsidRPr="00F6762D" w:rsidRDefault="00520EA8" w:rsidP="000A1A8D">
      <w:pPr>
        <w:spacing w:before="120" w:after="120"/>
        <w:rPr>
          <w:b/>
          <w:bCs/>
          <w:sz w:val="18"/>
          <w:szCs w:val="18"/>
        </w:rPr>
      </w:pPr>
      <w:r w:rsidRPr="00F6762D">
        <w:rPr>
          <w:b/>
          <w:bCs/>
          <w:sz w:val="18"/>
          <w:szCs w:val="18"/>
        </w:rPr>
        <w:t>List of References</w:t>
      </w:r>
    </w:p>
    <w:p w14:paraId="42A4D070" w14:textId="77777777" w:rsidR="004F05BE" w:rsidRDefault="00520EA8" w:rsidP="000A1A8D">
      <w:pPr>
        <w:spacing w:before="120" w:after="120"/>
        <w:rPr>
          <w:sz w:val="18"/>
          <w:szCs w:val="18"/>
        </w:rPr>
      </w:pPr>
      <w:bookmarkStart w:id="14" w:name="ref01"/>
      <w:bookmarkEnd w:id="14"/>
      <w:r w:rsidRPr="00EE0F94">
        <w:rPr>
          <w:sz w:val="18"/>
          <w:szCs w:val="18"/>
        </w:rPr>
        <w:t xml:space="preserve">[1] F1 Fandom. Australian Grand Prix. Retrieved </w:t>
      </w:r>
      <w:r w:rsidR="00C450D2" w:rsidRPr="00EE0F94">
        <w:rPr>
          <w:sz w:val="18"/>
          <w:szCs w:val="18"/>
        </w:rPr>
        <w:t xml:space="preserve">from </w:t>
      </w:r>
      <w:hyperlink r:id="rId12" w:history="1">
        <w:r w:rsidR="004F05BE" w:rsidRPr="004F05BE">
          <w:rPr>
            <w:rStyle w:val="Hyperlink"/>
            <w:sz w:val="18"/>
            <w:szCs w:val="18"/>
          </w:rPr>
          <w:t>Australian Grand Prix | Formula 1 Wiki | Fandom</w:t>
        </w:r>
      </w:hyperlink>
      <w:r w:rsidR="004F05BE" w:rsidRPr="004F05BE">
        <w:rPr>
          <w:sz w:val="18"/>
          <w:szCs w:val="18"/>
        </w:rPr>
        <w:t xml:space="preserve"> </w:t>
      </w:r>
    </w:p>
    <w:p w14:paraId="01A6938E" w14:textId="59BBCC24" w:rsidR="00520EA8" w:rsidRPr="00EE0F94" w:rsidRDefault="00520EA8" w:rsidP="000A1A8D">
      <w:pPr>
        <w:spacing w:before="120" w:after="120"/>
        <w:rPr>
          <w:sz w:val="18"/>
          <w:szCs w:val="18"/>
        </w:rPr>
      </w:pPr>
      <w:bookmarkStart w:id="15" w:name="ref02"/>
      <w:bookmarkEnd w:id="15"/>
      <w:r w:rsidRPr="00EE0F94">
        <w:rPr>
          <w:sz w:val="18"/>
          <w:szCs w:val="18"/>
        </w:rPr>
        <w:t xml:space="preserve">[2] As </w:t>
      </w:r>
      <w:proofErr w:type="gramStart"/>
      <w:r w:rsidRPr="00EE0F94">
        <w:rPr>
          <w:sz w:val="18"/>
          <w:szCs w:val="18"/>
        </w:rPr>
        <w:t>at</w:t>
      </w:r>
      <w:proofErr w:type="gramEnd"/>
      <w:r w:rsidRPr="00EE0F94">
        <w:rPr>
          <w:sz w:val="18"/>
          <w:szCs w:val="18"/>
        </w:rPr>
        <w:t xml:space="preserve"> June 2025. F1 Destinations. F1 Attendance Figures. Retrieved </w:t>
      </w:r>
      <w:r w:rsidR="00C450D2" w:rsidRPr="00EE0F94">
        <w:rPr>
          <w:sz w:val="18"/>
          <w:szCs w:val="18"/>
        </w:rPr>
        <w:t xml:space="preserve">from </w:t>
      </w:r>
      <w:hyperlink r:id="rId13" w:history="1">
        <w:r w:rsidR="006710FD" w:rsidRPr="006710FD">
          <w:rPr>
            <w:rStyle w:val="Hyperlink"/>
            <w:sz w:val="18"/>
            <w:szCs w:val="18"/>
          </w:rPr>
          <w:t>F1 Attendance Figures - F1Destinations.com</w:t>
        </w:r>
      </w:hyperlink>
    </w:p>
    <w:p w14:paraId="6E774DD4" w14:textId="18CDED55" w:rsidR="00520EA8" w:rsidRPr="00EE0F94" w:rsidRDefault="00520EA8" w:rsidP="000A1A8D">
      <w:pPr>
        <w:spacing w:before="120" w:after="120"/>
        <w:rPr>
          <w:sz w:val="18"/>
          <w:szCs w:val="18"/>
        </w:rPr>
      </w:pPr>
      <w:bookmarkStart w:id="16" w:name="ref03"/>
      <w:bookmarkEnd w:id="16"/>
      <w:r w:rsidRPr="00EE0F94">
        <w:rPr>
          <w:sz w:val="18"/>
          <w:szCs w:val="18"/>
        </w:rPr>
        <w:t xml:space="preserve">[3] </w:t>
      </w:r>
      <w:r w:rsidR="006710FD" w:rsidRPr="006710FD">
        <w:rPr>
          <w:sz w:val="18"/>
          <w:szCs w:val="18"/>
        </w:rPr>
        <w:t xml:space="preserve">As </w:t>
      </w:r>
      <w:proofErr w:type="gramStart"/>
      <w:r w:rsidR="006710FD" w:rsidRPr="006710FD">
        <w:rPr>
          <w:sz w:val="18"/>
          <w:szCs w:val="18"/>
        </w:rPr>
        <w:t>at</w:t>
      </w:r>
      <w:proofErr w:type="gramEnd"/>
      <w:r w:rsidR="006710FD" w:rsidRPr="006710FD">
        <w:rPr>
          <w:sz w:val="18"/>
          <w:szCs w:val="18"/>
        </w:rPr>
        <w:t xml:space="preserve"> June 2025. F1 Destinations. F1 Attendance Figures. Retrieved from </w:t>
      </w:r>
      <w:hyperlink r:id="rId14" w:history="1">
        <w:r w:rsidR="006710FD" w:rsidRPr="006710FD">
          <w:rPr>
            <w:rStyle w:val="Hyperlink"/>
            <w:sz w:val="18"/>
            <w:szCs w:val="18"/>
          </w:rPr>
          <w:t>F1 Attendance Figures - F1Destinations.com</w:t>
        </w:r>
      </w:hyperlink>
    </w:p>
    <w:p w14:paraId="71F1B467" w14:textId="77777777" w:rsidR="00520EA8" w:rsidRPr="00EE0F94" w:rsidRDefault="00520EA8" w:rsidP="000A1A8D">
      <w:pPr>
        <w:spacing w:before="120" w:after="120"/>
        <w:rPr>
          <w:sz w:val="18"/>
          <w:szCs w:val="18"/>
        </w:rPr>
      </w:pPr>
      <w:bookmarkStart w:id="17" w:name="ref04"/>
      <w:bookmarkEnd w:id="17"/>
      <w:r w:rsidRPr="00EE0F94">
        <w:rPr>
          <w:sz w:val="18"/>
          <w:szCs w:val="18"/>
        </w:rPr>
        <w:t>[4] Data provided by AGPC.</w:t>
      </w:r>
    </w:p>
    <w:p w14:paraId="60A2B87F" w14:textId="77777777" w:rsidR="00520EA8" w:rsidRPr="00EE0F94" w:rsidRDefault="00520EA8" w:rsidP="000A1A8D">
      <w:pPr>
        <w:spacing w:before="120" w:after="120"/>
        <w:rPr>
          <w:sz w:val="18"/>
          <w:szCs w:val="18"/>
        </w:rPr>
      </w:pPr>
      <w:bookmarkStart w:id="18" w:name="ref05"/>
      <w:bookmarkEnd w:id="18"/>
      <w:r w:rsidRPr="00EE0F94">
        <w:rPr>
          <w:sz w:val="18"/>
          <w:szCs w:val="18"/>
        </w:rPr>
        <w:lastRenderedPageBreak/>
        <w:t>[5] Data provided by AGPC.</w:t>
      </w:r>
    </w:p>
    <w:p w14:paraId="5D8CBB53" w14:textId="05605E10" w:rsidR="00520EA8" w:rsidRPr="00EE0F94" w:rsidRDefault="00520EA8" w:rsidP="000A1A8D">
      <w:pPr>
        <w:spacing w:before="120" w:after="120"/>
        <w:rPr>
          <w:sz w:val="18"/>
          <w:szCs w:val="18"/>
        </w:rPr>
      </w:pPr>
      <w:bookmarkStart w:id="19" w:name="ref06"/>
      <w:bookmarkEnd w:id="19"/>
      <w:r w:rsidRPr="00EE0F94">
        <w:rPr>
          <w:sz w:val="18"/>
          <w:szCs w:val="18"/>
        </w:rPr>
        <w:t>[6] Bandt. Interest in motorsports reaches new heights as Formula 1 Grand Prix revenue expected to surpass $100 million. Retrieved from I</w:t>
      </w:r>
      <w:r w:rsidR="00B677BA" w:rsidRPr="00B677BA">
        <w:t xml:space="preserve"> </w:t>
      </w:r>
      <w:hyperlink r:id="rId15" w:history="1">
        <w:r w:rsidR="00B677BA" w:rsidRPr="00B677BA">
          <w:rPr>
            <w:rStyle w:val="Hyperlink"/>
            <w:sz w:val="18"/>
            <w:szCs w:val="18"/>
          </w:rPr>
          <w:t>Interest In Motorsports Reaches New Heights As Formula 1 Grand Prix Revenue Expected To Surpass $100 Million - B&amp;T</w:t>
        </w:r>
      </w:hyperlink>
    </w:p>
    <w:p w14:paraId="7AFB3B29" w14:textId="77777777" w:rsidR="00520EA8" w:rsidRPr="00EE0F94" w:rsidRDefault="00520EA8" w:rsidP="000A1A8D">
      <w:pPr>
        <w:spacing w:before="120" w:after="120"/>
        <w:rPr>
          <w:sz w:val="18"/>
          <w:szCs w:val="18"/>
        </w:rPr>
      </w:pPr>
      <w:bookmarkStart w:id="20" w:name="ref07"/>
      <w:bookmarkStart w:id="21" w:name="ref08"/>
      <w:bookmarkEnd w:id="20"/>
      <w:bookmarkEnd w:id="21"/>
      <w:r w:rsidRPr="00EE0F94">
        <w:rPr>
          <w:sz w:val="18"/>
          <w:szCs w:val="18"/>
        </w:rPr>
        <w:t>[7] Data provided by AGPC. The F1®GP was cancelled in 2020 and 2021 due to the COVID-19 pandemic.</w:t>
      </w:r>
    </w:p>
    <w:p w14:paraId="18BA4C8D" w14:textId="77777777" w:rsidR="00455E36" w:rsidRDefault="00520EA8" w:rsidP="00455E36">
      <w:pPr>
        <w:spacing w:before="120" w:after="120"/>
        <w:rPr>
          <w:sz w:val="18"/>
          <w:szCs w:val="18"/>
        </w:rPr>
      </w:pPr>
      <w:r w:rsidRPr="00EE0F94">
        <w:rPr>
          <w:sz w:val="18"/>
          <w:szCs w:val="18"/>
        </w:rPr>
        <w:t>[8] Calculation is Gross State Product / governmental operational support for 2024 this was 281.8/102.3 = 2.75.</w:t>
      </w:r>
      <w:r>
        <w:rPr>
          <w:sz w:val="18"/>
          <w:szCs w:val="18"/>
        </w:rPr>
        <w:t xml:space="preserve"> </w:t>
      </w:r>
      <w:bookmarkStart w:id="22" w:name="_Toc209511913"/>
    </w:p>
    <w:p w14:paraId="0FE7C930" w14:textId="3400AB59" w:rsidR="007316DA" w:rsidRPr="007316DA" w:rsidRDefault="007316DA" w:rsidP="000E2339">
      <w:pPr>
        <w:pStyle w:val="Heading2"/>
        <w:spacing w:before="240" w:after="120" w:line="360" w:lineRule="auto"/>
      </w:pPr>
      <w:r w:rsidRPr="007316DA">
        <w:t>The spectacle of the F1®GP has continued to improve year on year</w:t>
      </w:r>
      <w:r w:rsidR="00C73548">
        <w:t xml:space="preserve"> </w:t>
      </w:r>
      <w:hyperlink w:anchor="ref0001" w:history="1">
        <w:r w:rsidR="00C73548" w:rsidRPr="006C5289">
          <w:rPr>
            <w:rStyle w:val="Hyperlink"/>
            <w:sz w:val="22"/>
            <w:szCs w:val="22"/>
          </w:rPr>
          <w:t>[</w:t>
        </w:r>
        <w:r w:rsidRPr="006C5289">
          <w:rPr>
            <w:rStyle w:val="Hyperlink"/>
            <w:sz w:val="22"/>
            <w:szCs w:val="22"/>
          </w:rPr>
          <w:t>1</w:t>
        </w:r>
        <w:r w:rsidR="00C73548" w:rsidRPr="006C5289">
          <w:rPr>
            <w:rStyle w:val="Hyperlink"/>
            <w:sz w:val="22"/>
            <w:szCs w:val="22"/>
          </w:rPr>
          <w:t>]</w:t>
        </w:r>
        <w:bookmarkEnd w:id="22"/>
      </w:hyperlink>
    </w:p>
    <w:p w14:paraId="4A1DE86A" w14:textId="77777777" w:rsidR="007316DA" w:rsidRPr="007316DA" w:rsidRDefault="007316DA" w:rsidP="00E67FF1">
      <w:r w:rsidRPr="007316DA">
        <w:t xml:space="preserve">The AGPC has proactively enhanced and diversified the event experience to meet the changing interests of its increasingly diverse audience. Some of the key changes and improvements to the 2025 events were: </w:t>
      </w:r>
    </w:p>
    <w:p w14:paraId="786A0A43" w14:textId="178D3633" w:rsidR="007316DA" w:rsidRPr="007316DA" w:rsidRDefault="007316DA" w:rsidP="00C9671A">
      <w:pPr>
        <w:numPr>
          <w:ilvl w:val="0"/>
          <w:numId w:val="11"/>
        </w:numPr>
        <w:spacing w:after="0"/>
      </w:pPr>
      <w:r w:rsidRPr="007316DA">
        <w:t xml:space="preserve">A major facelift to Melbourne Junction area with new branding, interactive photo opportunities, an entrance archway, improved facades for food and </w:t>
      </w:r>
      <w:r w:rsidR="00911683" w:rsidRPr="007316DA">
        <w:t>beverage offerings</w:t>
      </w:r>
      <w:r w:rsidRPr="007316DA">
        <w:t xml:space="preserve"> and enhanced shading creating a premium atmosphere. </w:t>
      </w:r>
    </w:p>
    <w:p w14:paraId="1718B1CA" w14:textId="77777777" w:rsidR="007316DA" w:rsidRPr="007316DA" w:rsidRDefault="007316DA" w:rsidP="00C9671A">
      <w:pPr>
        <w:numPr>
          <w:ilvl w:val="0"/>
          <w:numId w:val="11"/>
        </w:numPr>
        <w:spacing w:after="0"/>
      </w:pPr>
      <w:r w:rsidRPr="007316DA">
        <w:t>Improved seating along Melbourne Walk and more big screens for general admission viewing (enabling AGPC to increase the number of GA tickets sold and spread crowds into new areas)</w:t>
      </w:r>
    </w:p>
    <w:p w14:paraId="29695931" w14:textId="4543050A" w:rsidR="007316DA" w:rsidRPr="007316DA" w:rsidRDefault="007316DA" w:rsidP="00C9671A">
      <w:pPr>
        <w:numPr>
          <w:ilvl w:val="0"/>
          <w:numId w:val="11"/>
        </w:numPr>
        <w:spacing w:after="0"/>
      </w:pPr>
      <w:r w:rsidRPr="007316DA">
        <w:t xml:space="preserve">New partner activations such as Enchante by St Hugo, </w:t>
      </w:r>
      <w:r w:rsidR="00911683" w:rsidRPr="007316DA">
        <w:t>an immersive</w:t>
      </w:r>
      <w:r w:rsidRPr="007316DA">
        <w:t xml:space="preserve"> experience with Paramount, Lego and a padel activation. </w:t>
      </w:r>
    </w:p>
    <w:p w14:paraId="498F793A" w14:textId="1F64EF7D" w:rsidR="007316DA" w:rsidRPr="007316DA" w:rsidRDefault="007316DA" w:rsidP="00C9671A">
      <w:pPr>
        <w:numPr>
          <w:ilvl w:val="0"/>
          <w:numId w:val="11"/>
        </w:numPr>
        <w:spacing w:after="0"/>
      </w:pPr>
      <w:r w:rsidRPr="007316DA">
        <w:t xml:space="preserve">New food and beverage offerings including </w:t>
      </w:r>
      <w:proofErr w:type="spellStart"/>
      <w:r w:rsidRPr="007316DA">
        <w:t>Pidapipo</w:t>
      </w:r>
      <w:proofErr w:type="spellEnd"/>
      <w:r w:rsidR="00911683">
        <w:t xml:space="preserve"> </w:t>
      </w:r>
      <w:r w:rsidRPr="007316DA">
        <w:t xml:space="preserve">(gelateria), Hochi Mama, Fonda Mexican, Royal Stacks, </w:t>
      </w:r>
      <w:proofErr w:type="spellStart"/>
      <w:r w:rsidRPr="007316DA">
        <w:t>BinchoBoss</w:t>
      </w:r>
      <w:proofErr w:type="spellEnd"/>
      <w:r w:rsidRPr="007316DA">
        <w:t xml:space="preserve"> and Hella Good. Movida restaurant presented by AMEX created the first premium dining experience.</w:t>
      </w:r>
    </w:p>
    <w:p w14:paraId="202A8A67" w14:textId="77777777" w:rsidR="007316DA" w:rsidRPr="007316DA" w:rsidRDefault="007316DA" w:rsidP="00C9671A">
      <w:pPr>
        <w:numPr>
          <w:ilvl w:val="0"/>
          <w:numId w:val="11"/>
        </w:numPr>
        <w:spacing w:after="0"/>
      </w:pPr>
      <w:r w:rsidRPr="007316DA">
        <w:t xml:space="preserve">A new stage for music acts and fan forums. The expanded space enabled more fans to enjoy the live entertainment. </w:t>
      </w:r>
    </w:p>
    <w:p w14:paraId="41FAE882" w14:textId="7C916D30" w:rsidR="007316DA" w:rsidRPr="007316DA" w:rsidRDefault="007316DA" w:rsidP="00C9671A">
      <w:pPr>
        <w:numPr>
          <w:ilvl w:val="0"/>
          <w:numId w:val="11"/>
        </w:numPr>
        <w:spacing w:after="0"/>
      </w:pPr>
      <w:r w:rsidRPr="007316DA">
        <w:t xml:space="preserve">A free five-day Fan Festival at Melbourne Park, outside the Albert Park event. The festival included food and beverage, big screen, activations and Q&amp;A sessions with drivers. The external activation space gave fan a memorable experience outside Albert Park. </w:t>
      </w:r>
    </w:p>
    <w:p w14:paraId="51B69F8A" w14:textId="72F0C8C7" w:rsidR="007316DA" w:rsidRPr="00845CF5" w:rsidRDefault="007316DA" w:rsidP="000E2339">
      <w:pPr>
        <w:pStyle w:val="Heading2"/>
        <w:spacing w:before="240" w:after="120" w:line="360" w:lineRule="auto"/>
      </w:pPr>
      <w:bookmarkStart w:id="23" w:name="_Toc209511914"/>
      <w:r w:rsidRPr="00845CF5">
        <w:rPr>
          <w:rStyle w:val="Heading2Char"/>
        </w:rPr>
        <w:t>An unforgettable fan experience</w:t>
      </w:r>
      <w:r w:rsidR="00C73548">
        <w:rPr>
          <w:rStyle w:val="Heading2Char"/>
        </w:rPr>
        <w:t xml:space="preserve"> </w:t>
      </w:r>
      <w:hyperlink w:anchor="ref0002" w:history="1">
        <w:r w:rsidR="00C73548" w:rsidRPr="00184226">
          <w:rPr>
            <w:rStyle w:val="Hyperlink"/>
            <w:sz w:val="24"/>
            <w:szCs w:val="24"/>
          </w:rPr>
          <w:t>[2]</w:t>
        </w:r>
        <w:bookmarkEnd w:id="23"/>
      </w:hyperlink>
      <w:r w:rsidR="001A4EB4" w:rsidRPr="00845CF5">
        <w:t xml:space="preserve"> </w:t>
      </w:r>
    </w:p>
    <w:p w14:paraId="66134294" w14:textId="77777777" w:rsidR="007316DA" w:rsidRPr="007316DA" w:rsidRDefault="007316DA" w:rsidP="00E67FF1">
      <w:r w:rsidRPr="007316DA">
        <w:t xml:space="preserve">F1 survey feedback showed that fans had an unforgettable experience at the 2025 F1®GP thanks to an inclusive and energetic atmosphere. Key attendee highlights included easy access via public </w:t>
      </w:r>
      <w:r w:rsidRPr="007316DA">
        <w:lastRenderedPageBreak/>
        <w:t>transport and well-distributed food and drink outlets which enabled convenience and comfort throughout the weekend. Returning fans especially appreciated noticeable upgrades from previous years, such as shorter queues for food, drinks and bathrooms, as well as expanded off-track entertainment options such as helicopter “Joy Flights” and Supercars garage tours.</w:t>
      </w:r>
    </w:p>
    <w:p w14:paraId="68FFFDF6" w14:textId="0BEE129E" w:rsidR="0077243A" w:rsidRDefault="007316DA" w:rsidP="00E67FF1">
      <w:r w:rsidRPr="007316DA">
        <w:t>These enhancements contributed to a highly positive experience, reflected in 62% of surveyed fans saying they would be “very likely” to return to the event in future (9% above the 2024 global average).</w:t>
      </w:r>
    </w:p>
    <w:p w14:paraId="28164ABA" w14:textId="77777777" w:rsidR="00FA3E85" w:rsidRPr="00FA3E85" w:rsidRDefault="00FA3E85" w:rsidP="00F6762D">
      <w:pPr>
        <w:pStyle w:val="Heading3"/>
      </w:pPr>
      <w:bookmarkStart w:id="24" w:name="_Toc209511915"/>
      <w:r w:rsidRPr="00FA3E85">
        <w:t>Changes to Improve Fan Experience (2025)</w:t>
      </w:r>
      <w:bookmarkEnd w:id="24"/>
    </w:p>
    <w:p w14:paraId="7A3D7B09" w14:textId="77777777" w:rsidR="00FA3E85" w:rsidRPr="00FA3E85" w:rsidRDefault="00FA3E85" w:rsidP="00F678AC">
      <w:pPr>
        <w:numPr>
          <w:ilvl w:val="0"/>
          <w:numId w:val="2"/>
        </w:numPr>
        <w:spacing w:after="0"/>
      </w:pPr>
      <w:r w:rsidRPr="00FA3E85">
        <w:t>Interactive photo opportunities</w:t>
      </w:r>
    </w:p>
    <w:p w14:paraId="23A614B0" w14:textId="77777777" w:rsidR="00FA3E85" w:rsidRPr="00FA3E85" w:rsidRDefault="00FA3E85" w:rsidP="00F678AC">
      <w:pPr>
        <w:numPr>
          <w:ilvl w:val="0"/>
          <w:numId w:val="2"/>
        </w:numPr>
        <w:spacing w:after="0"/>
      </w:pPr>
      <w:r w:rsidRPr="00FA3E85">
        <w:t>Premium dining experiences</w:t>
      </w:r>
    </w:p>
    <w:p w14:paraId="357466B3" w14:textId="77777777" w:rsidR="00FA3E85" w:rsidRPr="00FA3E85" w:rsidRDefault="00FA3E85" w:rsidP="00F678AC">
      <w:pPr>
        <w:numPr>
          <w:ilvl w:val="0"/>
          <w:numId w:val="2"/>
        </w:numPr>
        <w:spacing w:after="0"/>
      </w:pPr>
      <w:r w:rsidRPr="00FA3E85">
        <w:t>New music and fan forum stage</w:t>
      </w:r>
    </w:p>
    <w:p w14:paraId="5CE8D2CB" w14:textId="57686D02" w:rsidR="00FA3E85" w:rsidRPr="00FA3E85" w:rsidRDefault="00FA3E85" w:rsidP="00F678AC">
      <w:pPr>
        <w:numPr>
          <w:ilvl w:val="0"/>
          <w:numId w:val="2"/>
        </w:numPr>
        <w:spacing w:after="0"/>
      </w:pPr>
      <w:r w:rsidRPr="00FA3E85">
        <w:t>Fan Festival at Melbourne Park</w:t>
      </w:r>
    </w:p>
    <w:p w14:paraId="6AEBAA08" w14:textId="77777777" w:rsidR="00FA3E85" w:rsidRPr="00FA3E85" w:rsidRDefault="00FA3E85" w:rsidP="00F6762D">
      <w:pPr>
        <w:pStyle w:val="Heading3"/>
      </w:pPr>
      <w:bookmarkStart w:id="25" w:name="_Toc209511916"/>
      <w:r w:rsidRPr="00FA3E85">
        <w:t>Highlights from the Fan Survey (2025)</w:t>
      </w:r>
      <w:bookmarkEnd w:id="25"/>
    </w:p>
    <w:p w14:paraId="6DE6F182" w14:textId="77777777" w:rsidR="00FA3E85" w:rsidRPr="00FA3E85" w:rsidRDefault="00FA3E85" w:rsidP="00F678AC">
      <w:pPr>
        <w:numPr>
          <w:ilvl w:val="0"/>
          <w:numId w:val="3"/>
        </w:numPr>
        <w:spacing w:after="0"/>
      </w:pPr>
      <w:r w:rsidRPr="00FA3E85">
        <w:t>Diverse and welcoming environment</w:t>
      </w:r>
    </w:p>
    <w:p w14:paraId="4FCC0B20" w14:textId="77777777" w:rsidR="00FA3E85" w:rsidRPr="00FA3E85" w:rsidRDefault="00FA3E85" w:rsidP="00F678AC">
      <w:pPr>
        <w:numPr>
          <w:ilvl w:val="0"/>
          <w:numId w:val="3"/>
        </w:numPr>
        <w:spacing w:after="0"/>
      </w:pPr>
      <w:r w:rsidRPr="00FA3E85">
        <w:t>Short queues for food and drink</w:t>
      </w:r>
    </w:p>
    <w:p w14:paraId="61D3B10D" w14:textId="77777777" w:rsidR="00FA3E85" w:rsidRPr="00FA3E85" w:rsidRDefault="00FA3E85" w:rsidP="00F678AC">
      <w:pPr>
        <w:numPr>
          <w:ilvl w:val="0"/>
          <w:numId w:val="3"/>
        </w:numPr>
        <w:spacing w:after="0"/>
      </w:pPr>
      <w:r w:rsidRPr="00FA3E85">
        <w:t>Off-track entertainment</w:t>
      </w:r>
    </w:p>
    <w:p w14:paraId="66EB1F8E" w14:textId="4C997C54" w:rsidR="0077243A" w:rsidRDefault="00FA3E85" w:rsidP="00F678AC">
      <w:pPr>
        <w:numPr>
          <w:ilvl w:val="0"/>
          <w:numId w:val="3"/>
        </w:numPr>
        <w:spacing w:after="0"/>
      </w:pPr>
      <w:r w:rsidRPr="00FA3E85">
        <w:t>Easy access via public transport</w:t>
      </w:r>
    </w:p>
    <w:p w14:paraId="0AF81CEB" w14:textId="77777777" w:rsidR="00E47582" w:rsidRPr="00F6762D" w:rsidRDefault="00E47582" w:rsidP="00F6762D">
      <w:pPr>
        <w:rPr>
          <w:b/>
          <w:bCs/>
        </w:rPr>
      </w:pPr>
      <w:r w:rsidRPr="00F6762D">
        <w:rPr>
          <w:b/>
          <w:bCs/>
        </w:rPr>
        <w:t>List of References</w:t>
      </w:r>
    </w:p>
    <w:p w14:paraId="6B7A15A5" w14:textId="352B04C6" w:rsidR="00E47582" w:rsidRPr="00E47582" w:rsidRDefault="00E47582" w:rsidP="000E2339">
      <w:pPr>
        <w:spacing w:before="120" w:after="120"/>
        <w:rPr>
          <w:sz w:val="18"/>
          <w:szCs w:val="18"/>
        </w:rPr>
      </w:pPr>
      <w:bookmarkStart w:id="26" w:name="ref0001"/>
      <w:bookmarkEnd w:id="26"/>
      <w:r w:rsidRPr="00E47582">
        <w:rPr>
          <w:sz w:val="18"/>
          <w:szCs w:val="18"/>
        </w:rPr>
        <w:t xml:space="preserve">[1] </w:t>
      </w:r>
      <w:r w:rsidR="00294954" w:rsidRPr="00294954">
        <w:rPr>
          <w:sz w:val="18"/>
          <w:szCs w:val="18"/>
        </w:rPr>
        <w:t>Insights and details provided by AGPC.</w:t>
      </w:r>
    </w:p>
    <w:p w14:paraId="325FD64D" w14:textId="40BBC977" w:rsidR="00EB7310" w:rsidRPr="00814531" w:rsidRDefault="00E47582" w:rsidP="000E2339">
      <w:pPr>
        <w:spacing w:before="120" w:after="120"/>
        <w:rPr>
          <w:sz w:val="18"/>
          <w:szCs w:val="18"/>
        </w:rPr>
      </w:pPr>
      <w:bookmarkStart w:id="27" w:name="ref0002"/>
      <w:bookmarkEnd w:id="27"/>
      <w:r w:rsidRPr="00E47582">
        <w:rPr>
          <w:sz w:val="18"/>
          <w:szCs w:val="18"/>
        </w:rPr>
        <w:t xml:space="preserve">[2] </w:t>
      </w:r>
      <w:r w:rsidR="00294954" w:rsidRPr="00294954">
        <w:rPr>
          <w:sz w:val="18"/>
          <w:szCs w:val="18"/>
        </w:rPr>
        <w:t>Insights from the Formula 1® Australia Grand Prix 2025 Spectator Research report provided by AGPC.</w:t>
      </w:r>
    </w:p>
    <w:p w14:paraId="0091020E" w14:textId="3A72D9F4" w:rsidR="00C4076A" w:rsidRDefault="00C4076A" w:rsidP="006E6CC4">
      <w:pPr>
        <w:pStyle w:val="Heading1"/>
        <w:spacing w:before="240" w:after="120"/>
      </w:pPr>
      <w:bookmarkStart w:id="28" w:name="_Toc198738849"/>
      <w:bookmarkStart w:id="29" w:name="_Toc209511917"/>
      <w:r w:rsidRPr="00C4076A">
        <w:t xml:space="preserve">2. </w:t>
      </w:r>
      <w:r w:rsidRPr="00337E61">
        <w:t>Approach</w:t>
      </w:r>
      <w:bookmarkEnd w:id="28"/>
      <w:bookmarkEnd w:id="29"/>
    </w:p>
    <w:p w14:paraId="0972ED36" w14:textId="4AD2FDD6" w:rsidR="00912959" w:rsidRPr="00912959" w:rsidRDefault="00912959" w:rsidP="00E67FF1">
      <w:r w:rsidRPr="00CD23B2">
        <w:t>This study measures the economic impact to Victoria, directly attributable to the F1®GP event.</w:t>
      </w:r>
    </w:p>
    <w:p w14:paraId="6E4C6D4A" w14:textId="77777777" w:rsidR="00941054" w:rsidRPr="00941054" w:rsidRDefault="00941054" w:rsidP="006E6CC4">
      <w:pPr>
        <w:pStyle w:val="Heading2"/>
        <w:spacing w:before="0" w:after="0" w:line="360" w:lineRule="auto"/>
      </w:pPr>
      <w:bookmarkStart w:id="30" w:name="_Toc209511918"/>
      <w:r w:rsidRPr="00941054">
        <w:lastRenderedPageBreak/>
        <w:t>Economic Impact on Victoria</w:t>
      </w:r>
      <w:bookmarkEnd w:id="30"/>
    </w:p>
    <w:p w14:paraId="0509AA65" w14:textId="77777777" w:rsidR="00941054" w:rsidRPr="00941054" w:rsidRDefault="00941054" w:rsidP="00E67FF1">
      <w:r w:rsidRPr="00941054">
        <w:t>BDO assessed the economic impact of the F1® GP to Victoria in 2024 and 2025. The F1® GP economic impact study includes the following measures:</w:t>
      </w:r>
    </w:p>
    <w:p w14:paraId="5EDA9791" w14:textId="77777777" w:rsidR="00941054" w:rsidRPr="00941054" w:rsidRDefault="00941054" w:rsidP="006E6CC4">
      <w:pPr>
        <w:spacing w:after="0"/>
      </w:pPr>
      <w:bookmarkStart w:id="31" w:name="_Toc209511919"/>
      <w:r w:rsidRPr="00941054">
        <w:rPr>
          <w:rStyle w:val="Heading2Char"/>
        </w:rPr>
        <w:t>Direct impact</w:t>
      </w:r>
      <w:bookmarkEnd w:id="31"/>
      <w:r w:rsidRPr="00941054">
        <w:br/>
      </w:r>
      <w:r w:rsidRPr="00E67FF1">
        <w:t>The direct impact captures the increase in direct expenditure in the Victorian economy attributable to the F1® GP. It includes:</w:t>
      </w:r>
    </w:p>
    <w:p w14:paraId="02F57C55" w14:textId="77777777" w:rsidR="00941054" w:rsidRPr="00941054" w:rsidRDefault="00941054" w:rsidP="00F678AC">
      <w:pPr>
        <w:numPr>
          <w:ilvl w:val="0"/>
          <w:numId w:val="4"/>
        </w:numPr>
        <w:spacing w:after="0"/>
      </w:pPr>
      <w:r w:rsidRPr="00941054">
        <w:t>Expenditure of specific and extended stay interstate and overseas visitors (excluding ticket expenditure which is captured in event operations). This is comprised of:</w:t>
      </w:r>
    </w:p>
    <w:p w14:paraId="1EAF7683" w14:textId="77777777" w:rsidR="00941054" w:rsidRPr="00941054" w:rsidRDefault="00941054" w:rsidP="00F678AC">
      <w:pPr>
        <w:numPr>
          <w:ilvl w:val="1"/>
          <w:numId w:val="4"/>
        </w:numPr>
        <w:spacing w:after="0"/>
      </w:pPr>
      <w:r w:rsidRPr="00941054">
        <w:t>Total number of specific and extended stay interstate and overseas visitors including spectators, teams, officials, media and other accredited persons</w:t>
      </w:r>
    </w:p>
    <w:p w14:paraId="4C624AD2" w14:textId="77777777" w:rsidR="00941054" w:rsidRPr="00941054" w:rsidRDefault="00941054" w:rsidP="00F678AC">
      <w:pPr>
        <w:numPr>
          <w:ilvl w:val="1"/>
          <w:numId w:val="4"/>
        </w:numPr>
        <w:spacing w:after="0"/>
      </w:pPr>
      <w:r w:rsidRPr="00941054">
        <w:t>Length of stay for visitors</w:t>
      </w:r>
    </w:p>
    <w:p w14:paraId="71DD32DA" w14:textId="77777777" w:rsidR="00941054" w:rsidRPr="00941054" w:rsidRDefault="00941054" w:rsidP="00F678AC">
      <w:pPr>
        <w:numPr>
          <w:ilvl w:val="1"/>
          <w:numId w:val="4"/>
        </w:numPr>
        <w:spacing w:after="0"/>
      </w:pPr>
      <w:r w:rsidRPr="00941054">
        <w:t>Total visitor trip expenditure (excluding ticket sales).</w:t>
      </w:r>
    </w:p>
    <w:p w14:paraId="4DF4C9DC" w14:textId="34400051" w:rsidR="00941054" w:rsidRPr="00941054" w:rsidRDefault="00941054" w:rsidP="00F678AC">
      <w:pPr>
        <w:numPr>
          <w:ilvl w:val="0"/>
          <w:numId w:val="4"/>
        </w:numPr>
        <w:spacing w:after="0"/>
      </w:pPr>
      <w:r w:rsidRPr="00941054">
        <w:t xml:space="preserve">Event operations impact: The net impact of AGPC’s operating revenues sourced from outside Victoria (inc. ticket revenue) less the imported component of operations </w:t>
      </w:r>
      <w:r w:rsidR="001A4EB4" w:rsidRPr="00941054">
        <w:t>spends</w:t>
      </w:r>
      <w:r w:rsidRPr="00941054">
        <w:t>.</w:t>
      </w:r>
    </w:p>
    <w:p w14:paraId="42F0CFB8" w14:textId="77777777" w:rsidR="00941054" w:rsidRPr="00941054" w:rsidRDefault="00941054" w:rsidP="00F678AC">
      <w:pPr>
        <w:numPr>
          <w:ilvl w:val="0"/>
          <w:numId w:val="4"/>
        </w:numPr>
        <w:spacing w:after="0"/>
      </w:pPr>
      <w:r w:rsidRPr="00941054">
        <w:t>Retained expenditure: Spending of Victorians who attended the F1® GP and would attend the event if it were held in another state and spend their money in that state instead of Victoria.</w:t>
      </w:r>
    </w:p>
    <w:p w14:paraId="2B5D94AB" w14:textId="77777777" w:rsidR="00941054" w:rsidRPr="00941054" w:rsidRDefault="00941054" w:rsidP="00E67FF1">
      <w:r w:rsidRPr="00941054">
        <w:t>This study is a desktop assessment. Intercept surveys were not undertaken at the 2024 or 2025 event. The direct impact was estimated based on data provided by AGPC. This included ticket sales, event financials, online surveys conducted by F1 and prior F1® GP economic impact assessments undertaken (including prior intercept surveys).</w:t>
      </w:r>
    </w:p>
    <w:p w14:paraId="401D4142" w14:textId="77777777" w:rsidR="00941054" w:rsidRPr="00941054" w:rsidRDefault="00941054" w:rsidP="00E67FF1">
      <w:bookmarkStart w:id="32" w:name="_Toc209511920"/>
      <w:r w:rsidRPr="00941054">
        <w:rPr>
          <w:rStyle w:val="Heading2Char"/>
        </w:rPr>
        <w:t>Indirect and induced impacts</w:t>
      </w:r>
      <w:bookmarkEnd w:id="32"/>
      <w:r w:rsidRPr="00941054">
        <w:br/>
        <w:t>Direct expenditure generated by the event creates additional rounds of economic activity through supply chain linkages into other industry sectors and from household spending.</w:t>
      </w:r>
    </w:p>
    <w:p w14:paraId="3D5D5259" w14:textId="77777777" w:rsidR="00941054" w:rsidRPr="00941054" w:rsidRDefault="00941054" w:rsidP="00E67FF1">
      <w:r w:rsidRPr="00941054">
        <w:t>Indirect impacts include businesses purchasing goods and services from suppliers to meet the increased demand. For example, direct spending by F1® GP tourists at Melbourne restaurants results in the purchase of additional food and beverage supplies, cleaning services, and other business inputs.</w:t>
      </w:r>
    </w:p>
    <w:p w14:paraId="402D0436" w14:textId="77777777" w:rsidR="00941054" w:rsidRPr="00941054" w:rsidRDefault="00941054" w:rsidP="00E67FF1">
      <w:r w:rsidRPr="00941054">
        <w:lastRenderedPageBreak/>
        <w:t>In addition, there are induced impacts resulting from wages earned from both direct and indirect economic activity. As businesses hire additional workers or increase staff hours, these employees spend their earnings on household goods and services in the local economy. The induced impact only captures the spending on local (Victorian) businesses excluding taxes, savings and purchases outside the region.</w:t>
      </w:r>
    </w:p>
    <w:p w14:paraId="1A076A54" w14:textId="77777777" w:rsidR="00941054" w:rsidRPr="00941054" w:rsidRDefault="00941054" w:rsidP="00E67FF1">
      <w:r w:rsidRPr="00941054">
        <w:t>To estimate GSP (which includes the indirect and induced expenditure impacts), BDO applied the General Input-Output Multiplier (GIOM) used by the Victorian Government. The GIOM is an industry multiplier that describes the impact on the economy given a change in demand. The GIOM utilises the national input-output tables and is based on all industries in the economy.</w:t>
      </w:r>
    </w:p>
    <w:p w14:paraId="2986E2C5" w14:textId="77777777" w:rsidR="00941054" w:rsidRPr="00941054" w:rsidRDefault="00941054" w:rsidP="00E67FF1">
      <w:bookmarkStart w:id="33" w:name="_Toc209511921"/>
      <w:r w:rsidRPr="00941054">
        <w:rPr>
          <w:rStyle w:val="Heading2Char"/>
        </w:rPr>
        <w:t>Full-time equivalent (FTE) jobs</w:t>
      </w:r>
      <w:bookmarkEnd w:id="33"/>
      <w:r w:rsidRPr="00941054">
        <w:br/>
        <w:t>To estimate the employment impact, BDO used an internally developed extended input-output model known as the Regional Industry Structure &amp; Employment (RISE) model.</w:t>
      </w:r>
    </w:p>
    <w:p w14:paraId="36B679A2" w14:textId="77777777" w:rsidR="00941054" w:rsidRPr="00941054" w:rsidRDefault="00941054" w:rsidP="00E67FF1">
      <w:r w:rsidRPr="00941054">
        <w:t>This study measures the economic impact to Victoria, directly attributable to the F1® GP event.</w:t>
      </w:r>
    </w:p>
    <w:p w14:paraId="5824672C" w14:textId="77777777" w:rsidR="002B7166" w:rsidRDefault="002B7166" w:rsidP="00E67FF1">
      <w:r>
        <w:t>The assessment measures the changes to the economic base of Victoria that can be attributed to the event, that would otherwise not have occurred.</w:t>
      </w:r>
    </w:p>
    <w:p w14:paraId="0B8F40A1" w14:textId="6BD6B8E7" w:rsidR="006E3E34" w:rsidRPr="006E3E34" w:rsidRDefault="00E70814" w:rsidP="00CA4439">
      <w:pPr>
        <w:pStyle w:val="Heading2"/>
        <w:spacing w:before="0" w:after="0" w:line="360" w:lineRule="auto"/>
      </w:pPr>
      <w:bookmarkStart w:id="34" w:name="_Toc195020145"/>
      <w:bookmarkStart w:id="35" w:name="_Toc195020297"/>
      <w:bookmarkStart w:id="36" w:name="_Toc198738855"/>
      <w:bookmarkStart w:id="37" w:name="_Toc209511922"/>
      <w:r w:rsidRPr="00C4076A">
        <w:t>Simplified economic impact methodology</w:t>
      </w:r>
      <w:bookmarkEnd w:id="34"/>
      <w:bookmarkEnd w:id="35"/>
      <w:bookmarkEnd w:id="36"/>
      <w:bookmarkEnd w:id="37"/>
    </w:p>
    <w:p w14:paraId="11AF21D4" w14:textId="77777777" w:rsidR="006E3E34" w:rsidRPr="006E3E34" w:rsidRDefault="006E3E34" w:rsidP="00E67FF1">
      <w:pPr>
        <w:rPr>
          <w:lang w:eastAsia="en-AU"/>
        </w:rPr>
      </w:pPr>
      <w:r w:rsidRPr="006E3E34">
        <w:rPr>
          <w:lang w:eastAsia="en-AU"/>
        </w:rPr>
        <w:t>The economic impact to Victoria from hosting the Formula 1® Australian Grand Prix is calculated using the following components:</w:t>
      </w:r>
    </w:p>
    <w:p w14:paraId="06B1847B" w14:textId="77777777" w:rsidR="006E3E34" w:rsidRPr="006E3E34" w:rsidRDefault="006E3E34" w:rsidP="00F678AC">
      <w:pPr>
        <w:numPr>
          <w:ilvl w:val="0"/>
          <w:numId w:val="5"/>
        </w:numPr>
        <w:spacing w:after="0"/>
        <w:rPr>
          <w:rFonts w:eastAsia="Times New Roman" w:cs="Arial"/>
          <w:lang w:eastAsia="en-AU"/>
        </w:rPr>
      </w:pPr>
      <w:r w:rsidRPr="006E3E34">
        <w:rPr>
          <w:rFonts w:eastAsia="Times New Roman" w:cs="Arial"/>
          <w:lang w:eastAsia="en-AU"/>
        </w:rPr>
        <w:t>Direct Expenditure</w:t>
      </w:r>
    </w:p>
    <w:p w14:paraId="63341A94" w14:textId="77777777" w:rsidR="006E3E34" w:rsidRPr="00E141EE" w:rsidRDefault="006E3E34" w:rsidP="00F678AC">
      <w:pPr>
        <w:pStyle w:val="ListParagraph"/>
        <w:numPr>
          <w:ilvl w:val="0"/>
          <w:numId w:val="8"/>
        </w:numPr>
        <w:spacing w:after="0"/>
        <w:rPr>
          <w:rFonts w:eastAsia="Times New Roman" w:cs="Arial"/>
          <w:lang w:eastAsia="en-AU"/>
        </w:rPr>
      </w:pPr>
      <w:r w:rsidRPr="00E141EE">
        <w:rPr>
          <w:rFonts w:eastAsia="Times New Roman" w:cs="Arial"/>
          <w:lang w:eastAsia="en-AU"/>
        </w:rPr>
        <w:t>Spending in Victoria by interstate and international visitors, including those who attended specifically for the event or extended their stay because of it.</w:t>
      </w:r>
    </w:p>
    <w:p w14:paraId="60EC8CEF" w14:textId="77777777" w:rsidR="006E3E34" w:rsidRPr="00E141EE" w:rsidRDefault="006E3E34" w:rsidP="00F678AC">
      <w:pPr>
        <w:pStyle w:val="ListParagraph"/>
        <w:numPr>
          <w:ilvl w:val="0"/>
          <w:numId w:val="8"/>
        </w:numPr>
        <w:spacing w:after="0"/>
        <w:rPr>
          <w:rFonts w:eastAsia="Times New Roman" w:cs="Arial"/>
          <w:lang w:eastAsia="en-AU"/>
        </w:rPr>
      </w:pPr>
      <w:r w:rsidRPr="00E141EE">
        <w:rPr>
          <w:rFonts w:eastAsia="Times New Roman" w:cs="Arial"/>
          <w:lang w:eastAsia="en-AU"/>
        </w:rPr>
        <w:t>Spending by Victorian residents who remained in the state to attend the event rather than travelling elsewhere.</w:t>
      </w:r>
    </w:p>
    <w:p w14:paraId="6DE79F9D" w14:textId="77777777" w:rsidR="006E3E34" w:rsidRPr="00E141EE" w:rsidRDefault="006E3E34" w:rsidP="00F678AC">
      <w:pPr>
        <w:pStyle w:val="ListParagraph"/>
        <w:numPr>
          <w:ilvl w:val="0"/>
          <w:numId w:val="8"/>
        </w:numPr>
        <w:spacing w:after="0"/>
        <w:rPr>
          <w:rFonts w:eastAsia="Times New Roman" w:cs="Arial"/>
          <w:lang w:eastAsia="en-AU"/>
        </w:rPr>
      </w:pPr>
      <w:r w:rsidRPr="00E141EE">
        <w:rPr>
          <w:rFonts w:eastAsia="Times New Roman" w:cs="Arial"/>
          <w:lang w:eastAsia="en-AU"/>
        </w:rPr>
        <w:t>Event-related operational expenditure within Victoria that is sourced from outside the region.</w:t>
      </w:r>
    </w:p>
    <w:p w14:paraId="69E32E5D" w14:textId="77777777" w:rsidR="006E3E34" w:rsidRPr="006E3E34" w:rsidRDefault="006E3E34" w:rsidP="00F678AC">
      <w:pPr>
        <w:numPr>
          <w:ilvl w:val="0"/>
          <w:numId w:val="6"/>
        </w:numPr>
        <w:spacing w:after="0"/>
        <w:rPr>
          <w:rFonts w:eastAsia="Times New Roman" w:cs="Arial"/>
          <w:lang w:eastAsia="en-AU"/>
        </w:rPr>
      </w:pPr>
      <w:r w:rsidRPr="006E3E34">
        <w:rPr>
          <w:rFonts w:eastAsia="Times New Roman" w:cs="Arial"/>
          <w:lang w:eastAsia="en-AU"/>
        </w:rPr>
        <w:t>Multiplier Effect</w:t>
      </w:r>
    </w:p>
    <w:p w14:paraId="4B768804" w14:textId="77777777" w:rsidR="006E3E34" w:rsidRPr="00E141EE" w:rsidRDefault="006E3E34" w:rsidP="00F678AC">
      <w:pPr>
        <w:pStyle w:val="ListParagraph"/>
        <w:numPr>
          <w:ilvl w:val="0"/>
          <w:numId w:val="9"/>
        </w:numPr>
        <w:spacing w:after="0"/>
        <w:rPr>
          <w:rFonts w:eastAsia="Times New Roman" w:cs="Arial"/>
          <w:lang w:eastAsia="en-AU"/>
        </w:rPr>
      </w:pPr>
      <w:r w:rsidRPr="00E141EE">
        <w:rPr>
          <w:rFonts w:eastAsia="Times New Roman" w:cs="Arial"/>
          <w:lang w:eastAsia="en-AU"/>
        </w:rPr>
        <w:t>The total direct expenditure (as defined above) is multiplied by General Input-Output Model (GIOM) and employment multipliers.</w:t>
      </w:r>
    </w:p>
    <w:p w14:paraId="1D4CE051" w14:textId="77777777" w:rsidR="006E3E34" w:rsidRPr="00E141EE" w:rsidRDefault="006E3E34" w:rsidP="00F678AC">
      <w:pPr>
        <w:pStyle w:val="ListParagraph"/>
        <w:numPr>
          <w:ilvl w:val="0"/>
          <w:numId w:val="9"/>
        </w:numPr>
        <w:spacing w:after="0"/>
        <w:rPr>
          <w:rFonts w:eastAsia="Times New Roman" w:cs="Arial"/>
          <w:lang w:eastAsia="en-AU"/>
        </w:rPr>
      </w:pPr>
      <w:r w:rsidRPr="00E141EE">
        <w:rPr>
          <w:rFonts w:eastAsia="Times New Roman" w:cs="Arial"/>
          <w:lang w:eastAsia="en-AU"/>
        </w:rPr>
        <w:lastRenderedPageBreak/>
        <w:t>These multipliers reflect the flow-on (indirect and induced) effects of spending within the state economy.</w:t>
      </w:r>
    </w:p>
    <w:p w14:paraId="29463541" w14:textId="77777777" w:rsidR="006E3E34" w:rsidRPr="006E3E34" w:rsidRDefault="006E3E34" w:rsidP="00F678AC">
      <w:pPr>
        <w:numPr>
          <w:ilvl w:val="0"/>
          <w:numId w:val="7"/>
        </w:numPr>
        <w:spacing w:after="0"/>
        <w:rPr>
          <w:rFonts w:eastAsia="Times New Roman" w:cs="Arial"/>
          <w:lang w:eastAsia="en-AU"/>
        </w:rPr>
      </w:pPr>
      <w:r w:rsidRPr="006E3E34">
        <w:rPr>
          <w:rFonts w:eastAsia="Times New Roman" w:cs="Arial"/>
          <w:lang w:eastAsia="en-AU"/>
        </w:rPr>
        <w:t>Result – Total Economic Impact</w:t>
      </w:r>
    </w:p>
    <w:p w14:paraId="0575D070" w14:textId="60A16A25" w:rsidR="006E3E34" w:rsidRDefault="006E3E34" w:rsidP="00F678AC">
      <w:pPr>
        <w:pStyle w:val="ListParagraph"/>
        <w:numPr>
          <w:ilvl w:val="0"/>
          <w:numId w:val="10"/>
        </w:numPr>
        <w:spacing w:after="0"/>
        <w:rPr>
          <w:rFonts w:eastAsia="Times New Roman" w:cs="Arial"/>
          <w:lang w:eastAsia="en-AU"/>
        </w:rPr>
      </w:pPr>
      <w:r w:rsidRPr="00E141EE">
        <w:rPr>
          <w:rFonts w:eastAsia="Times New Roman" w:cs="Arial"/>
          <w:lang w:eastAsia="en-AU"/>
        </w:rPr>
        <w:t xml:space="preserve">The outcome of </w:t>
      </w:r>
      <w:r w:rsidR="00A0723F">
        <w:rPr>
          <w:rFonts w:eastAsia="Times New Roman" w:cs="Arial"/>
          <w:lang w:eastAsia="en-AU"/>
        </w:rPr>
        <w:t>multiplying</w:t>
      </w:r>
      <w:r w:rsidRPr="00E141EE">
        <w:rPr>
          <w:rFonts w:eastAsia="Times New Roman" w:cs="Arial"/>
          <w:lang w:eastAsia="en-AU"/>
        </w:rPr>
        <w:t xml:space="preserve"> the GIOM and employment multipliers </w:t>
      </w:r>
      <w:r w:rsidR="00A0723F">
        <w:rPr>
          <w:rFonts w:eastAsia="Times New Roman" w:cs="Arial"/>
          <w:lang w:eastAsia="en-AU"/>
        </w:rPr>
        <w:t>with</w:t>
      </w:r>
      <w:r w:rsidRPr="00E141EE">
        <w:rPr>
          <w:rFonts w:eastAsia="Times New Roman" w:cs="Arial"/>
          <w:lang w:eastAsia="en-AU"/>
        </w:rPr>
        <w:t xml:space="preserve"> the direct expenditure is the total economic impact to Victoria, measured in terms of Gross State Product (GSP) and jobs supported (FTE).</w:t>
      </w:r>
    </w:p>
    <w:p w14:paraId="629CB74D" w14:textId="017345CB" w:rsidR="003C5FB8" w:rsidRDefault="003C5FB8">
      <w:pPr>
        <w:spacing w:before="0" w:after="160" w:line="259" w:lineRule="auto"/>
        <w:rPr>
          <w:rFonts w:eastAsia="Times New Roman" w:cs="Arial"/>
          <w:lang w:eastAsia="en-AU"/>
        </w:rPr>
      </w:pPr>
      <w:r>
        <w:rPr>
          <w:rFonts w:eastAsia="Times New Roman" w:cs="Arial"/>
          <w:lang w:eastAsia="en-AU"/>
        </w:rPr>
        <w:br w:type="page"/>
      </w:r>
    </w:p>
    <w:p w14:paraId="3E49219C" w14:textId="77777777" w:rsidR="003C5FB8" w:rsidRPr="00E141EE" w:rsidRDefault="003C5FB8" w:rsidP="003C5FB8">
      <w:pPr>
        <w:pStyle w:val="ListParagraph"/>
        <w:spacing w:after="0"/>
        <w:ind w:left="1080"/>
        <w:rPr>
          <w:rFonts w:eastAsia="Times New Roman" w:cs="Arial"/>
          <w:lang w:eastAsia="en-AU"/>
        </w:rPr>
      </w:pPr>
    </w:p>
    <w:p w14:paraId="75A4154D" w14:textId="4CA1B4D9" w:rsidR="00C4076A" w:rsidRDefault="005B781A" w:rsidP="002A1C8D">
      <w:pPr>
        <w:pStyle w:val="Heading1"/>
        <w:spacing w:before="0" w:after="0"/>
      </w:pPr>
      <w:bookmarkStart w:id="38" w:name="_Toc198738856"/>
      <w:bookmarkStart w:id="39" w:name="_Toc209511923"/>
      <w:r w:rsidRPr="00AC3D25">
        <w:t>3.</w:t>
      </w:r>
      <w:r w:rsidR="00791B4A" w:rsidRPr="00AC3D25">
        <w:rPr>
          <w:rStyle w:val="Heading1Char"/>
        </w:rPr>
        <w:t>Economic Impact</w:t>
      </w:r>
      <w:bookmarkEnd w:id="38"/>
      <w:r w:rsidR="00C4076A" w:rsidRPr="00AC3D25">
        <w:t xml:space="preserve"> </w:t>
      </w:r>
      <w:r w:rsidR="00620227">
        <w:t>A</w:t>
      </w:r>
      <w:r w:rsidR="00B65504">
        <w:t>ssessment</w:t>
      </w:r>
      <w:bookmarkEnd w:id="39"/>
    </w:p>
    <w:p w14:paraId="0FE8CCBA" w14:textId="214A8A44" w:rsidR="00B65504" w:rsidRDefault="009C2DDA" w:rsidP="00E67FF1">
      <w:r w:rsidRPr="009C2DDA">
        <w:t>It is estimated that the 2025 F1® GP generated $174.1m in direct expenditure, $323.9m in Gross State Product and 1,631 jobs (FTE), attracting over 465,000 gross attendees.</w:t>
      </w:r>
    </w:p>
    <w:p w14:paraId="38E5FF1E" w14:textId="192E4EA0" w:rsidR="00BA71C5" w:rsidRDefault="00BA71C5" w:rsidP="002A1C8D">
      <w:pPr>
        <w:pStyle w:val="Heading2"/>
        <w:spacing w:before="0" w:after="0" w:line="360" w:lineRule="auto"/>
      </w:pPr>
      <w:bookmarkStart w:id="40" w:name="_Toc209511924"/>
      <w:r w:rsidRPr="00346D25">
        <w:t>2024 and 2025 Attendance</w:t>
      </w:r>
      <w:bookmarkEnd w:id="40"/>
    </w:p>
    <w:tbl>
      <w:tblPr>
        <w:tblStyle w:val="GridTable4"/>
        <w:tblW w:w="0" w:type="auto"/>
        <w:tblLook w:val="06A0" w:firstRow="1" w:lastRow="0" w:firstColumn="1" w:lastColumn="0" w:noHBand="1" w:noVBand="1"/>
      </w:tblPr>
      <w:tblGrid>
        <w:gridCol w:w="5932"/>
        <w:gridCol w:w="1434"/>
        <w:gridCol w:w="1650"/>
      </w:tblGrid>
      <w:tr w:rsidR="001D76A5" w:rsidRPr="001D76A5" w14:paraId="341585F6" w14:textId="77777777" w:rsidTr="00F13CE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932" w:type="dxa"/>
            <w:noWrap/>
            <w:hideMark/>
          </w:tcPr>
          <w:p w14:paraId="1D5629EA" w14:textId="1A216DDB" w:rsidR="001D76A5" w:rsidRPr="001D76A5" w:rsidRDefault="00035F6C" w:rsidP="002A1C8D">
            <w:r>
              <w:t>Indicator</w:t>
            </w:r>
          </w:p>
        </w:tc>
        <w:tc>
          <w:tcPr>
            <w:tcW w:w="1434" w:type="dxa"/>
            <w:noWrap/>
            <w:hideMark/>
          </w:tcPr>
          <w:p w14:paraId="0D92B553" w14:textId="77777777" w:rsidR="001D76A5" w:rsidRPr="001D76A5" w:rsidRDefault="001D76A5" w:rsidP="002A1C8D">
            <w:pPr>
              <w:cnfStyle w:val="100000000000" w:firstRow="1" w:lastRow="0" w:firstColumn="0" w:lastColumn="0" w:oddVBand="0" w:evenVBand="0" w:oddHBand="0" w:evenHBand="0" w:firstRowFirstColumn="0" w:firstRowLastColumn="0" w:lastRowFirstColumn="0" w:lastRowLastColumn="0"/>
            </w:pPr>
            <w:r w:rsidRPr="001D76A5">
              <w:t>2024</w:t>
            </w:r>
          </w:p>
        </w:tc>
        <w:tc>
          <w:tcPr>
            <w:tcW w:w="1650" w:type="dxa"/>
            <w:noWrap/>
            <w:hideMark/>
          </w:tcPr>
          <w:p w14:paraId="5042F749" w14:textId="77777777" w:rsidR="001D76A5" w:rsidRPr="001D76A5" w:rsidRDefault="001D76A5" w:rsidP="002A1C8D">
            <w:pPr>
              <w:cnfStyle w:val="100000000000" w:firstRow="1" w:lastRow="0" w:firstColumn="0" w:lastColumn="0" w:oddVBand="0" w:evenVBand="0" w:oddHBand="0" w:evenHBand="0" w:firstRowFirstColumn="0" w:firstRowLastColumn="0" w:lastRowFirstColumn="0" w:lastRowLastColumn="0"/>
            </w:pPr>
            <w:r w:rsidRPr="001D76A5">
              <w:t>2025</w:t>
            </w:r>
          </w:p>
        </w:tc>
      </w:tr>
      <w:tr w:rsidR="001D76A5" w:rsidRPr="001D76A5" w14:paraId="7D14EDC1" w14:textId="77777777" w:rsidTr="00F13CEA">
        <w:trPr>
          <w:trHeight w:val="300"/>
        </w:trPr>
        <w:tc>
          <w:tcPr>
            <w:cnfStyle w:val="001000000000" w:firstRow="0" w:lastRow="0" w:firstColumn="1" w:lastColumn="0" w:oddVBand="0" w:evenVBand="0" w:oddHBand="0" w:evenHBand="0" w:firstRowFirstColumn="0" w:firstRowLastColumn="0" w:lastRowFirstColumn="0" w:lastRowLastColumn="0"/>
            <w:tcW w:w="5932" w:type="dxa"/>
            <w:noWrap/>
            <w:hideMark/>
          </w:tcPr>
          <w:p w14:paraId="38C0EB0F" w14:textId="77777777" w:rsidR="001D76A5" w:rsidRPr="001D76A5" w:rsidRDefault="001D76A5" w:rsidP="002A1C8D">
            <w:r w:rsidRPr="001D76A5">
              <w:t>Gross attendance</w:t>
            </w:r>
          </w:p>
        </w:tc>
        <w:tc>
          <w:tcPr>
            <w:tcW w:w="1434" w:type="dxa"/>
            <w:noWrap/>
            <w:hideMark/>
          </w:tcPr>
          <w:p w14:paraId="5C067D3B" w14:textId="77777777" w:rsidR="001D76A5" w:rsidRPr="001D76A5" w:rsidRDefault="001D76A5" w:rsidP="002A1C8D">
            <w:pPr>
              <w:cnfStyle w:val="000000000000" w:firstRow="0" w:lastRow="0" w:firstColumn="0" w:lastColumn="0" w:oddVBand="0" w:evenVBand="0" w:oddHBand="0" w:evenHBand="0" w:firstRowFirstColumn="0" w:firstRowLastColumn="0" w:lastRowFirstColumn="0" w:lastRowLastColumn="0"/>
            </w:pPr>
            <w:r w:rsidRPr="001D76A5">
              <w:t>452,055</w:t>
            </w:r>
          </w:p>
        </w:tc>
        <w:tc>
          <w:tcPr>
            <w:tcW w:w="1650" w:type="dxa"/>
            <w:noWrap/>
            <w:hideMark/>
          </w:tcPr>
          <w:p w14:paraId="7FFF3804" w14:textId="77777777" w:rsidR="001D76A5" w:rsidRPr="001D76A5" w:rsidRDefault="001D76A5" w:rsidP="002A1C8D">
            <w:pPr>
              <w:cnfStyle w:val="000000000000" w:firstRow="0" w:lastRow="0" w:firstColumn="0" w:lastColumn="0" w:oddVBand="0" w:evenVBand="0" w:oddHBand="0" w:evenHBand="0" w:firstRowFirstColumn="0" w:firstRowLastColumn="0" w:lastRowFirstColumn="0" w:lastRowLastColumn="0"/>
            </w:pPr>
            <w:r w:rsidRPr="001D76A5">
              <w:t>465,498</w:t>
            </w:r>
          </w:p>
        </w:tc>
      </w:tr>
      <w:tr w:rsidR="001D76A5" w:rsidRPr="001D76A5" w14:paraId="0D8F2BC3" w14:textId="77777777" w:rsidTr="00F13CEA">
        <w:trPr>
          <w:trHeight w:val="300"/>
        </w:trPr>
        <w:tc>
          <w:tcPr>
            <w:cnfStyle w:val="001000000000" w:firstRow="0" w:lastRow="0" w:firstColumn="1" w:lastColumn="0" w:oddVBand="0" w:evenVBand="0" w:oddHBand="0" w:evenHBand="0" w:firstRowFirstColumn="0" w:firstRowLastColumn="0" w:lastRowFirstColumn="0" w:lastRowLastColumn="0"/>
            <w:tcW w:w="5932" w:type="dxa"/>
            <w:noWrap/>
            <w:hideMark/>
          </w:tcPr>
          <w:p w14:paraId="26F21281" w14:textId="77777777" w:rsidR="001D76A5" w:rsidRPr="001D76A5" w:rsidRDefault="001D76A5" w:rsidP="002A1C8D">
            <w:r w:rsidRPr="001D76A5">
              <w:t>Unique attendance</w:t>
            </w:r>
          </w:p>
        </w:tc>
        <w:tc>
          <w:tcPr>
            <w:tcW w:w="1434" w:type="dxa"/>
            <w:noWrap/>
            <w:hideMark/>
          </w:tcPr>
          <w:p w14:paraId="2FBCAF6A" w14:textId="77777777" w:rsidR="001D76A5" w:rsidRPr="001D76A5" w:rsidRDefault="001D76A5" w:rsidP="002A1C8D">
            <w:pPr>
              <w:cnfStyle w:val="000000000000" w:firstRow="0" w:lastRow="0" w:firstColumn="0" w:lastColumn="0" w:oddVBand="0" w:evenVBand="0" w:oddHBand="0" w:evenHBand="0" w:firstRowFirstColumn="0" w:firstRowLastColumn="0" w:lastRowFirstColumn="0" w:lastRowLastColumn="0"/>
            </w:pPr>
            <w:r w:rsidRPr="001D76A5">
              <w:t>207,197</w:t>
            </w:r>
          </w:p>
        </w:tc>
        <w:tc>
          <w:tcPr>
            <w:tcW w:w="1650" w:type="dxa"/>
            <w:noWrap/>
            <w:hideMark/>
          </w:tcPr>
          <w:p w14:paraId="74A23319" w14:textId="77777777" w:rsidR="001D76A5" w:rsidRPr="001D76A5" w:rsidRDefault="001D76A5" w:rsidP="002A1C8D">
            <w:pPr>
              <w:cnfStyle w:val="000000000000" w:firstRow="0" w:lastRow="0" w:firstColumn="0" w:lastColumn="0" w:oddVBand="0" w:evenVBand="0" w:oddHBand="0" w:evenHBand="0" w:firstRowFirstColumn="0" w:firstRowLastColumn="0" w:lastRowFirstColumn="0" w:lastRowLastColumn="0"/>
            </w:pPr>
            <w:r w:rsidRPr="001D76A5">
              <w:t>231,308</w:t>
            </w:r>
          </w:p>
        </w:tc>
      </w:tr>
      <w:tr w:rsidR="001D76A5" w:rsidRPr="001D76A5" w14:paraId="76168EDF" w14:textId="77777777" w:rsidTr="00F13CEA">
        <w:trPr>
          <w:trHeight w:val="300"/>
        </w:trPr>
        <w:tc>
          <w:tcPr>
            <w:cnfStyle w:val="001000000000" w:firstRow="0" w:lastRow="0" w:firstColumn="1" w:lastColumn="0" w:oddVBand="0" w:evenVBand="0" w:oddHBand="0" w:evenHBand="0" w:firstRowFirstColumn="0" w:firstRowLastColumn="0" w:lastRowFirstColumn="0" w:lastRowLastColumn="0"/>
            <w:tcW w:w="5932" w:type="dxa"/>
            <w:noWrap/>
            <w:hideMark/>
          </w:tcPr>
          <w:p w14:paraId="488E9E0C" w14:textId="77777777" w:rsidR="001D76A5" w:rsidRPr="001D76A5" w:rsidRDefault="001D76A5" w:rsidP="002A1C8D">
            <w:r w:rsidRPr="001D76A5">
              <w:t>Direct expenditure (total)</w:t>
            </w:r>
          </w:p>
        </w:tc>
        <w:tc>
          <w:tcPr>
            <w:tcW w:w="1434" w:type="dxa"/>
            <w:noWrap/>
            <w:hideMark/>
          </w:tcPr>
          <w:p w14:paraId="225213C5" w14:textId="77777777" w:rsidR="001D76A5" w:rsidRPr="001D76A5" w:rsidRDefault="001D76A5" w:rsidP="002A1C8D">
            <w:pPr>
              <w:cnfStyle w:val="000000000000" w:firstRow="0" w:lastRow="0" w:firstColumn="0" w:lastColumn="0" w:oddVBand="0" w:evenVBand="0" w:oddHBand="0" w:evenHBand="0" w:firstRowFirstColumn="0" w:firstRowLastColumn="0" w:lastRowFirstColumn="0" w:lastRowLastColumn="0"/>
            </w:pPr>
            <w:r w:rsidRPr="001D76A5">
              <w:t>$151.5m</w:t>
            </w:r>
          </w:p>
        </w:tc>
        <w:tc>
          <w:tcPr>
            <w:tcW w:w="1650" w:type="dxa"/>
            <w:noWrap/>
            <w:hideMark/>
          </w:tcPr>
          <w:p w14:paraId="41CD2523" w14:textId="77777777" w:rsidR="001D76A5" w:rsidRPr="001D76A5" w:rsidRDefault="001D76A5" w:rsidP="002A1C8D">
            <w:pPr>
              <w:cnfStyle w:val="000000000000" w:firstRow="0" w:lastRow="0" w:firstColumn="0" w:lastColumn="0" w:oddVBand="0" w:evenVBand="0" w:oddHBand="0" w:evenHBand="0" w:firstRowFirstColumn="0" w:firstRowLastColumn="0" w:lastRowFirstColumn="0" w:lastRowLastColumn="0"/>
            </w:pPr>
            <w:r w:rsidRPr="001D76A5">
              <w:t>$174.1m</w:t>
            </w:r>
          </w:p>
        </w:tc>
      </w:tr>
      <w:tr w:rsidR="001D76A5" w:rsidRPr="001D76A5" w14:paraId="27B4E2B8" w14:textId="77777777" w:rsidTr="00F13CEA">
        <w:trPr>
          <w:trHeight w:val="300"/>
        </w:trPr>
        <w:tc>
          <w:tcPr>
            <w:cnfStyle w:val="001000000000" w:firstRow="0" w:lastRow="0" w:firstColumn="1" w:lastColumn="0" w:oddVBand="0" w:evenVBand="0" w:oddHBand="0" w:evenHBand="0" w:firstRowFirstColumn="0" w:firstRowLastColumn="0" w:lastRowFirstColumn="0" w:lastRowLastColumn="0"/>
            <w:tcW w:w="5932" w:type="dxa"/>
            <w:noWrap/>
            <w:hideMark/>
          </w:tcPr>
          <w:p w14:paraId="5A73F513" w14:textId="23512592" w:rsidR="001D76A5" w:rsidRPr="001D76A5" w:rsidRDefault="001D76A5" w:rsidP="002A1C8D">
            <w:r w:rsidRPr="001D76A5">
              <w:t>Interstate and overseas visitor expenditure (specific and extended stay)</w:t>
            </w:r>
          </w:p>
        </w:tc>
        <w:tc>
          <w:tcPr>
            <w:tcW w:w="1434" w:type="dxa"/>
            <w:noWrap/>
            <w:hideMark/>
          </w:tcPr>
          <w:p w14:paraId="2D8DC1AE" w14:textId="77777777" w:rsidR="001D76A5" w:rsidRPr="001D76A5" w:rsidRDefault="001D76A5" w:rsidP="002A1C8D">
            <w:pPr>
              <w:cnfStyle w:val="000000000000" w:firstRow="0" w:lastRow="0" w:firstColumn="0" w:lastColumn="0" w:oddVBand="0" w:evenVBand="0" w:oddHBand="0" w:evenHBand="0" w:firstRowFirstColumn="0" w:firstRowLastColumn="0" w:lastRowFirstColumn="0" w:lastRowLastColumn="0"/>
            </w:pPr>
            <w:r w:rsidRPr="001D76A5">
              <w:t>$138.7m</w:t>
            </w:r>
          </w:p>
        </w:tc>
        <w:tc>
          <w:tcPr>
            <w:tcW w:w="1650" w:type="dxa"/>
            <w:noWrap/>
            <w:hideMark/>
          </w:tcPr>
          <w:p w14:paraId="324BF9A4" w14:textId="77777777" w:rsidR="001D76A5" w:rsidRPr="001D76A5" w:rsidRDefault="001D76A5" w:rsidP="002A1C8D">
            <w:pPr>
              <w:cnfStyle w:val="000000000000" w:firstRow="0" w:lastRow="0" w:firstColumn="0" w:lastColumn="0" w:oddVBand="0" w:evenVBand="0" w:oddHBand="0" w:evenHBand="0" w:firstRowFirstColumn="0" w:firstRowLastColumn="0" w:lastRowFirstColumn="0" w:lastRowLastColumn="0"/>
            </w:pPr>
            <w:r w:rsidRPr="001D76A5">
              <w:t>$161.6m</w:t>
            </w:r>
          </w:p>
        </w:tc>
      </w:tr>
      <w:tr w:rsidR="001D76A5" w:rsidRPr="001D76A5" w14:paraId="777D9287" w14:textId="77777777" w:rsidTr="00F13CEA">
        <w:trPr>
          <w:trHeight w:val="300"/>
        </w:trPr>
        <w:tc>
          <w:tcPr>
            <w:cnfStyle w:val="001000000000" w:firstRow="0" w:lastRow="0" w:firstColumn="1" w:lastColumn="0" w:oddVBand="0" w:evenVBand="0" w:oddHBand="0" w:evenHBand="0" w:firstRowFirstColumn="0" w:firstRowLastColumn="0" w:lastRowFirstColumn="0" w:lastRowLastColumn="0"/>
            <w:tcW w:w="5932" w:type="dxa"/>
            <w:noWrap/>
            <w:hideMark/>
          </w:tcPr>
          <w:p w14:paraId="616A7406" w14:textId="57C91DF3" w:rsidR="001D76A5" w:rsidRPr="001D76A5" w:rsidRDefault="001D76A5" w:rsidP="002A1C8D">
            <w:r w:rsidRPr="001D76A5">
              <w:t>Retained expenditure from Victorian residents</w:t>
            </w:r>
          </w:p>
        </w:tc>
        <w:tc>
          <w:tcPr>
            <w:tcW w:w="1434" w:type="dxa"/>
            <w:noWrap/>
            <w:hideMark/>
          </w:tcPr>
          <w:p w14:paraId="4BF1F973" w14:textId="77777777" w:rsidR="001D76A5" w:rsidRPr="001D76A5" w:rsidRDefault="001D76A5" w:rsidP="002A1C8D">
            <w:pPr>
              <w:cnfStyle w:val="000000000000" w:firstRow="0" w:lastRow="0" w:firstColumn="0" w:lastColumn="0" w:oddVBand="0" w:evenVBand="0" w:oddHBand="0" w:evenHBand="0" w:firstRowFirstColumn="0" w:firstRowLastColumn="0" w:lastRowFirstColumn="0" w:lastRowLastColumn="0"/>
            </w:pPr>
            <w:r w:rsidRPr="001D76A5">
              <w:t>$39.1m</w:t>
            </w:r>
          </w:p>
        </w:tc>
        <w:tc>
          <w:tcPr>
            <w:tcW w:w="1650" w:type="dxa"/>
            <w:noWrap/>
            <w:hideMark/>
          </w:tcPr>
          <w:p w14:paraId="1CFB8081" w14:textId="77777777" w:rsidR="001D76A5" w:rsidRPr="001D76A5" w:rsidRDefault="001D76A5" w:rsidP="002A1C8D">
            <w:pPr>
              <w:cnfStyle w:val="000000000000" w:firstRow="0" w:lastRow="0" w:firstColumn="0" w:lastColumn="0" w:oddVBand="0" w:evenVBand="0" w:oddHBand="0" w:evenHBand="0" w:firstRowFirstColumn="0" w:firstRowLastColumn="0" w:lastRowFirstColumn="0" w:lastRowLastColumn="0"/>
            </w:pPr>
            <w:r w:rsidRPr="001D76A5">
              <w:t>$43.3m</w:t>
            </w:r>
          </w:p>
        </w:tc>
      </w:tr>
      <w:tr w:rsidR="001D76A5" w:rsidRPr="001D76A5" w14:paraId="700ADCB0" w14:textId="77777777" w:rsidTr="00F13CEA">
        <w:trPr>
          <w:trHeight w:val="300"/>
        </w:trPr>
        <w:tc>
          <w:tcPr>
            <w:cnfStyle w:val="001000000000" w:firstRow="0" w:lastRow="0" w:firstColumn="1" w:lastColumn="0" w:oddVBand="0" w:evenVBand="0" w:oddHBand="0" w:evenHBand="0" w:firstRowFirstColumn="0" w:firstRowLastColumn="0" w:lastRowFirstColumn="0" w:lastRowLastColumn="0"/>
            <w:tcW w:w="5932" w:type="dxa"/>
            <w:noWrap/>
            <w:hideMark/>
          </w:tcPr>
          <w:p w14:paraId="276B31B1" w14:textId="59062B0C" w:rsidR="001D76A5" w:rsidRPr="001D76A5" w:rsidRDefault="001D76A5" w:rsidP="002A1C8D">
            <w:r w:rsidRPr="001D76A5">
              <w:t>Event operations impact</w:t>
            </w:r>
            <w:r w:rsidR="00035F6C">
              <w:t xml:space="preserve"> </w:t>
            </w:r>
            <w:hyperlink w:anchor="r001" w:history="1">
              <w:r w:rsidR="00035F6C" w:rsidRPr="00280174">
                <w:rPr>
                  <w:rStyle w:val="Hyperlink"/>
                </w:rPr>
                <w:t>[1]</w:t>
              </w:r>
            </w:hyperlink>
          </w:p>
        </w:tc>
        <w:tc>
          <w:tcPr>
            <w:tcW w:w="1434" w:type="dxa"/>
            <w:noWrap/>
            <w:hideMark/>
          </w:tcPr>
          <w:p w14:paraId="565E1576" w14:textId="77777777" w:rsidR="001D76A5" w:rsidRPr="001D76A5" w:rsidRDefault="001D76A5" w:rsidP="002A1C8D">
            <w:pPr>
              <w:cnfStyle w:val="000000000000" w:firstRow="0" w:lastRow="0" w:firstColumn="0" w:lastColumn="0" w:oddVBand="0" w:evenVBand="0" w:oddHBand="0" w:evenHBand="0" w:firstRowFirstColumn="0" w:firstRowLastColumn="0" w:lastRowFirstColumn="0" w:lastRowLastColumn="0"/>
            </w:pPr>
            <w:r w:rsidRPr="001D76A5">
              <w:t>-$26.3m</w:t>
            </w:r>
          </w:p>
        </w:tc>
        <w:tc>
          <w:tcPr>
            <w:tcW w:w="1650" w:type="dxa"/>
            <w:noWrap/>
            <w:hideMark/>
          </w:tcPr>
          <w:p w14:paraId="726A389D" w14:textId="77777777" w:rsidR="001D76A5" w:rsidRPr="001D76A5" w:rsidRDefault="001D76A5" w:rsidP="002A1C8D">
            <w:pPr>
              <w:cnfStyle w:val="000000000000" w:firstRow="0" w:lastRow="0" w:firstColumn="0" w:lastColumn="0" w:oddVBand="0" w:evenVBand="0" w:oddHBand="0" w:evenHBand="0" w:firstRowFirstColumn="0" w:firstRowLastColumn="0" w:lastRowFirstColumn="0" w:lastRowLastColumn="0"/>
            </w:pPr>
            <w:r w:rsidRPr="001D76A5">
              <w:t>-$30.8m</w:t>
            </w:r>
          </w:p>
        </w:tc>
      </w:tr>
      <w:tr w:rsidR="001D76A5" w:rsidRPr="001D76A5" w14:paraId="475F19FE" w14:textId="77777777" w:rsidTr="00F13CEA">
        <w:trPr>
          <w:trHeight w:val="300"/>
        </w:trPr>
        <w:tc>
          <w:tcPr>
            <w:cnfStyle w:val="001000000000" w:firstRow="0" w:lastRow="0" w:firstColumn="1" w:lastColumn="0" w:oddVBand="0" w:evenVBand="0" w:oddHBand="0" w:evenHBand="0" w:firstRowFirstColumn="0" w:firstRowLastColumn="0" w:lastRowFirstColumn="0" w:lastRowLastColumn="0"/>
            <w:tcW w:w="5932" w:type="dxa"/>
            <w:noWrap/>
            <w:hideMark/>
          </w:tcPr>
          <w:p w14:paraId="6BC13D4D" w14:textId="77777777" w:rsidR="001D76A5" w:rsidRPr="001D76A5" w:rsidRDefault="001D76A5" w:rsidP="002A1C8D">
            <w:r w:rsidRPr="001D76A5">
              <w:t>Gross State Product (GSP)</w:t>
            </w:r>
          </w:p>
        </w:tc>
        <w:tc>
          <w:tcPr>
            <w:tcW w:w="1434" w:type="dxa"/>
            <w:noWrap/>
            <w:hideMark/>
          </w:tcPr>
          <w:p w14:paraId="6F59AC6E" w14:textId="77777777" w:rsidR="001D76A5" w:rsidRPr="001D76A5" w:rsidRDefault="001D76A5" w:rsidP="002A1C8D">
            <w:pPr>
              <w:cnfStyle w:val="000000000000" w:firstRow="0" w:lastRow="0" w:firstColumn="0" w:lastColumn="0" w:oddVBand="0" w:evenVBand="0" w:oddHBand="0" w:evenHBand="0" w:firstRowFirstColumn="0" w:firstRowLastColumn="0" w:lastRowFirstColumn="0" w:lastRowLastColumn="0"/>
            </w:pPr>
            <w:r w:rsidRPr="001D76A5">
              <w:t>$281.8m</w:t>
            </w:r>
          </w:p>
        </w:tc>
        <w:tc>
          <w:tcPr>
            <w:tcW w:w="1650" w:type="dxa"/>
            <w:noWrap/>
            <w:hideMark/>
          </w:tcPr>
          <w:p w14:paraId="5E38E2BB" w14:textId="77777777" w:rsidR="001D76A5" w:rsidRPr="001D76A5" w:rsidRDefault="001D76A5" w:rsidP="002A1C8D">
            <w:pPr>
              <w:cnfStyle w:val="000000000000" w:firstRow="0" w:lastRow="0" w:firstColumn="0" w:lastColumn="0" w:oddVBand="0" w:evenVBand="0" w:oddHBand="0" w:evenHBand="0" w:firstRowFirstColumn="0" w:firstRowLastColumn="0" w:lastRowFirstColumn="0" w:lastRowLastColumn="0"/>
            </w:pPr>
            <w:r w:rsidRPr="001D76A5">
              <w:t>$323.9m</w:t>
            </w:r>
          </w:p>
        </w:tc>
      </w:tr>
      <w:tr w:rsidR="001D76A5" w:rsidRPr="001D76A5" w14:paraId="6946A429" w14:textId="77777777" w:rsidTr="00F13CEA">
        <w:trPr>
          <w:trHeight w:val="300"/>
        </w:trPr>
        <w:tc>
          <w:tcPr>
            <w:cnfStyle w:val="001000000000" w:firstRow="0" w:lastRow="0" w:firstColumn="1" w:lastColumn="0" w:oddVBand="0" w:evenVBand="0" w:oddHBand="0" w:evenHBand="0" w:firstRowFirstColumn="0" w:firstRowLastColumn="0" w:lastRowFirstColumn="0" w:lastRowLastColumn="0"/>
            <w:tcW w:w="5932" w:type="dxa"/>
            <w:noWrap/>
            <w:hideMark/>
          </w:tcPr>
          <w:p w14:paraId="2674FAFE" w14:textId="77777777" w:rsidR="001D76A5" w:rsidRPr="001D76A5" w:rsidRDefault="001D76A5" w:rsidP="002A1C8D">
            <w:r w:rsidRPr="001D76A5">
              <w:t>Employment (FTE jobs supported)</w:t>
            </w:r>
          </w:p>
        </w:tc>
        <w:tc>
          <w:tcPr>
            <w:tcW w:w="1434" w:type="dxa"/>
            <w:noWrap/>
            <w:hideMark/>
          </w:tcPr>
          <w:p w14:paraId="70CDB451" w14:textId="77777777" w:rsidR="001D76A5" w:rsidRPr="001D76A5" w:rsidRDefault="001D76A5" w:rsidP="002A1C8D">
            <w:pPr>
              <w:cnfStyle w:val="000000000000" w:firstRow="0" w:lastRow="0" w:firstColumn="0" w:lastColumn="0" w:oddVBand="0" w:evenVBand="0" w:oddHBand="0" w:evenHBand="0" w:firstRowFirstColumn="0" w:firstRowLastColumn="0" w:lastRowFirstColumn="0" w:lastRowLastColumn="0"/>
            </w:pPr>
            <w:r w:rsidRPr="001D76A5">
              <w:t>1,419</w:t>
            </w:r>
          </w:p>
        </w:tc>
        <w:tc>
          <w:tcPr>
            <w:tcW w:w="1650" w:type="dxa"/>
            <w:noWrap/>
            <w:hideMark/>
          </w:tcPr>
          <w:p w14:paraId="1E8B83A9" w14:textId="77777777" w:rsidR="001D76A5" w:rsidRPr="001D76A5" w:rsidRDefault="001D76A5" w:rsidP="002A1C8D">
            <w:pPr>
              <w:cnfStyle w:val="000000000000" w:firstRow="0" w:lastRow="0" w:firstColumn="0" w:lastColumn="0" w:oddVBand="0" w:evenVBand="0" w:oddHBand="0" w:evenHBand="0" w:firstRowFirstColumn="0" w:firstRowLastColumn="0" w:lastRowFirstColumn="0" w:lastRowLastColumn="0"/>
            </w:pPr>
            <w:r w:rsidRPr="001D76A5">
              <w:t>1,631</w:t>
            </w:r>
          </w:p>
        </w:tc>
      </w:tr>
    </w:tbl>
    <w:p w14:paraId="438980FE" w14:textId="77777777" w:rsidR="000D3673" w:rsidRDefault="000D3673" w:rsidP="002A1C8D">
      <w:pPr>
        <w:pStyle w:val="Heading2"/>
        <w:spacing w:before="240" w:after="120"/>
      </w:pPr>
      <w:bookmarkStart w:id="41" w:name="_Toc209511925"/>
    </w:p>
    <w:p w14:paraId="142F3E51" w14:textId="77777777" w:rsidR="000D3673" w:rsidRDefault="000D3673">
      <w:pPr>
        <w:spacing w:before="0" w:after="160" w:line="259" w:lineRule="auto"/>
        <w:rPr>
          <w:rFonts w:eastAsiaTheme="majorEastAsia" w:cstheme="majorBidi"/>
          <w:color w:val="000000" w:themeColor="text1"/>
          <w:sz w:val="32"/>
          <w:szCs w:val="32"/>
        </w:rPr>
      </w:pPr>
      <w:r>
        <w:br w:type="page"/>
      </w:r>
    </w:p>
    <w:p w14:paraId="04FC8669" w14:textId="77777777" w:rsidR="00004DA0" w:rsidRDefault="00004DA0" w:rsidP="002A1C8D">
      <w:pPr>
        <w:pStyle w:val="Heading2"/>
        <w:spacing w:before="240" w:after="120"/>
      </w:pPr>
    </w:p>
    <w:p w14:paraId="600753E5" w14:textId="4061DA32" w:rsidR="00FE7FA6" w:rsidRPr="00FE7FA6" w:rsidRDefault="00FE7FA6" w:rsidP="002A1C8D">
      <w:pPr>
        <w:pStyle w:val="Heading2"/>
        <w:spacing w:before="240" w:after="120" w:line="360" w:lineRule="auto"/>
      </w:pPr>
      <w:r w:rsidRPr="00FE7FA6">
        <w:t>Direct expenditure consists of three components:</w:t>
      </w:r>
      <w:bookmarkEnd w:id="41"/>
      <w:r w:rsidRPr="00FE7FA6">
        <w:t xml:space="preserve"> </w:t>
      </w:r>
    </w:p>
    <w:p w14:paraId="142A6836" w14:textId="77777777" w:rsidR="00FE7FA6" w:rsidRPr="00FE7FA6" w:rsidRDefault="00FE7FA6" w:rsidP="00F678AC">
      <w:pPr>
        <w:pStyle w:val="ListParagraph"/>
        <w:numPr>
          <w:ilvl w:val="0"/>
          <w:numId w:val="17"/>
        </w:numPr>
        <w:spacing w:after="0"/>
      </w:pPr>
      <w:r w:rsidRPr="00BF18B7">
        <w:t>Specific and extended stay interstate and overseas visitor expenditure:</w:t>
      </w:r>
      <w:r w:rsidRPr="00FE7FA6">
        <w:t xml:space="preserve"> Spending of interstate and overseas visitors who specifically came or extended their stay in Victoria to attend the F1® GP. An increase in the number of specific and extended stay visitors caused this value to increase by 8.6% in 2024 and 16.5% in 2025. </w:t>
      </w:r>
    </w:p>
    <w:p w14:paraId="39ECA84C" w14:textId="77777777" w:rsidR="00FE7FA6" w:rsidRPr="00FE7FA6" w:rsidRDefault="00FE7FA6" w:rsidP="00F678AC">
      <w:pPr>
        <w:pStyle w:val="ListParagraph"/>
        <w:numPr>
          <w:ilvl w:val="0"/>
          <w:numId w:val="17"/>
        </w:numPr>
        <w:spacing w:after="0"/>
      </w:pPr>
      <w:r w:rsidRPr="00BF18B7">
        <w:t>Event operations impact</w:t>
      </w:r>
      <w:r w:rsidRPr="00FE7FA6">
        <w:t xml:space="preserve">: The net impact of operating revenues sourced from outside Victoria and operating expenditures retained in the Victorian economy. While there are significant ticket sales to interstate and overseas attendees, this is outweighed by operating expenditures flowing out of Victoria. This resulted in negative event operations impacts of -$26.3m in 2024 and -$30.8m in 2025. </w:t>
      </w:r>
    </w:p>
    <w:p w14:paraId="5918151E" w14:textId="1B9C1EC1" w:rsidR="00E121CE" w:rsidRDefault="00FE7FA6" w:rsidP="00F678AC">
      <w:pPr>
        <w:pStyle w:val="ListParagraph"/>
        <w:numPr>
          <w:ilvl w:val="0"/>
          <w:numId w:val="17"/>
        </w:numPr>
        <w:spacing w:after="0"/>
      </w:pPr>
      <w:r w:rsidRPr="00BF18B7">
        <w:t>Retained expenditure:</w:t>
      </w:r>
      <w:r w:rsidRPr="00FE7FA6">
        <w:t xml:space="preserve"> Spending of Victorians who attended the F1® GP and would attend the event if it were held in another state and spend their money in that state instead of Victoria</w:t>
      </w:r>
      <w:r w:rsidR="005C6F9F">
        <w:t xml:space="preserve"> </w:t>
      </w:r>
      <w:hyperlink w:anchor="r003" w:history="1">
        <w:r w:rsidR="005C6F9F" w:rsidRPr="005C6F9F">
          <w:rPr>
            <w:rStyle w:val="Hyperlink"/>
          </w:rPr>
          <w:t>[3]</w:t>
        </w:r>
      </w:hyperlink>
      <w:r w:rsidR="005C6F9F">
        <w:t xml:space="preserve"> .</w:t>
      </w:r>
      <w:r w:rsidRPr="00FE7FA6">
        <w:t>This decreased by 1.8% in 2024 as there were fewer unique Victorian spectators attending in 2024 compared to 2023. Conversely, an increase in the number of unique Victorian spectators in 2025 caused retained expenditure to increase by 10.8% compared to 2024.</w:t>
      </w:r>
    </w:p>
    <w:p w14:paraId="73781343" w14:textId="77777777" w:rsidR="00E121CE" w:rsidRPr="000F5E65" w:rsidRDefault="00E121CE" w:rsidP="00BF18B7">
      <w:pPr>
        <w:spacing w:before="120" w:after="120"/>
        <w:rPr>
          <w:b/>
          <w:bCs/>
          <w:sz w:val="18"/>
          <w:szCs w:val="18"/>
        </w:rPr>
      </w:pPr>
      <w:r w:rsidRPr="000F5E65">
        <w:rPr>
          <w:b/>
          <w:bCs/>
          <w:sz w:val="18"/>
          <w:szCs w:val="18"/>
        </w:rPr>
        <w:t>List of References</w:t>
      </w:r>
    </w:p>
    <w:p w14:paraId="6087F476" w14:textId="77777777" w:rsidR="00E121CE" w:rsidRPr="005C064C" w:rsidRDefault="00E121CE" w:rsidP="00BF18B7">
      <w:pPr>
        <w:spacing w:before="120" w:after="120"/>
        <w:rPr>
          <w:sz w:val="18"/>
          <w:szCs w:val="18"/>
        </w:rPr>
      </w:pPr>
      <w:bookmarkStart w:id="42" w:name="r1"/>
      <w:bookmarkStart w:id="43" w:name="r001"/>
      <w:bookmarkEnd w:id="42"/>
      <w:bookmarkEnd w:id="43"/>
      <w:r w:rsidRPr="005C064C">
        <w:rPr>
          <w:sz w:val="18"/>
          <w:szCs w:val="18"/>
        </w:rPr>
        <w:t>[1] Event operations impact is negative because a portion of the expenditure in hosting the event is not retained in Victoria</w:t>
      </w:r>
    </w:p>
    <w:p w14:paraId="5ABA4E46" w14:textId="77777777" w:rsidR="00E121CE" w:rsidRPr="005C064C" w:rsidRDefault="00E121CE" w:rsidP="00BF18B7">
      <w:pPr>
        <w:spacing w:before="120" w:after="120"/>
        <w:rPr>
          <w:sz w:val="18"/>
          <w:szCs w:val="18"/>
        </w:rPr>
      </w:pPr>
      <w:bookmarkStart w:id="44" w:name="r2"/>
      <w:bookmarkStart w:id="45" w:name="r002"/>
      <w:bookmarkEnd w:id="44"/>
      <w:bookmarkEnd w:id="45"/>
      <w:r w:rsidRPr="005C064C">
        <w:rPr>
          <w:sz w:val="18"/>
          <w:szCs w:val="18"/>
        </w:rPr>
        <w:t>[2] Based on IO multipliers supplied by REMPLAN</w:t>
      </w:r>
    </w:p>
    <w:p w14:paraId="454F3651" w14:textId="3681F4E4" w:rsidR="00E121CE" w:rsidRPr="002265ED" w:rsidRDefault="00E121CE" w:rsidP="00BF18B7">
      <w:pPr>
        <w:spacing w:before="120" w:after="120"/>
        <w:rPr>
          <w:sz w:val="18"/>
          <w:szCs w:val="18"/>
        </w:rPr>
      </w:pPr>
      <w:bookmarkStart w:id="46" w:name="r3"/>
      <w:bookmarkStart w:id="47" w:name="r003"/>
      <w:bookmarkEnd w:id="46"/>
      <w:bookmarkEnd w:id="47"/>
      <w:r w:rsidRPr="005C064C">
        <w:rPr>
          <w:sz w:val="18"/>
          <w:szCs w:val="18"/>
        </w:rPr>
        <w:t>[3] Based on data collected from the 20233 Intercept Surveys</w:t>
      </w:r>
    </w:p>
    <w:p w14:paraId="1BF9367C" w14:textId="0A63021A" w:rsidR="00FE7FA6" w:rsidRPr="009E3942" w:rsidRDefault="004C3472" w:rsidP="00CA4439">
      <w:pPr>
        <w:pStyle w:val="Heading2"/>
        <w:spacing w:before="240" w:after="120" w:line="360" w:lineRule="auto"/>
      </w:pPr>
      <w:bookmarkStart w:id="48" w:name="_Toc209511926"/>
      <w:r w:rsidRPr="009E3942">
        <w:t>Specific and extended stay visitors</w:t>
      </w:r>
      <w:bookmarkEnd w:id="48"/>
    </w:p>
    <w:p w14:paraId="24E4DFF3" w14:textId="25B14E85" w:rsidR="00D363A1" w:rsidRPr="00D363A1" w:rsidRDefault="00AC5E76" w:rsidP="00CA4439">
      <w:pPr>
        <w:spacing w:after="0"/>
      </w:pPr>
      <w:r w:rsidRPr="009E3942">
        <w:t>The F1®GP is estimated to have attracted nearly 87,000 unique specific and extended stay interstate and overseas visitors in 2024 and over 99,000 in 2025.</w:t>
      </w:r>
    </w:p>
    <w:p w14:paraId="02D6BA1B" w14:textId="77777777" w:rsidR="00004DA0" w:rsidRDefault="00004DA0">
      <w:pPr>
        <w:spacing w:before="0" w:after="160" w:line="259" w:lineRule="auto"/>
        <w:rPr>
          <w:rFonts w:eastAsiaTheme="majorEastAsia" w:cstheme="majorBidi"/>
          <w:color w:val="000000" w:themeColor="text1"/>
          <w:sz w:val="32"/>
          <w:szCs w:val="32"/>
        </w:rPr>
      </w:pPr>
      <w:bookmarkStart w:id="49" w:name="_Toc209511927"/>
      <w:r>
        <w:br w:type="page"/>
      </w:r>
    </w:p>
    <w:p w14:paraId="07EAED2E" w14:textId="4A142B87" w:rsidR="00346D25" w:rsidRPr="00C33E46" w:rsidRDefault="00346D25" w:rsidP="00BB0DF4">
      <w:pPr>
        <w:pStyle w:val="Heading2"/>
      </w:pPr>
      <w:r w:rsidRPr="00C33E46">
        <w:lastRenderedPageBreak/>
        <w:t>2024 and 2025 F1® GP – Attendance and Visitors</w:t>
      </w:r>
      <w:bookmarkEnd w:id="49"/>
    </w:p>
    <w:p w14:paraId="5A99C3EB" w14:textId="77777777" w:rsidR="00346D25" w:rsidRPr="00346D25" w:rsidRDefault="00346D25" w:rsidP="00CA4439">
      <w:pPr>
        <w:spacing w:after="0"/>
      </w:pPr>
      <w:r w:rsidRPr="00346D25">
        <w:t>Gross Attendance</w:t>
      </w:r>
    </w:p>
    <w:p w14:paraId="57FDEFC7" w14:textId="77777777" w:rsidR="00346D25" w:rsidRPr="00346D25" w:rsidRDefault="00346D25" w:rsidP="00F678AC">
      <w:pPr>
        <w:numPr>
          <w:ilvl w:val="0"/>
          <w:numId w:val="11"/>
        </w:numPr>
        <w:spacing w:after="0"/>
      </w:pPr>
      <w:r w:rsidRPr="00346D25">
        <w:t>2024: 452,055</w:t>
      </w:r>
    </w:p>
    <w:p w14:paraId="43E4843A" w14:textId="77777777" w:rsidR="00346D25" w:rsidRPr="00346D25" w:rsidRDefault="00346D25" w:rsidP="00F678AC">
      <w:pPr>
        <w:numPr>
          <w:ilvl w:val="0"/>
          <w:numId w:val="11"/>
        </w:numPr>
        <w:spacing w:after="0"/>
      </w:pPr>
      <w:r w:rsidRPr="00346D25">
        <w:t>2025: 465,498</w:t>
      </w:r>
    </w:p>
    <w:p w14:paraId="30B1843B" w14:textId="77777777" w:rsidR="00346D25" w:rsidRPr="00346D25" w:rsidRDefault="00346D25" w:rsidP="00CA4439">
      <w:pPr>
        <w:spacing w:after="0"/>
      </w:pPr>
      <w:r w:rsidRPr="00346D25">
        <w:t>Unique Attendance</w:t>
      </w:r>
    </w:p>
    <w:p w14:paraId="252A9923" w14:textId="77777777" w:rsidR="00346D25" w:rsidRPr="00346D25" w:rsidRDefault="00346D25" w:rsidP="00F678AC">
      <w:pPr>
        <w:numPr>
          <w:ilvl w:val="0"/>
          <w:numId w:val="12"/>
        </w:numPr>
        <w:spacing w:after="0"/>
      </w:pPr>
      <w:r w:rsidRPr="00346D25">
        <w:t>2024: 207,197</w:t>
      </w:r>
    </w:p>
    <w:p w14:paraId="6E41950D" w14:textId="77777777" w:rsidR="00346D25" w:rsidRPr="00346D25" w:rsidRDefault="00346D25" w:rsidP="00F678AC">
      <w:pPr>
        <w:numPr>
          <w:ilvl w:val="0"/>
          <w:numId w:val="12"/>
        </w:numPr>
        <w:spacing w:after="0"/>
      </w:pPr>
      <w:r w:rsidRPr="00346D25">
        <w:t>2025: 231,308</w:t>
      </w:r>
    </w:p>
    <w:p w14:paraId="64FFFC8C" w14:textId="77777777" w:rsidR="00346D25" w:rsidRPr="00346D25" w:rsidRDefault="00346D25" w:rsidP="00CA4439">
      <w:pPr>
        <w:spacing w:after="0"/>
      </w:pPr>
      <w:r w:rsidRPr="00346D25">
        <w:t>Specific and Extended Stay Visitors</w:t>
      </w:r>
    </w:p>
    <w:p w14:paraId="4B886532" w14:textId="77777777" w:rsidR="00346D25" w:rsidRPr="00346D25" w:rsidRDefault="00346D25" w:rsidP="00F678AC">
      <w:pPr>
        <w:pStyle w:val="ListParagraph"/>
        <w:numPr>
          <w:ilvl w:val="0"/>
          <w:numId w:val="13"/>
        </w:numPr>
        <w:spacing w:after="0"/>
      </w:pPr>
      <w:r w:rsidRPr="00346D25">
        <w:t>Interstate</w:t>
      </w:r>
    </w:p>
    <w:p w14:paraId="4A9EFCF0" w14:textId="77777777" w:rsidR="00346D25" w:rsidRPr="00346D25" w:rsidRDefault="00346D25" w:rsidP="00F678AC">
      <w:pPr>
        <w:numPr>
          <w:ilvl w:val="0"/>
          <w:numId w:val="19"/>
        </w:numPr>
        <w:spacing w:after="0"/>
      </w:pPr>
      <w:r w:rsidRPr="00346D25">
        <w:t>2024: 70,731</w:t>
      </w:r>
    </w:p>
    <w:p w14:paraId="505A71DB" w14:textId="77777777" w:rsidR="00346D25" w:rsidRPr="00346D25" w:rsidRDefault="00346D25" w:rsidP="00F678AC">
      <w:pPr>
        <w:numPr>
          <w:ilvl w:val="0"/>
          <w:numId w:val="19"/>
        </w:numPr>
        <w:spacing w:after="0"/>
      </w:pPr>
      <w:r w:rsidRPr="00346D25">
        <w:t>2025: 78,254</w:t>
      </w:r>
    </w:p>
    <w:p w14:paraId="38CEC343" w14:textId="77777777" w:rsidR="00346D25" w:rsidRPr="00346D25" w:rsidRDefault="00346D25" w:rsidP="00F678AC">
      <w:pPr>
        <w:pStyle w:val="ListParagraph"/>
        <w:numPr>
          <w:ilvl w:val="0"/>
          <w:numId w:val="13"/>
        </w:numPr>
        <w:spacing w:after="0"/>
      </w:pPr>
      <w:r w:rsidRPr="00346D25">
        <w:t>Overseas</w:t>
      </w:r>
    </w:p>
    <w:p w14:paraId="6F25BFF9" w14:textId="77777777" w:rsidR="00346D25" w:rsidRPr="00346D25" w:rsidRDefault="00346D25" w:rsidP="00F678AC">
      <w:pPr>
        <w:numPr>
          <w:ilvl w:val="0"/>
          <w:numId w:val="20"/>
        </w:numPr>
        <w:spacing w:after="0"/>
      </w:pPr>
      <w:r w:rsidRPr="00346D25">
        <w:t>2024: 15,933</w:t>
      </w:r>
    </w:p>
    <w:p w14:paraId="16429D1C" w14:textId="77777777" w:rsidR="00346D25" w:rsidRPr="009E3942" w:rsidRDefault="00346D25" w:rsidP="00F678AC">
      <w:pPr>
        <w:numPr>
          <w:ilvl w:val="0"/>
          <w:numId w:val="20"/>
        </w:numPr>
        <w:spacing w:after="0"/>
      </w:pPr>
      <w:r w:rsidRPr="00346D25">
        <w:t>2025: 20,792</w:t>
      </w:r>
    </w:p>
    <w:p w14:paraId="43001D1A" w14:textId="13A16B9D" w:rsidR="00871DBA" w:rsidRPr="00701F09" w:rsidRDefault="00701F09" w:rsidP="00CA4439">
      <w:pPr>
        <w:autoSpaceDE w:val="0"/>
        <w:autoSpaceDN w:val="0"/>
        <w:adjustRightInd w:val="0"/>
        <w:spacing w:after="0"/>
        <w:rPr>
          <w:rFonts w:cs="Arial"/>
          <w:color w:val="323232"/>
        </w:rPr>
      </w:pPr>
      <w:r w:rsidRPr="00701F09">
        <w:rPr>
          <w:rFonts w:cs="Arial"/>
          <w:color w:val="323232"/>
        </w:rPr>
        <w:t>It is estimated that the 2024 F1®GP achieved the following attendance outcomes:</w:t>
      </w:r>
    </w:p>
    <w:p w14:paraId="10A0B19E" w14:textId="77777777" w:rsidR="00701F09" w:rsidRPr="00205C28" w:rsidRDefault="00701F09" w:rsidP="00F678AC">
      <w:pPr>
        <w:pStyle w:val="ListParagraph"/>
        <w:numPr>
          <w:ilvl w:val="0"/>
          <w:numId w:val="21"/>
        </w:numPr>
        <w:autoSpaceDE w:val="0"/>
        <w:autoSpaceDN w:val="0"/>
        <w:adjustRightInd w:val="0"/>
        <w:spacing w:after="0"/>
        <w:rPr>
          <w:rFonts w:cs="Arial"/>
          <w:color w:val="323232"/>
        </w:rPr>
      </w:pPr>
      <w:r w:rsidRPr="00205C28">
        <w:rPr>
          <w:rFonts w:cs="Arial"/>
          <w:color w:val="323232"/>
        </w:rPr>
        <w:t>Gross attendance of 452,055</w:t>
      </w:r>
    </w:p>
    <w:p w14:paraId="7FCAB31E" w14:textId="77777777" w:rsidR="00701F09" w:rsidRPr="00205C28" w:rsidRDefault="00701F09" w:rsidP="00F678AC">
      <w:pPr>
        <w:pStyle w:val="ListParagraph"/>
        <w:numPr>
          <w:ilvl w:val="0"/>
          <w:numId w:val="21"/>
        </w:numPr>
        <w:autoSpaceDE w:val="0"/>
        <w:autoSpaceDN w:val="0"/>
        <w:adjustRightInd w:val="0"/>
        <w:spacing w:after="0"/>
        <w:rPr>
          <w:rFonts w:cs="Arial"/>
          <w:color w:val="323232"/>
        </w:rPr>
      </w:pPr>
      <w:r w:rsidRPr="00205C28">
        <w:rPr>
          <w:rFonts w:cs="Arial"/>
          <w:color w:val="323232"/>
        </w:rPr>
        <w:t>70,731unique specific and extended stay interstate visitors to Victoria</w:t>
      </w:r>
    </w:p>
    <w:p w14:paraId="0FB66619" w14:textId="14747F88" w:rsidR="00701F09" w:rsidRPr="002B7E30" w:rsidRDefault="00701F09" w:rsidP="00F678AC">
      <w:pPr>
        <w:pStyle w:val="ListParagraph"/>
        <w:numPr>
          <w:ilvl w:val="0"/>
          <w:numId w:val="21"/>
        </w:numPr>
        <w:autoSpaceDE w:val="0"/>
        <w:autoSpaceDN w:val="0"/>
        <w:adjustRightInd w:val="0"/>
        <w:spacing w:after="0"/>
        <w:rPr>
          <w:rFonts w:cs="Arial"/>
          <w:color w:val="323232"/>
        </w:rPr>
      </w:pPr>
      <w:r w:rsidRPr="00205C28">
        <w:rPr>
          <w:rFonts w:cs="Arial"/>
          <w:color w:val="323232"/>
        </w:rPr>
        <w:t>15,933 unique specific and extended stay overseas visitors to Victoria.</w:t>
      </w:r>
    </w:p>
    <w:p w14:paraId="63778F2B" w14:textId="77777777" w:rsidR="00701F09" w:rsidRPr="00701F09" w:rsidRDefault="00701F09" w:rsidP="00CA4439">
      <w:pPr>
        <w:autoSpaceDE w:val="0"/>
        <w:autoSpaceDN w:val="0"/>
        <w:adjustRightInd w:val="0"/>
        <w:spacing w:after="0"/>
        <w:rPr>
          <w:rFonts w:cs="Arial"/>
          <w:color w:val="323232"/>
        </w:rPr>
      </w:pPr>
      <w:r w:rsidRPr="00701F09">
        <w:rPr>
          <w:rFonts w:cs="Arial"/>
          <w:color w:val="323232"/>
        </w:rPr>
        <w:t>It is estimated that the 2025 F1®GP achieved the following attendance outcomes:</w:t>
      </w:r>
    </w:p>
    <w:p w14:paraId="7CBC4666" w14:textId="77777777" w:rsidR="00701F09" w:rsidRPr="00CA72D0" w:rsidRDefault="00701F09" w:rsidP="00F678AC">
      <w:pPr>
        <w:pStyle w:val="ListParagraph"/>
        <w:numPr>
          <w:ilvl w:val="0"/>
          <w:numId w:val="18"/>
        </w:numPr>
        <w:autoSpaceDE w:val="0"/>
        <w:autoSpaceDN w:val="0"/>
        <w:adjustRightInd w:val="0"/>
        <w:spacing w:after="0"/>
        <w:rPr>
          <w:rFonts w:cs="Arial"/>
          <w:color w:val="323232"/>
        </w:rPr>
      </w:pPr>
      <w:r w:rsidRPr="00CA72D0">
        <w:rPr>
          <w:rFonts w:cs="Arial"/>
          <w:color w:val="323232"/>
        </w:rPr>
        <w:t>Gross attendance of 465,498</w:t>
      </w:r>
    </w:p>
    <w:p w14:paraId="5DE5B8D4" w14:textId="14EBE2EA" w:rsidR="00701F09" w:rsidRPr="00CA72D0" w:rsidRDefault="00701F09" w:rsidP="00F678AC">
      <w:pPr>
        <w:pStyle w:val="ListParagraph"/>
        <w:numPr>
          <w:ilvl w:val="0"/>
          <w:numId w:val="18"/>
        </w:numPr>
        <w:autoSpaceDE w:val="0"/>
        <w:autoSpaceDN w:val="0"/>
        <w:adjustRightInd w:val="0"/>
        <w:spacing w:after="0"/>
        <w:rPr>
          <w:rFonts w:cs="Arial"/>
          <w:color w:val="323232"/>
        </w:rPr>
      </w:pPr>
      <w:r w:rsidRPr="00CA72D0">
        <w:rPr>
          <w:rFonts w:cs="Arial"/>
          <w:color w:val="323232"/>
        </w:rPr>
        <w:t>78,254</w:t>
      </w:r>
      <w:r w:rsidR="00FA5326">
        <w:rPr>
          <w:rFonts w:cs="Arial"/>
          <w:color w:val="323232"/>
        </w:rPr>
        <w:t xml:space="preserve"> </w:t>
      </w:r>
      <w:r w:rsidRPr="00CA72D0">
        <w:rPr>
          <w:rFonts w:cs="Arial"/>
          <w:color w:val="323232"/>
        </w:rPr>
        <w:t>unique specific and extended stay interstate visitors to Victoria</w:t>
      </w:r>
    </w:p>
    <w:p w14:paraId="3781D966" w14:textId="2B54B4D3" w:rsidR="00701F09" w:rsidRPr="002B7E30" w:rsidRDefault="00701F09" w:rsidP="00F678AC">
      <w:pPr>
        <w:pStyle w:val="ListParagraph"/>
        <w:numPr>
          <w:ilvl w:val="0"/>
          <w:numId w:val="18"/>
        </w:numPr>
        <w:autoSpaceDE w:val="0"/>
        <w:autoSpaceDN w:val="0"/>
        <w:adjustRightInd w:val="0"/>
        <w:spacing w:after="0"/>
        <w:rPr>
          <w:rFonts w:cs="Arial"/>
          <w:color w:val="323232"/>
        </w:rPr>
      </w:pPr>
      <w:r w:rsidRPr="00CA72D0">
        <w:rPr>
          <w:rFonts w:cs="Arial"/>
          <w:color w:val="323232"/>
        </w:rPr>
        <w:t>20,792 unique specific and extended stay overseas visitors to Victoria.</w:t>
      </w:r>
    </w:p>
    <w:p w14:paraId="2634365B" w14:textId="075C5716" w:rsidR="001C3196" w:rsidRPr="00205C28" w:rsidRDefault="00701F09" w:rsidP="00E67FF1">
      <w:r w:rsidRPr="00701F09">
        <w:lastRenderedPageBreak/>
        <w:t xml:space="preserve">Tickets selling out well in advance of the event has had a positively impacted the economic impact of the event. It has resulted in more out-of-state visitors coming to Victoria specifically for the event, rather than extending their stay to the attend the event where they were already in Victoria. </w:t>
      </w:r>
    </w:p>
    <w:p w14:paraId="11BF917B" w14:textId="32FA6A28" w:rsidR="00B65504" w:rsidRPr="009E3942" w:rsidRDefault="003F44DF" w:rsidP="00E67FF1">
      <w:r w:rsidRPr="009E3942">
        <w:t>Outside of Australia the largest number of tickets were sold to New Zealand, the United Kingdom and the United States. This was followed by a smaller number of tickets sold to Ireland, Canada, Japan and Philippines. Over 30 countries outside Australia purchased tickets to the F1®GP.</w:t>
      </w:r>
    </w:p>
    <w:p w14:paraId="0ABA1500" w14:textId="79EAAEC4" w:rsidR="001C0874" w:rsidRPr="00346D25" w:rsidRDefault="001C0874" w:rsidP="00CA4439">
      <w:pPr>
        <w:spacing w:after="0"/>
      </w:pPr>
      <w:r w:rsidRPr="00346D25">
        <w:t>Accommodation of Non-Local Visitors</w:t>
      </w:r>
      <w:r w:rsidR="007C3410">
        <w:t xml:space="preserve"> - </w:t>
      </w:r>
      <w:r w:rsidRPr="00346D25">
        <w:t>81% paid for overnight accommodation</w:t>
      </w:r>
      <w:r w:rsidR="00202D68">
        <w:t xml:space="preserve"> </w:t>
      </w:r>
      <w:hyperlink w:anchor="re02" w:history="1">
        <w:r w:rsidR="00202D68" w:rsidRPr="008A17EB">
          <w:rPr>
            <w:rStyle w:val="Hyperlink"/>
          </w:rPr>
          <w:t>[2]</w:t>
        </w:r>
      </w:hyperlink>
    </w:p>
    <w:p w14:paraId="2A8FA6C5" w14:textId="77777777" w:rsidR="00FD29D4" w:rsidRDefault="00FD29D4" w:rsidP="00FD29D4">
      <w:pPr>
        <w:numPr>
          <w:ilvl w:val="0"/>
          <w:numId w:val="14"/>
        </w:numPr>
        <w:spacing w:after="0"/>
      </w:pPr>
      <w:r w:rsidRPr="00346D25">
        <w:t>51% stayed in a hotel or motel</w:t>
      </w:r>
    </w:p>
    <w:p w14:paraId="63FDA5B0" w14:textId="77777777" w:rsidR="00FD29D4" w:rsidRPr="009E3942" w:rsidRDefault="00FD29D4" w:rsidP="00FD29D4">
      <w:pPr>
        <w:numPr>
          <w:ilvl w:val="0"/>
          <w:numId w:val="14"/>
        </w:numPr>
        <w:spacing w:after="0"/>
      </w:pPr>
      <w:r w:rsidRPr="00346D25">
        <w:t>30% stayed in a privately rented house/apartment</w:t>
      </w:r>
    </w:p>
    <w:p w14:paraId="1FC4547A" w14:textId="77777777" w:rsidR="001C0874" w:rsidRPr="00346D25" w:rsidRDefault="001C0874" w:rsidP="00F678AC">
      <w:pPr>
        <w:numPr>
          <w:ilvl w:val="0"/>
          <w:numId w:val="14"/>
        </w:numPr>
        <w:spacing w:after="0"/>
      </w:pPr>
      <w:r w:rsidRPr="00346D25">
        <w:t>15% stayed with family or friends</w:t>
      </w:r>
    </w:p>
    <w:p w14:paraId="28AE0992" w14:textId="77777777" w:rsidR="000774E2" w:rsidRPr="00E84D3B" w:rsidRDefault="000774E2" w:rsidP="000774E2">
      <w:pPr>
        <w:spacing w:before="120" w:after="120"/>
        <w:rPr>
          <w:b/>
          <w:bCs/>
          <w:sz w:val="18"/>
          <w:szCs w:val="18"/>
        </w:rPr>
      </w:pPr>
      <w:bookmarkStart w:id="50" w:name="_Toc198738860"/>
      <w:r w:rsidRPr="00E84D3B">
        <w:rPr>
          <w:b/>
          <w:bCs/>
          <w:sz w:val="18"/>
          <w:szCs w:val="18"/>
        </w:rPr>
        <w:t>List of References</w:t>
      </w:r>
    </w:p>
    <w:p w14:paraId="37B1E880" w14:textId="4EFBD553" w:rsidR="000774E2" w:rsidRPr="005C064C" w:rsidRDefault="000774E2" w:rsidP="000774E2">
      <w:pPr>
        <w:spacing w:before="120" w:after="120"/>
        <w:rPr>
          <w:sz w:val="18"/>
          <w:szCs w:val="18"/>
        </w:rPr>
      </w:pPr>
      <w:bookmarkStart w:id="51" w:name="re01"/>
      <w:bookmarkEnd w:id="51"/>
      <w:r w:rsidRPr="005C064C">
        <w:rPr>
          <w:sz w:val="18"/>
          <w:szCs w:val="18"/>
        </w:rPr>
        <w:t xml:space="preserve">[1] </w:t>
      </w:r>
      <w:r w:rsidR="008239A3">
        <w:rPr>
          <w:sz w:val="18"/>
          <w:szCs w:val="18"/>
        </w:rPr>
        <w:t>B</w:t>
      </w:r>
      <w:r w:rsidR="008239A3" w:rsidRPr="008239A3">
        <w:rPr>
          <w:sz w:val="18"/>
          <w:szCs w:val="18"/>
        </w:rPr>
        <w:t>ased on Ticketmaster ticket sales data.</w:t>
      </w:r>
    </w:p>
    <w:p w14:paraId="3F3154C3" w14:textId="6FE212E5" w:rsidR="000774E2" w:rsidRPr="005C064C" w:rsidRDefault="000774E2" w:rsidP="000774E2">
      <w:pPr>
        <w:spacing w:before="120" w:after="120"/>
        <w:rPr>
          <w:sz w:val="18"/>
          <w:szCs w:val="18"/>
        </w:rPr>
      </w:pPr>
      <w:bookmarkStart w:id="52" w:name="re02"/>
      <w:bookmarkEnd w:id="52"/>
      <w:r w:rsidRPr="005C064C">
        <w:rPr>
          <w:sz w:val="18"/>
          <w:szCs w:val="18"/>
        </w:rPr>
        <w:t xml:space="preserve">[2] </w:t>
      </w:r>
      <w:r w:rsidR="00BB4EE0" w:rsidRPr="00BB4EE0">
        <w:rPr>
          <w:sz w:val="18"/>
          <w:szCs w:val="18"/>
        </w:rPr>
        <w:t>Based on the Formula 1® Australia Grand Prix 2025 Spectator Research survey data provided by AGPC.</w:t>
      </w:r>
    </w:p>
    <w:p w14:paraId="50116A77" w14:textId="77777777" w:rsidR="002E4689" w:rsidRDefault="002E4689" w:rsidP="00CA4439">
      <w:pPr>
        <w:spacing w:after="0"/>
        <w:rPr>
          <w:rFonts w:eastAsiaTheme="majorEastAsia" w:cstheme="majorBidi"/>
          <w:sz w:val="40"/>
          <w:szCs w:val="40"/>
        </w:rPr>
      </w:pPr>
      <w:r>
        <w:br w:type="page"/>
      </w:r>
    </w:p>
    <w:p w14:paraId="5D99C645" w14:textId="67734CC0" w:rsidR="0056382B" w:rsidRDefault="0056382B" w:rsidP="00CA4439">
      <w:pPr>
        <w:pStyle w:val="Heading1"/>
        <w:spacing w:before="0" w:after="0"/>
      </w:pPr>
      <w:bookmarkStart w:id="53" w:name="_Toc209511928"/>
      <w:r w:rsidRPr="0056382B">
        <w:lastRenderedPageBreak/>
        <w:t>Disclaimer</w:t>
      </w:r>
      <w:bookmarkEnd w:id="50"/>
      <w:r w:rsidR="008C1B73">
        <w:t xml:space="preserve"> Notice</w:t>
      </w:r>
      <w:bookmarkEnd w:id="53"/>
    </w:p>
    <w:p w14:paraId="5A3A0B74" w14:textId="77777777" w:rsidR="00067FC0" w:rsidRPr="00067FC0" w:rsidRDefault="00067FC0" w:rsidP="00E67FF1">
      <w:r w:rsidRPr="00067FC0">
        <w:t>You must read this disclaimer notice before accessing this Report and any information contained herein.</w:t>
      </w:r>
    </w:p>
    <w:p w14:paraId="7FD639B4" w14:textId="40A9ABA6" w:rsidR="00067FC0" w:rsidRPr="00067FC0" w:rsidRDefault="00067FC0" w:rsidP="00E67FF1">
      <w:r w:rsidRPr="00067FC0">
        <w:t xml:space="preserve">This disclaimer notice must be read by any party who is provided with a copy of or access to on a non-reliance basis, BDO Services Pty </w:t>
      </w:r>
      <w:proofErr w:type="spellStart"/>
      <w:r w:rsidRPr="00067FC0">
        <w:t>Ltd’s</w:t>
      </w:r>
      <w:proofErr w:type="spellEnd"/>
      <w:r w:rsidR="00725118">
        <w:t xml:space="preserve"> </w:t>
      </w:r>
      <w:r w:rsidRPr="00067FC0">
        <w:t>(BDO) Economic impact assessment of the 2024 and 2025 Australian Grand Prix Public Report</w:t>
      </w:r>
      <w:r w:rsidR="00725118">
        <w:t xml:space="preserve"> </w:t>
      </w:r>
      <w:r w:rsidRPr="00067FC0">
        <w:t>dated 4 August 2025 prepared for the Australian Grand Prix Corporation (Client) (Report).</w:t>
      </w:r>
    </w:p>
    <w:p w14:paraId="5870A30E" w14:textId="77777777" w:rsidR="00067FC0" w:rsidRPr="00067FC0" w:rsidRDefault="00067FC0" w:rsidP="00E67FF1">
      <w:r w:rsidRPr="00067FC0">
        <w:t xml:space="preserve">In consideration of BDO providing access to the Report on a strictly non-reliance basis, and as a condition of you accessing it, you accept and agree to the terms of this disclaimer notice. </w:t>
      </w:r>
    </w:p>
    <w:p w14:paraId="742C22E1" w14:textId="77777777" w:rsidR="00067FC0" w:rsidRPr="008B7808" w:rsidRDefault="00067FC0" w:rsidP="00F678AC">
      <w:pPr>
        <w:pStyle w:val="ListParagraph"/>
        <w:numPr>
          <w:ilvl w:val="0"/>
          <w:numId w:val="16"/>
        </w:numPr>
        <w:autoSpaceDE w:val="0"/>
        <w:autoSpaceDN w:val="0"/>
        <w:adjustRightInd w:val="0"/>
        <w:spacing w:after="0"/>
        <w:ind w:left="360"/>
        <w:rPr>
          <w:rFonts w:cs="Arial"/>
          <w:color w:val="323232"/>
        </w:rPr>
      </w:pPr>
      <w:r w:rsidRPr="008B7808">
        <w:rPr>
          <w:rFonts w:cs="Arial"/>
          <w:color w:val="323232"/>
        </w:rPr>
        <w:t xml:space="preserve">The Report is being provided to you on a non-reliance basis only. </w:t>
      </w:r>
    </w:p>
    <w:p w14:paraId="5C4306ED" w14:textId="77777777" w:rsidR="00067FC0" w:rsidRPr="008B7808" w:rsidRDefault="00067FC0" w:rsidP="00F678AC">
      <w:pPr>
        <w:pStyle w:val="ListParagraph"/>
        <w:numPr>
          <w:ilvl w:val="0"/>
          <w:numId w:val="16"/>
        </w:numPr>
        <w:autoSpaceDE w:val="0"/>
        <w:autoSpaceDN w:val="0"/>
        <w:adjustRightInd w:val="0"/>
        <w:spacing w:after="0"/>
        <w:ind w:left="360"/>
        <w:rPr>
          <w:rFonts w:cs="Arial"/>
          <w:color w:val="323232"/>
        </w:rPr>
      </w:pPr>
      <w:r w:rsidRPr="008B7808">
        <w:rPr>
          <w:rFonts w:cs="Arial"/>
          <w:color w:val="323232"/>
        </w:rPr>
        <w:t xml:space="preserve">The Report was prepared by BDO for the Client in accordance with BDO’s engagement terms with the Client and no other purpose. </w:t>
      </w:r>
    </w:p>
    <w:p w14:paraId="126D8F3D" w14:textId="77777777" w:rsidR="00067FC0" w:rsidRPr="008B7808" w:rsidRDefault="00067FC0" w:rsidP="00F678AC">
      <w:pPr>
        <w:pStyle w:val="ListParagraph"/>
        <w:numPr>
          <w:ilvl w:val="0"/>
          <w:numId w:val="16"/>
        </w:numPr>
        <w:autoSpaceDE w:val="0"/>
        <w:autoSpaceDN w:val="0"/>
        <w:adjustRightInd w:val="0"/>
        <w:spacing w:after="0"/>
        <w:ind w:left="360"/>
        <w:rPr>
          <w:rFonts w:cs="Arial"/>
          <w:color w:val="323232"/>
        </w:rPr>
      </w:pPr>
      <w:r w:rsidRPr="008B7808">
        <w:rPr>
          <w:rFonts w:cs="Arial"/>
          <w:color w:val="323232"/>
        </w:rPr>
        <w:t>You must not use or rely on the Report (in whole or in part) and if you do so, it is at your own risk.</w:t>
      </w:r>
    </w:p>
    <w:p w14:paraId="0CEDC721" w14:textId="77777777" w:rsidR="00FE429E" w:rsidRDefault="00067FC0" w:rsidP="00F678AC">
      <w:pPr>
        <w:pStyle w:val="ListParagraph"/>
        <w:numPr>
          <w:ilvl w:val="0"/>
          <w:numId w:val="16"/>
        </w:numPr>
        <w:autoSpaceDE w:val="0"/>
        <w:autoSpaceDN w:val="0"/>
        <w:adjustRightInd w:val="0"/>
        <w:spacing w:after="0"/>
        <w:ind w:left="360"/>
        <w:rPr>
          <w:rFonts w:cs="Arial"/>
          <w:color w:val="323232"/>
        </w:rPr>
      </w:pPr>
      <w:r w:rsidRPr="008B7808">
        <w:rPr>
          <w:rFonts w:cs="Arial"/>
          <w:color w:val="323232"/>
        </w:rPr>
        <w:t>To the maximum extent permitted by law, BDO disclaims and does not accept or assume any duty, responsibility or liability to you (or any other party) for or in relation to:</w:t>
      </w:r>
    </w:p>
    <w:p w14:paraId="101CC22C" w14:textId="084BB369" w:rsidR="00067FC0" w:rsidRPr="00FE429E" w:rsidRDefault="00067FC0" w:rsidP="00F678AC">
      <w:pPr>
        <w:pStyle w:val="ListParagraph"/>
        <w:numPr>
          <w:ilvl w:val="0"/>
          <w:numId w:val="22"/>
        </w:numPr>
        <w:autoSpaceDE w:val="0"/>
        <w:autoSpaceDN w:val="0"/>
        <w:adjustRightInd w:val="0"/>
        <w:spacing w:after="0"/>
        <w:rPr>
          <w:rFonts w:cs="Arial"/>
          <w:color w:val="323232"/>
        </w:rPr>
      </w:pPr>
      <w:r w:rsidRPr="00FE429E">
        <w:rPr>
          <w:rFonts w:cs="Arial"/>
          <w:color w:val="323232"/>
        </w:rPr>
        <w:t>The work undertaken by BDO, the Report or its contents (including any conclusions, opinions or recommendations that BDO has formed or made in the Report); or</w:t>
      </w:r>
    </w:p>
    <w:p w14:paraId="6F924035" w14:textId="1F645C21" w:rsidR="00067FC0" w:rsidRPr="00FE429E" w:rsidRDefault="00067FC0" w:rsidP="00F678AC">
      <w:pPr>
        <w:pStyle w:val="ListParagraph"/>
        <w:numPr>
          <w:ilvl w:val="0"/>
          <w:numId w:val="22"/>
        </w:numPr>
        <w:autoSpaceDE w:val="0"/>
        <w:autoSpaceDN w:val="0"/>
        <w:adjustRightInd w:val="0"/>
        <w:spacing w:after="0"/>
        <w:rPr>
          <w:rFonts w:cs="Arial"/>
          <w:color w:val="323232"/>
        </w:rPr>
      </w:pPr>
      <w:r w:rsidRPr="00FE429E">
        <w:rPr>
          <w:rFonts w:cs="Arial"/>
          <w:color w:val="323232"/>
        </w:rPr>
        <w:t xml:space="preserve">Any loss you or any other party may suffer (without limitation whether in contract, tort (including negligence), indemnity or statute) in connection with or arising from you accessing the Report, your use or reliance on the Report in contravention of this disclaimer notice or any other contravention of the terms of this disclaimer notice by you, your officers, employees, contractors, agents, related bodies corporate or associated entities (as those terms are defined in the Corporations Act 2001 (Related Entities). </w:t>
      </w:r>
    </w:p>
    <w:p w14:paraId="58B621DF" w14:textId="77777777" w:rsidR="00067FC0" w:rsidRPr="008B7808" w:rsidRDefault="00067FC0" w:rsidP="00F678AC">
      <w:pPr>
        <w:pStyle w:val="ListParagraph"/>
        <w:numPr>
          <w:ilvl w:val="0"/>
          <w:numId w:val="16"/>
        </w:numPr>
        <w:autoSpaceDE w:val="0"/>
        <w:autoSpaceDN w:val="0"/>
        <w:adjustRightInd w:val="0"/>
        <w:spacing w:after="0"/>
        <w:ind w:left="360"/>
        <w:rPr>
          <w:rFonts w:cs="Arial"/>
          <w:color w:val="323232"/>
        </w:rPr>
      </w:pPr>
      <w:r w:rsidRPr="008B7808">
        <w:rPr>
          <w:rFonts w:cs="Arial"/>
          <w:color w:val="323232"/>
        </w:rPr>
        <w:t>The Report addresses the specific requirements of the Client and does not contemplate, nor will it necessarily address your specific circumstances, interests or requirements.</w:t>
      </w:r>
    </w:p>
    <w:p w14:paraId="5E3E4226" w14:textId="560CB081" w:rsidR="00067FC0" w:rsidRPr="008B7808" w:rsidRDefault="00067FC0" w:rsidP="00F678AC">
      <w:pPr>
        <w:pStyle w:val="ListParagraph"/>
        <w:numPr>
          <w:ilvl w:val="0"/>
          <w:numId w:val="16"/>
        </w:numPr>
        <w:autoSpaceDE w:val="0"/>
        <w:autoSpaceDN w:val="0"/>
        <w:adjustRightInd w:val="0"/>
        <w:spacing w:after="0"/>
        <w:ind w:left="360"/>
        <w:rPr>
          <w:rFonts w:cs="Arial"/>
          <w:color w:val="323232"/>
        </w:rPr>
      </w:pPr>
      <w:r w:rsidRPr="008B7808">
        <w:rPr>
          <w:rFonts w:cs="Arial"/>
          <w:color w:val="323232"/>
        </w:rPr>
        <w:t xml:space="preserve">The Report may not be sufficient for your purposes because it was not prepared for or in contemplation of your purposes or circumstances and you alone will need to determine the extent to which BDO’s work and the Report may be suitable for your purposes. The Report may include information and conclusions that may be assessed differently by </w:t>
      </w:r>
      <w:r w:rsidR="00BE5F55" w:rsidRPr="008B7808">
        <w:rPr>
          <w:rFonts w:cs="Arial"/>
          <w:color w:val="323232"/>
        </w:rPr>
        <w:t>you,</w:t>
      </w:r>
      <w:r w:rsidRPr="008B7808">
        <w:rPr>
          <w:rFonts w:cs="Arial"/>
          <w:color w:val="323232"/>
        </w:rPr>
        <w:t xml:space="preserve"> and it may not consider or address issues or interests that are of importance to your circumstances. You must make your own enquiries and undertake your own review and assessment of the Report </w:t>
      </w:r>
      <w:r w:rsidRPr="008B7808">
        <w:rPr>
          <w:rFonts w:cs="Arial"/>
          <w:color w:val="323232"/>
        </w:rPr>
        <w:lastRenderedPageBreak/>
        <w:t xml:space="preserve">(including the information and conclusions therein), the matters to which the Report relates and any matters arising from or relating to the Report and its contents. </w:t>
      </w:r>
    </w:p>
    <w:p w14:paraId="157C995A" w14:textId="77777777" w:rsidR="00067FC0" w:rsidRPr="008B7808" w:rsidRDefault="00067FC0" w:rsidP="00F678AC">
      <w:pPr>
        <w:pStyle w:val="ListParagraph"/>
        <w:numPr>
          <w:ilvl w:val="0"/>
          <w:numId w:val="16"/>
        </w:numPr>
        <w:autoSpaceDE w:val="0"/>
        <w:autoSpaceDN w:val="0"/>
        <w:adjustRightInd w:val="0"/>
        <w:spacing w:after="0"/>
        <w:ind w:left="360"/>
        <w:rPr>
          <w:rFonts w:cs="Arial"/>
          <w:color w:val="323232"/>
        </w:rPr>
      </w:pPr>
      <w:r w:rsidRPr="008B7808">
        <w:rPr>
          <w:rFonts w:cs="Arial"/>
          <w:color w:val="323232"/>
        </w:rPr>
        <w:t xml:space="preserve">BDO has not carried out an audit or any assurance of the information considered in preparing the Report. </w:t>
      </w:r>
    </w:p>
    <w:p w14:paraId="6813DA99" w14:textId="77777777" w:rsidR="00067FC0" w:rsidRPr="008B7808" w:rsidRDefault="00067FC0" w:rsidP="00F678AC">
      <w:pPr>
        <w:pStyle w:val="ListParagraph"/>
        <w:numPr>
          <w:ilvl w:val="0"/>
          <w:numId w:val="16"/>
        </w:numPr>
        <w:autoSpaceDE w:val="0"/>
        <w:autoSpaceDN w:val="0"/>
        <w:adjustRightInd w:val="0"/>
        <w:spacing w:after="0"/>
        <w:ind w:left="360"/>
        <w:rPr>
          <w:rFonts w:cs="Arial"/>
          <w:color w:val="323232"/>
        </w:rPr>
      </w:pPr>
      <w:r w:rsidRPr="008B7808">
        <w:rPr>
          <w:rFonts w:cs="Arial"/>
          <w:color w:val="323232"/>
        </w:rPr>
        <w:t xml:space="preserve">You acknowledge and agree BDO does not have any obligation or responsibility to you or any other party to update the Report to take into account any information, events, matters or circumstances (Information) arising since the date the Report was prepared or to notify you or any other party about the Information, including if BDO becomes aware of the Information, the Information is inconsistent with the contents of the Report or the Information may impact the validity of the information, comments or conclusions contained in the Report. </w:t>
      </w:r>
    </w:p>
    <w:p w14:paraId="5CB615AB" w14:textId="77777777" w:rsidR="00067FC0" w:rsidRPr="008B7808" w:rsidRDefault="00067FC0" w:rsidP="00F678AC">
      <w:pPr>
        <w:pStyle w:val="ListParagraph"/>
        <w:numPr>
          <w:ilvl w:val="0"/>
          <w:numId w:val="16"/>
        </w:numPr>
        <w:autoSpaceDE w:val="0"/>
        <w:autoSpaceDN w:val="0"/>
        <w:adjustRightInd w:val="0"/>
        <w:spacing w:after="0"/>
        <w:ind w:left="360"/>
        <w:rPr>
          <w:rFonts w:cs="Arial"/>
          <w:color w:val="323232"/>
        </w:rPr>
      </w:pPr>
      <w:r w:rsidRPr="008B7808">
        <w:rPr>
          <w:rFonts w:cs="Arial"/>
          <w:color w:val="323232"/>
        </w:rPr>
        <w:t xml:space="preserve">You agree that if you have placed undue or unreasonable reliance on the Report it is solely at your risk and BDO has no duty, responsibility or liability to you or any other party. </w:t>
      </w:r>
    </w:p>
    <w:p w14:paraId="506A2526" w14:textId="77777777" w:rsidR="00067FC0" w:rsidRPr="008B7808" w:rsidRDefault="00067FC0" w:rsidP="00F678AC">
      <w:pPr>
        <w:pStyle w:val="ListParagraph"/>
        <w:numPr>
          <w:ilvl w:val="0"/>
          <w:numId w:val="16"/>
        </w:numPr>
        <w:autoSpaceDE w:val="0"/>
        <w:autoSpaceDN w:val="0"/>
        <w:adjustRightInd w:val="0"/>
        <w:spacing w:after="0"/>
        <w:ind w:left="360"/>
        <w:rPr>
          <w:rFonts w:cs="Arial"/>
          <w:color w:val="323232"/>
        </w:rPr>
      </w:pPr>
      <w:r w:rsidRPr="008B7808">
        <w:rPr>
          <w:rFonts w:cs="Arial"/>
          <w:color w:val="323232"/>
        </w:rPr>
        <w:t>To the maximum extent permitted by law, BDO makes no express or implied warranty or representation in respect of the Report, including as to its quality, adequacy, accuracy or completeness to you or any other party (other than the Client as set out in the terms of BDO’s engagement with them).</w:t>
      </w:r>
    </w:p>
    <w:p w14:paraId="13200F74" w14:textId="77777777" w:rsidR="00067FC0" w:rsidRPr="008B7808" w:rsidRDefault="00067FC0" w:rsidP="00F678AC">
      <w:pPr>
        <w:pStyle w:val="ListParagraph"/>
        <w:numPr>
          <w:ilvl w:val="0"/>
          <w:numId w:val="16"/>
        </w:numPr>
        <w:autoSpaceDE w:val="0"/>
        <w:autoSpaceDN w:val="0"/>
        <w:adjustRightInd w:val="0"/>
        <w:spacing w:after="0"/>
        <w:ind w:left="360"/>
        <w:rPr>
          <w:rFonts w:cs="Arial"/>
          <w:color w:val="323232"/>
        </w:rPr>
      </w:pPr>
      <w:r w:rsidRPr="008B7808">
        <w:rPr>
          <w:rFonts w:cs="Arial"/>
          <w:color w:val="323232"/>
        </w:rPr>
        <w:t>BDO owns and retains all copyright and all other intellectual property rights in the Report.</w:t>
      </w:r>
    </w:p>
    <w:p w14:paraId="4FFD9727" w14:textId="77777777" w:rsidR="00067FC0" w:rsidRPr="008B7808" w:rsidRDefault="00067FC0" w:rsidP="00F678AC">
      <w:pPr>
        <w:pStyle w:val="ListParagraph"/>
        <w:numPr>
          <w:ilvl w:val="0"/>
          <w:numId w:val="16"/>
        </w:numPr>
        <w:autoSpaceDE w:val="0"/>
        <w:autoSpaceDN w:val="0"/>
        <w:adjustRightInd w:val="0"/>
        <w:spacing w:after="0"/>
        <w:ind w:left="360"/>
        <w:rPr>
          <w:rFonts w:cs="Arial"/>
          <w:color w:val="323232"/>
        </w:rPr>
      </w:pPr>
      <w:r w:rsidRPr="008B7808">
        <w:rPr>
          <w:rFonts w:cs="Arial"/>
          <w:color w:val="323232"/>
        </w:rPr>
        <w:t>You agree to release and forever discharge and hold harmless BDO and its Related Entities (BDO Group) from and against any loss, damage, costs (including legal costs on a full indemnity basis), expenses, liability, action, claim, suit, demand or proceedings (without limitation whether in contract, tort (including negligence), indemnity or statute) (Claim) arising from or in connection with you accessing the Report, your use or reliance on the Report or any contravention of this disclaimer notice by you or your Related Entities.</w:t>
      </w:r>
    </w:p>
    <w:p w14:paraId="4E9C8DFB" w14:textId="77777777" w:rsidR="00067FC0" w:rsidRPr="008B7808" w:rsidRDefault="00067FC0" w:rsidP="00F678AC">
      <w:pPr>
        <w:pStyle w:val="ListParagraph"/>
        <w:numPr>
          <w:ilvl w:val="0"/>
          <w:numId w:val="16"/>
        </w:numPr>
        <w:autoSpaceDE w:val="0"/>
        <w:autoSpaceDN w:val="0"/>
        <w:adjustRightInd w:val="0"/>
        <w:spacing w:after="0"/>
        <w:ind w:left="360"/>
        <w:rPr>
          <w:rFonts w:cs="Arial"/>
          <w:color w:val="323232"/>
        </w:rPr>
      </w:pPr>
      <w:r w:rsidRPr="008B7808">
        <w:rPr>
          <w:rFonts w:cs="Arial"/>
          <w:color w:val="323232"/>
        </w:rPr>
        <w:t xml:space="preserve">You agree to indemnify and defend the BDO Group against any Claim arising from or in connection with you accessing the Report, your use of or reliance on this Report (or any information therein) or any contravention of this disclaimer notice by your or your Related Entities. </w:t>
      </w:r>
    </w:p>
    <w:p w14:paraId="54DAB1A8" w14:textId="77777777" w:rsidR="002E4689" w:rsidRPr="008B7808" w:rsidRDefault="002E4689" w:rsidP="00F678AC">
      <w:pPr>
        <w:pStyle w:val="ListParagraph"/>
        <w:numPr>
          <w:ilvl w:val="0"/>
          <w:numId w:val="16"/>
        </w:numPr>
        <w:spacing w:line="259" w:lineRule="auto"/>
        <w:ind w:left="360"/>
        <w:rPr>
          <w:rFonts w:eastAsiaTheme="majorEastAsia" w:cstheme="majorBidi"/>
          <w:sz w:val="40"/>
          <w:szCs w:val="40"/>
        </w:rPr>
      </w:pPr>
      <w:r>
        <w:br w:type="page"/>
      </w:r>
    </w:p>
    <w:p w14:paraId="4744DA7F" w14:textId="79EB0AB2" w:rsidR="00044878" w:rsidRPr="00044878" w:rsidRDefault="00D97579" w:rsidP="003C5FB8">
      <w:pPr>
        <w:pStyle w:val="Heading1"/>
      </w:pPr>
      <w:bookmarkStart w:id="54" w:name="_Toc209511929"/>
      <w:r w:rsidRPr="00D97579">
        <w:lastRenderedPageBreak/>
        <w:t>BDO</w:t>
      </w:r>
      <w:bookmarkStart w:id="55" w:name="_Toc209511930"/>
      <w:bookmarkEnd w:id="54"/>
      <w:r w:rsidR="003C5FB8">
        <w:br/>
      </w:r>
      <w:r w:rsidR="00C85092">
        <w:t>Audit – Tax</w:t>
      </w:r>
      <w:r w:rsidR="00263E70">
        <w:t xml:space="preserve"> </w:t>
      </w:r>
      <w:r w:rsidR="00263E70" w:rsidRPr="00263E70">
        <w:t>–</w:t>
      </w:r>
      <w:r w:rsidR="00263E70">
        <w:t xml:space="preserve"> Advisory</w:t>
      </w:r>
      <w:bookmarkEnd w:id="55"/>
      <w:r w:rsidR="003C5FB8">
        <w:br/>
      </w:r>
      <w:r w:rsidR="00044878" w:rsidRPr="003C5FB8">
        <w:rPr>
          <w:sz w:val="24"/>
          <w:szCs w:val="24"/>
        </w:rPr>
        <w:t xml:space="preserve">1300 138 991 </w:t>
      </w:r>
      <w:r w:rsidR="003C5FB8" w:rsidRPr="003C5FB8">
        <w:rPr>
          <w:sz w:val="24"/>
          <w:szCs w:val="24"/>
        </w:rPr>
        <w:br/>
      </w:r>
      <w:hyperlink r:id="rId16" w:history="1">
        <w:r w:rsidR="003C5FB8" w:rsidRPr="003C5FB8">
          <w:rPr>
            <w:rStyle w:val="Hyperlink"/>
            <w:sz w:val="24"/>
            <w:szCs w:val="24"/>
          </w:rPr>
          <w:t>www.bdo.com.au</w:t>
        </w:r>
      </w:hyperlink>
    </w:p>
    <w:p w14:paraId="25857DDF" w14:textId="6EE1E395" w:rsidR="00E15664" w:rsidRDefault="002A12BC" w:rsidP="00CA4439">
      <w:pPr>
        <w:spacing w:after="0"/>
      </w:pPr>
      <w:r>
        <w:t xml:space="preserve">This publication has been carefully prepared but is general commentary only. This publication is not legal or financial advice and should not be relied upon as such. The information in this publication is subject to change at any time and therefore we give no assurance or warranty that the information is current when read. The publication cannot be relied upon to cover any specific situation, and you should not act, or refrain from acting, upon the information contained therein without obtaining specific professional advice. Please contact the BDO member firms in Australia to discuss these matters in the context of </w:t>
      </w:r>
      <w:r w:rsidR="00464D01">
        <w:t xml:space="preserve">your </w:t>
      </w:r>
      <w:proofErr w:type="gramStart"/>
      <w:r w:rsidR="00464D01">
        <w:t>particular</w:t>
      </w:r>
      <w:r>
        <w:t xml:space="preserve"> circumstances</w:t>
      </w:r>
      <w:proofErr w:type="gramEnd"/>
      <w:r>
        <w:t>.</w:t>
      </w:r>
    </w:p>
    <w:p w14:paraId="75FC32A9" w14:textId="7E8CFF78" w:rsidR="00E15664" w:rsidRDefault="002A12BC" w:rsidP="00CA4439">
      <w:pPr>
        <w:spacing w:after="0"/>
      </w:pPr>
      <w:r>
        <w:t>A.C.N. 050 110 275 Ltd and each BDO member firm in Australia, their partners and/or directors, employees and agents do not give any warranty as to the accuracy, reliability or completeness of information contained in this publication nor do they accept or assume any liability</w:t>
      </w:r>
      <w:r w:rsidR="00464D01">
        <w:t xml:space="preserve"> </w:t>
      </w:r>
      <w:r>
        <w:t>or</w:t>
      </w:r>
      <w:r w:rsidR="00464D01">
        <w:t xml:space="preserve"> </w:t>
      </w:r>
      <w:r>
        <w:t xml:space="preserve">duty of care for any loss arising from any action taken or not taken by anyone in reliance on the information in this publication or for any decision based on </w:t>
      </w:r>
      <w:r w:rsidR="00464D01">
        <w:t>it, except</w:t>
      </w:r>
      <w:r>
        <w:t xml:space="preserve"> in so far as any liability under statute cannot be excluded.</w:t>
      </w:r>
    </w:p>
    <w:p w14:paraId="611AEC56" w14:textId="2CE65304" w:rsidR="006423F3" w:rsidRDefault="002A12BC" w:rsidP="00CA4439">
      <w:pPr>
        <w:spacing w:after="0"/>
      </w:pPr>
      <w:r>
        <w:t>A.C.N. 050 110 275 Ltd ABN 77 050 110 275, an Australian company limited by guarantee, is a member of BDO International Ltd, a UK company limited by guarantee, and forms part of the international BDO network of independent member firms.</w:t>
      </w:r>
    </w:p>
    <w:p w14:paraId="79D59CB1" w14:textId="04EA4509" w:rsidR="002A12BC" w:rsidRDefault="002A12BC" w:rsidP="00CA4439">
      <w:pPr>
        <w:spacing w:after="0"/>
      </w:pPr>
      <w:r>
        <w:t>BDO is the brand name for the BDO network and for each of the BDO member firms.</w:t>
      </w:r>
      <w:r w:rsidR="003C5FB8">
        <w:br/>
      </w:r>
      <w:r>
        <w:t>© 2025 A.C.N. 050 110 275 Ltd. All rights reserved.</w:t>
      </w:r>
    </w:p>
    <w:p w14:paraId="788C0426" w14:textId="6F42C396" w:rsidR="006423F3" w:rsidRDefault="002A12BC" w:rsidP="00CA4439">
      <w:pPr>
        <w:spacing w:after="0"/>
      </w:pPr>
      <w:r>
        <w:t>25-06-1970</w:t>
      </w:r>
    </w:p>
    <w:p w14:paraId="15BC6234" w14:textId="60E97DCD" w:rsidR="002A12BC" w:rsidRPr="000F5E65" w:rsidRDefault="00E15664" w:rsidP="000F5E65">
      <w:pPr>
        <w:pStyle w:val="ListParagraph"/>
        <w:numPr>
          <w:ilvl w:val="0"/>
          <w:numId w:val="24"/>
        </w:numPr>
        <w:spacing w:after="0" w:line="276" w:lineRule="auto"/>
        <w:rPr>
          <w:sz w:val="22"/>
        </w:rPr>
      </w:pPr>
      <w:r w:rsidRPr="000F5E65">
        <w:rPr>
          <w:sz w:val="22"/>
        </w:rPr>
        <w:t>Australian Capital Territory</w:t>
      </w:r>
    </w:p>
    <w:p w14:paraId="77100FE5" w14:textId="0773FC01" w:rsidR="002A12BC" w:rsidRPr="000F5E65" w:rsidRDefault="00E15664" w:rsidP="000F5E65">
      <w:pPr>
        <w:pStyle w:val="ListParagraph"/>
        <w:numPr>
          <w:ilvl w:val="0"/>
          <w:numId w:val="24"/>
        </w:numPr>
        <w:spacing w:after="0" w:line="276" w:lineRule="auto"/>
        <w:rPr>
          <w:sz w:val="22"/>
        </w:rPr>
      </w:pPr>
      <w:r w:rsidRPr="000F5E65">
        <w:rPr>
          <w:sz w:val="22"/>
        </w:rPr>
        <w:t>New South Wales</w:t>
      </w:r>
    </w:p>
    <w:p w14:paraId="3E3ECE6F" w14:textId="56D73304" w:rsidR="002A12BC" w:rsidRPr="000F5E65" w:rsidRDefault="00E15664" w:rsidP="000F5E65">
      <w:pPr>
        <w:pStyle w:val="ListParagraph"/>
        <w:numPr>
          <w:ilvl w:val="0"/>
          <w:numId w:val="24"/>
        </w:numPr>
        <w:spacing w:after="0" w:line="276" w:lineRule="auto"/>
        <w:rPr>
          <w:sz w:val="22"/>
        </w:rPr>
      </w:pPr>
      <w:r w:rsidRPr="000F5E65">
        <w:rPr>
          <w:sz w:val="22"/>
        </w:rPr>
        <w:t>Northern Territory</w:t>
      </w:r>
    </w:p>
    <w:p w14:paraId="0A82571D" w14:textId="0DC9FCF8" w:rsidR="002A12BC" w:rsidRPr="000F5E65" w:rsidRDefault="00E15664" w:rsidP="000F5E65">
      <w:pPr>
        <w:pStyle w:val="ListParagraph"/>
        <w:numPr>
          <w:ilvl w:val="0"/>
          <w:numId w:val="24"/>
        </w:numPr>
        <w:spacing w:after="0" w:line="276" w:lineRule="auto"/>
        <w:rPr>
          <w:sz w:val="22"/>
        </w:rPr>
      </w:pPr>
      <w:r w:rsidRPr="000F5E65">
        <w:rPr>
          <w:sz w:val="22"/>
        </w:rPr>
        <w:t>Queensland</w:t>
      </w:r>
    </w:p>
    <w:p w14:paraId="45549E65" w14:textId="5A68CF6F" w:rsidR="002A12BC" w:rsidRPr="000F5E65" w:rsidRDefault="00E15664" w:rsidP="000F5E65">
      <w:pPr>
        <w:pStyle w:val="ListParagraph"/>
        <w:numPr>
          <w:ilvl w:val="0"/>
          <w:numId w:val="24"/>
        </w:numPr>
        <w:spacing w:after="0" w:line="276" w:lineRule="auto"/>
        <w:rPr>
          <w:sz w:val="22"/>
        </w:rPr>
      </w:pPr>
      <w:r w:rsidRPr="000F5E65">
        <w:rPr>
          <w:sz w:val="22"/>
        </w:rPr>
        <w:t>South Australia</w:t>
      </w:r>
    </w:p>
    <w:p w14:paraId="5A4D5EA2" w14:textId="23F5686E" w:rsidR="002A12BC" w:rsidRPr="000F5E65" w:rsidRDefault="00E15664" w:rsidP="000F5E65">
      <w:pPr>
        <w:pStyle w:val="ListParagraph"/>
        <w:numPr>
          <w:ilvl w:val="0"/>
          <w:numId w:val="24"/>
        </w:numPr>
        <w:spacing w:after="0" w:line="276" w:lineRule="auto"/>
        <w:rPr>
          <w:sz w:val="22"/>
        </w:rPr>
      </w:pPr>
      <w:r w:rsidRPr="000F5E65">
        <w:rPr>
          <w:sz w:val="22"/>
        </w:rPr>
        <w:t>Tasmania</w:t>
      </w:r>
    </w:p>
    <w:p w14:paraId="653453CD" w14:textId="4F83BA2F" w:rsidR="002A12BC" w:rsidRPr="000F5E65" w:rsidRDefault="00E15664" w:rsidP="000F5E65">
      <w:pPr>
        <w:pStyle w:val="ListParagraph"/>
        <w:numPr>
          <w:ilvl w:val="0"/>
          <w:numId w:val="24"/>
        </w:numPr>
        <w:spacing w:after="0" w:line="276" w:lineRule="auto"/>
        <w:rPr>
          <w:sz w:val="22"/>
        </w:rPr>
      </w:pPr>
      <w:r w:rsidRPr="000F5E65">
        <w:rPr>
          <w:sz w:val="22"/>
        </w:rPr>
        <w:t>Victoria</w:t>
      </w:r>
    </w:p>
    <w:p w14:paraId="432CA5E0" w14:textId="63253F44" w:rsidR="0056382B" w:rsidRPr="000F5E65" w:rsidRDefault="00E15664" w:rsidP="000F5E65">
      <w:pPr>
        <w:pStyle w:val="ListParagraph"/>
        <w:numPr>
          <w:ilvl w:val="0"/>
          <w:numId w:val="24"/>
        </w:numPr>
        <w:spacing w:after="0" w:line="276" w:lineRule="auto"/>
        <w:rPr>
          <w:sz w:val="22"/>
        </w:rPr>
      </w:pPr>
      <w:r w:rsidRPr="000F5E65">
        <w:rPr>
          <w:sz w:val="22"/>
        </w:rPr>
        <w:t>Western Australia</w:t>
      </w:r>
    </w:p>
    <w:sectPr w:rsidR="0056382B" w:rsidRPr="000F5E65" w:rsidSect="000F5E65">
      <w:headerReference w:type="even" r:id="rId17"/>
      <w:headerReference w:type="default" r:id="rId18"/>
      <w:footerReference w:type="even" r:id="rId19"/>
      <w:footerReference w:type="default" r:id="rId20"/>
      <w:headerReference w:type="first" r:id="rId21"/>
      <w:footerReference w:type="first" r:id="rId22"/>
      <w:pgSz w:w="11906" w:h="16838"/>
      <w:pgMar w:top="426" w:right="720" w:bottom="720" w:left="720"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AC783" w14:textId="77777777" w:rsidR="0014642A" w:rsidRDefault="0014642A" w:rsidP="00B01B96">
      <w:pPr>
        <w:spacing w:after="0"/>
      </w:pPr>
      <w:r>
        <w:separator/>
      </w:r>
    </w:p>
  </w:endnote>
  <w:endnote w:type="continuationSeparator" w:id="0">
    <w:p w14:paraId="0EE693B1" w14:textId="77777777" w:rsidR="0014642A" w:rsidRDefault="0014642A" w:rsidP="00B01B96">
      <w:pPr>
        <w:spacing w:after="0"/>
      </w:pPr>
      <w:r>
        <w:continuationSeparator/>
      </w:r>
    </w:p>
  </w:endnote>
  <w:endnote w:type="continuationNotice" w:id="1">
    <w:p w14:paraId="6542C608" w14:textId="77777777" w:rsidR="0014642A" w:rsidRDefault="0014642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EYInterstate">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7EB77" w14:textId="555C2B6D" w:rsidR="00B01B96" w:rsidRDefault="00B01B96">
    <w:pPr>
      <w:pStyle w:val="Footer"/>
    </w:pPr>
    <w:r>
      <w:rPr>
        <w:noProof/>
      </w:rPr>
      <mc:AlternateContent>
        <mc:Choice Requires="wps">
          <w:drawing>
            <wp:anchor distT="0" distB="0" distL="0" distR="0" simplePos="0" relativeHeight="251658243" behindDoc="0" locked="0" layoutInCell="1" allowOverlap="1" wp14:anchorId="0165A289" wp14:editId="33190ECD">
              <wp:simplePos x="635" y="635"/>
              <wp:positionH relativeFrom="page">
                <wp:align>center</wp:align>
              </wp:positionH>
              <wp:positionV relativeFrom="page">
                <wp:align>bottom</wp:align>
              </wp:positionV>
              <wp:extent cx="686435" cy="365760"/>
              <wp:effectExtent l="0" t="0" r="18415" b="0"/>
              <wp:wrapNone/>
              <wp:docPr id="153550847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B67D214" w14:textId="77777777" w:rsidR="00B01B96" w:rsidRPr="00B01B96" w:rsidRDefault="00B01B96" w:rsidP="00B01B96">
                          <w:pPr>
                            <w:spacing w:after="0"/>
                            <w:rPr>
                              <w:rFonts w:eastAsia="Arial" w:cs="Arial"/>
                              <w:noProof/>
                              <w:color w:val="000000"/>
                              <w:szCs w:val="24"/>
                            </w:rPr>
                          </w:pPr>
                          <w:r w:rsidRPr="00B01B96">
                            <w:rPr>
                              <w:rFonts w:eastAsia="Arial" w:cs="Arial"/>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65A289" id="_x0000_t202" coordsize="21600,21600" o:spt="202" path="m,l,21600r21600,l21600,xe">
              <v:stroke joinstyle="miter"/>
              <v:path gradientshapeok="t" o:connecttype="rect"/>
            </v:shapetype>
            <v:shape id="Text Box 5" o:spid="_x0000_s1027" type="#_x0000_t202" alt="OFFICIAL" style="position:absolute;margin-left:0;margin-top:0;width:54.05pt;height:28.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owjDgIAABwEAAAOAAAAZHJzL2Uyb0RvYy54bWysU01v2zAMvQ/YfxB0X+y0S9YZcYqsRYYB&#10;QVsgHXpWZCk2YIkCpcTOfv0oJU7abqdhF5kmKX689zS77U3L9gp9A7bk41HOmbISqsZuS/7zefnp&#10;hjMfhK1EC1aV/KA8v51//DDrXKGuoIa2UsioiPVF50peh+CKLPOyVkb4EThlKagBjQj0i9usQtFR&#10;ddNmV3k+zTrAyiFI5T15749BPk/1tVYyPGrtVWBtyWm2kE5M5yae2Xwmii0KVzfyNIb4hymMaCw1&#10;PZe6F0GwHTZ/lDKNRPCgw0iCyUDrRqq0A20zzt9ts66FU2kXAse7M0z+/5WVD/u1e0IW+m/QE4ER&#10;kM75wpMz7tNrNPFLkzKKE4SHM2yqD0ySc3oz/Xw94UxS6Ho6+TJNsGaXyw59+K7AsGiUHImVBJbY&#10;r3yghpQ6pMReFpZN2yZmWvvGQYnRk10mjFboNz1rqlfTb6A60FIIR769k8uGWq+ED08CiWDag0Qb&#10;HunQLXQlh5PFWQ3462/+mE+4U5SzjgRTckuK5qz9YYmPqK3BwMHYJGP8NZ/kFLc7cwckwzG9CCeT&#10;SV4M7WBqBPNCcl7ERhQSVlK7km8G8y4clUvPQarFIiWRjJwIK7t2MpaOcEUsn/sXge4EeCCmHmBQ&#10;kyje4X7MjTe9W+wCoZ9IidAegTwhThJMXJ2eS9T46/+UdXnU898AAAD//wMAUEsDBBQABgAIAAAA&#10;IQDj+R6B2gAAAAQBAAAPAAAAZHJzL2Rvd25yZXYueG1sTI/BSsNAEIbvgu+wjODNbtpiLTGbIgVP&#10;FaGtF2/b3WkSzc6G7KRN396pF70MDP/PN98UqzG06oR9aiIZmE4yUEgu+oYqAx/714clqMSWvG0j&#10;oYELJliVtzeFzX080xZPO66UQCjl1kDN3OVaJ1djsGkSOyTJjrEPlmXtK+17exZ4aPUsyxY62Ibk&#10;Qm07XNfovndDMPC45bfhnfbzz3F2+dp0azc/bpwx93fjyzMoxpH/ynDVF3UoxekQB/JJtQbkEf6d&#10;1yxbTkEdBPy0AF0W+r98+QMAAP//AwBQSwECLQAUAAYACAAAACEAtoM4kv4AAADhAQAAEwAAAAAA&#10;AAAAAAAAAAAAAAAAW0NvbnRlbnRfVHlwZXNdLnhtbFBLAQItABQABgAIAAAAIQA4/SH/1gAAAJQB&#10;AAALAAAAAAAAAAAAAAAAAC8BAABfcmVscy8ucmVsc1BLAQItABQABgAIAAAAIQBdHowjDgIAABwE&#10;AAAOAAAAAAAAAAAAAAAAAC4CAABkcnMvZTJvRG9jLnhtbFBLAQItABQABgAIAAAAIQDj+R6B2gAA&#10;AAQBAAAPAAAAAAAAAAAAAAAAAGgEAABkcnMvZG93bnJldi54bWxQSwUGAAAAAAQABADzAAAAbwUA&#10;AAAA&#10;" filled="f" stroked="f">
              <v:textbox style="mso-fit-shape-to-text:t" inset="0,0,0,15pt">
                <w:txbxContent>
                  <w:p w14:paraId="0B67D214" w14:textId="77777777" w:rsidR="00B01B96" w:rsidRPr="00B01B96" w:rsidRDefault="00B01B96" w:rsidP="00B01B96">
                    <w:pPr>
                      <w:spacing w:after="0"/>
                      <w:rPr>
                        <w:rFonts w:eastAsia="Arial" w:cs="Arial"/>
                        <w:noProof/>
                        <w:color w:val="000000"/>
                        <w:szCs w:val="24"/>
                      </w:rPr>
                    </w:pPr>
                    <w:r w:rsidRPr="00B01B96">
                      <w:rPr>
                        <w:rFonts w:eastAsia="Arial" w:cs="Arial"/>
                        <w:noProof/>
                        <w:color w:val="000000"/>
                        <w:szCs w:val="24"/>
                      </w:rPr>
                      <w:t>OFFICIAL</w:t>
                    </w:r>
                  </w:p>
                </w:txbxContent>
              </v:textbox>
              <w10:wrap anchorx="page" anchory="page"/>
            </v:shape>
          </w:pict>
        </mc:Fallback>
      </mc:AlternateContent>
    </w:r>
  </w:p>
  <w:p w14:paraId="5D3CEA7B" w14:textId="77777777" w:rsidR="00CB5F90" w:rsidRDefault="00CB5F90"/>
  <w:p w14:paraId="7D55E9BE" w14:textId="77777777" w:rsidR="00CB5F90" w:rsidRDefault="00CB5F90"/>
  <w:p w14:paraId="361AC4D8" w14:textId="77777777" w:rsidR="00CB5F90" w:rsidRDefault="00CB5F90"/>
  <w:p w14:paraId="2B79200E" w14:textId="77777777" w:rsidR="00CB5F90" w:rsidRDefault="00CB5F9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4EDCC" w14:textId="62F5C07D" w:rsidR="003C6174" w:rsidRPr="00FD5100" w:rsidRDefault="00001B66">
    <w:pPr>
      <w:pStyle w:val="Footer"/>
      <w:rPr>
        <w:sz w:val="18"/>
        <w:szCs w:val="18"/>
      </w:rPr>
    </w:pPr>
    <w:r>
      <w:rPr>
        <w:sz w:val="18"/>
        <w:szCs w:val="18"/>
      </w:rPr>
      <w:t xml:space="preserve">BDO </w:t>
    </w:r>
    <w:r w:rsidR="00DE2C06">
      <w:rPr>
        <w:sz w:val="18"/>
        <w:szCs w:val="18"/>
      </w:rPr>
      <w:t xml:space="preserve">| </w:t>
    </w:r>
    <w:r w:rsidR="002A3F4D" w:rsidRPr="002A3F4D">
      <w:rPr>
        <w:sz w:val="18"/>
        <w:szCs w:val="18"/>
      </w:rPr>
      <w:t>Economic impact assessment of the 2024 and 2025 Australian Grand Prix</w:t>
    </w:r>
    <w:r w:rsidR="007B4BA7">
      <w:rPr>
        <w:sz w:val="18"/>
        <w:szCs w:val="18"/>
      </w:rPr>
      <w:t xml:space="preserve"> (Accessible version)</w:t>
    </w:r>
  </w:p>
  <w:p w14:paraId="090323D7" w14:textId="77777777" w:rsidR="00CB5F90" w:rsidRDefault="00CB5F9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C6A00" w14:textId="5DFEEB58" w:rsidR="00B01B96" w:rsidRDefault="00B01B96">
    <w:pPr>
      <w:pStyle w:val="Footer"/>
    </w:pPr>
    <w:r>
      <w:rPr>
        <w:noProof/>
      </w:rPr>
      <mc:AlternateContent>
        <mc:Choice Requires="wps">
          <w:drawing>
            <wp:anchor distT="0" distB="0" distL="0" distR="0" simplePos="0" relativeHeight="251658242" behindDoc="0" locked="0" layoutInCell="1" allowOverlap="1" wp14:anchorId="260BCD73" wp14:editId="2DD581A8">
              <wp:simplePos x="635" y="635"/>
              <wp:positionH relativeFrom="page">
                <wp:align>center</wp:align>
              </wp:positionH>
              <wp:positionV relativeFrom="page">
                <wp:align>bottom</wp:align>
              </wp:positionV>
              <wp:extent cx="686435" cy="365760"/>
              <wp:effectExtent l="0" t="0" r="18415" b="0"/>
              <wp:wrapNone/>
              <wp:docPr id="31298144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1118D50" w14:textId="77777777" w:rsidR="00B01B96" w:rsidRPr="00B01B96" w:rsidRDefault="00B01B96" w:rsidP="00B01B96">
                          <w:pPr>
                            <w:spacing w:after="0"/>
                            <w:rPr>
                              <w:rFonts w:eastAsia="Arial" w:cs="Arial"/>
                              <w:noProof/>
                              <w:color w:val="000000"/>
                              <w:szCs w:val="24"/>
                            </w:rPr>
                          </w:pPr>
                          <w:r w:rsidRPr="00B01B96">
                            <w:rPr>
                              <w:rFonts w:eastAsia="Arial" w:cs="Arial"/>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0BCD73" id="_x0000_t202" coordsize="21600,21600" o:spt="202" path="m,l,21600r21600,l21600,xe">
              <v:stroke joinstyle="miter"/>
              <v:path gradientshapeok="t" o:connecttype="rect"/>
            </v:shapetype>
            <v:shape id="Text Box 4" o:spid="_x0000_s1029" type="#_x0000_t202" alt="OFFICIAL" style="position:absolute;margin-left:0;margin-top:0;width:54.05pt;height:28.8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OlYDwIAABw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NR8mH4D1YGWQjjy7Z1cNtR6JXx4EkgE0x4k&#10;2vBIhzbQlRxOFmc14K+3/DGfcKcoZx0JpuSWFM2Z+WGJj6itwcDB2CRj/DWf5BS3u/YOSIZjehFO&#10;JpO8GMxgaoT2heS8iI0oJKykdiXfDOZdOCqXnoNUi0VKIhk5EVZ27WQsHeGKWD73LwLdCfBATD3A&#10;oCZRvML9mBtverfYBUI/kRKhPQJ5QpwkmLg6PZeo8T//U9blUc9/Aw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h2DpWA8CAAAc&#10;BAAADgAAAAAAAAAAAAAAAAAuAgAAZHJzL2Uyb0RvYy54bWxQSwECLQAUAAYACAAAACEA4/kegdoA&#10;AAAEAQAADwAAAAAAAAAAAAAAAABpBAAAZHJzL2Rvd25yZXYueG1sUEsFBgAAAAAEAAQA8wAAAHAF&#10;AAAAAA==&#10;" filled="f" stroked="f">
              <v:textbox style="mso-fit-shape-to-text:t" inset="0,0,0,15pt">
                <w:txbxContent>
                  <w:p w14:paraId="01118D50" w14:textId="77777777" w:rsidR="00B01B96" w:rsidRPr="00B01B96" w:rsidRDefault="00B01B96" w:rsidP="00B01B96">
                    <w:pPr>
                      <w:spacing w:after="0"/>
                      <w:rPr>
                        <w:rFonts w:eastAsia="Arial" w:cs="Arial"/>
                        <w:noProof/>
                        <w:color w:val="000000"/>
                        <w:szCs w:val="24"/>
                      </w:rPr>
                    </w:pPr>
                    <w:r w:rsidRPr="00B01B96">
                      <w:rPr>
                        <w:rFonts w:eastAsia="Arial" w:cs="Arial"/>
                        <w:noProof/>
                        <w:color w:val="000000"/>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9BC68" w14:textId="77777777" w:rsidR="0014642A" w:rsidRDefault="0014642A" w:rsidP="00B01B96">
      <w:pPr>
        <w:spacing w:after="0"/>
      </w:pPr>
      <w:r>
        <w:separator/>
      </w:r>
    </w:p>
  </w:footnote>
  <w:footnote w:type="continuationSeparator" w:id="0">
    <w:p w14:paraId="50066E27" w14:textId="77777777" w:rsidR="0014642A" w:rsidRDefault="0014642A" w:rsidP="00B01B96">
      <w:pPr>
        <w:spacing w:after="0"/>
      </w:pPr>
      <w:r>
        <w:continuationSeparator/>
      </w:r>
    </w:p>
  </w:footnote>
  <w:footnote w:type="continuationNotice" w:id="1">
    <w:p w14:paraId="5E9FD9B9" w14:textId="77777777" w:rsidR="0014642A" w:rsidRDefault="0014642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B6B7B" w14:textId="08350F17" w:rsidR="00B01B96" w:rsidRDefault="00B01B96">
    <w:pPr>
      <w:pStyle w:val="Header"/>
    </w:pPr>
    <w:r>
      <w:rPr>
        <w:noProof/>
      </w:rPr>
      <mc:AlternateContent>
        <mc:Choice Requires="wps">
          <w:drawing>
            <wp:anchor distT="0" distB="0" distL="0" distR="0" simplePos="0" relativeHeight="251658241" behindDoc="0" locked="0" layoutInCell="1" allowOverlap="1" wp14:anchorId="560894F8" wp14:editId="2247BECB">
              <wp:simplePos x="635" y="635"/>
              <wp:positionH relativeFrom="page">
                <wp:align>center</wp:align>
              </wp:positionH>
              <wp:positionV relativeFrom="page">
                <wp:align>top</wp:align>
              </wp:positionV>
              <wp:extent cx="686435" cy="365760"/>
              <wp:effectExtent l="0" t="0" r="18415" b="15240"/>
              <wp:wrapNone/>
              <wp:docPr id="127311872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F99AE65" w14:textId="77777777" w:rsidR="00B01B96" w:rsidRPr="00B01B96" w:rsidRDefault="00B01B96" w:rsidP="00B01B96">
                          <w:pPr>
                            <w:spacing w:after="0"/>
                            <w:rPr>
                              <w:rFonts w:eastAsia="Arial" w:cs="Arial"/>
                              <w:noProof/>
                              <w:color w:val="000000"/>
                              <w:szCs w:val="24"/>
                            </w:rPr>
                          </w:pPr>
                          <w:r w:rsidRPr="00B01B96">
                            <w:rPr>
                              <w:rFonts w:eastAsia="Arial" w:cs="Arial"/>
                              <w:noProof/>
                              <w:color w:val="00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0894F8" id="_x0000_t202" coordsize="21600,21600" o:spt="202" path="m,l,21600r21600,l21600,xe">
              <v:stroke joinstyle="miter"/>
              <v:path gradientshapeok="t" o:connecttype="rect"/>
            </v:shapetype>
            <v:shape id="Text Box 2" o:spid="_x0000_s1026" type="#_x0000_t202" alt="OFFICIAL" style="position:absolute;margin-left:0;margin-top:0;width:54.05pt;height:28.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RGCwIAABUEAAAOAAAAZHJzL2Uyb0RvYy54bWysU01v2zAMvQ/YfxB0X+y0S9Y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ec384/XM84kha7ns0/zBGt2+dn5gF8VGBaNkntiJYEl&#10;Dg8BqSGljimxl4V1q3ViRtvfHJQYPdllwmhhv+2HsbdQHWkbDyeig5Prlno+iIDPwhOztACpFZ/o&#10;qDV0JYfB4qwB/+Nv/phPgFOUs46UUnJLUuZMf7NERBRVMqaf81lONz+6t6Nh9+YOSH9TegpOJjPm&#10;oR7N2oN5JR2vYiMKCSupXclxNO/wJFl6B1KtVimJ9OMEPtiNk7F0xCmC+NK/Cu8GpJEoeoRRRqJ4&#10;A/gpN/4Z3GqPBHtiI2J6AnKAmrSXSBreSRT3r/eUdXnNy58AAAD//wMAUEsDBBQABgAIAAAAIQDS&#10;lqK42gAAAAQBAAAPAAAAZHJzL2Rvd25yZXYueG1sTI/NTsMwEITvSLyDtUjcqGOklCpkU1VIPfRW&#10;ys/ZjZckEK+jeNuGPj0uF7isNJrRzLflcvK9OtIYu8AIZpaBIq6D67hBeH1Z3y1ARbHsbB+YEL4p&#10;wrK6vipt4cKJn+m4k0alEo6FRWhFhkLrWLfkbZyFgTh5H2H0VpIcG+1Ge0rlvtf3WTbX3nacFlo7&#10;0FNL9dfu4BG6fBXE0Ntm/fnuTTDn7SY/bxFvb6bVIyihSf7CcMFP6FAlpn04sIuqR0iPyO+9eNnC&#10;gNoj5A9z0FWp/8NXPwAAAP//AwBQSwECLQAUAAYACAAAACEAtoM4kv4AAADhAQAAEwAAAAAAAAAA&#10;AAAAAAAAAAAAW0NvbnRlbnRfVHlwZXNdLnhtbFBLAQItABQABgAIAAAAIQA4/SH/1gAAAJQBAAAL&#10;AAAAAAAAAAAAAAAAAC8BAABfcmVscy8ucmVsc1BLAQItABQABgAIAAAAIQB3lfRGCwIAABUEAAAO&#10;AAAAAAAAAAAAAAAAAC4CAABkcnMvZTJvRG9jLnhtbFBLAQItABQABgAIAAAAIQDSlqK42gAAAAQB&#10;AAAPAAAAAAAAAAAAAAAAAGUEAABkcnMvZG93bnJldi54bWxQSwUGAAAAAAQABADzAAAAbAUAAAAA&#10;" filled="f" stroked="f">
              <v:textbox style="mso-fit-shape-to-text:t" inset="0,15pt,0,0">
                <w:txbxContent>
                  <w:p w14:paraId="7F99AE65" w14:textId="77777777" w:rsidR="00B01B96" w:rsidRPr="00B01B96" w:rsidRDefault="00B01B96" w:rsidP="00B01B96">
                    <w:pPr>
                      <w:spacing w:after="0"/>
                      <w:rPr>
                        <w:rFonts w:eastAsia="Arial" w:cs="Arial"/>
                        <w:noProof/>
                        <w:color w:val="000000"/>
                        <w:szCs w:val="24"/>
                      </w:rPr>
                    </w:pPr>
                    <w:r w:rsidRPr="00B01B96">
                      <w:rPr>
                        <w:rFonts w:eastAsia="Arial" w:cs="Arial"/>
                        <w:noProof/>
                        <w:color w:val="000000"/>
                        <w:szCs w:val="24"/>
                      </w:rPr>
                      <w:t>OFFICIAL</w:t>
                    </w:r>
                  </w:p>
                </w:txbxContent>
              </v:textbox>
              <w10:wrap anchorx="page" anchory="page"/>
            </v:shape>
          </w:pict>
        </mc:Fallback>
      </mc:AlternateContent>
    </w:r>
  </w:p>
  <w:p w14:paraId="5983834A" w14:textId="77777777" w:rsidR="00CB5F90" w:rsidRDefault="00CB5F90"/>
  <w:p w14:paraId="312640BA" w14:textId="77777777" w:rsidR="00CB5F90" w:rsidRDefault="00CB5F90"/>
  <w:p w14:paraId="650DA3A4" w14:textId="77777777" w:rsidR="00CB5F90" w:rsidRDefault="00CB5F90"/>
  <w:p w14:paraId="2BA4E6A1" w14:textId="77777777" w:rsidR="00CB5F90" w:rsidRDefault="00CB5F9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spacing w:val="60"/>
        <w:sz w:val="18"/>
        <w:szCs w:val="18"/>
      </w:rPr>
      <w:id w:val="1594128895"/>
      <w:docPartObj>
        <w:docPartGallery w:val="Page Numbers (Top of Page)"/>
        <w:docPartUnique/>
      </w:docPartObj>
    </w:sdtPr>
    <w:sdtEndPr>
      <w:rPr>
        <w:b/>
        <w:bCs/>
        <w:noProof/>
        <w:spacing w:val="0"/>
      </w:rPr>
    </w:sdtEndPr>
    <w:sdtContent>
      <w:p w14:paraId="2319D6A2" w14:textId="3D4C3463" w:rsidR="00A45A2F" w:rsidRPr="003C5FB8" w:rsidRDefault="00A45A2F">
        <w:pPr>
          <w:pStyle w:val="Header"/>
          <w:pBdr>
            <w:bottom w:val="single" w:sz="4" w:space="1" w:color="D9D9D9" w:themeColor="background1" w:themeShade="D9"/>
          </w:pBdr>
          <w:jc w:val="right"/>
          <w:rPr>
            <w:rFonts w:cs="Arial"/>
            <w:b/>
            <w:bCs/>
            <w:sz w:val="18"/>
            <w:szCs w:val="18"/>
          </w:rPr>
        </w:pPr>
        <w:r w:rsidRPr="003C5FB8">
          <w:rPr>
            <w:rFonts w:cs="Arial"/>
            <w:spacing w:val="60"/>
            <w:sz w:val="18"/>
            <w:szCs w:val="18"/>
          </w:rPr>
          <w:t>Page</w:t>
        </w:r>
        <w:r w:rsidRPr="003C5FB8">
          <w:rPr>
            <w:rFonts w:cs="Arial"/>
            <w:sz w:val="18"/>
            <w:szCs w:val="18"/>
          </w:rPr>
          <w:t xml:space="preserve"> | </w:t>
        </w:r>
        <w:r w:rsidRPr="003C5FB8">
          <w:rPr>
            <w:rFonts w:cs="Arial"/>
            <w:sz w:val="18"/>
            <w:szCs w:val="18"/>
          </w:rPr>
          <w:fldChar w:fldCharType="begin"/>
        </w:r>
        <w:r w:rsidRPr="003C5FB8">
          <w:rPr>
            <w:rFonts w:cs="Arial"/>
            <w:sz w:val="18"/>
            <w:szCs w:val="18"/>
          </w:rPr>
          <w:instrText xml:space="preserve"> PAGE   \* MERGEFORMAT </w:instrText>
        </w:r>
        <w:r w:rsidRPr="003C5FB8">
          <w:rPr>
            <w:rFonts w:cs="Arial"/>
            <w:sz w:val="18"/>
            <w:szCs w:val="18"/>
          </w:rPr>
          <w:fldChar w:fldCharType="separate"/>
        </w:r>
        <w:r w:rsidRPr="003C5FB8">
          <w:rPr>
            <w:rFonts w:cs="Arial"/>
            <w:b/>
            <w:bCs/>
            <w:noProof/>
            <w:sz w:val="18"/>
            <w:szCs w:val="18"/>
          </w:rPr>
          <w:t>2</w:t>
        </w:r>
        <w:r w:rsidRPr="003C5FB8">
          <w:rPr>
            <w:rFonts w:cs="Arial"/>
            <w:b/>
            <w:bCs/>
            <w:noProof/>
            <w:sz w:val="18"/>
            <w:szCs w:val="1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87EDB" w14:textId="17977181" w:rsidR="00B01B96" w:rsidRDefault="00B01B96">
    <w:pPr>
      <w:pStyle w:val="Header"/>
    </w:pPr>
    <w:r>
      <w:rPr>
        <w:noProof/>
      </w:rPr>
      <mc:AlternateContent>
        <mc:Choice Requires="wps">
          <w:drawing>
            <wp:anchor distT="0" distB="0" distL="0" distR="0" simplePos="0" relativeHeight="251658240" behindDoc="0" locked="0" layoutInCell="1" allowOverlap="1" wp14:anchorId="4B472894" wp14:editId="03EC948E">
              <wp:simplePos x="635" y="635"/>
              <wp:positionH relativeFrom="page">
                <wp:align>center</wp:align>
              </wp:positionH>
              <wp:positionV relativeFrom="page">
                <wp:align>top</wp:align>
              </wp:positionV>
              <wp:extent cx="686435" cy="365760"/>
              <wp:effectExtent l="0" t="0" r="18415" b="15240"/>
              <wp:wrapNone/>
              <wp:docPr id="171582489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F81E844" w14:textId="77777777" w:rsidR="00B01B96" w:rsidRPr="00B01B96" w:rsidRDefault="00B01B96" w:rsidP="00B01B96">
                          <w:pPr>
                            <w:spacing w:after="0"/>
                            <w:rPr>
                              <w:rFonts w:eastAsia="Arial" w:cs="Arial"/>
                              <w:noProof/>
                              <w:color w:val="000000"/>
                              <w:szCs w:val="24"/>
                            </w:rPr>
                          </w:pPr>
                          <w:r w:rsidRPr="00B01B96">
                            <w:rPr>
                              <w:rFonts w:eastAsia="Arial" w:cs="Arial"/>
                              <w:noProof/>
                              <w:color w:val="00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472894" id="_x0000_t202" coordsize="21600,21600" o:spt="202" path="m,l,21600r21600,l21600,xe">
              <v:stroke joinstyle="miter"/>
              <v:path gradientshapeok="t" o:connecttype="rect"/>
            </v:shapetype>
            <v:shape id="Text Box 1" o:spid="_x0000_s1028" type="#_x0000_t202" alt="OFFICIAL" style="position:absolute;margin-left:0;margin-top:0;width:54.05pt;height:28.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ArRDwIAABwEAAAOAAAAZHJzL2Uyb0RvYy54bWysU02P2jAQvVfqf7B8LwlsoduIsKK7oqqE&#10;dldiqz0bxyaRHI9lDyT013dsCLTbnqpenPHMZD7ee57f9a1hB+VDA7bk41HOmbISqsbuSv79ZfXh&#10;lrOAwlbCgFUlP6rA7xbv3807V6gJ1GAq5RkVsaHoXMlrRFdkWZC1akUYgVOWghp8K5CufpdVXnRU&#10;vTXZJM9nWQe+ch6kCoG8D6cgX6T6WiuJT1oHhcyUnGbDdPp0buOZLeai2Hnh6kaexxD/MEUrGktN&#10;L6UeBAq2980fpdpGegigcSShzUDrRqq0A20zzt9ss6mFU2kXAie4C0zh/5WVj4eNe/YM+y/QE4ER&#10;kM6FIpAz7tNr38YvTcooThAeL7CpHpkk5+x29vFmypmk0M1s+mmWYM2uPzsf8KuClkWj5J5YSWCJ&#10;wzogNaTUISX2srBqjEnMGPubgxKjJ7tOGC3stz1rqpJPhum3UB1pKQ8nvoOTq4Zar0XAZ+GJYNqD&#10;RItPdGgDXcnhbHFWg//xN3/MJ9wpyllHgim5JUVzZr5Z4iNqKxnjz/k0p5sf3NvBsPv2HkiGY3oR&#10;TiYz5qEZTO2hfSU5L2MjCgkrqV3JcTDv8aRceg5SLZcpiWTkBK7txslYOsIVsXzpX4V3Z8CRmHqE&#10;QU2ieIP7KTf+Gdxyj4R+IiVCewLyjDhJMHF1fi5R47/eU9b1US9+Ag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dBgK0Q8CAAAc&#10;BAAADgAAAAAAAAAAAAAAAAAuAgAAZHJzL2Uyb0RvYy54bWxQSwECLQAUAAYACAAAACEA0paiuNoA&#10;AAAEAQAADwAAAAAAAAAAAAAAAABpBAAAZHJzL2Rvd25yZXYueG1sUEsFBgAAAAAEAAQA8wAAAHAF&#10;AAAAAA==&#10;" filled="f" stroked="f">
              <v:textbox style="mso-fit-shape-to-text:t" inset="0,15pt,0,0">
                <w:txbxContent>
                  <w:p w14:paraId="7F81E844" w14:textId="77777777" w:rsidR="00B01B96" w:rsidRPr="00B01B96" w:rsidRDefault="00B01B96" w:rsidP="00B01B96">
                    <w:pPr>
                      <w:spacing w:after="0"/>
                      <w:rPr>
                        <w:rFonts w:eastAsia="Arial" w:cs="Arial"/>
                        <w:noProof/>
                        <w:color w:val="000000"/>
                        <w:szCs w:val="24"/>
                      </w:rPr>
                    </w:pPr>
                    <w:r w:rsidRPr="00B01B96">
                      <w:rPr>
                        <w:rFonts w:eastAsia="Arial" w:cs="Arial"/>
                        <w:noProof/>
                        <w:color w:val="000000"/>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E55AF"/>
    <w:multiLevelType w:val="hybridMultilevel"/>
    <w:tmpl w:val="C8E8F3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22D32208"/>
    <w:multiLevelType w:val="multilevel"/>
    <w:tmpl w:val="9F702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913A74"/>
    <w:multiLevelType w:val="multilevel"/>
    <w:tmpl w:val="56AA4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880C6A"/>
    <w:multiLevelType w:val="multilevel"/>
    <w:tmpl w:val="EE6C6E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EF079E"/>
    <w:multiLevelType w:val="multilevel"/>
    <w:tmpl w:val="C5841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1D3725"/>
    <w:multiLevelType w:val="multilevel"/>
    <w:tmpl w:val="A26EE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2E2B8A"/>
    <w:multiLevelType w:val="hybridMultilevel"/>
    <w:tmpl w:val="FA0418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3A55128A"/>
    <w:multiLevelType w:val="multilevel"/>
    <w:tmpl w:val="B198C0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5076F7"/>
    <w:multiLevelType w:val="multilevel"/>
    <w:tmpl w:val="79588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820C86"/>
    <w:multiLevelType w:val="multilevel"/>
    <w:tmpl w:val="420663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B601E5"/>
    <w:multiLevelType w:val="hybridMultilevel"/>
    <w:tmpl w:val="96DA92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54A32B2"/>
    <w:multiLevelType w:val="multilevel"/>
    <w:tmpl w:val="328EDCD2"/>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5A815404"/>
    <w:multiLevelType w:val="hybridMultilevel"/>
    <w:tmpl w:val="8B2E0B5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5AD329AB"/>
    <w:multiLevelType w:val="hybridMultilevel"/>
    <w:tmpl w:val="7A66FE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DD20E88"/>
    <w:multiLevelType w:val="multilevel"/>
    <w:tmpl w:val="54106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206FF7"/>
    <w:multiLevelType w:val="multilevel"/>
    <w:tmpl w:val="CADCD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D41303"/>
    <w:multiLevelType w:val="hybridMultilevel"/>
    <w:tmpl w:val="2F1459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89DFD4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6B3B7D48"/>
    <w:multiLevelType w:val="multilevel"/>
    <w:tmpl w:val="2BF24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984C96"/>
    <w:multiLevelType w:val="multilevel"/>
    <w:tmpl w:val="AF2C9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8C6B85"/>
    <w:multiLevelType w:val="multilevel"/>
    <w:tmpl w:val="10B40D22"/>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70A955B4"/>
    <w:multiLevelType w:val="hybridMultilevel"/>
    <w:tmpl w:val="62663F1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9A87AF7"/>
    <w:multiLevelType w:val="hybridMultilevel"/>
    <w:tmpl w:val="278C7AD0"/>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7BC50B43"/>
    <w:multiLevelType w:val="hybridMultilevel"/>
    <w:tmpl w:val="5F989D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60818987">
    <w:abstractNumId w:val="17"/>
  </w:num>
  <w:num w:numId="2" w16cid:durableId="1461611675">
    <w:abstractNumId w:val="18"/>
  </w:num>
  <w:num w:numId="3" w16cid:durableId="1827478723">
    <w:abstractNumId w:val="8"/>
  </w:num>
  <w:num w:numId="4" w16cid:durableId="959341710">
    <w:abstractNumId w:val="3"/>
  </w:num>
  <w:num w:numId="5" w16cid:durableId="1999914827">
    <w:abstractNumId w:val="5"/>
  </w:num>
  <w:num w:numId="6" w16cid:durableId="1687977644">
    <w:abstractNumId w:val="7"/>
  </w:num>
  <w:num w:numId="7" w16cid:durableId="1954173003">
    <w:abstractNumId w:val="9"/>
  </w:num>
  <w:num w:numId="8" w16cid:durableId="277374670">
    <w:abstractNumId w:val="6"/>
  </w:num>
  <w:num w:numId="9" w16cid:durableId="1642809041">
    <w:abstractNumId w:val="0"/>
  </w:num>
  <w:num w:numId="10" w16cid:durableId="1247492368">
    <w:abstractNumId w:val="12"/>
  </w:num>
  <w:num w:numId="11" w16cid:durableId="2050956682">
    <w:abstractNumId w:val="19"/>
  </w:num>
  <w:num w:numId="12" w16cid:durableId="1405760415">
    <w:abstractNumId w:val="14"/>
  </w:num>
  <w:num w:numId="13" w16cid:durableId="1275594340">
    <w:abstractNumId w:val="2"/>
  </w:num>
  <w:num w:numId="14" w16cid:durableId="1923181682">
    <w:abstractNumId w:val="1"/>
  </w:num>
  <w:num w:numId="15" w16cid:durableId="994643830">
    <w:abstractNumId w:val="4"/>
  </w:num>
  <w:num w:numId="16" w16cid:durableId="110824013">
    <w:abstractNumId w:val="16"/>
  </w:num>
  <w:num w:numId="17" w16cid:durableId="1406949493">
    <w:abstractNumId w:val="10"/>
  </w:num>
  <w:num w:numId="18" w16cid:durableId="1631474639">
    <w:abstractNumId w:val="23"/>
  </w:num>
  <w:num w:numId="19" w16cid:durableId="772290103">
    <w:abstractNumId w:val="20"/>
  </w:num>
  <w:num w:numId="20" w16cid:durableId="330377866">
    <w:abstractNumId w:val="11"/>
  </w:num>
  <w:num w:numId="21" w16cid:durableId="760370944">
    <w:abstractNumId w:val="15"/>
  </w:num>
  <w:num w:numId="22" w16cid:durableId="1053771689">
    <w:abstractNumId w:val="21"/>
  </w:num>
  <w:num w:numId="23" w16cid:durableId="978341633">
    <w:abstractNumId w:val="22"/>
  </w:num>
  <w:num w:numId="24" w16cid:durableId="72093989">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11B"/>
    <w:rsid w:val="00001B66"/>
    <w:rsid w:val="0000273F"/>
    <w:rsid w:val="00003D84"/>
    <w:rsid w:val="00004CB7"/>
    <w:rsid w:val="00004DA0"/>
    <w:rsid w:val="00007A4A"/>
    <w:rsid w:val="00010C59"/>
    <w:rsid w:val="00012D95"/>
    <w:rsid w:val="000148C4"/>
    <w:rsid w:val="00020627"/>
    <w:rsid w:val="00021275"/>
    <w:rsid w:val="00027CA3"/>
    <w:rsid w:val="00035F6C"/>
    <w:rsid w:val="00042DA2"/>
    <w:rsid w:val="00044878"/>
    <w:rsid w:val="00047F2E"/>
    <w:rsid w:val="00052B09"/>
    <w:rsid w:val="00057F81"/>
    <w:rsid w:val="00060324"/>
    <w:rsid w:val="00066E6B"/>
    <w:rsid w:val="00067FC0"/>
    <w:rsid w:val="00070C64"/>
    <w:rsid w:val="00073271"/>
    <w:rsid w:val="000754E2"/>
    <w:rsid w:val="000774E2"/>
    <w:rsid w:val="00082A50"/>
    <w:rsid w:val="000854CB"/>
    <w:rsid w:val="000942FF"/>
    <w:rsid w:val="000A1A8D"/>
    <w:rsid w:val="000B1B36"/>
    <w:rsid w:val="000B230F"/>
    <w:rsid w:val="000C5F4D"/>
    <w:rsid w:val="000C6263"/>
    <w:rsid w:val="000D15F7"/>
    <w:rsid w:val="000D236C"/>
    <w:rsid w:val="000D3673"/>
    <w:rsid w:val="000E2339"/>
    <w:rsid w:val="000E6B88"/>
    <w:rsid w:val="000E739F"/>
    <w:rsid w:val="000F27A0"/>
    <w:rsid w:val="000F38A0"/>
    <w:rsid w:val="000F5E65"/>
    <w:rsid w:val="00103C94"/>
    <w:rsid w:val="00104851"/>
    <w:rsid w:val="0011372D"/>
    <w:rsid w:val="0011478A"/>
    <w:rsid w:val="0012236B"/>
    <w:rsid w:val="0012287D"/>
    <w:rsid w:val="00122977"/>
    <w:rsid w:val="001239AC"/>
    <w:rsid w:val="001278E6"/>
    <w:rsid w:val="00141DA9"/>
    <w:rsid w:val="0014642A"/>
    <w:rsid w:val="001506A7"/>
    <w:rsid w:val="00154592"/>
    <w:rsid w:val="001621D0"/>
    <w:rsid w:val="00166E21"/>
    <w:rsid w:val="0017170A"/>
    <w:rsid w:val="00180248"/>
    <w:rsid w:val="00184226"/>
    <w:rsid w:val="001873C2"/>
    <w:rsid w:val="001A053B"/>
    <w:rsid w:val="001A4B39"/>
    <w:rsid w:val="001A4EB4"/>
    <w:rsid w:val="001A5296"/>
    <w:rsid w:val="001A5574"/>
    <w:rsid w:val="001B3F55"/>
    <w:rsid w:val="001C0874"/>
    <w:rsid w:val="001C3015"/>
    <w:rsid w:val="001C3196"/>
    <w:rsid w:val="001C5D2A"/>
    <w:rsid w:val="001D76A5"/>
    <w:rsid w:val="001E5E93"/>
    <w:rsid w:val="001F0BAB"/>
    <w:rsid w:val="00202D68"/>
    <w:rsid w:val="002057A8"/>
    <w:rsid w:val="00205C28"/>
    <w:rsid w:val="002127F6"/>
    <w:rsid w:val="0022094E"/>
    <w:rsid w:val="002265ED"/>
    <w:rsid w:val="00234783"/>
    <w:rsid w:val="002512E9"/>
    <w:rsid w:val="00257ACF"/>
    <w:rsid w:val="00260644"/>
    <w:rsid w:val="00261BFE"/>
    <w:rsid w:val="00263E70"/>
    <w:rsid w:val="00273EC8"/>
    <w:rsid w:val="00276D6A"/>
    <w:rsid w:val="00280147"/>
    <w:rsid w:val="00280174"/>
    <w:rsid w:val="002814E2"/>
    <w:rsid w:val="00285B96"/>
    <w:rsid w:val="002902AE"/>
    <w:rsid w:val="00294954"/>
    <w:rsid w:val="00295649"/>
    <w:rsid w:val="0029729A"/>
    <w:rsid w:val="002A12BC"/>
    <w:rsid w:val="002A1C8D"/>
    <w:rsid w:val="002A2102"/>
    <w:rsid w:val="002A3F4D"/>
    <w:rsid w:val="002B0DEA"/>
    <w:rsid w:val="002B1255"/>
    <w:rsid w:val="002B3C71"/>
    <w:rsid w:val="002B4A7D"/>
    <w:rsid w:val="002B550B"/>
    <w:rsid w:val="002B7166"/>
    <w:rsid w:val="002B7E30"/>
    <w:rsid w:val="002C02A6"/>
    <w:rsid w:val="002C049B"/>
    <w:rsid w:val="002C46BB"/>
    <w:rsid w:val="002D7055"/>
    <w:rsid w:val="002E0332"/>
    <w:rsid w:val="002E18D3"/>
    <w:rsid w:val="002E4689"/>
    <w:rsid w:val="002F2802"/>
    <w:rsid w:val="002F60CA"/>
    <w:rsid w:val="0030122D"/>
    <w:rsid w:val="003069FC"/>
    <w:rsid w:val="00307737"/>
    <w:rsid w:val="00311644"/>
    <w:rsid w:val="00316EF8"/>
    <w:rsid w:val="00322E46"/>
    <w:rsid w:val="00332628"/>
    <w:rsid w:val="00333960"/>
    <w:rsid w:val="00334D47"/>
    <w:rsid w:val="0033654B"/>
    <w:rsid w:val="00336B41"/>
    <w:rsid w:val="00336E2B"/>
    <w:rsid w:val="00337E61"/>
    <w:rsid w:val="00346373"/>
    <w:rsid w:val="0034666D"/>
    <w:rsid w:val="00346D25"/>
    <w:rsid w:val="00355E68"/>
    <w:rsid w:val="0035627A"/>
    <w:rsid w:val="00356D10"/>
    <w:rsid w:val="0036244C"/>
    <w:rsid w:val="0037647A"/>
    <w:rsid w:val="00380C3C"/>
    <w:rsid w:val="0038262A"/>
    <w:rsid w:val="00385ADB"/>
    <w:rsid w:val="00386DE0"/>
    <w:rsid w:val="00394C44"/>
    <w:rsid w:val="00396082"/>
    <w:rsid w:val="003A6E5A"/>
    <w:rsid w:val="003B1D6F"/>
    <w:rsid w:val="003B409E"/>
    <w:rsid w:val="003C5FB8"/>
    <w:rsid w:val="003C6174"/>
    <w:rsid w:val="003D01B7"/>
    <w:rsid w:val="003D181B"/>
    <w:rsid w:val="003D1F66"/>
    <w:rsid w:val="003F44DF"/>
    <w:rsid w:val="003F6986"/>
    <w:rsid w:val="0040116B"/>
    <w:rsid w:val="00403FA4"/>
    <w:rsid w:val="004134B7"/>
    <w:rsid w:val="004170B3"/>
    <w:rsid w:val="00424B52"/>
    <w:rsid w:val="00427A6F"/>
    <w:rsid w:val="00432864"/>
    <w:rsid w:val="00433233"/>
    <w:rsid w:val="00455E36"/>
    <w:rsid w:val="00457E4D"/>
    <w:rsid w:val="00464D01"/>
    <w:rsid w:val="004719E0"/>
    <w:rsid w:val="00482684"/>
    <w:rsid w:val="004860B1"/>
    <w:rsid w:val="00494252"/>
    <w:rsid w:val="004A3BE5"/>
    <w:rsid w:val="004A3C4E"/>
    <w:rsid w:val="004A6D31"/>
    <w:rsid w:val="004B088C"/>
    <w:rsid w:val="004B2D92"/>
    <w:rsid w:val="004C3472"/>
    <w:rsid w:val="004C508D"/>
    <w:rsid w:val="004C6ADF"/>
    <w:rsid w:val="004D4711"/>
    <w:rsid w:val="004D4CB9"/>
    <w:rsid w:val="004E640C"/>
    <w:rsid w:val="004F05BE"/>
    <w:rsid w:val="004F142F"/>
    <w:rsid w:val="004F1641"/>
    <w:rsid w:val="004F6F7B"/>
    <w:rsid w:val="00503DED"/>
    <w:rsid w:val="0050545B"/>
    <w:rsid w:val="0050721C"/>
    <w:rsid w:val="0051711A"/>
    <w:rsid w:val="00520EA8"/>
    <w:rsid w:val="005237DE"/>
    <w:rsid w:val="0052759C"/>
    <w:rsid w:val="00537EBB"/>
    <w:rsid w:val="005474A4"/>
    <w:rsid w:val="00550EC2"/>
    <w:rsid w:val="00554FA8"/>
    <w:rsid w:val="0056382B"/>
    <w:rsid w:val="00570A9B"/>
    <w:rsid w:val="00572C7C"/>
    <w:rsid w:val="0057417C"/>
    <w:rsid w:val="005756B3"/>
    <w:rsid w:val="00576766"/>
    <w:rsid w:val="005920DA"/>
    <w:rsid w:val="00597FF3"/>
    <w:rsid w:val="005A7FEB"/>
    <w:rsid w:val="005B148D"/>
    <w:rsid w:val="005B781A"/>
    <w:rsid w:val="005C064C"/>
    <w:rsid w:val="005C598A"/>
    <w:rsid w:val="005C6F9F"/>
    <w:rsid w:val="005C7566"/>
    <w:rsid w:val="005D1C6C"/>
    <w:rsid w:val="005F205C"/>
    <w:rsid w:val="005F31D5"/>
    <w:rsid w:val="006068B6"/>
    <w:rsid w:val="00612120"/>
    <w:rsid w:val="00620227"/>
    <w:rsid w:val="00620D03"/>
    <w:rsid w:val="00623936"/>
    <w:rsid w:val="00626191"/>
    <w:rsid w:val="006310EA"/>
    <w:rsid w:val="00632D0A"/>
    <w:rsid w:val="0063390B"/>
    <w:rsid w:val="00637D87"/>
    <w:rsid w:val="006423F3"/>
    <w:rsid w:val="00643929"/>
    <w:rsid w:val="006508C6"/>
    <w:rsid w:val="00650DC0"/>
    <w:rsid w:val="006532B0"/>
    <w:rsid w:val="00653D10"/>
    <w:rsid w:val="00660665"/>
    <w:rsid w:val="00665BAC"/>
    <w:rsid w:val="00665C96"/>
    <w:rsid w:val="00666456"/>
    <w:rsid w:val="006710FD"/>
    <w:rsid w:val="00680D0B"/>
    <w:rsid w:val="006873DE"/>
    <w:rsid w:val="00691298"/>
    <w:rsid w:val="00697D91"/>
    <w:rsid w:val="006A4F96"/>
    <w:rsid w:val="006A5AE4"/>
    <w:rsid w:val="006C5289"/>
    <w:rsid w:val="006C665E"/>
    <w:rsid w:val="006E0C91"/>
    <w:rsid w:val="006E3E34"/>
    <w:rsid w:val="006E6CC4"/>
    <w:rsid w:val="006E7C20"/>
    <w:rsid w:val="006F33F5"/>
    <w:rsid w:val="00700F4A"/>
    <w:rsid w:val="00701F09"/>
    <w:rsid w:val="007023E8"/>
    <w:rsid w:val="007114D4"/>
    <w:rsid w:val="00711E6F"/>
    <w:rsid w:val="00725118"/>
    <w:rsid w:val="00725DFD"/>
    <w:rsid w:val="007316DA"/>
    <w:rsid w:val="007379C2"/>
    <w:rsid w:val="00745DEB"/>
    <w:rsid w:val="00752132"/>
    <w:rsid w:val="007523E8"/>
    <w:rsid w:val="0075243E"/>
    <w:rsid w:val="007679F4"/>
    <w:rsid w:val="00767AF7"/>
    <w:rsid w:val="007716E0"/>
    <w:rsid w:val="0077243A"/>
    <w:rsid w:val="007873E8"/>
    <w:rsid w:val="00791B4A"/>
    <w:rsid w:val="00792456"/>
    <w:rsid w:val="00796CD3"/>
    <w:rsid w:val="007A1B54"/>
    <w:rsid w:val="007A3F3C"/>
    <w:rsid w:val="007A4324"/>
    <w:rsid w:val="007B24CB"/>
    <w:rsid w:val="007B3EDC"/>
    <w:rsid w:val="007B41AB"/>
    <w:rsid w:val="007B4BA7"/>
    <w:rsid w:val="007B6227"/>
    <w:rsid w:val="007B6BB8"/>
    <w:rsid w:val="007C2676"/>
    <w:rsid w:val="007C3410"/>
    <w:rsid w:val="007D40B9"/>
    <w:rsid w:val="007D475F"/>
    <w:rsid w:val="007D4869"/>
    <w:rsid w:val="007E1910"/>
    <w:rsid w:val="007E24BE"/>
    <w:rsid w:val="007E45E1"/>
    <w:rsid w:val="007E5B68"/>
    <w:rsid w:val="007F0D86"/>
    <w:rsid w:val="007F2AD8"/>
    <w:rsid w:val="007F7160"/>
    <w:rsid w:val="00811F98"/>
    <w:rsid w:val="00814531"/>
    <w:rsid w:val="00814AC0"/>
    <w:rsid w:val="00815915"/>
    <w:rsid w:val="00820E32"/>
    <w:rsid w:val="00822776"/>
    <w:rsid w:val="008239A3"/>
    <w:rsid w:val="0083020A"/>
    <w:rsid w:val="00837E5A"/>
    <w:rsid w:val="008448CA"/>
    <w:rsid w:val="00845C09"/>
    <w:rsid w:val="00845C7E"/>
    <w:rsid w:val="00845CF5"/>
    <w:rsid w:val="00846710"/>
    <w:rsid w:val="008509E0"/>
    <w:rsid w:val="00852577"/>
    <w:rsid w:val="008533EB"/>
    <w:rsid w:val="00862543"/>
    <w:rsid w:val="008664FC"/>
    <w:rsid w:val="00871DBA"/>
    <w:rsid w:val="008745C7"/>
    <w:rsid w:val="00875A9F"/>
    <w:rsid w:val="00881542"/>
    <w:rsid w:val="00882D68"/>
    <w:rsid w:val="00890DC4"/>
    <w:rsid w:val="008A1405"/>
    <w:rsid w:val="008A17EB"/>
    <w:rsid w:val="008A4542"/>
    <w:rsid w:val="008A6087"/>
    <w:rsid w:val="008B6DBC"/>
    <w:rsid w:val="008B7808"/>
    <w:rsid w:val="008C1B73"/>
    <w:rsid w:val="008C298B"/>
    <w:rsid w:val="008C30B0"/>
    <w:rsid w:val="008C3536"/>
    <w:rsid w:val="008C3BB8"/>
    <w:rsid w:val="008D751B"/>
    <w:rsid w:val="008F0EDD"/>
    <w:rsid w:val="00900449"/>
    <w:rsid w:val="009007CE"/>
    <w:rsid w:val="00902B2E"/>
    <w:rsid w:val="0090531A"/>
    <w:rsid w:val="00906B32"/>
    <w:rsid w:val="00911683"/>
    <w:rsid w:val="00912959"/>
    <w:rsid w:val="00912ADE"/>
    <w:rsid w:val="00920D7B"/>
    <w:rsid w:val="0092198E"/>
    <w:rsid w:val="009311A9"/>
    <w:rsid w:val="00937869"/>
    <w:rsid w:val="00941054"/>
    <w:rsid w:val="009433A0"/>
    <w:rsid w:val="00952DA0"/>
    <w:rsid w:val="009534FE"/>
    <w:rsid w:val="00953D0C"/>
    <w:rsid w:val="00956231"/>
    <w:rsid w:val="00971211"/>
    <w:rsid w:val="00975E6F"/>
    <w:rsid w:val="00986409"/>
    <w:rsid w:val="0099059D"/>
    <w:rsid w:val="00995B25"/>
    <w:rsid w:val="009A0887"/>
    <w:rsid w:val="009B3542"/>
    <w:rsid w:val="009B6478"/>
    <w:rsid w:val="009C2DDA"/>
    <w:rsid w:val="009C43E3"/>
    <w:rsid w:val="009D34EA"/>
    <w:rsid w:val="009D5067"/>
    <w:rsid w:val="009D673A"/>
    <w:rsid w:val="009E0098"/>
    <w:rsid w:val="009E3942"/>
    <w:rsid w:val="009E761F"/>
    <w:rsid w:val="00A0723F"/>
    <w:rsid w:val="00A078D7"/>
    <w:rsid w:val="00A13371"/>
    <w:rsid w:val="00A1574A"/>
    <w:rsid w:val="00A159A3"/>
    <w:rsid w:val="00A36005"/>
    <w:rsid w:val="00A431AB"/>
    <w:rsid w:val="00A45A2F"/>
    <w:rsid w:val="00A531BD"/>
    <w:rsid w:val="00A55149"/>
    <w:rsid w:val="00A57880"/>
    <w:rsid w:val="00A62635"/>
    <w:rsid w:val="00A63FC6"/>
    <w:rsid w:val="00A729AD"/>
    <w:rsid w:val="00A73014"/>
    <w:rsid w:val="00A75EFE"/>
    <w:rsid w:val="00A807ED"/>
    <w:rsid w:val="00A809E4"/>
    <w:rsid w:val="00A90A22"/>
    <w:rsid w:val="00A933F0"/>
    <w:rsid w:val="00AB14CB"/>
    <w:rsid w:val="00AB2103"/>
    <w:rsid w:val="00AB2CB4"/>
    <w:rsid w:val="00AB2CF1"/>
    <w:rsid w:val="00AC067C"/>
    <w:rsid w:val="00AC10A1"/>
    <w:rsid w:val="00AC1AC3"/>
    <w:rsid w:val="00AC1B2A"/>
    <w:rsid w:val="00AC2C1A"/>
    <w:rsid w:val="00AC3D25"/>
    <w:rsid w:val="00AC4A9F"/>
    <w:rsid w:val="00AC5E76"/>
    <w:rsid w:val="00B01B96"/>
    <w:rsid w:val="00B0775A"/>
    <w:rsid w:val="00B17D70"/>
    <w:rsid w:val="00B235CC"/>
    <w:rsid w:val="00B2375E"/>
    <w:rsid w:val="00B30E0D"/>
    <w:rsid w:val="00B3241F"/>
    <w:rsid w:val="00B4245A"/>
    <w:rsid w:val="00B432FB"/>
    <w:rsid w:val="00B5566A"/>
    <w:rsid w:val="00B63334"/>
    <w:rsid w:val="00B63BD9"/>
    <w:rsid w:val="00B64086"/>
    <w:rsid w:val="00B65504"/>
    <w:rsid w:val="00B677BA"/>
    <w:rsid w:val="00B72DB7"/>
    <w:rsid w:val="00B75FDF"/>
    <w:rsid w:val="00B779B1"/>
    <w:rsid w:val="00BA111B"/>
    <w:rsid w:val="00BA149B"/>
    <w:rsid w:val="00BA650D"/>
    <w:rsid w:val="00BA71C5"/>
    <w:rsid w:val="00BB0DF4"/>
    <w:rsid w:val="00BB239C"/>
    <w:rsid w:val="00BB2DE0"/>
    <w:rsid w:val="00BB4EE0"/>
    <w:rsid w:val="00BB614D"/>
    <w:rsid w:val="00BC3C3D"/>
    <w:rsid w:val="00BD0D84"/>
    <w:rsid w:val="00BE3D20"/>
    <w:rsid w:val="00BE408C"/>
    <w:rsid w:val="00BE43C9"/>
    <w:rsid w:val="00BE5F55"/>
    <w:rsid w:val="00BF18B7"/>
    <w:rsid w:val="00BF4B77"/>
    <w:rsid w:val="00BF5C84"/>
    <w:rsid w:val="00C05169"/>
    <w:rsid w:val="00C0703B"/>
    <w:rsid w:val="00C11D71"/>
    <w:rsid w:val="00C15AFE"/>
    <w:rsid w:val="00C22E0F"/>
    <w:rsid w:val="00C257EB"/>
    <w:rsid w:val="00C33E46"/>
    <w:rsid w:val="00C34989"/>
    <w:rsid w:val="00C3594A"/>
    <w:rsid w:val="00C4076A"/>
    <w:rsid w:val="00C42F53"/>
    <w:rsid w:val="00C43316"/>
    <w:rsid w:val="00C450D2"/>
    <w:rsid w:val="00C50D26"/>
    <w:rsid w:val="00C51AE2"/>
    <w:rsid w:val="00C54C60"/>
    <w:rsid w:val="00C55A16"/>
    <w:rsid w:val="00C55EBA"/>
    <w:rsid w:val="00C5658F"/>
    <w:rsid w:val="00C57A90"/>
    <w:rsid w:val="00C60897"/>
    <w:rsid w:val="00C62F8A"/>
    <w:rsid w:val="00C63763"/>
    <w:rsid w:val="00C73548"/>
    <w:rsid w:val="00C75222"/>
    <w:rsid w:val="00C75D8C"/>
    <w:rsid w:val="00C85092"/>
    <w:rsid w:val="00C86B78"/>
    <w:rsid w:val="00C92A38"/>
    <w:rsid w:val="00C95AEC"/>
    <w:rsid w:val="00C9671A"/>
    <w:rsid w:val="00CA25CC"/>
    <w:rsid w:val="00CA4439"/>
    <w:rsid w:val="00CA72D0"/>
    <w:rsid w:val="00CB0E8A"/>
    <w:rsid w:val="00CB31C3"/>
    <w:rsid w:val="00CB5F90"/>
    <w:rsid w:val="00CC3066"/>
    <w:rsid w:val="00CC53A5"/>
    <w:rsid w:val="00CC710B"/>
    <w:rsid w:val="00CD23B2"/>
    <w:rsid w:val="00CE0091"/>
    <w:rsid w:val="00CE2BCE"/>
    <w:rsid w:val="00CE2D78"/>
    <w:rsid w:val="00CE309C"/>
    <w:rsid w:val="00CE3519"/>
    <w:rsid w:val="00CE6584"/>
    <w:rsid w:val="00CF176E"/>
    <w:rsid w:val="00D007B4"/>
    <w:rsid w:val="00D03B6C"/>
    <w:rsid w:val="00D04C1C"/>
    <w:rsid w:val="00D22B04"/>
    <w:rsid w:val="00D2536D"/>
    <w:rsid w:val="00D3162B"/>
    <w:rsid w:val="00D32767"/>
    <w:rsid w:val="00D348DC"/>
    <w:rsid w:val="00D363A1"/>
    <w:rsid w:val="00D40CBB"/>
    <w:rsid w:val="00D51820"/>
    <w:rsid w:val="00D53BA3"/>
    <w:rsid w:val="00D5518A"/>
    <w:rsid w:val="00D57E42"/>
    <w:rsid w:val="00D6287E"/>
    <w:rsid w:val="00D63CD7"/>
    <w:rsid w:val="00D662A0"/>
    <w:rsid w:val="00D72583"/>
    <w:rsid w:val="00D8152C"/>
    <w:rsid w:val="00D878DD"/>
    <w:rsid w:val="00D9144C"/>
    <w:rsid w:val="00D97579"/>
    <w:rsid w:val="00DA0BAE"/>
    <w:rsid w:val="00DA3201"/>
    <w:rsid w:val="00DC460E"/>
    <w:rsid w:val="00DC6578"/>
    <w:rsid w:val="00DE00C2"/>
    <w:rsid w:val="00DE2247"/>
    <w:rsid w:val="00DE2C06"/>
    <w:rsid w:val="00DE43FD"/>
    <w:rsid w:val="00DF1B5F"/>
    <w:rsid w:val="00DF485F"/>
    <w:rsid w:val="00E05860"/>
    <w:rsid w:val="00E121CE"/>
    <w:rsid w:val="00E132C3"/>
    <w:rsid w:val="00E1390D"/>
    <w:rsid w:val="00E13ED7"/>
    <w:rsid w:val="00E141EE"/>
    <w:rsid w:val="00E15664"/>
    <w:rsid w:val="00E25C57"/>
    <w:rsid w:val="00E31932"/>
    <w:rsid w:val="00E34DD7"/>
    <w:rsid w:val="00E364A6"/>
    <w:rsid w:val="00E37A04"/>
    <w:rsid w:val="00E47582"/>
    <w:rsid w:val="00E508C2"/>
    <w:rsid w:val="00E53E49"/>
    <w:rsid w:val="00E57D1B"/>
    <w:rsid w:val="00E618B4"/>
    <w:rsid w:val="00E62C9C"/>
    <w:rsid w:val="00E6376E"/>
    <w:rsid w:val="00E67034"/>
    <w:rsid w:val="00E67FF1"/>
    <w:rsid w:val="00E70814"/>
    <w:rsid w:val="00E744B2"/>
    <w:rsid w:val="00E763AA"/>
    <w:rsid w:val="00E76D29"/>
    <w:rsid w:val="00E84D3B"/>
    <w:rsid w:val="00E905D3"/>
    <w:rsid w:val="00EB2400"/>
    <w:rsid w:val="00EB5823"/>
    <w:rsid w:val="00EB7310"/>
    <w:rsid w:val="00EC35AD"/>
    <w:rsid w:val="00ED4B4E"/>
    <w:rsid w:val="00EE0F94"/>
    <w:rsid w:val="00EF72CD"/>
    <w:rsid w:val="00F029C2"/>
    <w:rsid w:val="00F073B9"/>
    <w:rsid w:val="00F13CEA"/>
    <w:rsid w:val="00F21442"/>
    <w:rsid w:val="00F25F77"/>
    <w:rsid w:val="00F32897"/>
    <w:rsid w:val="00F3302A"/>
    <w:rsid w:val="00F34408"/>
    <w:rsid w:val="00F34AEB"/>
    <w:rsid w:val="00F3754E"/>
    <w:rsid w:val="00F440B4"/>
    <w:rsid w:val="00F503E0"/>
    <w:rsid w:val="00F50D39"/>
    <w:rsid w:val="00F632F6"/>
    <w:rsid w:val="00F6543E"/>
    <w:rsid w:val="00F667C6"/>
    <w:rsid w:val="00F6762D"/>
    <w:rsid w:val="00F678AC"/>
    <w:rsid w:val="00F77599"/>
    <w:rsid w:val="00F801C6"/>
    <w:rsid w:val="00F922B4"/>
    <w:rsid w:val="00F93595"/>
    <w:rsid w:val="00F944D9"/>
    <w:rsid w:val="00F967BD"/>
    <w:rsid w:val="00FA1450"/>
    <w:rsid w:val="00FA2F08"/>
    <w:rsid w:val="00FA3E85"/>
    <w:rsid w:val="00FA5326"/>
    <w:rsid w:val="00FB1C30"/>
    <w:rsid w:val="00FB1F73"/>
    <w:rsid w:val="00FC0C60"/>
    <w:rsid w:val="00FC0ECF"/>
    <w:rsid w:val="00FC183B"/>
    <w:rsid w:val="00FC3A71"/>
    <w:rsid w:val="00FC495A"/>
    <w:rsid w:val="00FD035C"/>
    <w:rsid w:val="00FD09C7"/>
    <w:rsid w:val="00FD29D4"/>
    <w:rsid w:val="00FD5100"/>
    <w:rsid w:val="00FE08C7"/>
    <w:rsid w:val="00FE13F6"/>
    <w:rsid w:val="00FE429E"/>
    <w:rsid w:val="00FE7FA6"/>
    <w:rsid w:val="00FF4C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56CE78"/>
  <w15:chartTrackingRefBased/>
  <w15:docId w15:val="{4B794057-A538-42B5-88E1-37AB5B610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E68"/>
    <w:pPr>
      <w:spacing w:before="240" w:after="240" w:line="360" w:lineRule="auto"/>
    </w:pPr>
    <w:rPr>
      <w:rFonts w:ascii="Arial" w:hAnsi="Arial"/>
      <w:sz w:val="24"/>
    </w:rPr>
  </w:style>
  <w:style w:type="paragraph" w:styleId="Heading1">
    <w:name w:val="heading 1"/>
    <w:basedOn w:val="Normal"/>
    <w:next w:val="Normal"/>
    <w:link w:val="Heading1Char"/>
    <w:uiPriority w:val="9"/>
    <w:qFormat/>
    <w:rsid w:val="00B01B96"/>
    <w:pPr>
      <w:keepNext/>
      <w:keepLines/>
      <w:spacing w:before="360" w:after="80"/>
      <w:outlineLvl w:val="0"/>
    </w:pPr>
    <w:rPr>
      <w:rFonts w:eastAsiaTheme="majorEastAsia" w:cstheme="majorBidi"/>
      <w:sz w:val="40"/>
      <w:szCs w:val="40"/>
    </w:rPr>
  </w:style>
  <w:style w:type="paragraph" w:styleId="Heading2">
    <w:name w:val="heading 2"/>
    <w:basedOn w:val="Normal"/>
    <w:next w:val="Normal"/>
    <w:link w:val="Heading2Char"/>
    <w:uiPriority w:val="9"/>
    <w:unhideWhenUsed/>
    <w:qFormat/>
    <w:rsid w:val="00004DA0"/>
    <w:pPr>
      <w:keepNext/>
      <w:keepLines/>
      <w:spacing w:before="360" w:after="360" w:line="240" w:lineRule="auto"/>
      <w:outlineLvl w:val="1"/>
    </w:pPr>
    <w:rPr>
      <w:rFonts w:eastAsiaTheme="majorEastAsia" w:cstheme="majorBidi"/>
      <w:color w:val="000000" w:themeColor="text1"/>
      <w:sz w:val="32"/>
      <w:szCs w:val="32"/>
    </w:rPr>
  </w:style>
  <w:style w:type="paragraph" w:styleId="Heading3">
    <w:name w:val="heading 3"/>
    <w:basedOn w:val="Normal"/>
    <w:next w:val="Normal"/>
    <w:link w:val="Heading3Char"/>
    <w:uiPriority w:val="9"/>
    <w:unhideWhenUsed/>
    <w:qFormat/>
    <w:rsid w:val="005B781A"/>
    <w:pPr>
      <w:keepNext/>
      <w:keepLines/>
      <w:spacing w:before="160" w:after="80"/>
      <w:outlineLvl w:val="2"/>
    </w:pPr>
    <w:rPr>
      <w:rFonts w:eastAsiaTheme="majorEastAsia" w:cstheme="majorBidi"/>
      <w:color w:val="000000" w:themeColor="text1"/>
      <w:sz w:val="28"/>
      <w:szCs w:val="28"/>
    </w:rPr>
  </w:style>
  <w:style w:type="paragraph" w:styleId="Heading4">
    <w:name w:val="heading 4"/>
    <w:basedOn w:val="Normal"/>
    <w:next w:val="Normal"/>
    <w:link w:val="Heading4Char"/>
    <w:uiPriority w:val="9"/>
    <w:unhideWhenUsed/>
    <w:qFormat/>
    <w:rsid w:val="005B781A"/>
    <w:pPr>
      <w:keepNext/>
      <w:keepLines/>
      <w:spacing w:before="80" w:after="40"/>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B01B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1B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1B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1B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1B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1B96"/>
    <w:rPr>
      <w:rFonts w:ascii="Arial" w:eastAsiaTheme="majorEastAsia" w:hAnsi="Arial" w:cstheme="majorBidi"/>
      <w:sz w:val="40"/>
      <w:szCs w:val="40"/>
    </w:rPr>
  </w:style>
  <w:style w:type="character" w:customStyle="1" w:styleId="Heading2Char">
    <w:name w:val="Heading 2 Char"/>
    <w:basedOn w:val="DefaultParagraphFont"/>
    <w:link w:val="Heading2"/>
    <w:uiPriority w:val="9"/>
    <w:rsid w:val="00004DA0"/>
    <w:rPr>
      <w:rFonts w:ascii="Arial" w:eastAsiaTheme="majorEastAsia" w:hAnsi="Arial" w:cstheme="majorBidi"/>
      <w:color w:val="000000" w:themeColor="text1"/>
      <w:sz w:val="32"/>
      <w:szCs w:val="32"/>
    </w:rPr>
  </w:style>
  <w:style w:type="character" w:customStyle="1" w:styleId="Heading3Char">
    <w:name w:val="Heading 3 Char"/>
    <w:basedOn w:val="DefaultParagraphFont"/>
    <w:link w:val="Heading3"/>
    <w:uiPriority w:val="9"/>
    <w:rsid w:val="005B781A"/>
    <w:rPr>
      <w:rFonts w:ascii="Arial" w:eastAsiaTheme="majorEastAsia" w:hAnsi="Arial" w:cstheme="majorBidi"/>
      <w:color w:val="000000" w:themeColor="text1"/>
      <w:sz w:val="28"/>
      <w:szCs w:val="28"/>
    </w:rPr>
  </w:style>
  <w:style w:type="character" w:customStyle="1" w:styleId="Heading4Char">
    <w:name w:val="Heading 4 Char"/>
    <w:basedOn w:val="DefaultParagraphFont"/>
    <w:link w:val="Heading4"/>
    <w:uiPriority w:val="9"/>
    <w:rsid w:val="005B781A"/>
    <w:rPr>
      <w:rFonts w:ascii="Arial" w:eastAsiaTheme="majorEastAsia" w:hAnsi="Arial" w:cstheme="majorBidi"/>
      <w:b/>
      <w:iCs/>
    </w:rPr>
  </w:style>
  <w:style w:type="character" w:customStyle="1" w:styleId="Heading5Char">
    <w:name w:val="Heading 5 Char"/>
    <w:basedOn w:val="DefaultParagraphFont"/>
    <w:link w:val="Heading5"/>
    <w:uiPriority w:val="9"/>
    <w:semiHidden/>
    <w:rsid w:val="00B01B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1B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1B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1B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1B96"/>
    <w:rPr>
      <w:rFonts w:eastAsiaTheme="majorEastAsia" w:cstheme="majorBidi"/>
      <w:color w:val="272727" w:themeColor="text1" w:themeTint="D8"/>
    </w:rPr>
  </w:style>
  <w:style w:type="paragraph" w:styleId="Title">
    <w:name w:val="Title"/>
    <w:basedOn w:val="Normal"/>
    <w:next w:val="Normal"/>
    <w:link w:val="TitleChar"/>
    <w:uiPriority w:val="10"/>
    <w:qFormat/>
    <w:rsid w:val="007924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24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1B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1B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1B96"/>
    <w:pPr>
      <w:spacing w:before="160"/>
      <w:jc w:val="center"/>
    </w:pPr>
    <w:rPr>
      <w:i/>
      <w:iCs/>
      <w:color w:val="404040" w:themeColor="text1" w:themeTint="BF"/>
    </w:rPr>
  </w:style>
  <w:style w:type="character" w:customStyle="1" w:styleId="QuoteChar">
    <w:name w:val="Quote Char"/>
    <w:basedOn w:val="DefaultParagraphFont"/>
    <w:link w:val="Quote"/>
    <w:uiPriority w:val="29"/>
    <w:rsid w:val="00B01B96"/>
    <w:rPr>
      <w:i/>
      <w:iCs/>
      <w:color w:val="404040" w:themeColor="text1" w:themeTint="BF"/>
    </w:rPr>
  </w:style>
  <w:style w:type="paragraph" w:styleId="ListParagraph">
    <w:name w:val="List Paragraph"/>
    <w:basedOn w:val="Normal"/>
    <w:uiPriority w:val="34"/>
    <w:qFormat/>
    <w:rsid w:val="00B01B96"/>
    <w:pPr>
      <w:ind w:left="720"/>
      <w:contextualSpacing/>
    </w:pPr>
  </w:style>
  <w:style w:type="character" w:styleId="IntenseEmphasis">
    <w:name w:val="Intense Emphasis"/>
    <w:basedOn w:val="DefaultParagraphFont"/>
    <w:uiPriority w:val="21"/>
    <w:qFormat/>
    <w:rsid w:val="00B01B96"/>
    <w:rPr>
      <w:i/>
      <w:iCs/>
      <w:color w:val="0F4761" w:themeColor="accent1" w:themeShade="BF"/>
    </w:rPr>
  </w:style>
  <w:style w:type="paragraph" w:styleId="IntenseQuote">
    <w:name w:val="Intense Quote"/>
    <w:basedOn w:val="Normal"/>
    <w:next w:val="Normal"/>
    <w:link w:val="IntenseQuoteChar"/>
    <w:uiPriority w:val="30"/>
    <w:qFormat/>
    <w:rsid w:val="00B01B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1B96"/>
    <w:rPr>
      <w:i/>
      <w:iCs/>
      <w:color w:val="0F4761" w:themeColor="accent1" w:themeShade="BF"/>
    </w:rPr>
  </w:style>
  <w:style w:type="character" w:styleId="IntenseReference">
    <w:name w:val="Intense Reference"/>
    <w:basedOn w:val="DefaultParagraphFont"/>
    <w:uiPriority w:val="32"/>
    <w:qFormat/>
    <w:rsid w:val="00B01B96"/>
    <w:rPr>
      <w:b/>
      <w:bCs/>
      <w:smallCaps/>
      <w:color w:val="0F4761" w:themeColor="accent1" w:themeShade="BF"/>
      <w:spacing w:val="5"/>
    </w:rPr>
  </w:style>
  <w:style w:type="paragraph" w:styleId="Header">
    <w:name w:val="header"/>
    <w:basedOn w:val="Normal"/>
    <w:link w:val="HeaderChar"/>
    <w:uiPriority w:val="99"/>
    <w:unhideWhenUsed/>
    <w:rsid w:val="00B01B96"/>
    <w:pPr>
      <w:tabs>
        <w:tab w:val="center" w:pos="4513"/>
        <w:tab w:val="right" w:pos="9026"/>
      </w:tabs>
      <w:spacing w:after="0"/>
    </w:pPr>
  </w:style>
  <w:style w:type="character" w:customStyle="1" w:styleId="HeaderChar">
    <w:name w:val="Header Char"/>
    <w:basedOn w:val="DefaultParagraphFont"/>
    <w:link w:val="Header"/>
    <w:uiPriority w:val="99"/>
    <w:rsid w:val="00B01B96"/>
    <w:rPr>
      <w:rFonts w:ascii="Arial" w:hAnsi="Arial"/>
    </w:rPr>
  </w:style>
  <w:style w:type="paragraph" w:styleId="Footer">
    <w:name w:val="footer"/>
    <w:basedOn w:val="Normal"/>
    <w:link w:val="FooterChar"/>
    <w:uiPriority w:val="99"/>
    <w:unhideWhenUsed/>
    <w:rsid w:val="00B01B96"/>
    <w:pPr>
      <w:tabs>
        <w:tab w:val="center" w:pos="4513"/>
        <w:tab w:val="right" w:pos="9026"/>
      </w:tabs>
      <w:spacing w:after="0"/>
    </w:pPr>
  </w:style>
  <w:style w:type="character" w:customStyle="1" w:styleId="FooterChar">
    <w:name w:val="Footer Char"/>
    <w:basedOn w:val="DefaultParagraphFont"/>
    <w:link w:val="Footer"/>
    <w:uiPriority w:val="99"/>
    <w:rsid w:val="00B01B96"/>
    <w:rPr>
      <w:rFonts w:ascii="Arial" w:hAnsi="Arial"/>
    </w:rPr>
  </w:style>
  <w:style w:type="character" w:styleId="Hyperlink">
    <w:name w:val="Hyperlink"/>
    <w:basedOn w:val="DefaultParagraphFont"/>
    <w:uiPriority w:val="99"/>
    <w:unhideWhenUsed/>
    <w:rsid w:val="000B1B36"/>
    <w:rPr>
      <w:color w:val="467886" w:themeColor="hyperlink"/>
      <w:u w:val="single"/>
    </w:rPr>
  </w:style>
  <w:style w:type="table" w:styleId="TableGrid">
    <w:name w:val="Table Grid"/>
    <w:basedOn w:val="TableNormal"/>
    <w:uiPriority w:val="39"/>
    <w:rsid w:val="00BA11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C4076A"/>
    <w:pPr>
      <w:spacing w:after="100"/>
    </w:pPr>
  </w:style>
  <w:style w:type="paragraph" w:styleId="TOC2">
    <w:name w:val="toc 2"/>
    <w:basedOn w:val="Normal"/>
    <w:next w:val="Normal"/>
    <w:autoRedefine/>
    <w:uiPriority w:val="39"/>
    <w:unhideWhenUsed/>
    <w:rsid w:val="00C4076A"/>
    <w:pPr>
      <w:spacing w:after="100"/>
      <w:ind w:left="220"/>
    </w:pPr>
  </w:style>
  <w:style w:type="table" w:styleId="GridTable4">
    <w:name w:val="Grid Table 4"/>
    <w:basedOn w:val="TableNormal"/>
    <w:uiPriority w:val="49"/>
    <w:rsid w:val="005B781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
    <w:name w:val="List Table 3"/>
    <w:basedOn w:val="TableNormal"/>
    <w:uiPriority w:val="48"/>
    <w:rsid w:val="005B781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TOC3">
    <w:name w:val="toc 3"/>
    <w:basedOn w:val="Normal"/>
    <w:next w:val="Normal"/>
    <w:autoRedefine/>
    <w:uiPriority w:val="39"/>
    <w:unhideWhenUsed/>
    <w:rsid w:val="005B781A"/>
    <w:pPr>
      <w:spacing w:after="100"/>
      <w:ind w:left="440"/>
    </w:pPr>
  </w:style>
  <w:style w:type="character" w:styleId="UnresolvedMention">
    <w:name w:val="Unresolved Mention"/>
    <w:basedOn w:val="DefaultParagraphFont"/>
    <w:uiPriority w:val="99"/>
    <w:semiHidden/>
    <w:unhideWhenUsed/>
    <w:rsid w:val="00012D95"/>
    <w:rPr>
      <w:color w:val="605E5C"/>
      <w:shd w:val="clear" w:color="auto" w:fill="E1DFDD"/>
    </w:rPr>
  </w:style>
  <w:style w:type="paragraph" w:customStyle="1" w:styleId="Default">
    <w:name w:val="Default"/>
    <w:rsid w:val="00021275"/>
    <w:pPr>
      <w:autoSpaceDE w:val="0"/>
      <w:autoSpaceDN w:val="0"/>
      <w:adjustRightInd w:val="0"/>
      <w:spacing w:after="0" w:line="240" w:lineRule="auto"/>
    </w:pPr>
    <w:rPr>
      <w:rFonts w:ascii="EYInterstate" w:hAnsi="EYInterstate" w:cs="EYInterstate"/>
      <w:color w:val="000000"/>
      <w:sz w:val="24"/>
      <w:szCs w:val="24"/>
    </w:rPr>
  </w:style>
  <w:style w:type="paragraph" w:styleId="TOC4">
    <w:name w:val="toc 4"/>
    <w:basedOn w:val="Normal"/>
    <w:next w:val="Normal"/>
    <w:autoRedefine/>
    <w:uiPriority w:val="39"/>
    <w:unhideWhenUsed/>
    <w:rsid w:val="00FF4C5F"/>
    <w:pPr>
      <w:spacing w:after="100"/>
      <w:ind w:left="660"/>
    </w:pPr>
  </w:style>
  <w:style w:type="paragraph" w:styleId="TOCHeading">
    <w:name w:val="TOC Heading"/>
    <w:basedOn w:val="Heading1"/>
    <w:next w:val="Normal"/>
    <w:uiPriority w:val="39"/>
    <w:unhideWhenUsed/>
    <w:qFormat/>
    <w:rsid w:val="00C92A38"/>
    <w:pPr>
      <w:spacing w:before="240" w:after="0" w:line="259" w:lineRule="auto"/>
      <w:outlineLvl w:val="9"/>
    </w:pPr>
    <w:rPr>
      <w:rFonts w:asciiTheme="majorHAnsi" w:hAnsiTheme="majorHAnsi"/>
      <w:color w:val="0F4761" w:themeColor="accent1" w:themeShade="BF"/>
      <w:sz w:val="32"/>
      <w:szCs w:val="32"/>
      <w:lang w:val="en-US"/>
    </w:rPr>
  </w:style>
  <w:style w:type="character" w:styleId="FollowedHyperlink">
    <w:name w:val="FollowedHyperlink"/>
    <w:basedOn w:val="DefaultParagraphFont"/>
    <w:uiPriority w:val="99"/>
    <w:semiHidden/>
    <w:unhideWhenUsed/>
    <w:rsid w:val="00B30E0D"/>
    <w:rPr>
      <w:color w:val="96607D" w:themeColor="followedHyperlink"/>
      <w:u w:val="single"/>
    </w:rPr>
  </w:style>
  <w:style w:type="paragraph" w:styleId="NormalWeb">
    <w:name w:val="Normal (Web)"/>
    <w:basedOn w:val="Normal"/>
    <w:uiPriority w:val="99"/>
    <w:unhideWhenUsed/>
    <w:rsid w:val="005A7FEB"/>
    <w:pPr>
      <w:spacing w:before="100" w:beforeAutospacing="1" w:after="100" w:afterAutospacing="1"/>
    </w:pPr>
    <w:rPr>
      <w:rFonts w:ascii="Times New Roman" w:eastAsia="Times New Roman" w:hAnsi="Times New Roman" w:cs="Times New Roman"/>
      <w:szCs w:val="24"/>
      <w:lang w:eastAsia="en-AU"/>
    </w:rPr>
  </w:style>
  <w:style w:type="character" w:styleId="Strong">
    <w:name w:val="Strong"/>
    <w:basedOn w:val="DefaultParagraphFont"/>
    <w:uiPriority w:val="22"/>
    <w:qFormat/>
    <w:rsid w:val="005A7FEB"/>
    <w:rPr>
      <w:b/>
      <w:bCs/>
    </w:rPr>
  </w:style>
  <w:style w:type="character" w:styleId="CommentReference">
    <w:name w:val="annotation reference"/>
    <w:basedOn w:val="DefaultParagraphFont"/>
    <w:uiPriority w:val="99"/>
    <w:semiHidden/>
    <w:unhideWhenUsed/>
    <w:rsid w:val="00F667C6"/>
    <w:rPr>
      <w:sz w:val="16"/>
      <w:szCs w:val="16"/>
    </w:rPr>
  </w:style>
  <w:style w:type="paragraph" w:styleId="CommentText">
    <w:name w:val="annotation text"/>
    <w:basedOn w:val="Normal"/>
    <w:link w:val="CommentTextChar"/>
    <w:uiPriority w:val="99"/>
    <w:unhideWhenUsed/>
    <w:rsid w:val="00F667C6"/>
    <w:rPr>
      <w:sz w:val="20"/>
      <w:szCs w:val="20"/>
    </w:rPr>
  </w:style>
  <w:style w:type="character" w:customStyle="1" w:styleId="CommentTextChar">
    <w:name w:val="Comment Text Char"/>
    <w:basedOn w:val="DefaultParagraphFont"/>
    <w:link w:val="CommentText"/>
    <w:uiPriority w:val="99"/>
    <w:rsid w:val="00F667C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667C6"/>
    <w:rPr>
      <w:b/>
      <w:bCs/>
    </w:rPr>
  </w:style>
  <w:style w:type="character" w:customStyle="1" w:styleId="CommentSubjectChar">
    <w:name w:val="Comment Subject Char"/>
    <w:basedOn w:val="CommentTextChar"/>
    <w:link w:val="CommentSubject"/>
    <w:uiPriority w:val="99"/>
    <w:semiHidden/>
    <w:rsid w:val="00F667C6"/>
    <w:rPr>
      <w:rFonts w:ascii="Arial" w:hAnsi="Arial"/>
      <w:b/>
      <w:bCs/>
      <w:sz w:val="20"/>
      <w:szCs w:val="20"/>
    </w:rPr>
  </w:style>
  <w:style w:type="paragraph" w:styleId="Revision">
    <w:name w:val="Revision"/>
    <w:hidden/>
    <w:uiPriority w:val="99"/>
    <w:semiHidden/>
    <w:rsid w:val="00AB14CB"/>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17634">
      <w:bodyDiv w:val="1"/>
      <w:marLeft w:val="0"/>
      <w:marRight w:val="0"/>
      <w:marTop w:val="0"/>
      <w:marBottom w:val="0"/>
      <w:divBdr>
        <w:top w:val="none" w:sz="0" w:space="0" w:color="auto"/>
        <w:left w:val="none" w:sz="0" w:space="0" w:color="auto"/>
        <w:bottom w:val="none" w:sz="0" w:space="0" w:color="auto"/>
        <w:right w:val="none" w:sz="0" w:space="0" w:color="auto"/>
      </w:divBdr>
    </w:div>
    <w:div w:id="334040878">
      <w:bodyDiv w:val="1"/>
      <w:marLeft w:val="0"/>
      <w:marRight w:val="0"/>
      <w:marTop w:val="0"/>
      <w:marBottom w:val="0"/>
      <w:divBdr>
        <w:top w:val="none" w:sz="0" w:space="0" w:color="auto"/>
        <w:left w:val="none" w:sz="0" w:space="0" w:color="auto"/>
        <w:bottom w:val="none" w:sz="0" w:space="0" w:color="auto"/>
        <w:right w:val="none" w:sz="0" w:space="0" w:color="auto"/>
      </w:divBdr>
    </w:div>
    <w:div w:id="515191150">
      <w:bodyDiv w:val="1"/>
      <w:marLeft w:val="0"/>
      <w:marRight w:val="0"/>
      <w:marTop w:val="0"/>
      <w:marBottom w:val="0"/>
      <w:divBdr>
        <w:top w:val="none" w:sz="0" w:space="0" w:color="auto"/>
        <w:left w:val="none" w:sz="0" w:space="0" w:color="auto"/>
        <w:bottom w:val="none" w:sz="0" w:space="0" w:color="auto"/>
        <w:right w:val="none" w:sz="0" w:space="0" w:color="auto"/>
      </w:divBdr>
    </w:div>
    <w:div w:id="650525402">
      <w:bodyDiv w:val="1"/>
      <w:marLeft w:val="0"/>
      <w:marRight w:val="0"/>
      <w:marTop w:val="0"/>
      <w:marBottom w:val="0"/>
      <w:divBdr>
        <w:top w:val="none" w:sz="0" w:space="0" w:color="auto"/>
        <w:left w:val="none" w:sz="0" w:space="0" w:color="auto"/>
        <w:bottom w:val="none" w:sz="0" w:space="0" w:color="auto"/>
        <w:right w:val="none" w:sz="0" w:space="0" w:color="auto"/>
      </w:divBdr>
    </w:div>
    <w:div w:id="1095127216">
      <w:bodyDiv w:val="1"/>
      <w:marLeft w:val="0"/>
      <w:marRight w:val="0"/>
      <w:marTop w:val="0"/>
      <w:marBottom w:val="0"/>
      <w:divBdr>
        <w:top w:val="none" w:sz="0" w:space="0" w:color="auto"/>
        <w:left w:val="none" w:sz="0" w:space="0" w:color="auto"/>
        <w:bottom w:val="none" w:sz="0" w:space="0" w:color="auto"/>
        <w:right w:val="none" w:sz="0" w:space="0" w:color="auto"/>
      </w:divBdr>
    </w:div>
    <w:div w:id="1120687434">
      <w:bodyDiv w:val="1"/>
      <w:marLeft w:val="0"/>
      <w:marRight w:val="0"/>
      <w:marTop w:val="0"/>
      <w:marBottom w:val="0"/>
      <w:divBdr>
        <w:top w:val="none" w:sz="0" w:space="0" w:color="auto"/>
        <w:left w:val="none" w:sz="0" w:space="0" w:color="auto"/>
        <w:bottom w:val="none" w:sz="0" w:space="0" w:color="auto"/>
        <w:right w:val="none" w:sz="0" w:space="0" w:color="auto"/>
      </w:divBdr>
    </w:div>
    <w:div w:id="1204707599">
      <w:bodyDiv w:val="1"/>
      <w:marLeft w:val="0"/>
      <w:marRight w:val="0"/>
      <w:marTop w:val="0"/>
      <w:marBottom w:val="0"/>
      <w:divBdr>
        <w:top w:val="none" w:sz="0" w:space="0" w:color="auto"/>
        <w:left w:val="none" w:sz="0" w:space="0" w:color="auto"/>
        <w:bottom w:val="none" w:sz="0" w:space="0" w:color="auto"/>
        <w:right w:val="none" w:sz="0" w:space="0" w:color="auto"/>
      </w:divBdr>
    </w:div>
    <w:div w:id="1630667250">
      <w:bodyDiv w:val="1"/>
      <w:marLeft w:val="0"/>
      <w:marRight w:val="0"/>
      <w:marTop w:val="0"/>
      <w:marBottom w:val="0"/>
      <w:divBdr>
        <w:top w:val="none" w:sz="0" w:space="0" w:color="auto"/>
        <w:left w:val="none" w:sz="0" w:space="0" w:color="auto"/>
        <w:bottom w:val="none" w:sz="0" w:space="0" w:color="auto"/>
        <w:right w:val="none" w:sz="0" w:space="0" w:color="auto"/>
      </w:divBdr>
    </w:div>
    <w:div w:id="1660302500">
      <w:bodyDiv w:val="1"/>
      <w:marLeft w:val="0"/>
      <w:marRight w:val="0"/>
      <w:marTop w:val="0"/>
      <w:marBottom w:val="0"/>
      <w:divBdr>
        <w:top w:val="none" w:sz="0" w:space="0" w:color="auto"/>
        <w:left w:val="none" w:sz="0" w:space="0" w:color="auto"/>
        <w:bottom w:val="none" w:sz="0" w:space="0" w:color="auto"/>
        <w:right w:val="none" w:sz="0" w:space="0" w:color="auto"/>
      </w:divBdr>
    </w:div>
    <w:div w:id="1664774757">
      <w:bodyDiv w:val="1"/>
      <w:marLeft w:val="0"/>
      <w:marRight w:val="0"/>
      <w:marTop w:val="0"/>
      <w:marBottom w:val="0"/>
      <w:divBdr>
        <w:top w:val="none" w:sz="0" w:space="0" w:color="auto"/>
        <w:left w:val="none" w:sz="0" w:space="0" w:color="auto"/>
        <w:bottom w:val="none" w:sz="0" w:space="0" w:color="auto"/>
        <w:right w:val="none" w:sz="0" w:space="0" w:color="auto"/>
      </w:divBdr>
    </w:div>
    <w:div w:id="1721244425">
      <w:bodyDiv w:val="1"/>
      <w:marLeft w:val="0"/>
      <w:marRight w:val="0"/>
      <w:marTop w:val="0"/>
      <w:marBottom w:val="0"/>
      <w:divBdr>
        <w:top w:val="none" w:sz="0" w:space="0" w:color="auto"/>
        <w:left w:val="none" w:sz="0" w:space="0" w:color="auto"/>
        <w:bottom w:val="none" w:sz="0" w:space="0" w:color="auto"/>
        <w:right w:val="none" w:sz="0" w:space="0" w:color="auto"/>
      </w:divBdr>
    </w:div>
    <w:div w:id="1735424107">
      <w:bodyDiv w:val="1"/>
      <w:marLeft w:val="0"/>
      <w:marRight w:val="0"/>
      <w:marTop w:val="0"/>
      <w:marBottom w:val="0"/>
      <w:divBdr>
        <w:top w:val="none" w:sz="0" w:space="0" w:color="auto"/>
        <w:left w:val="none" w:sz="0" w:space="0" w:color="auto"/>
        <w:bottom w:val="none" w:sz="0" w:space="0" w:color="auto"/>
        <w:right w:val="none" w:sz="0" w:space="0" w:color="auto"/>
      </w:divBdr>
    </w:div>
    <w:div w:id="1750810025">
      <w:bodyDiv w:val="1"/>
      <w:marLeft w:val="0"/>
      <w:marRight w:val="0"/>
      <w:marTop w:val="0"/>
      <w:marBottom w:val="0"/>
      <w:divBdr>
        <w:top w:val="none" w:sz="0" w:space="0" w:color="auto"/>
        <w:left w:val="none" w:sz="0" w:space="0" w:color="auto"/>
        <w:bottom w:val="none" w:sz="0" w:space="0" w:color="auto"/>
        <w:right w:val="none" w:sz="0" w:space="0" w:color="auto"/>
      </w:divBdr>
    </w:div>
    <w:div w:id="1775130968">
      <w:bodyDiv w:val="1"/>
      <w:marLeft w:val="0"/>
      <w:marRight w:val="0"/>
      <w:marTop w:val="0"/>
      <w:marBottom w:val="0"/>
      <w:divBdr>
        <w:top w:val="none" w:sz="0" w:space="0" w:color="auto"/>
        <w:left w:val="none" w:sz="0" w:space="0" w:color="auto"/>
        <w:bottom w:val="none" w:sz="0" w:space="0" w:color="auto"/>
        <w:right w:val="none" w:sz="0" w:space="0" w:color="auto"/>
      </w:divBdr>
    </w:div>
    <w:div w:id="1852647311">
      <w:bodyDiv w:val="1"/>
      <w:marLeft w:val="0"/>
      <w:marRight w:val="0"/>
      <w:marTop w:val="0"/>
      <w:marBottom w:val="0"/>
      <w:divBdr>
        <w:top w:val="none" w:sz="0" w:space="0" w:color="auto"/>
        <w:left w:val="none" w:sz="0" w:space="0" w:color="auto"/>
        <w:bottom w:val="none" w:sz="0" w:space="0" w:color="auto"/>
        <w:right w:val="none" w:sz="0" w:space="0" w:color="auto"/>
      </w:divBdr>
    </w:div>
    <w:div w:id="1906990453">
      <w:bodyDiv w:val="1"/>
      <w:marLeft w:val="0"/>
      <w:marRight w:val="0"/>
      <w:marTop w:val="0"/>
      <w:marBottom w:val="0"/>
      <w:divBdr>
        <w:top w:val="none" w:sz="0" w:space="0" w:color="auto"/>
        <w:left w:val="none" w:sz="0" w:space="0" w:color="auto"/>
        <w:bottom w:val="none" w:sz="0" w:space="0" w:color="auto"/>
        <w:right w:val="none" w:sz="0" w:space="0" w:color="auto"/>
      </w:divBdr>
    </w:div>
    <w:div w:id="1931885593">
      <w:bodyDiv w:val="1"/>
      <w:marLeft w:val="0"/>
      <w:marRight w:val="0"/>
      <w:marTop w:val="0"/>
      <w:marBottom w:val="0"/>
      <w:divBdr>
        <w:top w:val="none" w:sz="0" w:space="0" w:color="auto"/>
        <w:left w:val="none" w:sz="0" w:space="0" w:color="auto"/>
        <w:bottom w:val="none" w:sz="0" w:space="0" w:color="auto"/>
        <w:right w:val="none" w:sz="0" w:space="0" w:color="auto"/>
      </w:divBdr>
    </w:div>
    <w:div w:id="2069108321">
      <w:bodyDiv w:val="1"/>
      <w:marLeft w:val="0"/>
      <w:marRight w:val="0"/>
      <w:marTop w:val="0"/>
      <w:marBottom w:val="0"/>
      <w:divBdr>
        <w:top w:val="none" w:sz="0" w:space="0" w:color="auto"/>
        <w:left w:val="none" w:sz="0" w:space="0" w:color="auto"/>
        <w:bottom w:val="none" w:sz="0" w:space="0" w:color="auto"/>
        <w:right w:val="none" w:sz="0" w:space="0" w:color="auto"/>
      </w:divBdr>
    </w:div>
    <w:div w:id="210757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1destinations.com/resources/f1-attendance-figure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f1.fandom.com/wiki/Australian_Grand_Pri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bdo.com.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1destinations.com/resources/f1-attendance-figure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bandt.com.au/interest-in-motor-sports-reaches-new-heights-as-formula-1-grand-prix-revenue-expected-to-surpass-100-millio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1destinations.com/resources/f1-attendance-figures/"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tho\Documents\Custom%20Office%20Templates\ACCESSIBLE%20VERS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383187-e83e-4ca4-b08b-3fffb312179e" xsi:nil="true"/>
    <lcf76f155ced4ddcb4097134ff3c332f xmlns="b65d746e-1a4f-445a-9a0d-cb183983cb4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D7D363CB03694ABB9EA58E8A44D394" ma:contentTypeVersion="16" ma:contentTypeDescription="Create a new document." ma:contentTypeScope="" ma:versionID="eeab45a60510155cc7806da82861198b">
  <xsd:schema xmlns:xsd="http://www.w3.org/2001/XMLSchema" xmlns:xs="http://www.w3.org/2001/XMLSchema" xmlns:p="http://schemas.microsoft.com/office/2006/metadata/properties" xmlns:ns2="b65d746e-1a4f-445a-9a0d-cb183983cb41" xmlns:ns3="9a383187-e83e-4ca4-b08b-3fffb312179e" targetNamespace="http://schemas.microsoft.com/office/2006/metadata/properties" ma:root="true" ma:fieldsID="14149d164b364895e8bccd390b7c2528" ns2:_="" ns3:_="">
    <xsd:import namespace="b65d746e-1a4f-445a-9a0d-cb183983cb41"/>
    <xsd:import namespace="9a383187-e83e-4ca4-b08b-3fffb31217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5d746e-1a4f-445a-9a0d-cb183983cb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383187-e83e-4ca4-b08b-3fffb31217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9ad5d4c-3a67-4ce6-96ad-1bc9f990da3d}" ma:internalName="TaxCatchAll" ma:showField="CatchAllData" ma:web="9a383187-e83e-4ca4-b08b-3fffb31217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008AA9-026C-4E23-9BC0-47964BD210AE}">
  <ds:schemaRefs>
    <ds:schemaRef ds:uri="http://schemas.microsoft.com/office/2006/metadata/properties"/>
    <ds:schemaRef ds:uri="http://schemas.microsoft.com/office/infopath/2007/PartnerControls"/>
    <ds:schemaRef ds:uri="9a383187-e83e-4ca4-b08b-3fffb312179e"/>
    <ds:schemaRef ds:uri="b65d746e-1a4f-445a-9a0d-cb183983cb41"/>
  </ds:schemaRefs>
</ds:datastoreItem>
</file>

<file path=customXml/itemProps2.xml><?xml version="1.0" encoding="utf-8"?>
<ds:datastoreItem xmlns:ds="http://schemas.openxmlformats.org/officeDocument/2006/customXml" ds:itemID="{873A9460-35D5-4B73-A969-4073E74068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5d746e-1a4f-445a-9a0d-cb183983cb41"/>
    <ds:schemaRef ds:uri="9a383187-e83e-4ca4-b08b-3fffb3121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9CC201-84C2-471E-BA12-0BD2872C06CE}">
  <ds:schemaRefs>
    <ds:schemaRef ds:uri="http://schemas.openxmlformats.org/officeDocument/2006/bibliography"/>
  </ds:schemaRefs>
</ds:datastoreItem>
</file>

<file path=customXml/itemProps4.xml><?xml version="1.0" encoding="utf-8"?>
<ds:datastoreItem xmlns:ds="http://schemas.openxmlformats.org/officeDocument/2006/customXml" ds:itemID="{F0F477CB-D0E4-48C1-A5C0-12E0D59BCE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 VERSION.dotx</Template>
  <TotalTime>141</TotalTime>
  <Pages>18</Pages>
  <Words>4020</Words>
  <Characters>21633</Characters>
  <Application>Microsoft Office Word</Application>
  <DocSecurity>0</DocSecurity>
  <Lines>449</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25490</CharactersWithSpaces>
  <SharedDoc>false</SharedDoc>
  <HLinks>
    <vt:vector size="270" baseType="variant">
      <vt:variant>
        <vt:i4>5701698</vt:i4>
      </vt:variant>
      <vt:variant>
        <vt:i4>207</vt:i4>
      </vt:variant>
      <vt:variant>
        <vt:i4>0</vt:i4>
      </vt:variant>
      <vt:variant>
        <vt:i4>5</vt:i4>
      </vt:variant>
      <vt:variant>
        <vt:lpwstr/>
      </vt:variant>
      <vt:variant>
        <vt:lpwstr>re02</vt:lpwstr>
      </vt:variant>
      <vt:variant>
        <vt:i4>196674</vt:i4>
      </vt:variant>
      <vt:variant>
        <vt:i4>204</vt:i4>
      </vt:variant>
      <vt:variant>
        <vt:i4>0</vt:i4>
      </vt:variant>
      <vt:variant>
        <vt:i4>5</vt:i4>
      </vt:variant>
      <vt:variant>
        <vt:lpwstr/>
      </vt:variant>
      <vt:variant>
        <vt:lpwstr>r003</vt:lpwstr>
      </vt:variant>
      <vt:variant>
        <vt:i4>65602</vt:i4>
      </vt:variant>
      <vt:variant>
        <vt:i4>201</vt:i4>
      </vt:variant>
      <vt:variant>
        <vt:i4>0</vt:i4>
      </vt:variant>
      <vt:variant>
        <vt:i4>5</vt:i4>
      </vt:variant>
      <vt:variant>
        <vt:lpwstr/>
      </vt:variant>
      <vt:variant>
        <vt:lpwstr>r001</vt:lpwstr>
      </vt:variant>
      <vt:variant>
        <vt:i4>6619172</vt:i4>
      </vt:variant>
      <vt:variant>
        <vt:i4>198</vt:i4>
      </vt:variant>
      <vt:variant>
        <vt:i4>0</vt:i4>
      </vt:variant>
      <vt:variant>
        <vt:i4>5</vt:i4>
      </vt:variant>
      <vt:variant>
        <vt:lpwstr/>
      </vt:variant>
      <vt:variant>
        <vt:lpwstr>ref0002</vt:lpwstr>
      </vt:variant>
      <vt:variant>
        <vt:i4>6619172</vt:i4>
      </vt:variant>
      <vt:variant>
        <vt:i4>195</vt:i4>
      </vt:variant>
      <vt:variant>
        <vt:i4>0</vt:i4>
      </vt:variant>
      <vt:variant>
        <vt:i4>5</vt:i4>
      </vt:variant>
      <vt:variant>
        <vt:lpwstr/>
      </vt:variant>
      <vt:variant>
        <vt:lpwstr>ref0001</vt:lpwstr>
      </vt:variant>
      <vt:variant>
        <vt:i4>6291490</vt:i4>
      </vt:variant>
      <vt:variant>
        <vt:i4>192</vt:i4>
      </vt:variant>
      <vt:variant>
        <vt:i4>0</vt:i4>
      </vt:variant>
      <vt:variant>
        <vt:i4>5</vt:i4>
      </vt:variant>
      <vt:variant>
        <vt:lpwstr>https://www.bandt.com.au/interest-in-motor-sports-reaches-new-heights-as-formula-1-grand-prix-revenue-expected-to-surpass-100-million/</vt:lpwstr>
      </vt:variant>
      <vt:variant>
        <vt:lpwstr/>
      </vt:variant>
      <vt:variant>
        <vt:i4>6815870</vt:i4>
      </vt:variant>
      <vt:variant>
        <vt:i4>189</vt:i4>
      </vt:variant>
      <vt:variant>
        <vt:i4>0</vt:i4>
      </vt:variant>
      <vt:variant>
        <vt:i4>5</vt:i4>
      </vt:variant>
      <vt:variant>
        <vt:lpwstr>https://f1destinations.com/resources/f1-attendance-figures/</vt:lpwstr>
      </vt:variant>
      <vt:variant>
        <vt:lpwstr/>
      </vt:variant>
      <vt:variant>
        <vt:i4>6815870</vt:i4>
      </vt:variant>
      <vt:variant>
        <vt:i4>186</vt:i4>
      </vt:variant>
      <vt:variant>
        <vt:i4>0</vt:i4>
      </vt:variant>
      <vt:variant>
        <vt:i4>5</vt:i4>
      </vt:variant>
      <vt:variant>
        <vt:lpwstr>https://f1destinations.com/resources/f1-attendance-figures/</vt:lpwstr>
      </vt:variant>
      <vt:variant>
        <vt:lpwstr/>
      </vt:variant>
      <vt:variant>
        <vt:i4>5374017</vt:i4>
      </vt:variant>
      <vt:variant>
        <vt:i4>183</vt:i4>
      </vt:variant>
      <vt:variant>
        <vt:i4>0</vt:i4>
      </vt:variant>
      <vt:variant>
        <vt:i4>5</vt:i4>
      </vt:variant>
      <vt:variant>
        <vt:lpwstr>https://f1.fandom.com/wiki/Australian_Grand_Prix</vt:lpwstr>
      </vt:variant>
      <vt:variant>
        <vt:lpwstr/>
      </vt:variant>
      <vt:variant>
        <vt:i4>5570580</vt:i4>
      </vt:variant>
      <vt:variant>
        <vt:i4>180</vt:i4>
      </vt:variant>
      <vt:variant>
        <vt:i4>0</vt:i4>
      </vt:variant>
      <vt:variant>
        <vt:i4>5</vt:i4>
      </vt:variant>
      <vt:variant>
        <vt:lpwstr/>
      </vt:variant>
      <vt:variant>
        <vt:lpwstr>ref08</vt:lpwstr>
      </vt:variant>
      <vt:variant>
        <vt:i4>5570580</vt:i4>
      </vt:variant>
      <vt:variant>
        <vt:i4>177</vt:i4>
      </vt:variant>
      <vt:variant>
        <vt:i4>0</vt:i4>
      </vt:variant>
      <vt:variant>
        <vt:i4>5</vt:i4>
      </vt:variant>
      <vt:variant>
        <vt:lpwstr/>
      </vt:variant>
      <vt:variant>
        <vt:lpwstr>ref07</vt:lpwstr>
      </vt:variant>
      <vt:variant>
        <vt:i4>5570580</vt:i4>
      </vt:variant>
      <vt:variant>
        <vt:i4>174</vt:i4>
      </vt:variant>
      <vt:variant>
        <vt:i4>0</vt:i4>
      </vt:variant>
      <vt:variant>
        <vt:i4>5</vt:i4>
      </vt:variant>
      <vt:variant>
        <vt:lpwstr/>
      </vt:variant>
      <vt:variant>
        <vt:lpwstr>ref06</vt:lpwstr>
      </vt:variant>
      <vt:variant>
        <vt:i4>5570580</vt:i4>
      </vt:variant>
      <vt:variant>
        <vt:i4>171</vt:i4>
      </vt:variant>
      <vt:variant>
        <vt:i4>0</vt:i4>
      </vt:variant>
      <vt:variant>
        <vt:i4>5</vt:i4>
      </vt:variant>
      <vt:variant>
        <vt:lpwstr/>
      </vt:variant>
      <vt:variant>
        <vt:lpwstr>ref05</vt:lpwstr>
      </vt:variant>
      <vt:variant>
        <vt:i4>5570580</vt:i4>
      </vt:variant>
      <vt:variant>
        <vt:i4>168</vt:i4>
      </vt:variant>
      <vt:variant>
        <vt:i4>0</vt:i4>
      </vt:variant>
      <vt:variant>
        <vt:i4>5</vt:i4>
      </vt:variant>
      <vt:variant>
        <vt:lpwstr/>
      </vt:variant>
      <vt:variant>
        <vt:lpwstr>ref04</vt:lpwstr>
      </vt:variant>
      <vt:variant>
        <vt:i4>5570580</vt:i4>
      </vt:variant>
      <vt:variant>
        <vt:i4>165</vt:i4>
      </vt:variant>
      <vt:variant>
        <vt:i4>0</vt:i4>
      </vt:variant>
      <vt:variant>
        <vt:i4>5</vt:i4>
      </vt:variant>
      <vt:variant>
        <vt:lpwstr/>
      </vt:variant>
      <vt:variant>
        <vt:lpwstr>ref03</vt:lpwstr>
      </vt:variant>
      <vt:variant>
        <vt:i4>5570580</vt:i4>
      </vt:variant>
      <vt:variant>
        <vt:i4>162</vt:i4>
      </vt:variant>
      <vt:variant>
        <vt:i4>0</vt:i4>
      </vt:variant>
      <vt:variant>
        <vt:i4>5</vt:i4>
      </vt:variant>
      <vt:variant>
        <vt:lpwstr/>
      </vt:variant>
      <vt:variant>
        <vt:lpwstr>ref02</vt:lpwstr>
      </vt:variant>
      <vt:variant>
        <vt:i4>5570580</vt:i4>
      </vt:variant>
      <vt:variant>
        <vt:i4>159</vt:i4>
      </vt:variant>
      <vt:variant>
        <vt:i4>0</vt:i4>
      </vt:variant>
      <vt:variant>
        <vt:i4>5</vt:i4>
      </vt:variant>
      <vt:variant>
        <vt:lpwstr/>
      </vt:variant>
      <vt:variant>
        <vt:lpwstr>ref01</vt:lpwstr>
      </vt:variant>
      <vt:variant>
        <vt:i4>6815870</vt:i4>
      </vt:variant>
      <vt:variant>
        <vt:i4>156</vt:i4>
      </vt:variant>
      <vt:variant>
        <vt:i4>0</vt:i4>
      </vt:variant>
      <vt:variant>
        <vt:i4>5</vt:i4>
      </vt:variant>
      <vt:variant>
        <vt:lpwstr>https://f1destinations.com/resources/f1-attendance-figures/</vt:lpwstr>
      </vt:variant>
      <vt:variant>
        <vt:lpwstr/>
      </vt:variant>
      <vt:variant>
        <vt:i4>5636116</vt:i4>
      </vt:variant>
      <vt:variant>
        <vt:i4>153</vt:i4>
      </vt:variant>
      <vt:variant>
        <vt:i4>0</vt:i4>
      </vt:variant>
      <vt:variant>
        <vt:i4>5</vt:i4>
      </vt:variant>
      <vt:variant>
        <vt:lpwstr/>
      </vt:variant>
      <vt:variant>
        <vt:lpwstr>ref3</vt:lpwstr>
      </vt:variant>
      <vt:variant>
        <vt:i4>5701652</vt:i4>
      </vt:variant>
      <vt:variant>
        <vt:i4>150</vt:i4>
      </vt:variant>
      <vt:variant>
        <vt:i4>0</vt:i4>
      </vt:variant>
      <vt:variant>
        <vt:i4>5</vt:i4>
      </vt:variant>
      <vt:variant>
        <vt:lpwstr/>
      </vt:variant>
      <vt:variant>
        <vt:lpwstr>ref2</vt:lpwstr>
      </vt:variant>
      <vt:variant>
        <vt:i4>5505044</vt:i4>
      </vt:variant>
      <vt:variant>
        <vt:i4>147</vt:i4>
      </vt:variant>
      <vt:variant>
        <vt:i4>0</vt:i4>
      </vt:variant>
      <vt:variant>
        <vt:i4>5</vt:i4>
      </vt:variant>
      <vt:variant>
        <vt:lpwstr/>
      </vt:variant>
      <vt:variant>
        <vt:lpwstr>ref1</vt:lpwstr>
      </vt:variant>
      <vt:variant>
        <vt:i4>1441851</vt:i4>
      </vt:variant>
      <vt:variant>
        <vt:i4>140</vt:i4>
      </vt:variant>
      <vt:variant>
        <vt:i4>0</vt:i4>
      </vt:variant>
      <vt:variant>
        <vt:i4>5</vt:i4>
      </vt:variant>
      <vt:variant>
        <vt:lpwstr/>
      </vt:variant>
      <vt:variant>
        <vt:lpwstr>_Toc209016177</vt:lpwstr>
      </vt:variant>
      <vt:variant>
        <vt:i4>1441851</vt:i4>
      </vt:variant>
      <vt:variant>
        <vt:i4>134</vt:i4>
      </vt:variant>
      <vt:variant>
        <vt:i4>0</vt:i4>
      </vt:variant>
      <vt:variant>
        <vt:i4>5</vt:i4>
      </vt:variant>
      <vt:variant>
        <vt:lpwstr/>
      </vt:variant>
      <vt:variant>
        <vt:lpwstr>_Toc209016176</vt:lpwstr>
      </vt:variant>
      <vt:variant>
        <vt:i4>1441851</vt:i4>
      </vt:variant>
      <vt:variant>
        <vt:i4>128</vt:i4>
      </vt:variant>
      <vt:variant>
        <vt:i4>0</vt:i4>
      </vt:variant>
      <vt:variant>
        <vt:i4>5</vt:i4>
      </vt:variant>
      <vt:variant>
        <vt:lpwstr/>
      </vt:variant>
      <vt:variant>
        <vt:lpwstr>_Toc209016175</vt:lpwstr>
      </vt:variant>
      <vt:variant>
        <vt:i4>1441851</vt:i4>
      </vt:variant>
      <vt:variant>
        <vt:i4>122</vt:i4>
      </vt:variant>
      <vt:variant>
        <vt:i4>0</vt:i4>
      </vt:variant>
      <vt:variant>
        <vt:i4>5</vt:i4>
      </vt:variant>
      <vt:variant>
        <vt:lpwstr/>
      </vt:variant>
      <vt:variant>
        <vt:lpwstr>_Toc209016174</vt:lpwstr>
      </vt:variant>
      <vt:variant>
        <vt:i4>1441851</vt:i4>
      </vt:variant>
      <vt:variant>
        <vt:i4>116</vt:i4>
      </vt:variant>
      <vt:variant>
        <vt:i4>0</vt:i4>
      </vt:variant>
      <vt:variant>
        <vt:i4>5</vt:i4>
      </vt:variant>
      <vt:variant>
        <vt:lpwstr/>
      </vt:variant>
      <vt:variant>
        <vt:lpwstr>_Toc209016173</vt:lpwstr>
      </vt:variant>
      <vt:variant>
        <vt:i4>1441851</vt:i4>
      </vt:variant>
      <vt:variant>
        <vt:i4>110</vt:i4>
      </vt:variant>
      <vt:variant>
        <vt:i4>0</vt:i4>
      </vt:variant>
      <vt:variant>
        <vt:i4>5</vt:i4>
      </vt:variant>
      <vt:variant>
        <vt:lpwstr/>
      </vt:variant>
      <vt:variant>
        <vt:lpwstr>_Toc209016172</vt:lpwstr>
      </vt:variant>
      <vt:variant>
        <vt:i4>1441851</vt:i4>
      </vt:variant>
      <vt:variant>
        <vt:i4>104</vt:i4>
      </vt:variant>
      <vt:variant>
        <vt:i4>0</vt:i4>
      </vt:variant>
      <vt:variant>
        <vt:i4>5</vt:i4>
      </vt:variant>
      <vt:variant>
        <vt:lpwstr/>
      </vt:variant>
      <vt:variant>
        <vt:lpwstr>_Toc209016171</vt:lpwstr>
      </vt:variant>
      <vt:variant>
        <vt:i4>1441851</vt:i4>
      </vt:variant>
      <vt:variant>
        <vt:i4>98</vt:i4>
      </vt:variant>
      <vt:variant>
        <vt:i4>0</vt:i4>
      </vt:variant>
      <vt:variant>
        <vt:i4>5</vt:i4>
      </vt:variant>
      <vt:variant>
        <vt:lpwstr/>
      </vt:variant>
      <vt:variant>
        <vt:lpwstr>_Toc209016170</vt:lpwstr>
      </vt:variant>
      <vt:variant>
        <vt:i4>1507387</vt:i4>
      </vt:variant>
      <vt:variant>
        <vt:i4>92</vt:i4>
      </vt:variant>
      <vt:variant>
        <vt:i4>0</vt:i4>
      </vt:variant>
      <vt:variant>
        <vt:i4>5</vt:i4>
      </vt:variant>
      <vt:variant>
        <vt:lpwstr/>
      </vt:variant>
      <vt:variant>
        <vt:lpwstr>_Toc209016169</vt:lpwstr>
      </vt:variant>
      <vt:variant>
        <vt:i4>1507387</vt:i4>
      </vt:variant>
      <vt:variant>
        <vt:i4>86</vt:i4>
      </vt:variant>
      <vt:variant>
        <vt:i4>0</vt:i4>
      </vt:variant>
      <vt:variant>
        <vt:i4>5</vt:i4>
      </vt:variant>
      <vt:variant>
        <vt:lpwstr/>
      </vt:variant>
      <vt:variant>
        <vt:lpwstr>_Toc209016168</vt:lpwstr>
      </vt:variant>
      <vt:variant>
        <vt:i4>1507387</vt:i4>
      </vt:variant>
      <vt:variant>
        <vt:i4>80</vt:i4>
      </vt:variant>
      <vt:variant>
        <vt:i4>0</vt:i4>
      </vt:variant>
      <vt:variant>
        <vt:i4>5</vt:i4>
      </vt:variant>
      <vt:variant>
        <vt:lpwstr/>
      </vt:variant>
      <vt:variant>
        <vt:lpwstr>_Toc209016167</vt:lpwstr>
      </vt:variant>
      <vt:variant>
        <vt:i4>1507387</vt:i4>
      </vt:variant>
      <vt:variant>
        <vt:i4>74</vt:i4>
      </vt:variant>
      <vt:variant>
        <vt:i4>0</vt:i4>
      </vt:variant>
      <vt:variant>
        <vt:i4>5</vt:i4>
      </vt:variant>
      <vt:variant>
        <vt:lpwstr/>
      </vt:variant>
      <vt:variant>
        <vt:lpwstr>_Toc209016166</vt:lpwstr>
      </vt:variant>
      <vt:variant>
        <vt:i4>1507387</vt:i4>
      </vt:variant>
      <vt:variant>
        <vt:i4>68</vt:i4>
      </vt:variant>
      <vt:variant>
        <vt:i4>0</vt:i4>
      </vt:variant>
      <vt:variant>
        <vt:i4>5</vt:i4>
      </vt:variant>
      <vt:variant>
        <vt:lpwstr/>
      </vt:variant>
      <vt:variant>
        <vt:lpwstr>_Toc209016165</vt:lpwstr>
      </vt:variant>
      <vt:variant>
        <vt:i4>1507387</vt:i4>
      </vt:variant>
      <vt:variant>
        <vt:i4>62</vt:i4>
      </vt:variant>
      <vt:variant>
        <vt:i4>0</vt:i4>
      </vt:variant>
      <vt:variant>
        <vt:i4>5</vt:i4>
      </vt:variant>
      <vt:variant>
        <vt:lpwstr/>
      </vt:variant>
      <vt:variant>
        <vt:lpwstr>_Toc209016164</vt:lpwstr>
      </vt:variant>
      <vt:variant>
        <vt:i4>1507387</vt:i4>
      </vt:variant>
      <vt:variant>
        <vt:i4>56</vt:i4>
      </vt:variant>
      <vt:variant>
        <vt:i4>0</vt:i4>
      </vt:variant>
      <vt:variant>
        <vt:i4>5</vt:i4>
      </vt:variant>
      <vt:variant>
        <vt:lpwstr/>
      </vt:variant>
      <vt:variant>
        <vt:lpwstr>_Toc209016163</vt:lpwstr>
      </vt:variant>
      <vt:variant>
        <vt:i4>1507387</vt:i4>
      </vt:variant>
      <vt:variant>
        <vt:i4>50</vt:i4>
      </vt:variant>
      <vt:variant>
        <vt:i4>0</vt:i4>
      </vt:variant>
      <vt:variant>
        <vt:i4>5</vt:i4>
      </vt:variant>
      <vt:variant>
        <vt:lpwstr/>
      </vt:variant>
      <vt:variant>
        <vt:lpwstr>_Toc209016162</vt:lpwstr>
      </vt:variant>
      <vt:variant>
        <vt:i4>1507387</vt:i4>
      </vt:variant>
      <vt:variant>
        <vt:i4>44</vt:i4>
      </vt:variant>
      <vt:variant>
        <vt:i4>0</vt:i4>
      </vt:variant>
      <vt:variant>
        <vt:i4>5</vt:i4>
      </vt:variant>
      <vt:variant>
        <vt:lpwstr/>
      </vt:variant>
      <vt:variant>
        <vt:lpwstr>_Toc209016161</vt:lpwstr>
      </vt:variant>
      <vt:variant>
        <vt:i4>1507387</vt:i4>
      </vt:variant>
      <vt:variant>
        <vt:i4>38</vt:i4>
      </vt:variant>
      <vt:variant>
        <vt:i4>0</vt:i4>
      </vt:variant>
      <vt:variant>
        <vt:i4>5</vt:i4>
      </vt:variant>
      <vt:variant>
        <vt:lpwstr/>
      </vt:variant>
      <vt:variant>
        <vt:lpwstr>_Toc209016160</vt:lpwstr>
      </vt:variant>
      <vt:variant>
        <vt:i4>1310779</vt:i4>
      </vt:variant>
      <vt:variant>
        <vt:i4>32</vt:i4>
      </vt:variant>
      <vt:variant>
        <vt:i4>0</vt:i4>
      </vt:variant>
      <vt:variant>
        <vt:i4>5</vt:i4>
      </vt:variant>
      <vt:variant>
        <vt:lpwstr/>
      </vt:variant>
      <vt:variant>
        <vt:lpwstr>_Toc209016159</vt:lpwstr>
      </vt:variant>
      <vt:variant>
        <vt:i4>1310779</vt:i4>
      </vt:variant>
      <vt:variant>
        <vt:i4>26</vt:i4>
      </vt:variant>
      <vt:variant>
        <vt:i4>0</vt:i4>
      </vt:variant>
      <vt:variant>
        <vt:i4>5</vt:i4>
      </vt:variant>
      <vt:variant>
        <vt:lpwstr/>
      </vt:variant>
      <vt:variant>
        <vt:lpwstr>_Toc209016158</vt:lpwstr>
      </vt:variant>
      <vt:variant>
        <vt:i4>1310779</vt:i4>
      </vt:variant>
      <vt:variant>
        <vt:i4>20</vt:i4>
      </vt:variant>
      <vt:variant>
        <vt:i4>0</vt:i4>
      </vt:variant>
      <vt:variant>
        <vt:i4>5</vt:i4>
      </vt:variant>
      <vt:variant>
        <vt:lpwstr/>
      </vt:variant>
      <vt:variant>
        <vt:lpwstr>_Toc209016157</vt:lpwstr>
      </vt:variant>
      <vt:variant>
        <vt:i4>1310779</vt:i4>
      </vt:variant>
      <vt:variant>
        <vt:i4>14</vt:i4>
      </vt:variant>
      <vt:variant>
        <vt:i4>0</vt:i4>
      </vt:variant>
      <vt:variant>
        <vt:i4>5</vt:i4>
      </vt:variant>
      <vt:variant>
        <vt:lpwstr/>
      </vt:variant>
      <vt:variant>
        <vt:lpwstr>_Toc209016156</vt:lpwstr>
      </vt:variant>
      <vt:variant>
        <vt:i4>1310779</vt:i4>
      </vt:variant>
      <vt:variant>
        <vt:i4>8</vt:i4>
      </vt:variant>
      <vt:variant>
        <vt:i4>0</vt:i4>
      </vt:variant>
      <vt:variant>
        <vt:i4>5</vt:i4>
      </vt:variant>
      <vt:variant>
        <vt:lpwstr/>
      </vt:variant>
      <vt:variant>
        <vt:lpwstr>_Toc209016155</vt:lpwstr>
      </vt:variant>
      <vt:variant>
        <vt:i4>1310779</vt:i4>
      </vt:variant>
      <vt:variant>
        <vt:i4>2</vt:i4>
      </vt:variant>
      <vt:variant>
        <vt:i4>0</vt:i4>
      </vt:variant>
      <vt:variant>
        <vt:i4>5</vt:i4>
      </vt:variant>
      <vt:variant>
        <vt:lpwstr/>
      </vt:variant>
      <vt:variant>
        <vt:lpwstr>_Toc209016154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 impact assessment of the 2024 and 2025 Australian Grand Prix (Accessible version)</dc:title>
  <dc:subject/>
  <cp:keywords/>
  <dc:description/>
  <cp:lastModifiedBy>Nathan K Heymanson (DJSIR)</cp:lastModifiedBy>
  <cp:revision>25</cp:revision>
  <dcterms:created xsi:type="dcterms:W3CDTF">2025-09-23T01:54:00Z</dcterms:created>
  <dcterms:modified xsi:type="dcterms:W3CDTF">2026-03-17T02:58:00Z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7799bd9d-75c6-4478-ba40-7ae2ec8b26ee</vt:lpwstr>
  </property>
  <property fmtid="{D5CDD505-2E9C-101B-9397-08002B2CF9AE}" pid="3" name="ClassificationContentMarkingHeaderShapeIds">
    <vt:lpwstr>66456902,4be24003,242c026e</vt:lpwstr>
  </property>
  <property fmtid="{D5CDD505-2E9C-101B-9397-08002B2CF9AE}" pid="4" name="ClassificationContentMarkingHeaderFontProps">
    <vt:lpwstr>#000000,12,Arial</vt:lpwstr>
  </property>
  <property fmtid="{D5CDD505-2E9C-101B-9397-08002B2CF9AE}" pid="5" name="ClassificationContentMarkingHeaderText">
    <vt:lpwstr>OFFICIAL</vt:lpwstr>
  </property>
  <property fmtid="{D5CDD505-2E9C-101B-9397-08002B2CF9AE}" pid="6" name="ClassificationContentMarkingFooterShapeIds">
    <vt:lpwstr>12a7b7c6,5b85fffd,3a63e85b</vt:lpwstr>
  </property>
  <property fmtid="{D5CDD505-2E9C-101B-9397-08002B2CF9AE}" pid="7" name="ClassificationContentMarkingFooterFontProps">
    <vt:lpwstr>#000000,12,Arial</vt:lpwstr>
  </property>
  <property fmtid="{D5CDD505-2E9C-101B-9397-08002B2CF9AE}" pid="8" name="ClassificationContentMarkingFooterText">
    <vt:lpwstr>OFFICIAL</vt:lpwstr>
  </property>
  <property fmtid="{D5CDD505-2E9C-101B-9397-08002B2CF9AE}" pid="9" name="MSIP_Label_d00a4df9-c942-4b09-b23a-6c1023f6de27_Enabled">
    <vt:lpwstr>true</vt:lpwstr>
  </property>
  <property fmtid="{D5CDD505-2E9C-101B-9397-08002B2CF9AE}" pid="10" name="MSIP_Label_d00a4df9-c942-4b09-b23a-6c1023f6de27_SetDate">
    <vt:lpwstr>2024-07-26T05:03:40Z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ffdd74df-5d29-4033-b03c-1a636f4cdca9</vt:lpwstr>
  </property>
  <property fmtid="{D5CDD505-2E9C-101B-9397-08002B2CF9AE}" pid="15" name="MSIP_Label_d00a4df9-c942-4b09-b23a-6c1023f6de27_ContentBits">
    <vt:lpwstr>3</vt:lpwstr>
  </property>
  <property fmtid="{D5CDD505-2E9C-101B-9397-08002B2CF9AE}" pid="16" name="ContentTypeId">
    <vt:lpwstr>0x010100EBD7D363CB03694ABB9EA58E8A44D394</vt:lpwstr>
  </property>
  <property fmtid="{D5CDD505-2E9C-101B-9397-08002B2CF9AE}" pid="17" name="MediaServiceImageTags">
    <vt:lpwstr/>
  </property>
</Properties>
</file>