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634" w:rsidRPr="00D200D9" w:rsidRDefault="00E80BEE" w:rsidP="00D200D9">
      <w:pPr>
        <w:pStyle w:val="heading1blue"/>
        <w:jc w:val="center"/>
        <w:rPr>
          <w:b/>
          <w:sz w:val="32"/>
        </w:rPr>
      </w:pPr>
      <w:r w:rsidRPr="00E80BEE">
        <w:rPr>
          <w:b/>
          <w:sz w:val="32"/>
        </w:rPr>
        <w:t>Checklist for designing quality stated preference valuation studies</w:t>
      </w:r>
    </w:p>
    <w:p w:rsidR="00A04EEE" w:rsidRDefault="00A04EEE" w:rsidP="00A04EEE">
      <w:pPr>
        <w:pStyle w:val="bodycopy"/>
      </w:pPr>
    </w:p>
    <w:p w:rsidR="00A04EEE" w:rsidRDefault="00A04EEE" w:rsidP="00A04EEE">
      <w:pPr>
        <w:pStyle w:val="bodycopy"/>
      </w:pPr>
      <w:r>
        <w:t>Use the checklist below to inform/guide the design of a stated preference valuation study or assess a study designed by a consultant.  The checklist provides the different criteria/features of a study and indicates whether the criteria/feature is essential, preferred or additional and why. The checklist should be used to support the selection of a primary valuation study technique and can also help test the quality of preceding studies and their usefulness for inclusion in a benefit transfer study.</w:t>
      </w:r>
    </w:p>
    <w:p w:rsidR="00A04EEE" w:rsidRDefault="00A04EEE" w:rsidP="00A04EEE">
      <w:pPr>
        <w:pStyle w:val="bodycopy"/>
      </w:pPr>
      <w:bookmarkStart w:id="0" w:name="_GoBack"/>
      <w:bookmarkEnd w:id="0"/>
    </w:p>
    <w:tbl>
      <w:tblPr>
        <w:tblStyle w:val="TableGrid3"/>
        <w:tblW w:w="4956"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85" w:type="dxa"/>
          <w:right w:w="85" w:type="dxa"/>
        </w:tblCellMar>
        <w:tblLook w:val="04A0" w:firstRow="1" w:lastRow="0" w:firstColumn="1" w:lastColumn="0" w:noHBand="0" w:noVBand="1"/>
        <w:tblDescription w:val="This table presents a checklist for designing quality stated preference valuation studies."/>
      </w:tblPr>
      <w:tblGrid>
        <w:gridCol w:w="1804"/>
        <w:gridCol w:w="327"/>
        <w:gridCol w:w="329"/>
        <w:gridCol w:w="327"/>
        <w:gridCol w:w="7755"/>
      </w:tblGrid>
      <w:tr w:rsidR="00A04EEE" w:rsidRPr="00761180" w:rsidTr="00DF077C">
        <w:trPr>
          <w:cantSplit/>
          <w:trHeight w:val="1296"/>
          <w:tblHeader/>
        </w:trPr>
        <w:tc>
          <w:tcPr>
            <w:tcW w:w="856" w:type="pct"/>
            <w:tcBorders>
              <w:right w:val="single" w:sz="4" w:space="0" w:color="FFFFFF" w:themeColor="background1"/>
            </w:tcBorders>
            <w:shd w:val="clear" w:color="auto" w:fill="1F497D" w:themeFill="text2"/>
          </w:tcPr>
          <w:p w:rsidR="00A04EEE" w:rsidRPr="00761180" w:rsidRDefault="00A04EEE" w:rsidP="00DF077C">
            <w:pPr>
              <w:pStyle w:val="tabletitles"/>
            </w:pPr>
            <w:r w:rsidRPr="00761180">
              <w:t>Feature</w:t>
            </w:r>
          </w:p>
        </w:tc>
        <w:tc>
          <w:tcPr>
            <w:tcW w:w="155" w:type="pct"/>
            <w:tcBorders>
              <w:left w:val="single" w:sz="4" w:space="0" w:color="FFFFFF" w:themeColor="background1"/>
              <w:right w:val="single" w:sz="4" w:space="0" w:color="FFFFFF" w:themeColor="background1"/>
            </w:tcBorders>
            <w:shd w:val="clear" w:color="auto" w:fill="1F497D" w:themeFill="text2"/>
            <w:textDirection w:val="btLr"/>
            <w:vAlign w:val="center"/>
          </w:tcPr>
          <w:p w:rsidR="00A04EEE" w:rsidRPr="00761180" w:rsidRDefault="00A04EEE" w:rsidP="00DF077C">
            <w:pPr>
              <w:pStyle w:val="tabletitles"/>
            </w:pPr>
            <w:r w:rsidRPr="00761180">
              <w:t>Essential</w:t>
            </w:r>
          </w:p>
        </w:tc>
        <w:tc>
          <w:tcPr>
            <w:tcW w:w="156" w:type="pct"/>
            <w:tcBorders>
              <w:left w:val="single" w:sz="4" w:space="0" w:color="FFFFFF" w:themeColor="background1"/>
              <w:right w:val="single" w:sz="4" w:space="0" w:color="FFFFFF" w:themeColor="background1"/>
            </w:tcBorders>
            <w:shd w:val="clear" w:color="auto" w:fill="1F497D" w:themeFill="text2"/>
            <w:textDirection w:val="btLr"/>
            <w:vAlign w:val="center"/>
          </w:tcPr>
          <w:p w:rsidR="00A04EEE" w:rsidRPr="00761180" w:rsidRDefault="00A04EEE" w:rsidP="00DF077C">
            <w:pPr>
              <w:pStyle w:val="tabletitles"/>
            </w:pPr>
            <w:r w:rsidRPr="00761180">
              <w:t>Preferred</w:t>
            </w:r>
          </w:p>
        </w:tc>
        <w:tc>
          <w:tcPr>
            <w:tcW w:w="155" w:type="pct"/>
            <w:tcBorders>
              <w:left w:val="single" w:sz="4" w:space="0" w:color="FFFFFF" w:themeColor="background1"/>
              <w:right w:val="single" w:sz="4" w:space="0" w:color="FFFFFF" w:themeColor="background1"/>
            </w:tcBorders>
            <w:shd w:val="clear" w:color="auto" w:fill="1F497D" w:themeFill="text2"/>
            <w:textDirection w:val="btLr"/>
            <w:vAlign w:val="center"/>
          </w:tcPr>
          <w:p w:rsidR="00A04EEE" w:rsidRPr="00761180" w:rsidRDefault="00A04EEE" w:rsidP="00DF077C">
            <w:pPr>
              <w:pStyle w:val="tabletitles"/>
            </w:pPr>
            <w:r w:rsidRPr="00761180">
              <w:t>Additional</w:t>
            </w:r>
          </w:p>
        </w:tc>
        <w:tc>
          <w:tcPr>
            <w:tcW w:w="3678" w:type="pct"/>
            <w:tcBorders>
              <w:left w:val="single" w:sz="4" w:space="0" w:color="FFFFFF" w:themeColor="background1"/>
            </w:tcBorders>
            <w:shd w:val="clear" w:color="auto" w:fill="1F497D" w:themeFill="text2"/>
          </w:tcPr>
          <w:p w:rsidR="00A04EEE" w:rsidRPr="00761180" w:rsidRDefault="00A04EEE" w:rsidP="00DF077C">
            <w:pPr>
              <w:pStyle w:val="tabletitles"/>
            </w:pPr>
            <w:r w:rsidRPr="00761180">
              <w:t>Key Considerations</w:t>
            </w:r>
          </w:p>
        </w:tc>
      </w:tr>
      <w:tr w:rsidR="00A04EEE" w:rsidRPr="00C3022F" w:rsidTr="00DF077C">
        <w:trPr>
          <w:trHeight w:val="199"/>
        </w:trPr>
        <w:tc>
          <w:tcPr>
            <w:tcW w:w="856" w:type="pct"/>
          </w:tcPr>
          <w:p w:rsidR="00A04EEE" w:rsidRPr="00761180" w:rsidRDefault="00A04EEE" w:rsidP="00DF077C">
            <w:pPr>
              <w:pStyle w:val="tabletext"/>
              <w:rPr>
                <w:szCs w:val="20"/>
              </w:rPr>
            </w:pPr>
            <w:r w:rsidRPr="00761180">
              <w:rPr>
                <w:szCs w:val="20"/>
              </w:rPr>
              <w:t>Survey Pre-Testing</w:t>
            </w:r>
          </w:p>
        </w:tc>
        <w:tc>
          <w:tcPr>
            <w:tcW w:w="155" w:type="pct"/>
            <w:shd w:val="clear" w:color="auto" w:fill="C6D9F1" w:themeFill="text2" w:themeFillTint="33"/>
          </w:tcPr>
          <w:p w:rsidR="00A04EEE" w:rsidRPr="00761180" w:rsidRDefault="00A04EEE" w:rsidP="00DF077C">
            <w:pPr>
              <w:pStyle w:val="tabletext"/>
              <w:rPr>
                <w:szCs w:val="20"/>
              </w:rPr>
            </w:pPr>
          </w:p>
        </w:tc>
        <w:tc>
          <w:tcPr>
            <w:tcW w:w="156" w:type="pct"/>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3678" w:type="pct"/>
          </w:tcPr>
          <w:p w:rsidR="00A04EEE" w:rsidRPr="00761180" w:rsidRDefault="00A04EEE" w:rsidP="00DF077C">
            <w:pPr>
              <w:pStyle w:val="tabletext"/>
              <w:rPr>
                <w:szCs w:val="20"/>
              </w:rPr>
            </w:pPr>
            <w:r w:rsidRPr="00761180">
              <w:rPr>
                <w:szCs w:val="20"/>
              </w:rPr>
              <w:t xml:space="preserve">Has pre-testing of the Stated Preference survey been carried out </w:t>
            </w:r>
            <w:r w:rsidRPr="00644934">
              <w:t>–</w:t>
            </w:r>
            <w:r w:rsidRPr="00761180">
              <w:rPr>
                <w:szCs w:val="20"/>
              </w:rPr>
              <w:t xml:space="preserve"> for example via focus groups or one-on-one interviews?</w:t>
            </w:r>
          </w:p>
        </w:tc>
      </w:tr>
      <w:tr w:rsidR="00A04EEE" w:rsidRPr="00C3022F" w:rsidTr="00DF077C">
        <w:trPr>
          <w:trHeight w:val="192"/>
        </w:trPr>
        <w:tc>
          <w:tcPr>
            <w:tcW w:w="856" w:type="pct"/>
          </w:tcPr>
          <w:p w:rsidR="00A04EEE" w:rsidRPr="00761180" w:rsidRDefault="00A04EEE" w:rsidP="00DF077C">
            <w:pPr>
              <w:pStyle w:val="tabletext"/>
              <w:rPr>
                <w:szCs w:val="20"/>
              </w:rPr>
            </w:pPr>
            <w:r w:rsidRPr="00761180">
              <w:rPr>
                <w:szCs w:val="20"/>
              </w:rPr>
              <w:t xml:space="preserve">Survey Piloting </w:t>
            </w:r>
          </w:p>
        </w:tc>
        <w:tc>
          <w:tcPr>
            <w:tcW w:w="155" w:type="pct"/>
          </w:tcPr>
          <w:p w:rsidR="00A04EEE" w:rsidRPr="00761180" w:rsidRDefault="00A04EEE" w:rsidP="00DF077C">
            <w:pPr>
              <w:pStyle w:val="tabletext"/>
              <w:rPr>
                <w:szCs w:val="20"/>
              </w:rPr>
            </w:pPr>
          </w:p>
        </w:tc>
        <w:tc>
          <w:tcPr>
            <w:tcW w:w="156" w:type="pct"/>
            <w:shd w:val="clear" w:color="auto" w:fill="C6D9F1" w:themeFill="text2" w:themeFillTint="33"/>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3678" w:type="pct"/>
          </w:tcPr>
          <w:p w:rsidR="00A04EEE" w:rsidRPr="00761180" w:rsidRDefault="00A04EEE" w:rsidP="00DF077C">
            <w:pPr>
              <w:pStyle w:val="tabletext"/>
              <w:rPr>
                <w:szCs w:val="20"/>
              </w:rPr>
            </w:pPr>
            <w:r w:rsidRPr="00761180">
              <w:rPr>
                <w:szCs w:val="20"/>
              </w:rPr>
              <w:t xml:space="preserve">Has a survey pilot been undertaken to assess the information presented (ideally using 25 to 100 respondents)? </w:t>
            </w:r>
          </w:p>
        </w:tc>
      </w:tr>
      <w:tr w:rsidR="00A04EEE" w:rsidRPr="00C3022F" w:rsidTr="00DF077C">
        <w:tc>
          <w:tcPr>
            <w:tcW w:w="856" w:type="pct"/>
          </w:tcPr>
          <w:p w:rsidR="00A04EEE" w:rsidRPr="00761180" w:rsidRDefault="00A04EEE" w:rsidP="00DF077C">
            <w:pPr>
              <w:pStyle w:val="tabletext"/>
              <w:rPr>
                <w:szCs w:val="20"/>
              </w:rPr>
            </w:pPr>
            <w:r w:rsidRPr="00761180">
              <w:rPr>
                <w:szCs w:val="20"/>
              </w:rPr>
              <w:t xml:space="preserve">Survey </w:t>
            </w:r>
            <w:r>
              <w:rPr>
                <w:szCs w:val="20"/>
              </w:rPr>
              <w:t>M</w:t>
            </w:r>
            <w:r w:rsidRPr="00761180">
              <w:rPr>
                <w:szCs w:val="20"/>
              </w:rPr>
              <w:t>ethod</w:t>
            </w:r>
          </w:p>
        </w:tc>
        <w:tc>
          <w:tcPr>
            <w:tcW w:w="155" w:type="pct"/>
            <w:shd w:val="clear" w:color="auto" w:fill="C6D9F1" w:themeFill="text2" w:themeFillTint="33"/>
          </w:tcPr>
          <w:p w:rsidR="00A04EEE" w:rsidRPr="00761180" w:rsidRDefault="00A04EEE" w:rsidP="00DF077C">
            <w:pPr>
              <w:pStyle w:val="tabletext"/>
              <w:rPr>
                <w:szCs w:val="20"/>
              </w:rPr>
            </w:pPr>
          </w:p>
        </w:tc>
        <w:tc>
          <w:tcPr>
            <w:tcW w:w="156" w:type="pct"/>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3678" w:type="pct"/>
          </w:tcPr>
          <w:p w:rsidR="00A04EEE" w:rsidRPr="00761180" w:rsidRDefault="00A04EEE" w:rsidP="00DF077C">
            <w:pPr>
              <w:pStyle w:val="tabletext"/>
              <w:rPr>
                <w:szCs w:val="20"/>
              </w:rPr>
            </w:pPr>
            <w:r w:rsidRPr="00761180">
              <w:rPr>
                <w:szCs w:val="20"/>
              </w:rPr>
              <w:t>Does the questionnaire design match the data collection method (e.g. telephone surveys do not work where visual aids are necessary and face-to-face interviews are preferred for complex</w:t>
            </w:r>
            <w:r>
              <w:rPr>
                <w:szCs w:val="20"/>
              </w:rPr>
              <w:t>,</w:t>
            </w:r>
            <w:r w:rsidRPr="00761180">
              <w:rPr>
                <w:szCs w:val="20"/>
              </w:rPr>
              <w:t xml:space="preserve"> unfamiliar goods)?</w:t>
            </w:r>
          </w:p>
        </w:tc>
      </w:tr>
      <w:tr w:rsidR="00A04EEE" w:rsidRPr="00C3022F" w:rsidTr="00DF077C">
        <w:tc>
          <w:tcPr>
            <w:tcW w:w="856" w:type="pct"/>
          </w:tcPr>
          <w:p w:rsidR="00A04EEE" w:rsidRPr="00761180" w:rsidRDefault="00A04EEE" w:rsidP="00DF077C">
            <w:pPr>
              <w:pStyle w:val="tabletext"/>
              <w:rPr>
                <w:szCs w:val="20"/>
              </w:rPr>
            </w:pPr>
            <w:r w:rsidRPr="00761180">
              <w:rPr>
                <w:szCs w:val="20"/>
              </w:rPr>
              <w:t>Survey Sample Selection</w:t>
            </w:r>
          </w:p>
        </w:tc>
        <w:tc>
          <w:tcPr>
            <w:tcW w:w="155" w:type="pct"/>
          </w:tcPr>
          <w:p w:rsidR="00A04EEE" w:rsidRPr="00761180" w:rsidRDefault="00A04EEE" w:rsidP="00DF077C">
            <w:pPr>
              <w:pStyle w:val="tabletext"/>
              <w:rPr>
                <w:szCs w:val="20"/>
              </w:rPr>
            </w:pPr>
          </w:p>
        </w:tc>
        <w:tc>
          <w:tcPr>
            <w:tcW w:w="156" w:type="pct"/>
            <w:shd w:val="clear" w:color="auto" w:fill="C6D9F1" w:themeFill="text2" w:themeFillTint="33"/>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3678" w:type="pct"/>
          </w:tcPr>
          <w:p w:rsidR="00A04EEE" w:rsidRPr="00761180" w:rsidRDefault="00A04EEE" w:rsidP="00DF077C">
            <w:pPr>
              <w:pStyle w:val="tabletext"/>
              <w:rPr>
                <w:i/>
                <w:szCs w:val="20"/>
              </w:rPr>
            </w:pPr>
            <w:r w:rsidRPr="00761180">
              <w:rPr>
                <w:szCs w:val="20"/>
              </w:rPr>
              <w:t>Has a “probabilistic” design for sample selection been used (e.g. simple random sampling, systematic sampling, stratified sampling, cluster sampling)?</w:t>
            </w:r>
          </w:p>
        </w:tc>
      </w:tr>
      <w:tr w:rsidR="00A04EEE" w:rsidRPr="00C3022F" w:rsidTr="00DF077C">
        <w:tc>
          <w:tcPr>
            <w:tcW w:w="856" w:type="pct"/>
          </w:tcPr>
          <w:p w:rsidR="00A04EEE" w:rsidRPr="00761180" w:rsidRDefault="00A04EEE" w:rsidP="00DF077C">
            <w:pPr>
              <w:pStyle w:val="tabletext"/>
              <w:rPr>
                <w:szCs w:val="20"/>
              </w:rPr>
            </w:pPr>
            <w:r w:rsidRPr="00761180">
              <w:rPr>
                <w:szCs w:val="20"/>
              </w:rPr>
              <w:t>Survey Sample Size</w:t>
            </w:r>
          </w:p>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156" w:type="pct"/>
            <w:shd w:val="clear" w:color="auto" w:fill="C6D9F1" w:themeFill="text2" w:themeFillTint="33"/>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3678" w:type="pct"/>
          </w:tcPr>
          <w:p w:rsidR="00A04EEE" w:rsidRPr="00761180" w:rsidRDefault="00A04EEE" w:rsidP="00DF077C">
            <w:pPr>
              <w:pStyle w:val="tabletext"/>
              <w:rPr>
                <w:szCs w:val="20"/>
              </w:rPr>
            </w:pPr>
            <w:r w:rsidRPr="00761180">
              <w:rPr>
                <w:szCs w:val="20"/>
              </w:rPr>
              <w:t xml:space="preserve">Have the following number of respondents been surveyed, at a minimum? </w:t>
            </w:r>
          </w:p>
          <w:p w:rsidR="00A04EEE" w:rsidRPr="00761180" w:rsidRDefault="00A04EEE" w:rsidP="00DF077C">
            <w:pPr>
              <w:pStyle w:val="tabletext"/>
              <w:rPr>
                <w:szCs w:val="20"/>
              </w:rPr>
            </w:pPr>
            <w:r w:rsidRPr="00761180">
              <w:rPr>
                <w:szCs w:val="20"/>
              </w:rPr>
              <w:t>250 - for ‘open ended’ Contingent Valuation (where respondents offer an unprompted, unrestricted willingness to pay);</w:t>
            </w:r>
          </w:p>
          <w:p w:rsidR="00A04EEE" w:rsidRPr="00761180" w:rsidRDefault="00A04EEE" w:rsidP="00DF077C">
            <w:pPr>
              <w:pStyle w:val="tabletext"/>
              <w:rPr>
                <w:szCs w:val="20"/>
              </w:rPr>
            </w:pPr>
            <w:r w:rsidRPr="00761180">
              <w:rPr>
                <w:szCs w:val="20"/>
              </w:rPr>
              <w:t xml:space="preserve">500 - for ‘closed ended’ (‘discrete choice’ or ‘referendum’) Contingent Valuation where respondents are presented with a ‘take it or leave it at this price’. </w:t>
            </w:r>
            <w:r>
              <w:rPr>
                <w:szCs w:val="20"/>
              </w:rPr>
              <w:t>The w</w:t>
            </w:r>
            <w:r w:rsidRPr="00761180">
              <w:rPr>
                <w:szCs w:val="20"/>
              </w:rPr>
              <w:t xml:space="preserve">illingness to pay measure, and average and median willingness to pay </w:t>
            </w:r>
            <w:r>
              <w:rPr>
                <w:szCs w:val="20"/>
              </w:rPr>
              <w:t>are</w:t>
            </w:r>
            <w:r w:rsidRPr="00761180">
              <w:rPr>
                <w:szCs w:val="20"/>
              </w:rPr>
              <w:t xml:space="preserve"> derived from all answers; and</w:t>
            </w:r>
          </w:p>
          <w:p w:rsidR="00A04EEE" w:rsidRPr="00761180" w:rsidRDefault="00A04EEE" w:rsidP="00DF077C">
            <w:pPr>
              <w:pStyle w:val="tabletext"/>
              <w:rPr>
                <w:szCs w:val="20"/>
              </w:rPr>
            </w:pPr>
            <w:r w:rsidRPr="00761180">
              <w:rPr>
                <w:szCs w:val="20"/>
              </w:rPr>
              <w:t xml:space="preserve">200 - per survey for Choice Modelling, depending on </w:t>
            </w:r>
            <w:r>
              <w:rPr>
                <w:szCs w:val="20"/>
              </w:rPr>
              <w:t xml:space="preserve">the </w:t>
            </w:r>
            <w:r w:rsidRPr="00761180">
              <w:rPr>
                <w:szCs w:val="20"/>
              </w:rPr>
              <w:t>number of attributes presented.</w:t>
            </w:r>
          </w:p>
        </w:tc>
      </w:tr>
      <w:tr w:rsidR="00A04EEE" w:rsidRPr="00C3022F" w:rsidTr="00DF077C">
        <w:tc>
          <w:tcPr>
            <w:tcW w:w="856" w:type="pct"/>
          </w:tcPr>
          <w:p w:rsidR="00A04EEE" w:rsidRPr="00761180" w:rsidRDefault="00A04EEE" w:rsidP="00DF077C">
            <w:pPr>
              <w:pStyle w:val="tabletext"/>
              <w:rPr>
                <w:szCs w:val="20"/>
              </w:rPr>
            </w:pPr>
            <w:r w:rsidRPr="00761180">
              <w:rPr>
                <w:szCs w:val="20"/>
              </w:rPr>
              <w:t>Survey - Split samples</w:t>
            </w:r>
          </w:p>
        </w:tc>
        <w:tc>
          <w:tcPr>
            <w:tcW w:w="155" w:type="pct"/>
          </w:tcPr>
          <w:p w:rsidR="00A04EEE" w:rsidRPr="00761180" w:rsidRDefault="00A04EEE" w:rsidP="00DF077C">
            <w:pPr>
              <w:pStyle w:val="tabletext"/>
              <w:rPr>
                <w:szCs w:val="20"/>
              </w:rPr>
            </w:pPr>
          </w:p>
        </w:tc>
        <w:tc>
          <w:tcPr>
            <w:tcW w:w="156" w:type="pct"/>
            <w:shd w:val="clear" w:color="auto" w:fill="C6D9F1" w:themeFill="text2" w:themeFillTint="33"/>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3678" w:type="pct"/>
          </w:tcPr>
          <w:p w:rsidR="00A04EEE" w:rsidRPr="00761180" w:rsidRDefault="00A04EEE" w:rsidP="00DF077C">
            <w:pPr>
              <w:pStyle w:val="tabletext"/>
              <w:rPr>
                <w:szCs w:val="20"/>
              </w:rPr>
            </w:pPr>
            <w:r w:rsidRPr="00761180">
              <w:rPr>
                <w:szCs w:val="20"/>
              </w:rPr>
              <w:t>Has a split sample approach to the key hypothesis testing been done (different people presented with different information to prove the impact of the difference)?  If so, were the sample sizes of the subgroups considered large enough? The overall sample size in these cases should be larger than in ‘sample size’ above. This may be reduced where more information per respondent it collected (i.e. in Choice Modelling)</w:t>
            </w:r>
          </w:p>
        </w:tc>
      </w:tr>
      <w:tr w:rsidR="00A04EEE" w:rsidRPr="00C3022F" w:rsidTr="00DF077C">
        <w:trPr>
          <w:trHeight w:val="243"/>
        </w:trPr>
        <w:tc>
          <w:tcPr>
            <w:tcW w:w="856" w:type="pct"/>
            <w:vMerge w:val="restart"/>
          </w:tcPr>
          <w:p w:rsidR="00A04EEE" w:rsidRPr="00761180" w:rsidRDefault="00A04EEE" w:rsidP="00DF077C">
            <w:pPr>
              <w:pStyle w:val="tabletext"/>
              <w:rPr>
                <w:szCs w:val="20"/>
              </w:rPr>
            </w:pPr>
            <w:r w:rsidRPr="00761180">
              <w:rPr>
                <w:szCs w:val="20"/>
              </w:rPr>
              <w:t xml:space="preserve">Survey Population covered:   use and non-use </w:t>
            </w:r>
          </w:p>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156" w:type="pct"/>
            <w:shd w:val="clear" w:color="auto" w:fill="C6D9F1" w:themeFill="text2" w:themeFillTint="33"/>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3678" w:type="pct"/>
          </w:tcPr>
          <w:p w:rsidR="00A04EEE" w:rsidRPr="00761180" w:rsidRDefault="00A04EEE" w:rsidP="00DF077C">
            <w:pPr>
              <w:pStyle w:val="tabletext"/>
              <w:rPr>
                <w:szCs w:val="20"/>
              </w:rPr>
            </w:pPr>
            <w:r w:rsidRPr="00761180">
              <w:rPr>
                <w:szCs w:val="20"/>
              </w:rPr>
              <w:t xml:space="preserve">Is it clear as to what populations the non-market values being measured relate to? </w:t>
            </w:r>
          </w:p>
        </w:tc>
      </w:tr>
      <w:tr w:rsidR="00A04EEE" w:rsidRPr="00C3022F" w:rsidTr="00DF077C">
        <w:tc>
          <w:tcPr>
            <w:tcW w:w="856" w:type="pct"/>
            <w:vMerge/>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156" w:type="pct"/>
          </w:tcPr>
          <w:p w:rsidR="00A04EEE" w:rsidRPr="00761180" w:rsidRDefault="00A04EEE" w:rsidP="00DF077C">
            <w:pPr>
              <w:pStyle w:val="tabletext"/>
              <w:rPr>
                <w:szCs w:val="20"/>
              </w:rPr>
            </w:pPr>
          </w:p>
        </w:tc>
        <w:tc>
          <w:tcPr>
            <w:tcW w:w="155" w:type="pct"/>
            <w:shd w:val="clear" w:color="auto" w:fill="C6D9F1" w:themeFill="text2" w:themeFillTint="33"/>
          </w:tcPr>
          <w:p w:rsidR="00A04EEE" w:rsidRPr="00761180" w:rsidRDefault="00A04EEE" w:rsidP="00DF077C">
            <w:pPr>
              <w:pStyle w:val="tabletext"/>
              <w:rPr>
                <w:szCs w:val="20"/>
              </w:rPr>
            </w:pPr>
          </w:p>
        </w:tc>
        <w:tc>
          <w:tcPr>
            <w:tcW w:w="3678" w:type="pct"/>
          </w:tcPr>
          <w:p w:rsidR="00A04EEE" w:rsidRPr="00761180" w:rsidRDefault="00A04EEE" w:rsidP="00DF077C">
            <w:pPr>
              <w:pStyle w:val="tabletext"/>
              <w:rPr>
                <w:szCs w:val="20"/>
              </w:rPr>
            </w:pPr>
            <w:r w:rsidRPr="00761180">
              <w:rPr>
                <w:szCs w:val="20"/>
              </w:rPr>
              <w:t>For non-use surveys: is distance from the site in question determined for respondents, and then used appropriately in the analysis (i.e. testing for non-use ‘distance decay’ where more distance from the impact correlates with lower willingness to pay)? For user surveys: is distance from the site in question determined for respondents, or the frequency that they visit the site?</w:t>
            </w:r>
          </w:p>
        </w:tc>
      </w:tr>
      <w:tr w:rsidR="00A04EEE" w:rsidRPr="00C3022F" w:rsidTr="00DF077C">
        <w:tc>
          <w:tcPr>
            <w:tcW w:w="856" w:type="pct"/>
            <w:vMerge w:val="restart"/>
          </w:tcPr>
          <w:p w:rsidR="00A04EEE" w:rsidRPr="00761180" w:rsidRDefault="00A04EEE" w:rsidP="00DF077C">
            <w:pPr>
              <w:pStyle w:val="tabletext"/>
              <w:rPr>
                <w:szCs w:val="20"/>
              </w:rPr>
            </w:pPr>
            <w:r w:rsidRPr="00761180">
              <w:rPr>
                <w:szCs w:val="20"/>
              </w:rPr>
              <w:t xml:space="preserve">Information provision on good -nature/extent </w:t>
            </w:r>
          </w:p>
        </w:tc>
        <w:tc>
          <w:tcPr>
            <w:tcW w:w="155" w:type="pct"/>
            <w:shd w:val="clear" w:color="auto" w:fill="C6D9F1" w:themeFill="text2" w:themeFillTint="33"/>
          </w:tcPr>
          <w:p w:rsidR="00A04EEE" w:rsidRPr="00761180" w:rsidRDefault="00A04EEE" w:rsidP="00DF077C">
            <w:pPr>
              <w:pStyle w:val="tabletext"/>
              <w:rPr>
                <w:szCs w:val="20"/>
              </w:rPr>
            </w:pPr>
          </w:p>
        </w:tc>
        <w:tc>
          <w:tcPr>
            <w:tcW w:w="156" w:type="pct"/>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3678" w:type="pct"/>
          </w:tcPr>
          <w:p w:rsidR="00A04EEE" w:rsidRPr="00761180" w:rsidRDefault="00A04EEE" w:rsidP="00DF077C">
            <w:pPr>
              <w:pStyle w:val="tabletext"/>
              <w:rPr>
                <w:szCs w:val="20"/>
              </w:rPr>
            </w:pPr>
            <w:r w:rsidRPr="00761180">
              <w:rPr>
                <w:szCs w:val="20"/>
              </w:rPr>
              <w:t>Is the information provided about the change being valued reasonably clear and unambiguous, with an appropriate use of aids such as text, photos, maps, charts etc.?</w:t>
            </w:r>
          </w:p>
        </w:tc>
      </w:tr>
      <w:tr w:rsidR="00A04EEE" w:rsidRPr="00C3022F" w:rsidTr="00DF077C">
        <w:tc>
          <w:tcPr>
            <w:tcW w:w="856" w:type="pct"/>
            <w:vMerge/>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156" w:type="pct"/>
          </w:tcPr>
          <w:p w:rsidR="00A04EEE" w:rsidRPr="00761180" w:rsidRDefault="00A04EEE" w:rsidP="00DF077C">
            <w:pPr>
              <w:pStyle w:val="tabletext"/>
              <w:rPr>
                <w:szCs w:val="20"/>
              </w:rPr>
            </w:pPr>
          </w:p>
        </w:tc>
        <w:tc>
          <w:tcPr>
            <w:tcW w:w="155" w:type="pct"/>
            <w:shd w:val="clear" w:color="auto" w:fill="C6D9F1" w:themeFill="text2" w:themeFillTint="33"/>
          </w:tcPr>
          <w:p w:rsidR="00A04EEE" w:rsidRPr="00761180" w:rsidRDefault="00A04EEE" w:rsidP="00DF077C">
            <w:pPr>
              <w:pStyle w:val="tabletext"/>
              <w:rPr>
                <w:szCs w:val="20"/>
              </w:rPr>
            </w:pPr>
          </w:p>
        </w:tc>
        <w:tc>
          <w:tcPr>
            <w:tcW w:w="3678" w:type="pct"/>
          </w:tcPr>
          <w:p w:rsidR="00A04EEE" w:rsidRPr="00761180" w:rsidRDefault="00A04EEE" w:rsidP="00DF077C">
            <w:pPr>
              <w:pStyle w:val="tabletext"/>
              <w:rPr>
                <w:szCs w:val="20"/>
              </w:rPr>
            </w:pPr>
            <w:r w:rsidRPr="00761180">
              <w:rPr>
                <w:szCs w:val="20"/>
              </w:rPr>
              <w:t xml:space="preserve">Has additional time been given to respondents to consider what they are being asked to value? For example, after being asked the valuation questions, were respondents asked to provide their answer once they have completed the rest of the survey or are they contacted </w:t>
            </w:r>
            <w:proofErr w:type="gramStart"/>
            <w:r w:rsidRPr="00761180">
              <w:rPr>
                <w:szCs w:val="20"/>
              </w:rPr>
              <w:t>at a later date</w:t>
            </w:r>
            <w:proofErr w:type="gramEnd"/>
            <w:r w:rsidRPr="00761180">
              <w:rPr>
                <w:szCs w:val="20"/>
              </w:rPr>
              <w:t xml:space="preserve"> to give their answer to the valuation question?</w:t>
            </w:r>
          </w:p>
        </w:tc>
      </w:tr>
      <w:tr w:rsidR="00A04EEE" w:rsidRPr="00C3022F" w:rsidTr="00DF077C">
        <w:tc>
          <w:tcPr>
            <w:tcW w:w="856" w:type="pct"/>
          </w:tcPr>
          <w:p w:rsidR="00A04EEE" w:rsidRPr="00761180" w:rsidRDefault="00A04EEE" w:rsidP="00DF077C">
            <w:pPr>
              <w:pStyle w:val="tabletext"/>
              <w:rPr>
                <w:szCs w:val="20"/>
              </w:rPr>
            </w:pPr>
            <w:r w:rsidRPr="00761180">
              <w:rPr>
                <w:szCs w:val="20"/>
              </w:rPr>
              <w:t>Policy Scenario</w:t>
            </w:r>
          </w:p>
        </w:tc>
        <w:tc>
          <w:tcPr>
            <w:tcW w:w="155" w:type="pct"/>
            <w:shd w:val="clear" w:color="auto" w:fill="C6D9F1" w:themeFill="text2" w:themeFillTint="33"/>
          </w:tcPr>
          <w:p w:rsidR="00A04EEE" w:rsidRPr="00761180" w:rsidRDefault="00A04EEE" w:rsidP="00DF077C">
            <w:pPr>
              <w:pStyle w:val="tabletext"/>
              <w:rPr>
                <w:szCs w:val="20"/>
              </w:rPr>
            </w:pPr>
          </w:p>
        </w:tc>
        <w:tc>
          <w:tcPr>
            <w:tcW w:w="156" w:type="pct"/>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3678" w:type="pct"/>
          </w:tcPr>
          <w:p w:rsidR="00A04EEE" w:rsidRPr="00761180" w:rsidRDefault="00A04EEE" w:rsidP="00DF077C">
            <w:pPr>
              <w:pStyle w:val="tabletext"/>
              <w:rPr>
                <w:szCs w:val="20"/>
              </w:rPr>
            </w:pPr>
            <w:r w:rsidRPr="00761180">
              <w:rPr>
                <w:szCs w:val="20"/>
              </w:rPr>
              <w:t xml:space="preserve">Is the policy change described clearly and is it likely to be perceived as realistic and feasible? For example, willingness to pay, rather than willingness to accept, tends to (but does not always) create a more credible scenario where respondents are more </w:t>
            </w:r>
            <w:r w:rsidRPr="00761180">
              <w:rPr>
                <w:szCs w:val="20"/>
              </w:rPr>
              <w:lastRenderedPageBreak/>
              <w:t>likely to believe the change proposed.</w:t>
            </w:r>
          </w:p>
        </w:tc>
      </w:tr>
      <w:tr w:rsidR="00A04EEE" w:rsidRPr="00C3022F" w:rsidTr="00DF077C">
        <w:tc>
          <w:tcPr>
            <w:tcW w:w="856" w:type="pct"/>
          </w:tcPr>
          <w:p w:rsidR="00A04EEE" w:rsidRPr="00761180" w:rsidRDefault="00A04EEE" w:rsidP="00DF077C">
            <w:pPr>
              <w:pStyle w:val="tabletext"/>
              <w:rPr>
                <w:szCs w:val="20"/>
              </w:rPr>
            </w:pPr>
            <w:r w:rsidRPr="00761180">
              <w:rPr>
                <w:szCs w:val="20"/>
              </w:rPr>
              <w:lastRenderedPageBreak/>
              <w:t xml:space="preserve">Multi-dimensional policy </w:t>
            </w:r>
          </w:p>
        </w:tc>
        <w:tc>
          <w:tcPr>
            <w:tcW w:w="155" w:type="pct"/>
          </w:tcPr>
          <w:p w:rsidR="00A04EEE" w:rsidRPr="00761180" w:rsidRDefault="00A04EEE" w:rsidP="00DF077C">
            <w:pPr>
              <w:pStyle w:val="tabletext"/>
              <w:rPr>
                <w:szCs w:val="20"/>
              </w:rPr>
            </w:pPr>
          </w:p>
        </w:tc>
        <w:tc>
          <w:tcPr>
            <w:tcW w:w="156" w:type="pct"/>
            <w:shd w:val="clear" w:color="auto" w:fill="C6D9F1" w:themeFill="text2" w:themeFillTint="33"/>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3678" w:type="pct"/>
          </w:tcPr>
          <w:p w:rsidR="00A04EEE" w:rsidRPr="00761180" w:rsidRDefault="00A04EEE" w:rsidP="00DF077C">
            <w:pPr>
              <w:pStyle w:val="tabletext"/>
              <w:rPr>
                <w:szCs w:val="20"/>
              </w:rPr>
            </w:pPr>
            <w:r w:rsidRPr="00761180">
              <w:rPr>
                <w:szCs w:val="20"/>
              </w:rPr>
              <w:t xml:space="preserve">If the policy change is part of a more encompassing multidimensional policy that involves simultaneous or sequential change, is this </w:t>
            </w:r>
            <w:proofErr w:type="spellStart"/>
            <w:r w:rsidRPr="00761180">
              <w:rPr>
                <w:szCs w:val="20"/>
              </w:rPr>
              <w:t>recognised</w:t>
            </w:r>
            <w:proofErr w:type="spellEnd"/>
            <w:r w:rsidRPr="00761180">
              <w:rPr>
                <w:szCs w:val="20"/>
              </w:rPr>
              <w:t xml:space="preserve"> and addressed in the questionnaire design?  For example, are respondents first asked to value the more inclusive policy and then to partition that total value across its components, or are at least made aware of the issue?</w:t>
            </w:r>
          </w:p>
        </w:tc>
      </w:tr>
      <w:tr w:rsidR="00A04EEE" w:rsidRPr="00C3022F" w:rsidTr="00DF077C">
        <w:tc>
          <w:tcPr>
            <w:tcW w:w="856" w:type="pct"/>
          </w:tcPr>
          <w:p w:rsidR="00A04EEE" w:rsidRPr="00761180" w:rsidRDefault="00A04EEE" w:rsidP="00DF077C">
            <w:pPr>
              <w:pStyle w:val="tabletext"/>
              <w:rPr>
                <w:szCs w:val="20"/>
              </w:rPr>
            </w:pPr>
            <w:r w:rsidRPr="00761180">
              <w:rPr>
                <w:szCs w:val="20"/>
              </w:rPr>
              <w:t>Payment Vehicle credibility</w:t>
            </w:r>
          </w:p>
        </w:tc>
        <w:tc>
          <w:tcPr>
            <w:tcW w:w="155" w:type="pct"/>
            <w:shd w:val="clear" w:color="auto" w:fill="C6D9F1" w:themeFill="text2" w:themeFillTint="33"/>
          </w:tcPr>
          <w:p w:rsidR="00A04EEE" w:rsidRPr="00761180" w:rsidRDefault="00A04EEE" w:rsidP="00DF077C">
            <w:pPr>
              <w:pStyle w:val="tabletext"/>
              <w:rPr>
                <w:szCs w:val="20"/>
              </w:rPr>
            </w:pPr>
          </w:p>
        </w:tc>
        <w:tc>
          <w:tcPr>
            <w:tcW w:w="156" w:type="pct"/>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3678" w:type="pct"/>
          </w:tcPr>
          <w:p w:rsidR="00A04EEE" w:rsidRPr="00761180" w:rsidRDefault="00A04EEE" w:rsidP="00DF077C">
            <w:pPr>
              <w:pStyle w:val="tabletext"/>
              <w:rPr>
                <w:szCs w:val="20"/>
              </w:rPr>
            </w:pPr>
            <w:r w:rsidRPr="00761180">
              <w:rPr>
                <w:szCs w:val="20"/>
              </w:rPr>
              <w:t xml:space="preserve">Is the payment vehicle clearly described and likely to be employed in real life decisions? </w:t>
            </w:r>
          </w:p>
        </w:tc>
      </w:tr>
      <w:tr w:rsidR="00A04EEE" w:rsidRPr="00C3022F" w:rsidTr="00DF077C">
        <w:tc>
          <w:tcPr>
            <w:tcW w:w="856" w:type="pct"/>
          </w:tcPr>
          <w:p w:rsidR="00A04EEE" w:rsidRPr="00761180" w:rsidRDefault="00A04EEE" w:rsidP="00DF077C">
            <w:pPr>
              <w:pStyle w:val="tabletext"/>
              <w:rPr>
                <w:szCs w:val="20"/>
              </w:rPr>
            </w:pPr>
            <w:r w:rsidRPr="00761180">
              <w:rPr>
                <w:szCs w:val="20"/>
              </w:rPr>
              <w:t>Question format</w:t>
            </w:r>
          </w:p>
        </w:tc>
        <w:tc>
          <w:tcPr>
            <w:tcW w:w="155" w:type="pct"/>
          </w:tcPr>
          <w:p w:rsidR="00A04EEE" w:rsidRPr="00761180" w:rsidRDefault="00A04EEE" w:rsidP="00DF077C">
            <w:pPr>
              <w:pStyle w:val="tabletext"/>
              <w:rPr>
                <w:szCs w:val="20"/>
              </w:rPr>
            </w:pPr>
          </w:p>
        </w:tc>
        <w:tc>
          <w:tcPr>
            <w:tcW w:w="156" w:type="pct"/>
            <w:shd w:val="clear" w:color="auto" w:fill="C6D9F1" w:themeFill="text2" w:themeFillTint="33"/>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3678" w:type="pct"/>
          </w:tcPr>
          <w:p w:rsidR="00A04EEE" w:rsidRPr="00761180" w:rsidRDefault="00A04EEE" w:rsidP="00DF077C">
            <w:pPr>
              <w:pStyle w:val="tabletext"/>
              <w:rPr>
                <w:szCs w:val="20"/>
              </w:rPr>
            </w:pPr>
            <w:r w:rsidRPr="00761180">
              <w:rPr>
                <w:szCs w:val="20"/>
              </w:rPr>
              <w:t>Does the study use either a payment card or dichotomous choice question format? (Note: all payment vehicles have pros and cons associated with their use however these two are recommended)</w:t>
            </w:r>
          </w:p>
        </w:tc>
      </w:tr>
      <w:tr w:rsidR="00A04EEE" w:rsidRPr="00C3022F" w:rsidTr="00DF077C">
        <w:tc>
          <w:tcPr>
            <w:tcW w:w="856" w:type="pct"/>
          </w:tcPr>
          <w:p w:rsidR="00A04EEE" w:rsidRPr="00761180" w:rsidRDefault="00A04EEE" w:rsidP="00DF077C">
            <w:pPr>
              <w:pStyle w:val="tabletext"/>
              <w:rPr>
                <w:szCs w:val="20"/>
              </w:rPr>
            </w:pPr>
            <w:proofErr w:type="gramStart"/>
            <w:r w:rsidRPr="00761180">
              <w:rPr>
                <w:szCs w:val="20"/>
              </w:rPr>
              <w:t>Time period</w:t>
            </w:r>
            <w:proofErr w:type="gramEnd"/>
          </w:p>
        </w:tc>
        <w:tc>
          <w:tcPr>
            <w:tcW w:w="155" w:type="pct"/>
            <w:shd w:val="clear" w:color="auto" w:fill="C6D9F1" w:themeFill="text2" w:themeFillTint="33"/>
          </w:tcPr>
          <w:p w:rsidR="00A04EEE" w:rsidRPr="00761180" w:rsidRDefault="00A04EEE" w:rsidP="00DF077C">
            <w:pPr>
              <w:pStyle w:val="tabletext"/>
              <w:rPr>
                <w:szCs w:val="20"/>
              </w:rPr>
            </w:pPr>
          </w:p>
        </w:tc>
        <w:tc>
          <w:tcPr>
            <w:tcW w:w="156" w:type="pct"/>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3678" w:type="pct"/>
          </w:tcPr>
          <w:p w:rsidR="00A04EEE" w:rsidRPr="00761180" w:rsidRDefault="00A04EEE" w:rsidP="00DF077C">
            <w:pPr>
              <w:pStyle w:val="tabletext"/>
              <w:rPr>
                <w:szCs w:val="20"/>
              </w:rPr>
            </w:pPr>
            <w:r w:rsidRPr="00761180">
              <w:rPr>
                <w:szCs w:val="20"/>
              </w:rPr>
              <w:t xml:space="preserve">Is it clear over what </w:t>
            </w:r>
            <w:proofErr w:type="gramStart"/>
            <w:r w:rsidRPr="00761180">
              <w:rPr>
                <w:szCs w:val="20"/>
              </w:rPr>
              <w:t>time period</w:t>
            </w:r>
            <w:proofErr w:type="gramEnd"/>
            <w:r w:rsidRPr="00761180">
              <w:rPr>
                <w:szCs w:val="20"/>
              </w:rPr>
              <w:t xml:space="preserve"> people have to pay (e.g. each visit, one off, every year, over x years)? </w:t>
            </w:r>
          </w:p>
        </w:tc>
      </w:tr>
      <w:tr w:rsidR="00A04EEE" w:rsidRPr="00C3022F" w:rsidTr="00DF077C">
        <w:tc>
          <w:tcPr>
            <w:tcW w:w="856" w:type="pct"/>
          </w:tcPr>
          <w:p w:rsidR="00A04EEE" w:rsidRPr="00761180" w:rsidRDefault="00A04EEE" w:rsidP="00DF077C">
            <w:pPr>
              <w:pStyle w:val="tabletext"/>
              <w:rPr>
                <w:szCs w:val="20"/>
              </w:rPr>
            </w:pPr>
            <w:r w:rsidRPr="00761180">
              <w:rPr>
                <w:szCs w:val="20"/>
              </w:rPr>
              <w:t>Unit of value</w:t>
            </w:r>
          </w:p>
        </w:tc>
        <w:tc>
          <w:tcPr>
            <w:tcW w:w="155" w:type="pct"/>
            <w:shd w:val="clear" w:color="auto" w:fill="C6D9F1" w:themeFill="text2" w:themeFillTint="33"/>
          </w:tcPr>
          <w:p w:rsidR="00A04EEE" w:rsidRPr="00761180" w:rsidRDefault="00A04EEE" w:rsidP="00DF077C">
            <w:pPr>
              <w:pStyle w:val="tabletext"/>
              <w:rPr>
                <w:szCs w:val="20"/>
              </w:rPr>
            </w:pPr>
          </w:p>
        </w:tc>
        <w:tc>
          <w:tcPr>
            <w:tcW w:w="156" w:type="pct"/>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3678" w:type="pct"/>
          </w:tcPr>
          <w:p w:rsidR="00A04EEE" w:rsidRPr="00761180" w:rsidRDefault="00A04EEE" w:rsidP="00DF077C">
            <w:pPr>
              <w:pStyle w:val="tabletext"/>
              <w:rPr>
                <w:szCs w:val="20"/>
              </w:rPr>
            </w:pPr>
            <w:r w:rsidRPr="00761180">
              <w:rPr>
                <w:szCs w:val="20"/>
              </w:rPr>
              <w:t>Is the unit of value clearly defined?  (e.g. $/visit, or $/visitor/</w:t>
            </w:r>
            <w:proofErr w:type="spellStart"/>
            <w:r w:rsidRPr="00761180">
              <w:rPr>
                <w:szCs w:val="20"/>
              </w:rPr>
              <w:t>yr</w:t>
            </w:r>
            <w:proofErr w:type="spellEnd"/>
            <w:r w:rsidRPr="00761180">
              <w:rPr>
                <w:szCs w:val="20"/>
              </w:rPr>
              <w:t>, or $/household/</w:t>
            </w:r>
            <w:proofErr w:type="spellStart"/>
            <w:r w:rsidRPr="00761180">
              <w:rPr>
                <w:szCs w:val="20"/>
              </w:rPr>
              <w:t>yr</w:t>
            </w:r>
            <w:proofErr w:type="spellEnd"/>
            <w:r w:rsidRPr="00761180">
              <w:rPr>
                <w:szCs w:val="20"/>
              </w:rPr>
              <w:t xml:space="preserve">) </w:t>
            </w:r>
          </w:p>
        </w:tc>
      </w:tr>
      <w:tr w:rsidR="00A04EEE" w:rsidRPr="00C3022F" w:rsidTr="00DF077C">
        <w:tc>
          <w:tcPr>
            <w:tcW w:w="856" w:type="pct"/>
          </w:tcPr>
          <w:p w:rsidR="00A04EEE" w:rsidRPr="00761180" w:rsidRDefault="00A04EEE" w:rsidP="00DF077C">
            <w:pPr>
              <w:pStyle w:val="tabletext"/>
              <w:rPr>
                <w:szCs w:val="20"/>
              </w:rPr>
            </w:pPr>
            <w:r w:rsidRPr="00761180">
              <w:rPr>
                <w:szCs w:val="20"/>
              </w:rPr>
              <w:t>Substitutes</w:t>
            </w:r>
          </w:p>
        </w:tc>
        <w:tc>
          <w:tcPr>
            <w:tcW w:w="155" w:type="pct"/>
          </w:tcPr>
          <w:p w:rsidR="00A04EEE" w:rsidRPr="00761180" w:rsidRDefault="00A04EEE" w:rsidP="00DF077C">
            <w:pPr>
              <w:pStyle w:val="tabletext"/>
              <w:rPr>
                <w:szCs w:val="20"/>
              </w:rPr>
            </w:pPr>
          </w:p>
        </w:tc>
        <w:tc>
          <w:tcPr>
            <w:tcW w:w="156" w:type="pct"/>
            <w:shd w:val="clear" w:color="auto" w:fill="C6D9F1" w:themeFill="text2" w:themeFillTint="33"/>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3678" w:type="pct"/>
          </w:tcPr>
          <w:p w:rsidR="00A04EEE" w:rsidRPr="00761180" w:rsidRDefault="00A04EEE" w:rsidP="00DF077C">
            <w:pPr>
              <w:pStyle w:val="tabletext"/>
              <w:rPr>
                <w:szCs w:val="20"/>
              </w:rPr>
            </w:pPr>
            <w:r w:rsidRPr="00761180">
              <w:rPr>
                <w:szCs w:val="20"/>
              </w:rPr>
              <w:t>Is the issue of substitute availability addressed (e.g. are respondents reminded that alternative ‘goods, sites, experiences’ exist)?</w:t>
            </w:r>
          </w:p>
        </w:tc>
      </w:tr>
      <w:tr w:rsidR="00A04EEE" w:rsidRPr="00C3022F" w:rsidTr="00DF077C">
        <w:tc>
          <w:tcPr>
            <w:tcW w:w="856" w:type="pct"/>
          </w:tcPr>
          <w:p w:rsidR="00A04EEE" w:rsidRPr="00761180" w:rsidRDefault="00A04EEE" w:rsidP="00DF077C">
            <w:pPr>
              <w:pStyle w:val="tabletext"/>
              <w:rPr>
                <w:szCs w:val="20"/>
              </w:rPr>
            </w:pPr>
            <w:r w:rsidRPr="00761180">
              <w:rPr>
                <w:szCs w:val="20"/>
              </w:rPr>
              <w:t>Income constraints</w:t>
            </w:r>
          </w:p>
        </w:tc>
        <w:tc>
          <w:tcPr>
            <w:tcW w:w="155" w:type="pct"/>
            <w:shd w:val="clear" w:color="auto" w:fill="C6D9F1" w:themeFill="text2" w:themeFillTint="33"/>
          </w:tcPr>
          <w:p w:rsidR="00A04EEE" w:rsidRPr="00761180" w:rsidRDefault="00A04EEE" w:rsidP="00DF077C">
            <w:pPr>
              <w:pStyle w:val="tabletext"/>
              <w:rPr>
                <w:szCs w:val="20"/>
              </w:rPr>
            </w:pPr>
          </w:p>
        </w:tc>
        <w:tc>
          <w:tcPr>
            <w:tcW w:w="156" w:type="pct"/>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3678" w:type="pct"/>
          </w:tcPr>
          <w:p w:rsidR="00A04EEE" w:rsidRPr="00761180" w:rsidRDefault="00A04EEE" w:rsidP="00DF077C">
            <w:pPr>
              <w:pStyle w:val="tabletext"/>
              <w:rPr>
                <w:szCs w:val="20"/>
              </w:rPr>
            </w:pPr>
            <w:r w:rsidRPr="00761180">
              <w:rPr>
                <w:szCs w:val="20"/>
              </w:rPr>
              <w:t>Have people been reminded of their income constraints and the other things they may wish to spend their money on?</w:t>
            </w:r>
          </w:p>
        </w:tc>
      </w:tr>
      <w:tr w:rsidR="00A04EEE" w:rsidRPr="00C3022F" w:rsidTr="00DF077C">
        <w:tc>
          <w:tcPr>
            <w:tcW w:w="856" w:type="pct"/>
          </w:tcPr>
          <w:p w:rsidR="00A04EEE" w:rsidRPr="00761180" w:rsidRDefault="00A04EEE" w:rsidP="00DF077C">
            <w:pPr>
              <w:pStyle w:val="tabletext"/>
              <w:rPr>
                <w:szCs w:val="20"/>
              </w:rPr>
            </w:pPr>
            <w:r w:rsidRPr="00761180">
              <w:rPr>
                <w:szCs w:val="20"/>
              </w:rPr>
              <w:t xml:space="preserve">WTP positive bid analysis </w:t>
            </w:r>
          </w:p>
        </w:tc>
        <w:tc>
          <w:tcPr>
            <w:tcW w:w="155" w:type="pct"/>
          </w:tcPr>
          <w:p w:rsidR="00A04EEE" w:rsidRPr="00761180" w:rsidRDefault="00A04EEE" w:rsidP="00DF077C">
            <w:pPr>
              <w:pStyle w:val="tabletext"/>
              <w:rPr>
                <w:szCs w:val="20"/>
              </w:rPr>
            </w:pPr>
          </w:p>
        </w:tc>
        <w:tc>
          <w:tcPr>
            <w:tcW w:w="156" w:type="pct"/>
            <w:shd w:val="clear" w:color="auto" w:fill="C6D9F1" w:themeFill="text2" w:themeFillTint="33"/>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3678" w:type="pct"/>
          </w:tcPr>
          <w:p w:rsidR="00A04EEE" w:rsidRPr="00761180" w:rsidRDefault="00A04EEE" w:rsidP="00DF077C">
            <w:pPr>
              <w:pStyle w:val="tabletext"/>
              <w:rPr>
                <w:szCs w:val="20"/>
              </w:rPr>
            </w:pPr>
            <w:r w:rsidRPr="00761180">
              <w:rPr>
                <w:szCs w:val="20"/>
              </w:rPr>
              <w:t>Have the reasons for positive bids been identified and dealt with appropriately in the analysis (e.g. strategic bids omitted)?</w:t>
            </w:r>
          </w:p>
        </w:tc>
      </w:tr>
      <w:tr w:rsidR="00A04EEE" w:rsidRPr="00C3022F" w:rsidTr="00DF077C">
        <w:tc>
          <w:tcPr>
            <w:tcW w:w="856" w:type="pct"/>
            <w:vMerge w:val="restart"/>
          </w:tcPr>
          <w:p w:rsidR="00A04EEE" w:rsidRPr="00761180" w:rsidRDefault="00A04EEE" w:rsidP="00DF077C">
            <w:pPr>
              <w:pStyle w:val="tabletext"/>
              <w:rPr>
                <w:szCs w:val="20"/>
              </w:rPr>
            </w:pPr>
            <w:r w:rsidRPr="00761180">
              <w:rPr>
                <w:szCs w:val="20"/>
              </w:rPr>
              <w:t>WTP protest bid analysis</w:t>
            </w:r>
          </w:p>
        </w:tc>
        <w:tc>
          <w:tcPr>
            <w:tcW w:w="155" w:type="pct"/>
            <w:shd w:val="clear" w:color="auto" w:fill="C6D9F1" w:themeFill="text2" w:themeFillTint="33"/>
          </w:tcPr>
          <w:p w:rsidR="00A04EEE" w:rsidRPr="00761180" w:rsidRDefault="00A04EEE" w:rsidP="00DF077C">
            <w:pPr>
              <w:pStyle w:val="tabletext"/>
              <w:rPr>
                <w:szCs w:val="20"/>
              </w:rPr>
            </w:pPr>
          </w:p>
        </w:tc>
        <w:tc>
          <w:tcPr>
            <w:tcW w:w="156" w:type="pct"/>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3678" w:type="pct"/>
          </w:tcPr>
          <w:p w:rsidR="00A04EEE" w:rsidRPr="00761180" w:rsidRDefault="00A04EEE" w:rsidP="00DF077C">
            <w:pPr>
              <w:pStyle w:val="tabletext"/>
              <w:rPr>
                <w:szCs w:val="20"/>
              </w:rPr>
            </w:pPr>
            <w:r w:rsidRPr="00761180">
              <w:rPr>
                <w:szCs w:val="20"/>
              </w:rPr>
              <w:t>Have the reasons for bids of ‘zero WTP’ been ascertained and their responses dealt with appropriately in the analysis (e.g. were protest bids omitted)?  How high was the ‘protest rate’? Did it indicate a lack of acceptance of the scenario presented?</w:t>
            </w:r>
          </w:p>
        </w:tc>
      </w:tr>
      <w:tr w:rsidR="00A04EEE" w:rsidRPr="00C3022F" w:rsidTr="00DF077C">
        <w:tc>
          <w:tcPr>
            <w:tcW w:w="856" w:type="pct"/>
            <w:vMerge/>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156" w:type="pct"/>
            <w:shd w:val="clear" w:color="auto" w:fill="C6D9F1" w:themeFill="text2" w:themeFillTint="33"/>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3678" w:type="pct"/>
          </w:tcPr>
          <w:p w:rsidR="00A04EEE" w:rsidRDefault="00A04EEE" w:rsidP="00DF077C">
            <w:pPr>
              <w:pStyle w:val="tabletext"/>
              <w:rPr>
                <w:szCs w:val="20"/>
              </w:rPr>
            </w:pPr>
            <w:r w:rsidRPr="00761180">
              <w:rPr>
                <w:szCs w:val="20"/>
              </w:rPr>
              <w:t>Have respondents been allowed to give their own reason (i.e. in the form of an open-ended question) rather than selecting from a list of predefined reasons why they gave a zero bid?</w:t>
            </w:r>
          </w:p>
          <w:p w:rsidR="00A04EEE" w:rsidRDefault="00A04EEE" w:rsidP="00DF077C">
            <w:pPr>
              <w:pStyle w:val="tabletext"/>
              <w:rPr>
                <w:szCs w:val="20"/>
              </w:rPr>
            </w:pPr>
          </w:p>
          <w:p w:rsidR="00A04EEE" w:rsidRPr="00761180" w:rsidRDefault="00A04EEE" w:rsidP="00DF077C">
            <w:pPr>
              <w:pStyle w:val="tabletext"/>
              <w:rPr>
                <w:szCs w:val="20"/>
              </w:rPr>
            </w:pPr>
          </w:p>
        </w:tc>
      </w:tr>
      <w:tr w:rsidR="00A04EEE" w:rsidRPr="00C3022F" w:rsidTr="00DF077C">
        <w:tc>
          <w:tcPr>
            <w:tcW w:w="856" w:type="pct"/>
            <w:vMerge w:val="restart"/>
          </w:tcPr>
          <w:p w:rsidR="00A04EEE" w:rsidRPr="00761180" w:rsidRDefault="00A04EEE" w:rsidP="00DF077C">
            <w:pPr>
              <w:pStyle w:val="tabletext"/>
              <w:rPr>
                <w:szCs w:val="20"/>
              </w:rPr>
            </w:pPr>
            <w:r w:rsidRPr="00761180">
              <w:rPr>
                <w:szCs w:val="20"/>
              </w:rPr>
              <w:t xml:space="preserve">WTP understanding and ‘ex-post’ testing </w:t>
            </w:r>
          </w:p>
        </w:tc>
        <w:tc>
          <w:tcPr>
            <w:tcW w:w="155" w:type="pct"/>
          </w:tcPr>
          <w:p w:rsidR="00A04EEE" w:rsidRPr="00761180" w:rsidRDefault="00A04EEE" w:rsidP="00DF077C">
            <w:pPr>
              <w:pStyle w:val="tabletext"/>
              <w:rPr>
                <w:szCs w:val="20"/>
              </w:rPr>
            </w:pPr>
          </w:p>
        </w:tc>
        <w:tc>
          <w:tcPr>
            <w:tcW w:w="156" w:type="pct"/>
            <w:shd w:val="clear" w:color="auto" w:fill="C6D9F1" w:themeFill="text2" w:themeFillTint="33"/>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3678" w:type="pct"/>
          </w:tcPr>
          <w:p w:rsidR="00A04EEE" w:rsidRPr="00761180" w:rsidRDefault="00A04EEE" w:rsidP="00DF077C">
            <w:pPr>
              <w:pStyle w:val="tabletext"/>
              <w:rPr>
                <w:szCs w:val="20"/>
              </w:rPr>
            </w:pPr>
            <w:r w:rsidRPr="00761180">
              <w:rPr>
                <w:szCs w:val="20"/>
              </w:rPr>
              <w:t>Have respondents been asked at the end about their understanding of questions and the credibility of the willingness to pay questions?</w:t>
            </w:r>
          </w:p>
        </w:tc>
      </w:tr>
      <w:tr w:rsidR="00A04EEE" w:rsidRPr="00C3022F" w:rsidTr="00DF077C">
        <w:tc>
          <w:tcPr>
            <w:tcW w:w="856" w:type="pct"/>
            <w:vMerge/>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156" w:type="pct"/>
          </w:tcPr>
          <w:p w:rsidR="00A04EEE" w:rsidRPr="00761180" w:rsidRDefault="00A04EEE" w:rsidP="00DF077C">
            <w:pPr>
              <w:pStyle w:val="tabletext"/>
              <w:rPr>
                <w:szCs w:val="20"/>
              </w:rPr>
            </w:pPr>
          </w:p>
        </w:tc>
        <w:tc>
          <w:tcPr>
            <w:tcW w:w="155" w:type="pct"/>
            <w:shd w:val="clear" w:color="auto" w:fill="C6D9F1" w:themeFill="text2" w:themeFillTint="33"/>
          </w:tcPr>
          <w:p w:rsidR="00A04EEE" w:rsidRPr="00761180" w:rsidRDefault="00A04EEE" w:rsidP="00DF077C">
            <w:pPr>
              <w:pStyle w:val="tabletext"/>
              <w:rPr>
                <w:szCs w:val="20"/>
              </w:rPr>
            </w:pPr>
          </w:p>
        </w:tc>
        <w:tc>
          <w:tcPr>
            <w:tcW w:w="3678" w:type="pct"/>
          </w:tcPr>
          <w:p w:rsidR="00A04EEE" w:rsidRPr="00761180" w:rsidRDefault="00A04EEE" w:rsidP="00DF077C">
            <w:pPr>
              <w:pStyle w:val="tabletext"/>
              <w:rPr>
                <w:szCs w:val="20"/>
              </w:rPr>
            </w:pPr>
            <w:r w:rsidRPr="00761180">
              <w:rPr>
                <w:szCs w:val="20"/>
              </w:rPr>
              <w:t xml:space="preserve">Have respondents been contacted after the survey and asked to confirm their willingness to pay values and reliability of their responses? It is </w:t>
            </w:r>
            <w:proofErr w:type="spellStart"/>
            <w:r w:rsidRPr="00761180">
              <w:rPr>
                <w:szCs w:val="20"/>
              </w:rPr>
              <w:t>recognised</w:t>
            </w:r>
            <w:proofErr w:type="spellEnd"/>
            <w:r w:rsidRPr="00761180">
              <w:rPr>
                <w:szCs w:val="20"/>
              </w:rPr>
              <w:t xml:space="preserve"> that respondents may have changed their values since the survey; however, confirmation of original responses could add a level of confidence to the results.</w:t>
            </w:r>
          </w:p>
        </w:tc>
      </w:tr>
      <w:tr w:rsidR="00A04EEE" w:rsidRPr="00C3022F" w:rsidTr="00DF077C">
        <w:tc>
          <w:tcPr>
            <w:tcW w:w="856" w:type="pct"/>
          </w:tcPr>
          <w:p w:rsidR="00A04EEE" w:rsidRPr="00761180" w:rsidRDefault="00A04EEE" w:rsidP="00DF077C">
            <w:pPr>
              <w:pStyle w:val="tabletext"/>
              <w:rPr>
                <w:szCs w:val="20"/>
              </w:rPr>
            </w:pPr>
            <w:r w:rsidRPr="00761180">
              <w:rPr>
                <w:szCs w:val="20"/>
              </w:rPr>
              <w:t>Biases/</w:t>
            </w:r>
          </w:p>
          <w:p w:rsidR="00A04EEE" w:rsidRPr="00761180" w:rsidRDefault="00A04EEE" w:rsidP="00DF077C">
            <w:pPr>
              <w:pStyle w:val="tabletext"/>
              <w:rPr>
                <w:szCs w:val="20"/>
              </w:rPr>
            </w:pPr>
            <w:r w:rsidRPr="00761180">
              <w:rPr>
                <w:szCs w:val="20"/>
              </w:rPr>
              <w:t>Aggregation issues</w:t>
            </w:r>
          </w:p>
        </w:tc>
        <w:tc>
          <w:tcPr>
            <w:tcW w:w="155" w:type="pct"/>
          </w:tcPr>
          <w:p w:rsidR="00A04EEE" w:rsidRPr="00761180" w:rsidRDefault="00A04EEE" w:rsidP="00DF077C">
            <w:pPr>
              <w:pStyle w:val="tabletext"/>
              <w:rPr>
                <w:szCs w:val="20"/>
              </w:rPr>
            </w:pPr>
          </w:p>
        </w:tc>
        <w:tc>
          <w:tcPr>
            <w:tcW w:w="156" w:type="pct"/>
            <w:shd w:val="clear" w:color="auto" w:fill="C6D9F1" w:themeFill="text2" w:themeFillTint="33"/>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3678" w:type="pct"/>
          </w:tcPr>
          <w:p w:rsidR="00A04EEE" w:rsidRPr="00761180" w:rsidRDefault="00A04EEE" w:rsidP="00DF077C">
            <w:pPr>
              <w:pStyle w:val="tabletext"/>
              <w:rPr>
                <w:szCs w:val="20"/>
              </w:rPr>
            </w:pPr>
            <w:r w:rsidRPr="00761180">
              <w:rPr>
                <w:szCs w:val="20"/>
              </w:rPr>
              <w:t>Does the study discuss and adjust for potential sampling biases in willingness to pay values? For example, skewed respondent age, employment or income classes, and interviewer bias etc.</w:t>
            </w:r>
          </w:p>
        </w:tc>
      </w:tr>
      <w:tr w:rsidR="00A04EEE" w:rsidRPr="00C3022F" w:rsidTr="00DF077C">
        <w:tc>
          <w:tcPr>
            <w:tcW w:w="856" w:type="pct"/>
          </w:tcPr>
          <w:p w:rsidR="00A04EEE" w:rsidRPr="00761180" w:rsidRDefault="00A04EEE" w:rsidP="00DF077C">
            <w:pPr>
              <w:pStyle w:val="tabletext"/>
              <w:rPr>
                <w:szCs w:val="20"/>
              </w:rPr>
            </w:pPr>
            <w:r w:rsidRPr="00761180">
              <w:rPr>
                <w:szCs w:val="20"/>
              </w:rPr>
              <w:t xml:space="preserve">Publication </w:t>
            </w:r>
          </w:p>
        </w:tc>
        <w:tc>
          <w:tcPr>
            <w:tcW w:w="155" w:type="pct"/>
          </w:tcPr>
          <w:p w:rsidR="00A04EEE" w:rsidRPr="00761180" w:rsidRDefault="00A04EEE" w:rsidP="00DF077C">
            <w:pPr>
              <w:pStyle w:val="tabletext"/>
              <w:rPr>
                <w:szCs w:val="20"/>
              </w:rPr>
            </w:pPr>
          </w:p>
        </w:tc>
        <w:tc>
          <w:tcPr>
            <w:tcW w:w="156" w:type="pct"/>
            <w:shd w:val="clear" w:color="auto" w:fill="C6D9F1" w:themeFill="text2" w:themeFillTint="33"/>
          </w:tcPr>
          <w:p w:rsidR="00A04EEE" w:rsidRPr="00761180" w:rsidRDefault="00A04EEE" w:rsidP="00DF077C">
            <w:pPr>
              <w:pStyle w:val="tabletext"/>
              <w:rPr>
                <w:szCs w:val="20"/>
              </w:rPr>
            </w:pPr>
          </w:p>
        </w:tc>
        <w:tc>
          <w:tcPr>
            <w:tcW w:w="155" w:type="pct"/>
          </w:tcPr>
          <w:p w:rsidR="00A04EEE" w:rsidRPr="00761180" w:rsidRDefault="00A04EEE" w:rsidP="00DF077C">
            <w:pPr>
              <w:pStyle w:val="tabletext"/>
              <w:rPr>
                <w:szCs w:val="20"/>
              </w:rPr>
            </w:pPr>
          </w:p>
        </w:tc>
        <w:tc>
          <w:tcPr>
            <w:tcW w:w="3678" w:type="pct"/>
          </w:tcPr>
          <w:p w:rsidR="00A04EEE" w:rsidRPr="00761180" w:rsidRDefault="00A04EEE" w:rsidP="00DF077C">
            <w:pPr>
              <w:pStyle w:val="tabletext"/>
              <w:rPr>
                <w:szCs w:val="20"/>
              </w:rPr>
            </w:pPr>
            <w:r w:rsidRPr="00761180">
              <w:rPr>
                <w:szCs w:val="20"/>
              </w:rPr>
              <w:t xml:space="preserve">Have the details/results of this study been published in a refereed journal?  A study would need to be reviewed and approved by 3 </w:t>
            </w:r>
            <w:proofErr w:type="spellStart"/>
            <w:r w:rsidRPr="00761180">
              <w:rPr>
                <w:szCs w:val="20"/>
              </w:rPr>
              <w:t>recognised</w:t>
            </w:r>
            <w:proofErr w:type="spellEnd"/>
            <w:r w:rsidRPr="00761180">
              <w:rPr>
                <w:szCs w:val="20"/>
              </w:rPr>
              <w:t xml:space="preserve"> experts to be published. If the study was completed by a non-academic group (e.g. consultants), this criterion is likely to be not applicable. </w:t>
            </w:r>
          </w:p>
        </w:tc>
      </w:tr>
    </w:tbl>
    <w:p w:rsidR="00574025" w:rsidRDefault="00574025" w:rsidP="00E80BEE"/>
    <w:sectPr w:rsidR="00574025" w:rsidSect="00CB4634">
      <w:headerReference w:type="even" r:id="rId7"/>
      <w:headerReference w:type="default" r:id="rId8"/>
      <w:footerReference w:type="even" r:id="rId9"/>
      <w:headerReference w:type="first" r:id="rId10"/>
      <w:footerReference w:type="first" r:id="rId11"/>
      <w:pgSz w:w="11906" w:h="16838"/>
      <w:pgMar w:top="720" w:right="720" w:bottom="720" w:left="72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A96" w:rsidRDefault="00743A96" w:rsidP="00743A96">
      <w:r>
        <w:separator/>
      </w:r>
    </w:p>
  </w:endnote>
  <w:endnote w:type="continuationSeparator" w:id="0">
    <w:p w:rsidR="00743A96" w:rsidRDefault="00743A96" w:rsidP="0074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A96" w:rsidRDefault="00354D6D" w:rsidP="00354D6D">
    <w:pPr>
      <w:pStyle w:val="Footer"/>
      <w:jc w:val="center"/>
      <w:rPr>
        <w:rFonts w:cs="Arial"/>
        <w:color w:val="000000"/>
        <w:sz w:val="18"/>
      </w:rPr>
    </w:pPr>
    <w:bookmarkStart w:id="2" w:name="aliashAdvancedHeaderFoot1FooterEvenPages"/>
    <w:r>
      <w:rPr>
        <w:rFonts w:cs="Arial"/>
        <w:color w:val="000000"/>
        <w:sz w:val="18"/>
      </w:rPr>
      <w:t>UNCLASSIFIED</w:t>
    </w:r>
  </w:p>
  <w:bookmarkEnd w:id="2"/>
  <w:p w:rsidR="00743A96" w:rsidRDefault="00743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A96" w:rsidRDefault="00354D6D" w:rsidP="00354D6D">
    <w:pPr>
      <w:pStyle w:val="Footer"/>
      <w:jc w:val="center"/>
      <w:rPr>
        <w:rFonts w:cs="Arial"/>
        <w:color w:val="000000"/>
        <w:sz w:val="18"/>
      </w:rPr>
    </w:pPr>
    <w:bookmarkStart w:id="4" w:name="aliashAdvancedHeaderFoot1FooterFirstPage"/>
    <w:r>
      <w:rPr>
        <w:rFonts w:cs="Arial"/>
        <w:color w:val="000000"/>
        <w:sz w:val="18"/>
      </w:rPr>
      <w:t>UNCLASSIFIED</w:t>
    </w:r>
  </w:p>
  <w:bookmarkEnd w:id="4"/>
  <w:p w:rsidR="00743A96" w:rsidRDefault="00743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A96" w:rsidRDefault="00743A96" w:rsidP="00743A96">
      <w:r>
        <w:separator/>
      </w:r>
    </w:p>
  </w:footnote>
  <w:footnote w:type="continuationSeparator" w:id="0">
    <w:p w:rsidR="00743A96" w:rsidRDefault="00743A96" w:rsidP="0074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A96" w:rsidRDefault="00354D6D" w:rsidP="00354D6D">
    <w:pPr>
      <w:pStyle w:val="Header"/>
      <w:jc w:val="center"/>
      <w:rPr>
        <w:rFonts w:cs="Arial"/>
        <w:color w:val="000000"/>
        <w:sz w:val="18"/>
      </w:rPr>
    </w:pPr>
    <w:bookmarkStart w:id="1" w:name="aliashAdvancedHeaderFoot1HeaderEvenPages"/>
    <w:r>
      <w:rPr>
        <w:rFonts w:cs="Arial"/>
        <w:color w:val="000000"/>
        <w:sz w:val="18"/>
      </w:rPr>
      <w:t>UNCLASSIFIED</w:t>
    </w:r>
  </w:p>
  <w:bookmarkEnd w:id="1"/>
  <w:p w:rsidR="00743A96" w:rsidRDefault="00743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5C5" w:rsidRDefault="00DF05C5">
    <w:pPr>
      <w:pStyle w:val="Header"/>
    </w:pPr>
  </w:p>
  <w:p w:rsidR="00743A96" w:rsidRDefault="00DF05C5">
    <w:pPr>
      <w:pStyle w:val="Header"/>
    </w:pPr>
    <w:r>
      <w:rPr>
        <w:noProof/>
      </w:rPr>
      <w:drawing>
        <wp:anchor distT="0" distB="0" distL="114300" distR="114300" simplePos="0" relativeHeight="251659264" behindDoc="1" locked="0" layoutInCell="1" allowOverlap="1" wp14:anchorId="3125CAFA" wp14:editId="11E89896">
          <wp:simplePos x="0" y="0"/>
          <wp:positionH relativeFrom="page">
            <wp:posOffset>163195</wp:posOffset>
          </wp:positionH>
          <wp:positionV relativeFrom="page">
            <wp:posOffset>165100</wp:posOffset>
          </wp:positionV>
          <wp:extent cx="7560000" cy="720000"/>
          <wp:effectExtent l="0" t="0" r="0" b="0"/>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20Elements/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A96" w:rsidRDefault="00354D6D" w:rsidP="00354D6D">
    <w:pPr>
      <w:pStyle w:val="Header"/>
      <w:jc w:val="center"/>
      <w:rPr>
        <w:rFonts w:cs="Arial"/>
        <w:color w:val="000000"/>
        <w:sz w:val="18"/>
      </w:rPr>
    </w:pPr>
    <w:bookmarkStart w:id="3" w:name="aliashAdvancedHeaderFoot1HeaderFirstPage"/>
    <w:r>
      <w:rPr>
        <w:rFonts w:cs="Arial"/>
        <w:color w:val="000000"/>
        <w:sz w:val="18"/>
      </w:rPr>
      <w:t>UNCLASSIFIED</w:t>
    </w:r>
  </w:p>
  <w:bookmarkEnd w:id="3"/>
  <w:p w:rsidR="00743A96" w:rsidRDefault="00743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5BB8"/>
    <w:multiLevelType w:val="hybridMultilevel"/>
    <w:tmpl w:val="C4BE5E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A915101"/>
    <w:multiLevelType w:val="hybridMultilevel"/>
    <w:tmpl w:val="CE341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96"/>
    <w:rsid w:val="0000096E"/>
    <w:rsid w:val="00057EAD"/>
    <w:rsid w:val="00215AC1"/>
    <w:rsid w:val="00256C24"/>
    <w:rsid w:val="00354D6D"/>
    <w:rsid w:val="00574025"/>
    <w:rsid w:val="00691A96"/>
    <w:rsid w:val="006D055B"/>
    <w:rsid w:val="00743A96"/>
    <w:rsid w:val="008E37B0"/>
    <w:rsid w:val="008F6B2C"/>
    <w:rsid w:val="00961682"/>
    <w:rsid w:val="00A04EEE"/>
    <w:rsid w:val="00CB4634"/>
    <w:rsid w:val="00D200D9"/>
    <w:rsid w:val="00D64E8A"/>
    <w:rsid w:val="00DF05C5"/>
    <w:rsid w:val="00E80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B51978"/>
  <w15:docId w15:val="{691F5316-B229-4037-9D14-5814E0A6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A96"/>
    <w:pPr>
      <w:spacing w:after="0" w:line="240" w:lineRule="auto"/>
    </w:pPr>
    <w:rPr>
      <w:rFonts w:ascii="Arial" w:eastAsia="Times New Roman" w:hAnsi="Arial" w:cs="Times New Roman"/>
      <w:color w:val="53565A"/>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A96"/>
    <w:pPr>
      <w:tabs>
        <w:tab w:val="center" w:pos="4513"/>
        <w:tab w:val="right" w:pos="9026"/>
      </w:tabs>
    </w:pPr>
  </w:style>
  <w:style w:type="character" w:customStyle="1" w:styleId="HeaderChar">
    <w:name w:val="Header Char"/>
    <w:basedOn w:val="DefaultParagraphFont"/>
    <w:link w:val="Header"/>
    <w:uiPriority w:val="99"/>
    <w:rsid w:val="00743A96"/>
  </w:style>
  <w:style w:type="paragraph" w:styleId="Footer">
    <w:name w:val="footer"/>
    <w:basedOn w:val="Normal"/>
    <w:link w:val="FooterChar"/>
    <w:uiPriority w:val="99"/>
    <w:unhideWhenUsed/>
    <w:rsid w:val="00743A96"/>
    <w:pPr>
      <w:tabs>
        <w:tab w:val="center" w:pos="4513"/>
        <w:tab w:val="right" w:pos="9026"/>
      </w:tabs>
    </w:pPr>
  </w:style>
  <w:style w:type="character" w:customStyle="1" w:styleId="FooterChar">
    <w:name w:val="Footer Char"/>
    <w:basedOn w:val="DefaultParagraphFont"/>
    <w:link w:val="Footer"/>
    <w:uiPriority w:val="99"/>
    <w:rsid w:val="00743A96"/>
  </w:style>
  <w:style w:type="paragraph" w:customStyle="1" w:styleId="bodycopy">
    <w:name w:val="# body copy"/>
    <w:basedOn w:val="Normal"/>
    <w:link w:val="bodycopyChar"/>
    <w:qFormat/>
    <w:rsid w:val="00743A96"/>
    <w:pPr>
      <w:spacing w:after="120"/>
    </w:pPr>
    <w:rPr>
      <w:rFonts w:cs="Arial"/>
      <w:color w:val="auto"/>
      <w:sz w:val="22"/>
      <w:szCs w:val="20"/>
    </w:rPr>
  </w:style>
  <w:style w:type="paragraph" w:customStyle="1" w:styleId="heading1blue">
    <w:name w:val="# heading 1 blue"/>
    <w:basedOn w:val="Normal"/>
    <w:next w:val="bodycopy"/>
    <w:qFormat/>
    <w:rsid w:val="00743A96"/>
    <w:pPr>
      <w:keepNext/>
      <w:spacing w:before="240" w:after="120"/>
    </w:pPr>
    <w:rPr>
      <w:rFonts w:cs="Arial"/>
      <w:color w:val="064EA8"/>
      <w:sz w:val="24"/>
      <w:szCs w:val="20"/>
    </w:rPr>
  </w:style>
  <w:style w:type="character" w:customStyle="1" w:styleId="bodycopyChar">
    <w:name w:val="# body copy Char"/>
    <w:basedOn w:val="DefaultParagraphFont"/>
    <w:link w:val="bodycopy"/>
    <w:rsid w:val="00743A96"/>
    <w:rPr>
      <w:rFonts w:ascii="Arial" w:eastAsia="Times New Roman" w:hAnsi="Arial" w:cs="Arial"/>
      <w:szCs w:val="20"/>
      <w:lang w:eastAsia="en-AU"/>
    </w:rPr>
  </w:style>
  <w:style w:type="paragraph" w:styleId="BalloonText">
    <w:name w:val="Balloon Text"/>
    <w:basedOn w:val="Normal"/>
    <w:link w:val="BalloonTextChar"/>
    <w:uiPriority w:val="99"/>
    <w:semiHidden/>
    <w:unhideWhenUsed/>
    <w:rsid w:val="00743A96"/>
    <w:rPr>
      <w:rFonts w:ascii="Tahoma" w:hAnsi="Tahoma" w:cs="Tahoma"/>
      <w:sz w:val="16"/>
      <w:szCs w:val="16"/>
    </w:rPr>
  </w:style>
  <w:style w:type="character" w:customStyle="1" w:styleId="BalloonTextChar">
    <w:name w:val="Balloon Text Char"/>
    <w:basedOn w:val="DefaultParagraphFont"/>
    <w:link w:val="BalloonText"/>
    <w:uiPriority w:val="99"/>
    <w:semiHidden/>
    <w:rsid w:val="00743A96"/>
    <w:rPr>
      <w:rFonts w:ascii="Tahoma" w:eastAsia="Times New Roman" w:hAnsi="Tahoma" w:cs="Tahoma"/>
      <w:color w:val="53565A"/>
      <w:sz w:val="16"/>
      <w:szCs w:val="16"/>
      <w:lang w:eastAsia="en-AU"/>
    </w:rPr>
  </w:style>
  <w:style w:type="table" w:styleId="TableGrid">
    <w:name w:val="Table Grid"/>
    <w:basedOn w:val="TableNormal"/>
    <w:uiPriority w:val="59"/>
    <w:rsid w:val="008F6B2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8F6B2C"/>
    <w:pPr>
      <w:spacing w:before="60" w:after="60"/>
    </w:pPr>
    <w:rPr>
      <w:rFonts w:cs="Arial"/>
      <w:b/>
      <w:color w:val="FFFFFF"/>
      <w:szCs w:val="20"/>
    </w:rPr>
  </w:style>
  <w:style w:type="paragraph" w:customStyle="1" w:styleId="tabletext">
    <w:name w:val="# table text"/>
    <w:basedOn w:val="Normal"/>
    <w:qFormat/>
    <w:rsid w:val="008F6B2C"/>
    <w:pPr>
      <w:spacing w:before="60" w:after="60"/>
    </w:pPr>
    <w:rPr>
      <w:rFonts w:cs="Arial"/>
      <w:color w:val="auto"/>
      <w:szCs w:val="18"/>
    </w:rPr>
  </w:style>
  <w:style w:type="table" w:customStyle="1" w:styleId="TableGrid3">
    <w:name w:val="Table Grid3"/>
    <w:basedOn w:val="TableNormal"/>
    <w:next w:val="TableGrid"/>
    <w:uiPriority w:val="59"/>
    <w:rsid w:val="00E80BE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Straton</dc:creator>
  <cp:lastModifiedBy>Richard Harslett (DEDJTR)</cp:lastModifiedBy>
  <cp:revision>3</cp:revision>
  <dcterms:created xsi:type="dcterms:W3CDTF">2018-04-23T02:52:00Z</dcterms:created>
  <dcterms:modified xsi:type="dcterms:W3CDTF">2018-04-23T02:55:00Z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0c345cbf-f6b2-4121-969b-899fedad9e2c</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Anna Straton</vt:lpwstr>
  </property>
</Properties>
</file>