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F6A3" w14:textId="77777777" w:rsidR="0006455E" w:rsidRPr="0006455E" w:rsidRDefault="0006455E" w:rsidP="0006455E">
      <w:pPr>
        <w:pStyle w:val="Reporttitle"/>
        <w:rPr>
          <w:color w:val="auto"/>
        </w:rPr>
      </w:pPr>
      <w:r w:rsidRPr="0006455E">
        <w:rPr>
          <w:color w:val="auto"/>
        </w:rPr>
        <w:t xml:space="preserve">Kangaroo Harvest Program </w:t>
      </w:r>
    </w:p>
    <w:p w14:paraId="7BFED45E" w14:textId="6190572C" w:rsidR="00A51453" w:rsidRPr="0006455E" w:rsidRDefault="0006455E" w:rsidP="0006455E">
      <w:pPr>
        <w:pStyle w:val="Reporttitle"/>
        <w:rPr>
          <w:color w:val="auto"/>
          <w:sz w:val="36"/>
          <w:szCs w:val="16"/>
        </w:rPr>
      </w:pPr>
      <w:r w:rsidRPr="0006455E">
        <w:rPr>
          <w:color w:val="auto"/>
          <w:sz w:val="36"/>
          <w:szCs w:val="16"/>
        </w:rPr>
        <w:t>QUARTER ONE SUMMARY REPORT 2023</w:t>
      </w:r>
    </w:p>
    <w:p w14:paraId="796D14D6" w14:textId="3385E15A" w:rsidR="0006455E" w:rsidRPr="0006455E" w:rsidRDefault="0006455E" w:rsidP="0006455E">
      <w:pPr>
        <w:pStyle w:val="Reporttitle"/>
        <w:rPr>
          <w:color w:val="auto"/>
          <w:sz w:val="36"/>
          <w:szCs w:val="16"/>
        </w:rPr>
      </w:pPr>
    </w:p>
    <w:p w14:paraId="4CD34A78" w14:textId="77777777" w:rsidR="00E321E4" w:rsidRPr="0006455E" w:rsidRDefault="00E321E4" w:rsidP="00E321E4">
      <w:pPr>
        <w:pStyle w:val="TOCHeading"/>
        <w:rPr>
          <w:bCs/>
          <w:caps w:val="0"/>
          <w:color w:val="auto"/>
          <w:szCs w:val="32"/>
        </w:rPr>
      </w:pPr>
      <w:r w:rsidRPr="0006455E">
        <w:rPr>
          <w:bCs/>
          <w:caps w:val="0"/>
          <w:color w:val="auto"/>
          <w:szCs w:val="32"/>
        </w:rPr>
        <w:t>Contents</w:t>
      </w:r>
    </w:p>
    <w:p w14:paraId="7DECD0B0" w14:textId="457D5A1E" w:rsidR="00E321E4" w:rsidRPr="0006455E" w:rsidRDefault="00A17119">
      <w:pPr>
        <w:pStyle w:val="TOC1"/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lang w:eastAsia="en-AU"/>
        </w:rPr>
      </w:pPr>
      <w:r w:rsidRPr="0006455E">
        <w:rPr>
          <w:b/>
          <w:bCs/>
          <w:noProof/>
          <w:color w:val="auto"/>
          <w:sz w:val="20"/>
          <w:szCs w:val="22"/>
          <w:lang w:eastAsia="en-AU"/>
        </w:rPr>
        <w:fldChar w:fldCharType="begin"/>
      </w:r>
      <w:r w:rsidRPr="0006455E">
        <w:rPr>
          <w:b/>
          <w:bCs/>
          <w:noProof/>
          <w:color w:val="auto"/>
          <w:sz w:val="20"/>
          <w:szCs w:val="22"/>
          <w:lang w:eastAsia="en-AU"/>
        </w:rPr>
        <w:instrText xml:space="preserve"> TOC \o "1-3" \h \z \u </w:instrText>
      </w:r>
      <w:r w:rsidRPr="0006455E">
        <w:rPr>
          <w:b/>
          <w:bCs/>
          <w:noProof/>
          <w:color w:val="auto"/>
          <w:sz w:val="20"/>
          <w:szCs w:val="22"/>
          <w:lang w:eastAsia="en-AU"/>
        </w:rPr>
        <w:fldChar w:fldCharType="separate"/>
      </w:r>
      <w:hyperlink w:anchor="_Toc139028889" w:history="1"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1</w:t>
        </w:r>
        <w:r w:rsidR="00E321E4" w:rsidRPr="0006455E">
          <w:rPr>
            <w:rFonts w:asciiTheme="minorHAnsi" w:eastAsiaTheme="minorEastAsia" w:hAnsiTheme="minorHAnsi" w:cstheme="minorBidi"/>
            <w:b/>
            <w:bCs/>
            <w:noProof/>
            <w:color w:val="auto"/>
            <w:sz w:val="24"/>
            <w:szCs w:val="24"/>
            <w:lang w:eastAsia="en-AU"/>
          </w:rPr>
          <w:tab/>
        </w:r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Annual Quota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ab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begin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instrText xml:space="preserve"> PAGEREF _Toc139028889 \h </w:instrTex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separate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>2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end"/>
        </w:r>
      </w:hyperlink>
    </w:p>
    <w:p w14:paraId="010EDAB7" w14:textId="42419EE7" w:rsidR="00E321E4" w:rsidRPr="0006455E" w:rsidRDefault="0006455E">
      <w:pPr>
        <w:pStyle w:val="TOC2"/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lang w:eastAsia="en-AU"/>
        </w:rPr>
      </w:pPr>
      <w:hyperlink w:anchor="_Toc139028890" w:history="1"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1.1</w:t>
        </w:r>
        <w:r w:rsidR="00E321E4" w:rsidRPr="0006455E">
          <w:rPr>
            <w:rFonts w:asciiTheme="minorHAnsi" w:eastAsiaTheme="minorEastAsia" w:hAnsiTheme="minorHAnsi" w:cstheme="minorBidi"/>
            <w:b/>
            <w:bCs/>
            <w:noProof/>
            <w:color w:val="auto"/>
            <w:sz w:val="24"/>
            <w:szCs w:val="24"/>
            <w:lang w:eastAsia="en-AU"/>
          </w:rPr>
          <w:tab/>
        </w:r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Overview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ab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begin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instrText xml:space="preserve"> PAGEREF _Toc139028890 \h </w:instrTex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separate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>2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end"/>
        </w:r>
      </w:hyperlink>
    </w:p>
    <w:p w14:paraId="31E94BD0" w14:textId="628792C4" w:rsidR="00E321E4" w:rsidRPr="0006455E" w:rsidRDefault="0006455E">
      <w:pPr>
        <w:pStyle w:val="TOC3"/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lang w:eastAsia="en-AU"/>
        </w:rPr>
      </w:pPr>
      <w:hyperlink w:anchor="_Toc139028891" w:history="1"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1.1.1</w:t>
        </w:r>
        <w:r w:rsidR="00E321E4" w:rsidRPr="0006455E">
          <w:rPr>
            <w:rFonts w:asciiTheme="minorHAnsi" w:eastAsiaTheme="minorEastAsia" w:hAnsiTheme="minorHAnsi" w:cstheme="minorBidi"/>
            <w:b/>
            <w:bCs/>
            <w:noProof/>
            <w:color w:val="auto"/>
            <w:sz w:val="24"/>
            <w:szCs w:val="24"/>
            <w:lang w:eastAsia="en-AU"/>
          </w:rPr>
          <w:tab/>
        </w:r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2023 Annual quota figures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ab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begin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instrText xml:space="preserve"> PAGEREF _Toc139028891 \h </w:instrTex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separate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>2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end"/>
        </w:r>
      </w:hyperlink>
    </w:p>
    <w:p w14:paraId="5E0E4048" w14:textId="1F8409C1" w:rsidR="00E321E4" w:rsidRPr="0006455E" w:rsidRDefault="0006455E">
      <w:pPr>
        <w:pStyle w:val="TOC1"/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lang w:eastAsia="en-AU"/>
        </w:rPr>
      </w:pPr>
      <w:hyperlink w:anchor="_Toc139028892" w:history="1"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2</w:t>
        </w:r>
        <w:r w:rsidR="00E321E4" w:rsidRPr="0006455E">
          <w:rPr>
            <w:rFonts w:asciiTheme="minorHAnsi" w:eastAsiaTheme="minorEastAsia" w:hAnsiTheme="minorHAnsi" w:cstheme="minorBidi"/>
            <w:b/>
            <w:bCs/>
            <w:noProof/>
            <w:color w:val="auto"/>
            <w:sz w:val="24"/>
            <w:szCs w:val="24"/>
            <w:lang w:eastAsia="en-AU"/>
          </w:rPr>
          <w:tab/>
        </w:r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Quota allocation – Quarter one release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ab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begin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instrText xml:space="preserve"> PAGEREF _Toc139028892 \h </w:instrTex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separate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>3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end"/>
        </w:r>
      </w:hyperlink>
    </w:p>
    <w:p w14:paraId="63C4E7B4" w14:textId="1C620A86" w:rsidR="00E321E4" w:rsidRPr="0006455E" w:rsidRDefault="0006455E">
      <w:pPr>
        <w:pStyle w:val="TOC2"/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lang w:eastAsia="en-AU"/>
        </w:rPr>
      </w:pPr>
      <w:hyperlink w:anchor="_Toc139028893" w:history="1"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2.1</w:t>
        </w:r>
        <w:r w:rsidR="00E321E4" w:rsidRPr="0006455E">
          <w:rPr>
            <w:rFonts w:asciiTheme="minorHAnsi" w:eastAsiaTheme="minorEastAsia" w:hAnsiTheme="minorHAnsi" w:cstheme="minorBidi"/>
            <w:b/>
            <w:bCs/>
            <w:noProof/>
            <w:color w:val="auto"/>
            <w:sz w:val="24"/>
            <w:szCs w:val="24"/>
            <w:lang w:eastAsia="en-AU"/>
          </w:rPr>
          <w:tab/>
        </w:r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Overview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ab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begin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instrText xml:space="preserve"> PAGEREF _Toc139028893 \h </w:instrTex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separate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>3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end"/>
        </w:r>
      </w:hyperlink>
    </w:p>
    <w:p w14:paraId="13F9C8F3" w14:textId="74DC08A1" w:rsidR="00E321E4" w:rsidRPr="0006455E" w:rsidRDefault="0006455E">
      <w:pPr>
        <w:pStyle w:val="TOC3"/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lang w:eastAsia="en-AU"/>
        </w:rPr>
      </w:pPr>
      <w:hyperlink w:anchor="_Toc139028894" w:history="1"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2.1.1</w:t>
        </w:r>
        <w:r w:rsidR="00E321E4" w:rsidRPr="0006455E">
          <w:rPr>
            <w:rFonts w:asciiTheme="minorHAnsi" w:eastAsiaTheme="minorEastAsia" w:hAnsiTheme="minorHAnsi" w:cstheme="minorBidi"/>
            <w:b/>
            <w:bCs/>
            <w:noProof/>
            <w:color w:val="auto"/>
            <w:sz w:val="24"/>
            <w:szCs w:val="24"/>
            <w:lang w:eastAsia="en-AU"/>
          </w:rPr>
          <w:tab/>
        </w:r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Allocation and consumption figures – Quarter one release (January to March 2023)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ab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begin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instrText xml:space="preserve"> PAGEREF _Toc139028894 \h </w:instrTex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separate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>3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end"/>
        </w:r>
      </w:hyperlink>
    </w:p>
    <w:p w14:paraId="709EBC9C" w14:textId="2547BD77" w:rsidR="00E321E4" w:rsidRPr="0006455E" w:rsidRDefault="0006455E">
      <w:pPr>
        <w:pStyle w:val="TOC1"/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lang w:eastAsia="en-AU"/>
        </w:rPr>
      </w:pPr>
      <w:hyperlink w:anchor="_Toc139028895" w:history="1"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3</w:t>
        </w:r>
        <w:r w:rsidR="00E321E4" w:rsidRPr="0006455E">
          <w:rPr>
            <w:rFonts w:asciiTheme="minorHAnsi" w:eastAsiaTheme="minorEastAsia" w:hAnsiTheme="minorHAnsi" w:cstheme="minorBidi"/>
            <w:b/>
            <w:bCs/>
            <w:noProof/>
            <w:color w:val="auto"/>
            <w:sz w:val="24"/>
            <w:szCs w:val="24"/>
            <w:lang w:eastAsia="en-AU"/>
          </w:rPr>
          <w:tab/>
        </w:r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Harvest Information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ab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begin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instrText xml:space="preserve"> PAGEREF _Toc139028895 \h </w:instrTex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separate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>4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end"/>
        </w:r>
      </w:hyperlink>
    </w:p>
    <w:p w14:paraId="14B69E91" w14:textId="3C6B5D01" w:rsidR="00E321E4" w:rsidRPr="0006455E" w:rsidRDefault="0006455E">
      <w:pPr>
        <w:pStyle w:val="TOC2"/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lang w:eastAsia="en-AU"/>
        </w:rPr>
      </w:pPr>
      <w:hyperlink w:anchor="_Toc139028896" w:history="1"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3.1</w:t>
        </w:r>
        <w:r w:rsidR="00E321E4" w:rsidRPr="0006455E">
          <w:rPr>
            <w:rFonts w:asciiTheme="minorHAnsi" w:eastAsiaTheme="minorEastAsia" w:hAnsiTheme="minorHAnsi" w:cstheme="minorBidi"/>
            <w:b/>
            <w:bCs/>
            <w:noProof/>
            <w:color w:val="auto"/>
            <w:sz w:val="24"/>
            <w:szCs w:val="24"/>
            <w:lang w:eastAsia="en-AU"/>
          </w:rPr>
          <w:tab/>
        </w:r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Overview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ab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begin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instrText xml:space="preserve"> PAGEREF _Toc139028896 \h </w:instrTex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separate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>4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end"/>
        </w:r>
      </w:hyperlink>
    </w:p>
    <w:p w14:paraId="3CEDD7C0" w14:textId="72A60E5D" w:rsidR="00E321E4" w:rsidRPr="0006455E" w:rsidRDefault="0006455E">
      <w:pPr>
        <w:pStyle w:val="TOC3"/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lang w:eastAsia="en-AU"/>
        </w:rPr>
      </w:pPr>
      <w:hyperlink w:anchor="_Toc139028897" w:history="1"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3.1.1</w:t>
        </w:r>
        <w:r w:rsidR="00E321E4" w:rsidRPr="0006455E">
          <w:rPr>
            <w:rFonts w:asciiTheme="minorHAnsi" w:eastAsiaTheme="minorEastAsia" w:hAnsiTheme="minorHAnsi" w:cstheme="minorBidi"/>
            <w:b/>
            <w:bCs/>
            <w:noProof/>
            <w:color w:val="auto"/>
            <w:sz w:val="24"/>
            <w:szCs w:val="24"/>
            <w:lang w:eastAsia="en-AU"/>
          </w:rPr>
          <w:tab/>
        </w:r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Harvest summary figures – Quarter on relesae (January to March 2023)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ab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begin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instrText xml:space="preserve"> PAGEREF _Toc139028897 \h </w:instrTex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separate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>4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end"/>
        </w:r>
      </w:hyperlink>
    </w:p>
    <w:p w14:paraId="0B7AA7A3" w14:textId="0004A57E" w:rsidR="00E321E4" w:rsidRPr="0006455E" w:rsidRDefault="0006455E">
      <w:pPr>
        <w:pStyle w:val="TOC1"/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lang w:eastAsia="en-AU"/>
        </w:rPr>
      </w:pPr>
      <w:hyperlink w:anchor="_Toc139028898" w:history="1"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4</w:t>
        </w:r>
        <w:r w:rsidR="00E321E4" w:rsidRPr="0006455E">
          <w:rPr>
            <w:rFonts w:asciiTheme="minorHAnsi" w:eastAsiaTheme="minorEastAsia" w:hAnsiTheme="minorHAnsi" w:cstheme="minorBidi"/>
            <w:b/>
            <w:bCs/>
            <w:noProof/>
            <w:color w:val="auto"/>
            <w:sz w:val="24"/>
            <w:szCs w:val="24"/>
            <w:lang w:eastAsia="en-AU"/>
          </w:rPr>
          <w:tab/>
        </w:r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Compliance figures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ab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begin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instrText xml:space="preserve"> PAGEREF _Toc139028898 \h </w:instrTex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separate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>5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end"/>
        </w:r>
      </w:hyperlink>
    </w:p>
    <w:p w14:paraId="7B7DC53E" w14:textId="30F64481" w:rsidR="00E321E4" w:rsidRPr="0006455E" w:rsidRDefault="0006455E">
      <w:pPr>
        <w:pStyle w:val="TOC3"/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lang w:eastAsia="en-AU"/>
        </w:rPr>
      </w:pPr>
      <w:hyperlink w:anchor="_Toc139028899" w:history="1"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4.1.1</w:t>
        </w:r>
        <w:r w:rsidR="00E321E4" w:rsidRPr="0006455E">
          <w:rPr>
            <w:rFonts w:asciiTheme="minorHAnsi" w:eastAsiaTheme="minorEastAsia" w:hAnsiTheme="minorHAnsi" w:cstheme="minorBidi"/>
            <w:b/>
            <w:bCs/>
            <w:noProof/>
            <w:color w:val="auto"/>
            <w:sz w:val="24"/>
            <w:szCs w:val="24"/>
            <w:lang w:eastAsia="en-AU"/>
          </w:rPr>
          <w:tab/>
        </w:r>
        <w:r w:rsidR="00E321E4" w:rsidRPr="0006455E">
          <w:rPr>
            <w:rStyle w:val="Hyperlink"/>
            <w:b/>
            <w:bCs/>
            <w:noProof/>
            <w:color w:val="auto"/>
            <w:sz w:val="20"/>
            <w:szCs w:val="22"/>
          </w:rPr>
          <w:t>Compliance summary figures (January to March 2023)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ab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begin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instrText xml:space="preserve"> PAGEREF _Toc139028899 \h </w:instrTex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separate"/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t>5</w:t>
        </w:r>
        <w:r w:rsidR="00E321E4" w:rsidRPr="0006455E">
          <w:rPr>
            <w:b/>
            <w:bCs/>
            <w:noProof/>
            <w:webHidden/>
            <w:color w:val="auto"/>
            <w:sz w:val="20"/>
            <w:szCs w:val="22"/>
          </w:rPr>
          <w:fldChar w:fldCharType="end"/>
        </w:r>
      </w:hyperlink>
    </w:p>
    <w:p w14:paraId="3894BF54" w14:textId="446E7870" w:rsidR="00D96C1E" w:rsidRPr="0006455E" w:rsidRDefault="00A17119" w:rsidP="00D96C1E">
      <w:pPr>
        <w:rPr>
          <w:noProof/>
          <w:color w:val="auto"/>
        </w:rPr>
      </w:pPr>
      <w:r w:rsidRPr="0006455E">
        <w:rPr>
          <w:b/>
          <w:bCs/>
          <w:noProof/>
          <w:color w:val="auto"/>
          <w:sz w:val="20"/>
          <w:szCs w:val="22"/>
          <w:lang w:eastAsia="en-AU"/>
        </w:rPr>
        <w:fldChar w:fldCharType="end"/>
      </w:r>
    </w:p>
    <w:p w14:paraId="5BA1B5E4" w14:textId="77777777" w:rsidR="009B5082" w:rsidRPr="0006455E" w:rsidRDefault="009B5082" w:rsidP="009B5082">
      <w:pPr>
        <w:pStyle w:val="Heading1"/>
        <w:rPr>
          <w:color w:val="auto"/>
        </w:rPr>
      </w:pPr>
      <w:bookmarkStart w:id="0" w:name="_Toc139028889"/>
      <w:r w:rsidRPr="0006455E">
        <w:rPr>
          <w:color w:val="auto"/>
        </w:rPr>
        <w:lastRenderedPageBreak/>
        <w:t>Annual Quota</w:t>
      </w:r>
      <w:bookmarkEnd w:id="0"/>
    </w:p>
    <w:p w14:paraId="55FABC53" w14:textId="77777777" w:rsidR="009B5082" w:rsidRPr="0006455E" w:rsidRDefault="009B5082" w:rsidP="00E321E4">
      <w:pPr>
        <w:pStyle w:val="Heading2"/>
        <w:rPr>
          <w:color w:val="auto"/>
        </w:rPr>
      </w:pPr>
      <w:bookmarkStart w:id="1" w:name="_Toc77936063"/>
      <w:bookmarkStart w:id="2" w:name="_Toc139028890"/>
      <w:r w:rsidRPr="0006455E">
        <w:rPr>
          <w:color w:val="auto"/>
        </w:rPr>
        <w:t>Overview</w:t>
      </w:r>
      <w:bookmarkEnd w:id="1"/>
      <w:bookmarkEnd w:id="2"/>
    </w:p>
    <w:p w14:paraId="04A5C3E2" w14:textId="2CBF7491" w:rsidR="00E321E4" w:rsidRPr="0006455E" w:rsidRDefault="009B5082" w:rsidP="00D34936">
      <w:pPr>
        <w:spacing w:before="0" w:after="0" w:line="360" w:lineRule="auto"/>
        <w:jc w:val="both"/>
        <w:rPr>
          <w:color w:val="auto"/>
          <w:sz w:val="22"/>
          <w:szCs w:val="22"/>
        </w:rPr>
      </w:pPr>
      <w:r w:rsidRPr="0006455E">
        <w:rPr>
          <w:color w:val="auto"/>
          <w:sz w:val="22"/>
          <w:szCs w:val="22"/>
        </w:rPr>
        <w:t xml:space="preserve">The commercial harvest of kangaroos is authorised by the Kangaroo Harvest Management Plan 2021-2023 under the </w:t>
      </w:r>
      <w:r w:rsidRPr="0006455E">
        <w:rPr>
          <w:i/>
          <w:iCs/>
          <w:color w:val="auto"/>
          <w:sz w:val="22"/>
          <w:szCs w:val="22"/>
        </w:rPr>
        <w:t>Wildlife Act 1975</w:t>
      </w:r>
      <w:r w:rsidRPr="0006455E">
        <w:rPr>
          <w:color w:val="auto"/>
          <w:sz w:val="22"/>
          <w:szCs w:val="22"/>
        </w:rPr>
        <w:t xml:space="preserve">. This plan requires the Secretary to the Department of </w:t>
      </w:r>
      <w:r w:rsidR="00EE0DAC" w:rsidRPr="0006455E">
        <w:rPr>
          <w:color w:val="auto"/>
          <w:sz w:val="22"/>
          <w:szCs w:val="22"/>
        </w:rPr>
        <w:t xml:space="preserve">Energy, </w:t>
      </w:r>
      <w:r w:rsidRPr="0006455E">
        <w:rPr>
          <w:color w:val="auto"/>
          <w:sz w:val="22"/>
          <w:szCs w:val="22"/>
        </w:rPr>
        <w:t>Environment</w:t>
      </w:r>
      <w:r w:rsidR="00EE0DAC" w:rsidRPr="0006455E">
        <w:rPr>
          <w:color w:val="auto"/>
          <w:sz w:val="22"/>
          <w:szCs w:val="22"/>
        </w:rPr>
        <w:t xml:space="preserve"> and Climate Change Action</w:t>
      </w:r>
      <w:r w:rsidRPr="0006455E">
        <w:rPr>
          <w:color w:val="auto"/>
          <w:sz w:val="22"/>
          <w:szCs w:val="22"/>
        </w:rPr>
        <w:t xml:space="preserve"> (DE</w:t>
      </w:r>
      <w:r w:rsidR="00EE0DAC" w:rsidRPr="0006455E">
        <w:rPr>
          <w:color w:val="auto"/>
          <w:sz w:val="22"/>
          <w:szCs w:val="22"/>
        </w:rPr>
        <w:t>CCA</w:t>
      </w:r>
      <w:r w:rsidRPr="0006455E">
        <w:rPr>
          <w:color w:val="auto"/>
          <w:sz w:val="22"/>
          <w:szCs w:val="22"/>
        </w:rPr>
        <w:t xml:space="preserve">) to set a </w:t>
      </w:r>
      <w:r w:rsidR="003772B1" w:rsidRPr="0006455E">
        <w:rPr>
          <w:color w:val="auto"/>
          <w:sz w:val="22"/>
          <w:szCs w:val="22"/>
        </w:rPr>
        <w:t>yearly quota</w:t>
      </w:r>
      <w:r w:rsidRPr="0006455E">
        <w:rPr>
          <w:color w:val="auto"/>
          <w:sz w:val="22"/>
          <w:szCs w:val="22"/>
        </w:rPr>
        <w:t>. The quota is the maximum number of kangaroos that can be</w:t>
      </w:r>
      <w:r w:rsidR="00DE44D6" w:rsidRPr="0006455E">
        <w:rPr>
          <w:color w:val="auto"/>
          <w:sz w:val="22"/>
          <w:szCs w:val="22"/>
        </w:rPr>
        <w:t xml:space="preserve"> </w:t>
      </w:r>
      <w:r w:rsidRPr="0006455E">
        <w:rPr>
          <w:color w:val="auto"/>
          <w:sz w:val="22"/>
          <w:szCs w:val="22"/>
        </w:rPr>
        <w:t>harvested commercially</w:t>
      </w:r>
      <w:r w:rsidR="00DE44D6" w:rsidRPr="0006455E">
        <w:rPr>
          <w:color w:val="auto"/>
          <w:sz w:val="22"/>
          <w:szCs w:val="22"/>
        </w:rPr>
        <w:t xml:space="preserve"> </w:t>
      </w:r>
      <w:r w:rsidR="00EE0DAC" w:rsidRPr="0006455E">
        <w:rPr>
          <w:color w:val="auto"/>
          <w:sz w:val="22"/>
          <w:szCs w:val="22"/>
        </w:rPr>
        <w:t xml:space="preserve">and under damage mitigation permits across Victoria. The commercial quota </w:t>
      </w:r>
      <w:r w:rsidR="00DE44D6" w:rsidRPr="0006455E">
        <w:rPr>
          <w:color w:val="auto"/>
          <w:sz w:val="22"/>
          <w:szCs w:val="22"/>
        </w:rPr>
        <w:t>under the Kangaroo Harvest Program (KHP)</w:t>
      </w:r>
      <w:r w:rsidRPr="0006455E">
        <w:rPr>
          <w:color w:val="auto"/>
          <w:sz w:val="22"/>
          <w:szCs w:val="22"/>
        </w:rPr>
        <w:t xml:space="preserve"> for 202</w:t>
      </w:r>
      <w:r w:rsidR="00712A15" w:rsidRPr="0006455E">
        <w:rPr>
          <w:color w:val="auto"/>
          <w:sz w:val="22"/>
          <w:szCs w:val="22"/>
        </w:rPr>
        <w:t>3</w:t>
      </w:r>
      <w:r w:rsidR="00EE0DAC" w:rsidRPr="0006455E">
        <w:rPr>
          <w:color w:val="auto"/>
          <w:sz w:val="22"/>
          <w:szCs w:val="22"/>
        </w:rPr>
        <w:t>,</w:t>
      </w:r>
      <w:r w:rsidRPr="0006455E">
        <w:rPr>
          <w:color w:val="auto"/>
          <w:sz w:val="22"/>
          <w:szCs w:val="22"/>
        </w:rPr>
        <w:t xml:space="preserve"> is </w:t>
      </w:r>
      <w:r w:rsidR="00712A15" w:rsidRPr="0006455E">
        <w:rPr>
          <w:color w:val="auto"/>
          <w:sz w:val="22"/>
          <w:szCs w:val="22"/>
        </w:rPr>
        <w:t>166,750</w:t>
      </w:r>
      <w:r w:rsidRPr="0006455E">
        <w:rPr>
          <w:color w:val="auto"/>
          <w:sz w:val="22"/>
          <w:szCs w:val="22"/>
        </w:rPr>
        <w:t>.</w:t>
      </w:r>
      <w:r w:rsidR="00635912" w:rsidRPr="0006455E">
        <w:rPr>
          <w:color w:val="auto"/>
          <w:sz w:val="22"/>
          <w:szCs w:val="22"/>
        </w:rPr>
        <w:t xml:space="preserve">  </w:t>
      </w:r>
      <w:r w:rsidR="00DE44D6" w:rsidRPr="0006455E">
        <w:rPr>
          <w:color w:val="auto"/>
          <w:sz w:val="22"/>
          <w:szCs w:val="22"/>
        </w:rPr>
        <w:t>For 20</w:t>
      </w:r>
      <w:r w:rsidR="00712A15" w:rsidRPr="0006455E">
        <w:rPr>
          <w:color w:val="auto"/>
          <w:sz w:val="22"/>
          <w:szCs w:val="22"/>
        </w:rPr>
        <w:t>23</w:t>
      </w:r>
      <w:r w:rsidR="00DE44D6" w:rsidRPr="0006455E">
        <w:rPr>
          <w:color w:val="auto"/>
          <w:sz w:val="22"/>
          <w:szCs w:val="22"/>
        </w:rPr>
        <w:t xml:space="preserve">, there are </w:t>
      </w:r>
      <w:r w:rsidR="00712A15" w:rsidRPr="0006455E">
        <w:rPr>
          <w:color w:val="auto"/>
          <w:sz w:val="22"/>
          <w:szCs w:val="22"/>
        </w:rPr>
        <w:t>four</w:t>
      </w:r>
      <w:r w:rsidR="00DE44D6" w:rsidRPr="0006455E">
        <w:rPr>
          <w:color w:val="auto"/>
          <w:sz w:val="22"/>
          <w:szCs w:val="22"/>
        </w:rPr>
        <w:t xml:space="preserve"> </w:t>
      </w:r>
      <w:r w:rsidR="00EE0DAC" w:rsidRPr="0006455E">
        <w:rPr>
          <w:color w:val="auto"/>
          <w:sz w:val="22"/>
          <w:szCs w:val="22"/>
        </w:rPr>
        <w:t xml:space="preserve">KHP </w:t>
      </w:r>
      <w:r w:rsidR="00805E79" w:rsidRPr="0006455E">
        <w:rPr>
          <w:color w:val="auto"/>
          <w:sz w:val="22"/>
          <w:szCs w:val="22"/>
        </w:rPr>
        <w:t xml:space="preserve">quota </w:t>
      </w:r>
      <w:r w:rsidR="00E37AAC" w:rsidRPr="0006455E">
        <w:rPr>
          <w:color w:val="auto"/>
          <w:sz w:val="22"/>
          <w:szCs w:val="22"/>
        </w:rPr>
        <w:t>release period</w:t>
      </w:r>
      <w:r w:rsidR="00805E79" w:rsidRPr="0006455E">
        <w:rPr>
          <w:color w:val="auto"/>
          <w:sz w:val="22"/>
          <w:szCs w:val="22"/>
        </w:rPr>
        <w:t>s</w:t>
      </w:r>
      <w:r w:rsidR="00635912" w:rsidRPr="0006455E">
        <w:rPr>
          <w:color w:val="auto"/>
          <w:sz w:val="22"/>
          <w:szCs w:val="22"/>
        </w:rPr>
        <w:t>, t</w:t>
      </w:r>
      <w:r w:rsidR="00805E79" w:rsidRPr="0006455E">
        <w:rPr>
          <w:color w:val="auto"/>
          <w:sz w:val="22"/>
          <w:szCs w:val="22"/>
        </w:rPr>
        <w:t>he first release</w:t>
      </w:r>
      <w:r w:rsidR="00E37AAC" w:rsidRPr="0006455E">
        <w:rPr>
          <w:color w:val="auto"/>
          <w:sz w:val="22"/>
          <w:szCs w:val="22"/>
        </w:rPr>
        <w:t xml:space="preserve"> is for </w:t>
      </w:r>
      <w:r w:rsidR="00712A15" w:rsidRPr="0006455E">
        <w:rPr>
          <w:color w:val="auto"/>
          <w:sz w:val="22"/>
          <w:szCs w:val="22"/>
        </w:rPr>
        <w:t>three</w:t>
      </w:r>
      <w:r w:rsidR="00E37AAC" w:rsidRPr="0006455E">
        <w:rPr>
          <w:color w:val="auto"/>
          <w:sz w:val="22"/>
          <w:szCs w:val="22"/>
        </w:rPr>
        <w:t xml:space="preserve"> months</w:t>
      </w:r>
      <w:r w:rsidR="00712A15" w:rsidRPr="0006455E">
        <w:rPr>
          <w:color w:val="auto"/>
          <w:sz w:val="22"/>
          <w:szCs w:val="22"/>
        </w:rPr>
        <w:t xml:space="preserve"> </w:t>
      </w:r>
      <w:r w:rsidR="00E37AAC" w:rsidRPr="0006455E">
        <w:rPr>
          <w:color w:val="auto"/>
          <w:sz w:val="22"/>
          <w:szCs w:val="22"/>
        </w:rPr>
        <w:t xml:space="preserve">January </w:t>
      </w:r>
      <w:r w:rsidR="00712A15" w:rsidRPr="0006455E">
        <w:rPr>
          <w:color w:val="auto"/>
          <w:sz w:val="22"/>
          <w:szCs w:val="22"/>
        </w:rPr>
        <w:t>–</w:t>
      </w:r>
      <w:r w:rsidR="00643D08" w:rsidRPr="0006455E">
        <w:rPr>
          <w:color w:val="auto"/>
          <w:sz w:val="22"/>
          <w:szCs w:val="22"/>
        </w:rPr>
        <w:t xml:space="preserve"> </w:t>
      </w:r>
      <w:r w:rsidR="00712A15" w:rsidRPr="0006455E">
        <w:rPr>
          <w:color w:val="auto"/>
          <w:sz w:val="22"/>
          <w:szCs w:val="22"/>
        </w:rPr>
        <w:t>March 2023.</w:t>
      </w:r>
      <w:r w:rsidR="00E37AAC" w:rsidRPr="0006455E">
        <w:rPr>
          <w:color w:val="auto"/>
          <w:sz w:val="22"/>
          <w:szCs w:val="22"/>
        </w:rPr>
        <w:t xml:space="preserve"> </w:t>
      </w:r>
      <w:r w:rsidR="00D4083F" w:rsidRPr="0006455E">
        <w:rPr>
          <w:color w:val="auto"/>
          <w:sz w:val="22"/>
          <w:szCs w:val="22"/>
        </w:rPr>
        <w:t xml:space="preserve"> </w:t>
      </w:r>
    </w:p>
    <w:p w14:paraId="63589CFC" w14:textId="77777777" w:rsidR="00E321E4" w:rsidRPr="0006455E" w:rsidRDefault="00E321E4" w:rsidP="00E321E4">
      <w:pPr>
        <w:pStyle w:val="Heading3"/>
        <w:rPr>
          <w:color w:val="auto"/>
        </w:rPr>
      </w:pPr>
      <w:bookmarkStart w:id="3" w:name="_Toc139028891"/>
      <w:r w:rsidRPr="0006455E">
        <w:rPr>
          <w:color w:val="auto"/>
          <w:szCs w:val="22"/>
        </w:rPr>
        <w:t>2023 Annual quota figure</w:t>
      </w:r>
      <w:bookmarkEnd w:id="3"/>
      <w:r w:rsidRPr="0006455E">
        <w:rPr>
          <w:color w:val="auto"/>
          <w:szCs w:val="22"/>
        </w:rPr>
        <w:t>s</w:t>
      </w:r>
    </w:p>
    <w:tbl>
      <w:tblPr>
        <w:tblStyle w:val="PlainTable1"/>
        <w:tblW w:w="3991" w:type="pct"/>
        <w:tblLook w:val="04A0" w:firstRow="1" w:lastRow="0" w:firstColumn="1" w:lastColumn="0" w:noHBand="0" w:noVBand="1"/>
      </w:tblPr>
      <w:tblGrid>
        <w:gridCol w:w="2873"/>
        <w:gridCol w:w="1690"/>
        <w:gridCol w:w="1692"/>
        <w:gridCol w:w="1692"/>
        <w:gridCol w:w="1692"/>
        <w:gridCol w:w="1983"/>
      </w:tblGrid>
      <w:tr w:rsidR="00E321E4" w:rsidRPr="00A251F8" w14:paraId="68AB179A" w14:textId="77777777" w:rsidTr="00064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100249" w:themeFill="accent4"/>
            <w:hideMark/>
          </w:tcPr>
          <w:p w14:paraId="4F5160CF" w14:textId="77777777" w:rsidR="00E321E4" w:rsidRPr="00C71A95" w:rsidRDefault="00E321E4" w:rsidP="0006455E">
            <w:pPr>
              <w:rPr>
                <w:rFonts w:cs="Arial"/>
                <w:b w:val="0"/>
                <w:bCs w:val="0"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color w:val="FFFFFF"/>
                <w:sz w:val="20"/>
                <w:lang w:eastAsia="en-AU"/>
              </w:rPr>
              <w:t>Zone</w:t>
            </w:r>
          </w:p>
        </w:tc>
        <w:tc>
          <w:tcPr>
            <w:tcW w:w="727" w:type="pct"/>
            <w:shd w:val="clear" w:color="auto" w:fill="D9D9D9" w:themeFill="background1" w:themeFillShade="D9"/>
            <w:hideMark/>
          </w:tcPr>
          <w:p w14:paraId="7FFBD391" w14:textId="77777777" w:rsidR="00E321E4" w:rsidRDefault="00E321E4" w:rsidP="00064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F1547"/>
                <w:sz w:val="20"/>
                <w:lang w:eastAsia="en-AU"/>
              </w:rPr>
            </w:pPr>
            <w:r w:rsidRPr="00C71A95">
              <w:rPr>
                <w:rFonts w:cs="Arial"/>
                <w:color w:val="1F1547"/>
                <w:sz w:val="20"/>
                <w:lang w:eastAsia="en-AU"/>
              </w:rPr>
              <w:t>Quota</w:t>
            </w:r>
            <w:r>
              <w:rPr>
                <w:rFonts w:cs="Arial"/>
                <w:color w:val="1F1547"/>
                <w:sz w:val="20"/>
                <w:lang w:eastAsia="en-AU"/>
              </w:rPr>
              <w:t xml:space="preserve">  </w:t>
            </w:r>
          </w:p>
          <w:p w14:paraId="7AF050DE" w14:textId="77777777" w:rsidR="00E321E4" w:rsidRPr="00C71A95" w:rsidRDefault="00E321E4" w:rsidP="00064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Quarter 1</w:t>
            </w:r>
          </w:p>
        </w:tc>
        <w:tc>
          <w:tcPr>
            <w:tcW w:w="728" w:type="pct"/>
            <w:shd w:val="clear" w:color="auto" w:fill="D9D9D9" w:themeFill="background1" w:themeFillShade="D9"/>
            <w:hideMark/>
          </w:tcPr>
          <w:p w14:paraId="705B43C4" w14:textId="77777777" w:rsidR="00E321E4" w:rsidRDefault="00E321E4" w:rsidP="00064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F1547"/>
                <w:sz w:val="20"/>
                <w:lang w:eastAsia="en-AU"/>
              </w:rPr>
            </w:pPr>
            <w:r w:rsidRPr="00012D03">
              <w:rPr>
                <w:rFonts w:cs="Arial"/>
                <w:color w:val="1F1547"/>
                <w:sz w:val="20"/>
                <w:lang w:eastAsia="en-AU"/>
              </w:rPr>
              <w:t xml:space="preserve">Quota </w:t>
            </w:r>
          </w:p>
          <w:p w14:paraId="78439E6D" w14:textId="77777777" w:rsidR="00E321E4" w:rsidRPr="00012D03" w:rsidRDefault="00E321E4" w:rsidP="00064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Quarter 2</w:t>
            </w:r>
          </w:p>
        </w:tc>
        <w:tc>
          <w:tcPr>
            <w:tcW w:w="728" w:type="pct"/>
            <w:shd w:val="clear" w:color="auto" w:fill="D9D9D9" w:themeFill="background1" w:themeFillShade="D9"/>
            <w:hideMark/>
          </w:tcPr>
          <w:p w14:paraId="5521AEE9" w14:textId="77777777" w:rsidR="00E321E4" w:rsidRDefault="00E321E4" w:rsidP="00064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F1547"/>
                <w:sz w:val="20"/>
                <w:lang w:eastAsia="en-AU"/>
              </w:rPr>
            </w:pPr>
            <w:r w:rsidRPr="00012D03">
              <w:rPr>
                <w:rFonts w:cs="Arial"/>
                <w:color w:val="1F1547"/>
                <w:sz w:val="20"/>
                <w:lang w:eastAsia="en-AU"/>
              </w:rPr>
              <w:t xml:space="preserve">Quota  </w:t>
            </w:r>
          </w:p>
          <w:p w14:paraId="08400F78" w14:textId="77777777" w:rsidR="00E321E4" w:rsidRPr="00012D03" w:rsidRDefault="00E321E4" w:rsidP="00064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Quarter 3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C9E1483" w14:textId="77777777" w:rsidR="00E321E4" w:rsidRDefault="00E321E4" w:rsidP="00064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F1547"/>
                <w:sz w:val="20"/>
                <w:lang w:eastAsia="en-AU"/>
              </w:rPr>
            </w:pPr>
            <w:r w:rsidRPr="00012D03">
              <w:rPr>
                <w:rFonts w:cs="Arial"/>
                <w:color w:val="1F1547"/>
                <w:sz w:val="20"/>
                <w:lang w:eastAsia="en-AU"/>
              </w:rPr>
              <w:t xml:space="preserve">Quota  </w:t>
            </w:r>
          </w:p>
          <w:p w14:paraId="7785959E" w14:textId="77777777" w:rsidR="00E321E4" w:rsidRDefault="00E321E4" w:rsidP="00064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Quarter 4</w:t>
            </w:r>
          </w:p>
        </w:tc>
        <w:tc>
          <w:tcPr>
            <w:tcW w:w="853" w:type="pct"/>
            <w:shd w:val="clear" w:color="auto" w:fill="D9D9D9" w:themeFill="background1" w:themeFillShade="D9"/>
            <w:hideMark/>
          </w:tcPr>
          <w:p w14:paraId="07C34141" w14:textId="77777777" w:rsidR="00E321E4" w:rsidRPr="00C71A95" w:rsidRDefault="00E321E4" w:rsidP="00064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1F1547"/>
                <w:sz w:val="20"/>
                <w:lang w:eastAsia="en-AU"/>
              </w:rPr>
            </w:pPr>
            <w:r w:rsidRPr="00C71A95">
              <w:rPr>
                <w:rFonts w:cs="Arial"/>
                <w:color w:val="1F1547"/>
                <w:sz w:val="20"/>
                <w:lang w:eastAsia="en-AU"/>
              </w:rPr>
              <w:t xml:space="preserve">Total </w:t>
            </w:r>
            <w:r>
              <w:rPr>
                <w:rFonts w:cs="Arial"/>
                <w:color w:val="1F1547"/>
                <w:sz w:val="20"/>
                <w:lang w:eastAsia="en-AU"/>
              </w:rPr>
              <w:t>Allocation 2023</w:t>
            </w:r>
          </w:p>
        </w:tc>
      </w:tr>
      <w:tr w:rsidR="00E321E4" w:rsidRPr="00A251F8" w14:paraId="6137E095" w14:textId="77777777" w:rsidTr="0006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100249" w:themeFill="accent4"/>
            <w:hideMark/>
          </w:tcPr>
          <w:p w14:paraId="06B5699B" w14:textId="77777777" w:rsidR="00E321E4" w:rsidRPr="00C71A95" w:rsidRDefault="00E321E4" w:rsidP="0006455E">
            <w:pPr>
              <w:rPr>
                <w:rFonts w:cs="Arial"/>
                <w:b w:val="0"/>
                <w:bCs w:val="0"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727" w:type="pct"/>
            <w:hideMark/>
          </w:tcPr>
          <w:p w14:paraId="78A1200B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16,300</w:t>
            </w:r>
          </w:p>
        </w:tc>
        <w:tc>
          <w:tcPr>
            <w:tcW w:w="728" w:type="pct"/>
            <w:hideMark/>
          </w:tcPr>
          <w:p w14:paraId="585743CD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16,300</w:t>
            </w:r>
          </w:p>
        </w:tc>
        <w:tc>
          <w:tcPr>
            <w:tcW w:w="728" w:type="pct"/>
            <w:hideMark/>
          </w:tcPr>
          <w:p w14:paraId="26D0E86A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16,300</w:t>
            </w:r>
          </w:p>
        </w:tc>
        <w:tc>
          <w:tcPr>
            <w:tcW w:w="728" w:type="pct"/>
          </w:tcPr>
          <w:p w14:paraId="3770F549" w14:textId="77777777" w:rsidR="00E321E4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16,200</w:t>
            </w:r>
          </w:p>
        </w:tc>
        <w:tc>
          <w:tcPr>
            <w:tcW w:w="853" w:type="pct"/>
            <w:hideMark/>
          </w:tcPr>
          <w:p w14:paraId="33E487BB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65,100</w:t>
            </w:r>
          </w:p>
        </w:tc>
      </w:tr>
      <w:tr w:rsidR="00E321E4" w:rsidRPr="00A251F8" w14:paraId="6B14B6B8" w14:textId="77777777" w:rsidTr="0006455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100249" w:themeFill="accent4"/>
            <w:hideMark/>
          </w:tcPr>
          <w:p w14:paraId="37AF9131" w14:textId="77777777" w:rsidR="00E321E4" w:rsidRPr="00C71A95" w:rsidRDefault="00E321E4" w:rsidP="0006455E">
            <w:pPr>
              <w:rPr>
                <w:rFonts w:cs="Arial"/>
                <w:b w:val="0"/>
                <w:bCs w:val="0"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727" w:type="pct"/>
            <w:hideMark/>
          </w:tcPr>
          <w:p w14:paraId="6561CF34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3,400</w:t>
            </w:r>
          </w:p>
        </w:tc>
        <w:tc>
          <w:tcPr>
            <w:tcW w:w="728" w:type="pct"/>
            <w:hideMark/>
          </w:tcPr>
          <w:p w14:paraId="7456E5E3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3,400</w:t>
            </w:r>
          </w:p>
        </w:tc>
        <w:tc>
          <w:tcPr>
            <w:tcW w:w="728" w:type="pct"/>
            <w:hideMark/>
          </w:tcPr>
          <w:p w14:paraId="44BE3A2A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3,400</w:t>
            </w:r>
          </w:p>
        </w:tc>
        <w:tc>
          <w:tcPr>
            <w:tcW w:w="728" w:type="pct"/>
          </w:tcPr>
          <w:p w14:paraId="50CA2B1C" w14:textId="77777777" w:rsidR="00E321E4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3,400</w:t>
            </w:r>
          </w:p>
        </w:tc>
        <w:tc>
          <w:tcPr>
            <w:tcW w:w="853" w:type="pct"/>
            <w:hideMark/>
          </w:tcPr>
          <w:p w14:paraId="3BEC15FF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13,600</w:t>
            </w:r>
          </w:p>
        </w:tc>
      </w:tr>
      <w:tr w:rsidR="00E321E4" w:rsidRPr="00A251F8" w14:paraId="61EA7833" w14:textId="77777777" w:rsidTr="0006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100249" w:themeFill="accent4"/>
            <w:hideMark/>
          </w:tcPr>
          <w:p w14:paraId="14B29DF1" w14:textId="77777777" w:rsidR="00E321E4" w:rsidRPr="00C71A95" w:rsidRDefault="00E321E4" w:rsidP="0006455E">
            <w:pPr>
              <w:rPr>
                <w:rFonts w:cs="Arial"/>
                <w:b w:val="0"/>
                <w:bCs w:val="0"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727" w:type="pct"/>
            <w:hideMark/>
          </w:tcPr>
          <w:p w14:paraId="2361EC03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10,300</w:t>
            </w:r>
          </w:p>
        </w:tc>
        <w:tc>
          <w:tcPr>
            <w:tcW w:w="728" w:type="pct"/>
            <w:hideMark/>
          </w:tcPr>
          <w:p w14:paraId="7EA7F12C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10,300</w:t>
            </w:r>
          </w:p>
        </w:tc>
        <w:tc>
          <w:tcPr>
            <w:tcW w:w="728" w:type="pct"/>
            <w:hideMark/>
          </w:tcPr>
          <w:p w14:paraId="0BDC2D22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10,300</w:t>
            </w:r>
          </w:p>
        </w:tc>
        <w:tc>
          <w:tcPr>
            <w:tcW w:w="728" w:type="pct"/>
          </w:tcPr>
          <w:p w14:paraId="18BC267A" w14:textId="77777777" w:rsidR="00E321E4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10,200</w:t>
            </w:r>
          </w:p>
        </w:tc>
        <w:tc>
          <w:tcPr>
            <w:tcW w:w="853" w:type="pct"/>
            <w:hideMark/>
          </w:tcPr>
          <w:p w14:paraId="40F714EC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41,100</w:t>
            </w:r>
          </w:p>
        </w:tc>
      </w:tr>
      <w:tr w:rsidR="00E321E4" w:rsidRPr="00A251F8" w14:paraId="558D1F0C" w14:textId="77777777" w:rsidTr="0006455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100249" w:themeFill="accent4"/>
            <w:hideMark/>
          </w:tcPr>
          <w:p w14:paraId="7B122DE4" w14:textId="77777777" w:rsidR="00E321E4" w:rsidRPr="00C71A95" w:rsidRDefault="00E321E4" w:rsidP="0006455E">
            <w:pPr>
              <w:rPr>
                <w:rFonts w:cs="Arial"/>
                <w:b w:val="0"/>
                <w:bCs w:val="0"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727" w:type="pct"/>
            <w:hideMark/>
          </w:tcPr>
          <w:p w14:paraId="03777D37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550</w:t>
            </w:r>
          </w:p>
        </w:tc>
        <w:tc>
          <w:tcPr>
            <w:tcW w:w="728" w:type="pct"/>
            <w:hideMark/>
          </w:tcPr>
          <w:p w14:paraId="1A0B6459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500</w:t>
            </w:r>
          </w:p>
        </w:tc>
        <w:tc>
          <w:tcPr>
            <w:tcW w:w="728" w:type="pct"/>
            <w:hideMark/>
          </w:tcPr>
          <w:p w14:paraId="42157B1B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500</w:t>
            </w:r>
          </w:p>
        </w:tc>
        <w:tc>
          <w:tcPr>
            <w:tcW w:w="728" w:type="pct"/>
          </w:tcPr>
          <w:p w14:paraId="4D208D4E" w14:textId="77777777" w:rsidR="00E321E4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853" w:type="pct"/>
            <w:hideMark/>
          </w:tcPr>
          <w:p w14:paraId="610D47EC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1,550</w:t>
            </w:r>
          </w:p>
        </w:tc>
      </w:tr>
      <w:tr w:rsidR="00E321E4" w:rsidRPr="00A251F8" w14:paraId="6E7259D4" w14:textId="77777777" w:rsidTr="0006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100249" w:themeFill="accent4"/>
            <w:hideMark/>
          </w:tcPr>
          <w:p w14:paraId="21ECE1EF" w14:textId="77777777" w:rsidR="00E321E4" w:rsidRPr="00C71A95" w:rsidRDefault="00E321E4" w:rsidP="0006455E">
            <w:pPr>
              <w:rPr>
                <w:rFonts w:cs="Arial"/>
                <w:b w:val="0"/>
                <w:bCs w:val="0"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color w:val="FFFFFF"/>
                <w:sz w:val="20"/>
                <w:lang w:eastAsia="en-AU"/>
              </w:rPr>
              <w:t>North East</w:t>
            </w:r>
          </w:p>
        </w:tc>
        <w:tc>
          <w:tcPr>
            <w:tcW w:w="727" w:type="pct"/>
            <w:hideMark/>
          </w:tcPr>
          <w:p w14:paraId="17A447BF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2,800</w:t>
            </w:r>
          </w:p>
        </w:tc>
        <w:tc>
          <w:tcPr>
            <w:tcW w:w="728" w:type="pct"/>
            <w:hideMark/>
          </w:tcPr>
          <w:p w14:paraId="14612D87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2,800</w:t>
            </w:r>
          </w:p>
        </w:tc>
        <w:tc>
          <w:tcPr>
            <w:tcW w:w="728" w:type="pct"/>
            <w:hideMark/>
          </w:tcPr>
          <w:p w14:paraId="6F1C3DED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2,800</w:t>
            </w:r>
          </w:p>
        </w:tc>
        <w:tc>
          <w:tcPr>
            <w:tcW w:w="728" w:type="pct"/>
          </w:tcPr>
          <w:p w14:paraId="29809B8B" w14:textId="77777777" w:rsidR="00E321E4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2,650</w:t>
            </w:r>
          </w:p>
        </w:tc>
        <w:tc>
          <w:tcPr>
            <w:tcW w:w="853" w:type="pct"/>
            <w:hideMark/>
          </w:tcPr>
          <w:p w14:paraId="22172EFD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11,050</w:t>
            </w:r>
          </w:p>
        </w:tc>
      </w:tr>
      <w:tr w:rsidR="00E321E4" w:rsidRPr="00A251F8" w14:paraId="03ECF04E" w14:textId="77777777" w:rsidTr="0006455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100249" w:themeFill="accent4"/>
            <w:hideMark/>
          </w:tcPr>
          <w:p w14:paraId="33ED0384" w14:textId="77777777" w:rsidR="00E321E4" w:rsidRPr="00C71A95" w:rsidRDefault="00E321E4" w:rsidP="0006455E">
            <w:pPr>
              <w:rPr>
                <w:rFonts w:cs="Arial"/>
                <w:b w:val="0"/>
                <w:bCs w:val="0"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727" w:type="pct"/>
            <w:hideMark/>
          </w:tcPr>
          <w:p w14:paraId="26ACAF34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4,000</w:t>
            </w:r>
          </w:p>
        </w:tc>
        <w:tc>
          <w:tcPr>
            <w:tcW w:w="728" w:type="pct"/>
            <w:hideMark/>
          </w:tcPr>
          <w:p w14:paraId="49CA25F9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4,000</w:t>
            </w:r>
          </w:p>
        </w:tc>
        <w:tc>
          <w:tcPr>
            <w:tcW w:w="728" w:type="pct"/>
            <w:hideMark/>
          </w:tcPr>
          <w:p w14:paraId="6B1F9141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4,000</w:t>
            </w:r>
          </w:p>
        </w:tc>
        <w:tc>
          <w:tcPr>
            <w:tcW w:w="728" w:type="pct"/>
          </w:tcPr>
          <w:p w14:paraId="3514559D" w14:textId="77777777" w:rsidR="00E321E4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3,500</w:t>
            </w:r>
          </w:p>
        </w:tc>
        <w:tc>
          <w:tcPr>
            <w:tcW w:w="853" w:type="pct"/>
            <w:hideMark/>
          </w:tcPr>
          <w:p w14:paraId="74D0A8E9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15,500</w:t>
            </w:r>
          </w:p>
        </w:tc>
      </w:tr>
      <w:tr w:rsidR="00E321E4" w:rsidRPr="00A251F8" w14:paraId="04672897" w14:textId="77777777" w:rsidTr="0006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100249" w:themeFill="accent4"/>
            <w:hideMark/>
          </w:tcPr>
          <w:p w14:paraId="33CB84FA" w14:textId="22B7A4BE" w:rsidR="00E321E4" w:rsidRPr="00C71A95" w:rsidRDefault="00E321E4" w:rsidP="0006455E">
            <w:pPr>
              <w:rPr>
                <w:rFonts w:cs="Arial"/>
                <w:b w:val="0"/>
                <w:bCs w:val="0"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727" w:type="pct"/>
            <w:hideMark/>
          </w:tcPr>
          <w:p w14:paraId="21B93DD8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4,750</w:t>
            </w:r>
          </w:p>
        </w:tc>
        <w:tc>
          <w:tcPr>
            <w:tcW w:w="728" w:type="pct"/>
            <w:hideMark/>
          </w:tcPr>
          <w:p w14:paraId="5A8644D5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4,700</w:t>
            </w:r>
          </w:p>
        </w:tc>
        <w:tc>
          <w:tcPr>
            <w:tcW w:w="728" w:type="pct"/>
            <w:hideMark/>
          </w:tcPr>
          <w:p w14:paraId="6C0B9683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4,700</w:t>
            </w:r>
          </w:p>
        </w:tc>
        <w:tc>
          <w:tcPr>
            <w:tcW w:w="728" w:type="pct"/>
          </w:tcPr>
          <w:p w14:paraId="139A1874" w14:textId="77777777" w:rsidR="00E321E4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4,700</w:t>
            </w:r>
          </w:p>
        </w:tc>
        <w:tc>
          <w:tcPr>
            <w:tcW w:w="853" w:type="pct"/>
            <w:hideMark/>
          </w:tcPr>
          <w:p w14:paraId="7BD3B8D8" w14:textId="77777777" w:rsidR="00E321E4" w:rsidRPr="00C71A95" w:rsidRDefault="00E321E4" w:rsidP="0006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18,850</w:t>
            </w:r>
          </w:p>
        </w:tc>
      </w:tr>
      <w:tr w:rsidR="00E321E4" w:rsidRPr="00A251F8" w14:paraId="05BDF146" w14:textId="77777777" w:rsidTr="0006455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shd w:val="clear" w:color="auto" w:fill="100249" w:themeFill="accent4"/>
            <w:hideMark/>
          </w:tcPr>
          <w:p w14:paraId="048CCE8C" w14:textId="77777777" w:rsidR="00E321E4" w:rsidRPr="00C71A95" w:rsidRDefault="00E321E4" w:rsidP="0006455E">
            <w:pPr>
              <w:rPr>
                <w:rFonts w:cs="Arial"/>
                <w:b w:val="0"/>
                <w:bCs w:val="0"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727" w:type="pct"/>
            <w:hideMark/>
          </w:tcPr>
          <w:p w14:paraId="28DC9259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42,100</w:t>
            </w:r>
          </w:p>
        </w:tc>
        <w:tc>
          <w:tcPr>
            <w:tcW w:w="728" w:type="pct"/>
            <w:hideMark/>
          </w:tcPr>
          <w:p w14:paraId="30E730BB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42,000</w:t>
            </w:r>
          </w:p>
        </w:tc>
        <w:tc>
          <w:tcPr>
            <w:tcW w:w="728" w:type="pct"/>
            <w:hideMark/>
          </w:tcPr>
          <w:p w14:paraId="30454BF4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42,000</w:t>
            </w:r>
          </w:p>
        </w:tc>
        <w:tc>
          <w:tcPr>
            <w:tcW w:w="728" w:type="pct"/>
          </w:tcPr>
          <w:p w14:paraId="6D7F9732" w14:textId="77777777" w:rsidR="00E321E4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40,650</w:t>
            </w:r>
          </w:p>
        </w:tc>
        <w:tc>
          <w:tcPr>
            <w:tcW w:w="853" w:type="pct"/>
            <w:hideMark/>
          </w:tcPr>
          <w:p w14:paraId="4DD88047" w14:textId="77777777" w:rsidR="00E321E4" w:rsidRPr="00C71A95" w:rsidRDefault="00E321E4" w:rsidP="0006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166,750</w:t>
            </w:r>
          </w:p>
        </w:tc>
      </w:tr>
    </w:tbl>
    <w:p w14:paraId="7A411102" w14:textId="68143806" w:rsidR="009B5082" w:rsidRPr="0006455E" w:rsidRDefault="009B5082" w:rsidP="006858D1">
      <w:pPr>
        <w:pStyle w:val="Heading1"/>
        <w:rPr>
          <w:color w:val="auto"/>
        </w:rPr>
      </w:pPr>
      <w:bookmarkStart w:id="4" w:name="_Toc100046024"/>
      <w:bookmarkStart w:id="5" w:name="_Toc77936065"/>
      <w:bookmarkStart w:id="6" w:name="_Toc139028892"/>
      <w:bookmarkEnd w:id="4"/>
      <w:r w:rsidRPr="0006455E">
        <w:rPr>
          <w:color w:val="auto"/>
        </w:rPr>
        <w:lastRenderedPageBreak/>
        <w:t>Quota allocation</w:t>
      </w:r>
      <w:bookmarkEnd w:id="5"/>
      <w:r w:rsidRPr="0006455E">
        <w:rPr>
          <w:color w:val="auto"/>
        </w:rPr>
        <w:t xml:space="preserve"> </w:t>
      </w:r>
      <w:r w:rsidR="00D4083F" w:rsidRPr="0006455E">
        <w:rPr>
          <w:color w:val="auto"/>
        </w:rPr>
        <w:t>–</w:t>
      </w:r>
      <w:r w:rsidR="00913CAF" w:rsidRPr="0006455E">
        <w:rPr>
          <w:color w:val="auto"/>
        </w:rPr>
        <w:t xml:space="preserve"> </w:t>
      </w:r>
      <w:r w:rsidR="00D4083F" w:rsidRPr="0006455E">
        <w:rPr>
          <w:color w:val="auto"/>
        </w:rPr>
        <w:t>Quarter one release</w:t>
      </w:r>
      <w:bookmarkEnd w:id="6"/>
    </w:p>
    <w:p w14:paraId="44F45939" w14:textId="39D114A4" w:rsidR="00CD55CA" w:rsidRPr="0006455E" w:rsidRDefault="009B5082" w:rsidP="00E321E4">
      <w:pPr>
        <w:pStyle w:val="Heading2"/>
        <w:rPr>
          <w:color w:val="auto"/>
        </w:rPr>
      </w:pPr>
      <w:bookmarkStart w:id="7" w:name="_Toc139028893"/>
      <w:bookmarkStart w:id="8" w:name="_Toc77936066"/>
      <w:r w:rsidRPr="0006455E">
        <w:rPr>
          <w:color w:val="auto"/>
        </w:rPr>
        <w:t>Overview</w:t>
      </w:r>
      <w:bookmarkEnd w:id="7"/>
      <w:r w:rsidRPr="0006455E">
        <w:rPr>
          <w:color w:val="auto"/>
        </w:rPr>
        <w:t xml:space="preserve"> </w:t>
      </w:r>
      <w:bookmarkStart w:id="9" w:name="_Toc314821342"/>
      <w:bookmarkStart w:id="10" w:name="_Toc314822264"/>
      <w:bookmarkStart w:id="11" w:name="_Toc315765094"/>
      <w:bookmarkEnd w:id="8"/>
    </w:p>
    <w:p w14:paraId="4A8372C5" w14:textId="118C941B" w:rsidR="00592B20" w:rsidRPr="0006455E" w:rsidRDefault="00592B20" w:rsidP="00BA3888">
      <w:pPr>
        <w:pStyle w:val="ListParagraph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06455E">
        <w:rPr>
          <w:color w:val="auto"/>
          <w:sz w:val="22"/>
          <w:szCs w:val="22"/>
        </w:rPr>
        <w:t>The</w:t>
      </w:r>
      <w:r w:rsidR="00A0081D" w:rsidRPr="0006455E">
        <w:rPr>
          <w:color w:val="auto"/>
          <w:sz w:val="22"/>
          <w:szCs w:val="22"/>
        </w:rPr>
        <w:t>r</w:t>
      </w:r>
      <w:r w:rsidRPr="0006455E">
        <w:rPr>
          <w:color w:val="auto"/>
          <w:sz w:val="22"/>
          <w:szCs w:val="22"/>
        </w:rPr>
        <w:t xml:space="preserve">e </w:t>
      </w:r>
      <w:r w:rsidR="00A0081D" w:rsidRPr="0006455E">
        <w:rPr>
          <w:color w:val="auto"/>
          <w:sz w:val="22"/>
          <w:szCs w:val="22"/>
        </w:rPr>
        <w:t>are</w:t>
      </w:r>
      <w:r w:rsidRPr="0006455E">
        <w:rPr>
          <w:color w:val="auto"/>
          <w:sz w:val="22"/>
          <w:szCs w:val="22"/>
        </w:rPr>
        <w:t xml:space="preserve"> currently 1</w:t>
      </w:r>
      <w:r w:rsidR="00EC06F6" w:rsidRPr="0006455E">
        <w:rPr>
          <w:color w:val="auto"/>
          <w:sz w:val="22"/>
          <w:szCs w:val="22"/>
        </w:rPr>
        <w:t>59</w:t>
      </w:r>
      <w:r w:rsidRPr="0006455E">
        <w:rPr>
          <w:color w:val="auto"/>
          <w:sz w:val="22"/>
          <w:szCs w:val="22"/>
        </w:rPr>
        <w:t xml:space="preserve"> har</w:t>
      </w:r>
      <w:r w:rsidR="00A0081D" w:rsidRPr="0006455E">
        <w:rPr>
          <w:color w:val="auto"/>
          <w:sz w:val="22"/>
          <w:szCs w:val="22"/>
        </w:rPr>
        <w:t xml:space="preserve">vesters authorised under the Kangaroo Harvest Program </w:t>
      </w:r>
    </w:p>
    <w:p w14:paraId="2E1AC2AD" w14:textId="42369EAC" w:rsidR="009B5082" w:rsidRPr="0006455E" w:rsidRDefault="003C44F5" w:rsidP="008B594B">
      <w:pPr>
        <w:pStyle w:val="ListParagraph"/>
        <w:numPr>
          <w:ilvl w:val="0"/>
          <w:numId w:val="31"/>
        </w:numPr>
        <w:spacing w:line="276" w:lineRule="auto"/>
        <w:jc w:val="both"/>
        <w:rPr>
          <w:color w:val="auto"/>
          <w:sz w:val="22"/>
          <w:szCs w:val="22"/>
        </w:rPr>
      </w:pPr>
      <w:r w:rsidRPr="0006455E">
        <w:rPr>
          <w:color w:val="auto"/>
          <w:sz w:val="22"/>
          <w:szCs w:val="22"/>
        </w:rPr>
        <w:t>From January to March</w:t>
      </w:r>
      <w:r w:rsidR="00D4083F" w:rsidRPr="0006455E">
        <w:rPr>
          <w:color w:val="auto"/>
          <w:sz w:val="22"/>
          <w:szCs w:val="22"/>
        </w:rPr>
        <w:t xml:space="preserve"> 2023</w:t>
      </w:r>
      <w:r w:rsidR="00A575AA" w:rsidRPr="0006455E">
        <w:rPr>
          <w:color w:val="auto"/>
          <w:sz w:val="22"/>
          <w:szCs w:val="22"/>
        </w:rPr>
        <w:t>,</w:t>
      </w:r>
      <w:r w:rsidRPr="0006455E">
        <w:rPr>
          <w:color w:val="auto"/>
          <w:sz w:val="22"/>
          <w:szCs w:val="22"/>
        </w:rPr>
        <w:t xml:space="preserve"> </w:t>
      </w:r>
      <w:r w:rsidR="00EC06F6" w:rsidRPr="0006455E">
        <w:rPr>
          <w:color w:val="auto"/>
          <w:sz w:val="22"/>
          <w:szCs w:val="22"/>
        </w:rPr>
        <w:t>39,970</w:t>
      </w:r>
      <w:r w:rsidR="009B5082" w:rsidRPr="0006455E">
        <w:rPr>
          <w:color w:val="auto"/>
          <w:sz w:val="22"/>
          <w:szCs w:val="22"/>
        </w:rPr>
        <w:t xml:space="preserve"> tags were allocated across the state</w:t>
      </w:r>
      <w:r w:rsidR="00EC7A5C" w:rsidRPr="0006455E">
        <w:rPr>
          <w:color w:val="auto"/>
          <w:sz w:val="22"/>
          <w:szCs w:val="22"/>
        </w:rPr>
        <w:t xml:space="preserve"> which equates to</w:t>
      </w:r>
      <w:r w:rsidR="008B594B" w:rsidRPr="0006455E">
        <w:rPr>
          <w:color w:val="auto"/>
          <w:sz w:val="22"/>
          <w:szCs w:val="22"/>
        </w:rPr>
        <w:t xml:space="preserve"> </w:t>
      </w:r>
      <w:r w:rsidR="00DB6DCF" w:rsidRPr="0006455E">
        <w:rPr>
          <w:color w:val="auto"/>
          <w:sz w:val="22"/>
          <w:szCs w:val="22"/>
        </w:rPr>
        <w:t>94.5</w:t>
      </w:r>
      <w:r w:rsidR="00A575AA" w:rsidRPr="0006455E">
        <w:rPr>
          <w:color w:val="auto"/>
          <w:sz w:val="22"/>
          <w:szCs w:val="22"/>
        </w:rPr>
        <w:t xml:space="preserve">% of the </w:t>
      </w:r>
      <w:r w:rsidR="00DB6DCF" w:rsidRPr="0006455E">
        <w:rPr>
          <w:color w:val="auto"/>
          <w:sz w:val="22"/>
          <w:szCs w:val="22"/>
        </w:rPr>
        <w:t>42,100</w:t>
      </w:r>
      <w:r w:rsidR="00A575AA" w:rsidRPr="0006455E">
        <w:rPr>
          <w:color w:val="auto"/>
          <w:sz w:val="22"/>
          <w:szCs w:val="22"/>
        </w:rPr>
        <w:t xml:space="preserve"> tags available for </w:t>
      </w:r>
      <w:r w:rsidR="00EC06F6" w:rsidRPr="0006455E">
        <w:rPr>
          <w:color w:val="auto"/>
          <w:sz w:val="22"/>
          <w:szCs w:val="22"/>
        </w:rPr>
        <w:t>Quarter</w:t>
      </w:r>
      <w:r w:rsidR="00A575AA" w:rsidRPr="0006455E">
        <w:rPr>
          <w:color w:val="auto"/>
          <w:sz w:val="22"/>
          <w:szCs w:val="22"/>
        </w:rPr>
        <w:t xml:space="preserve"> One</w:t>
      </w:r>
    </w:p>
    <w:p w14:paraId="0457C0BC" w14:textId="3A6FCB11" w:rsidR="005830B4" w:rsidRPr="0006455E" w:rsidRDefault="005830B4" w:rsidP="005830B4">
      <w:pPr>
        <w:pStyle w:val="ListParagraph"/>
        <w:numPr>
          <w:ilvl w:val="0"/>
          <w:numId w:val="31"/>
        </w:numPr>
        <w:spacing w:line="276" w:lineRule="auto"/>
        <w:rPr>
          <w:color w:val="auto"/>
          <w:sz w:val="22"/>
          <w:szCs w:val="22"/>
        </w:rPr>
      </w:pPr>
      <w:r w:rsidRPr="0006455E">
        <w:rPr>
          <w:color w:val="auto"/>
          <w:sz w:val="22"/>
          <w:szCs w:val="22"/>
        </w:rPr>
        <w:t>39,970 tags have been allocated across the state equating to 27.93% of the annual 166,750 tags available</w:t>
      </w:r>
    </w:p>
    <w:p w14:paraId="7B63995B" w14:textId="2365DC57" w:rsidR="005830B4" w:rsidRPr="0006455E" w:rsidRDefault="005830B4" w:rsidP="005830B4">
      <w:pPr>
        <w:pStyle w:val="ListParagraph"/>
        <w:numPr>
          <w:ilvl w:val="0"/>
          <w:numId w:val="31"/>
        </w:numPr>
        <w:spacing w:line="276" w:lineRule="auto"/>
        <w:rPr>
          <w:color w:val="auto"/>
          <w:sz w:val="22"/>
          <w:szCs w:val="22"/>
        </w:rPr>
      </w:pPr>
      <w:r w:rsidRPr="0006455E">
        <w:rPr>
          <w:color w:val="auto"/>
          <w:sz w:val="22"/>
          <w:szCs w:val="22"/>
        </w:rPr>
        <w:t>Of the tags that have been allocated, 24,637  tags have been consumed</w:t>
      </w:r>
    </w:p>
    <w:bookmarkEnd w:id="9"/>
    <w:bookmarkEnd w:id="10"/>
    <w:bookmarkEnd w:id="11"/>
    <w:p w14:paraId="53AB3E70" w14:textId="33E58036" w:rsidR="009B5082" w:rsidRPr="0006455E" w:rsidRDefault="009B5082" w:rsidP="009B5082">
      <w:pPr>
        <w:pStyle w:val="Heading3"/>
        <w:rPr>
          <w:color w:val="auto"/>
        </w:rPr>
      </w:pPr>
      <w:r w:rsidRPr="0006455E">
        <w:rPr>
          <w:color w:val="auto"/>
        </w:rPr>
        <w:t xml:space="preserve"> </w:t>
      </w:r>
      <w:bookmarkStart w:id="12" w:name="_Toc77936067"/>
      <w:bookmarkStart w:id="13" w:name="_Toc139028894"/>
      <w:r w:rsidRPr="0006455E">
        <w:rPr>
          <w:color w:val="auto"/>
        </w:rPr>
        <w:t xml:space="preserve">Allocation and consumption figures – </w:t>
      </w:r>
      <w:r w:rsidR="00D4083F" w:rsidRPr="0006455E">
        <w:rPr>
          <w:color w:val="auto"/>
        </w:rPr>
        <w:t>Quarter one release</w:t>
      </w:r>
      <w:r w:rsidR="001E0842" w:rsidRPr="0006455E">
        <w:rPr>
          <w:color w:val="auto"/>
        </w:rPr>
        <w:t xml:space="preserve"> </w:t>
      </w:r>
      <w:bookmarkEnd w:id="12"/>
      <w:r w:rsidR="00643D08" w:rsidRPr="0006455E">
        <w:rPr>
          <w:color w:val="auto"/>
        </w:rPr>
        <w:t>(January to March 202</w:t>
      </w:r>
      <w:r w:rsidR="00CC695E" w:rsidRPr="0006455E">
        <w:rPr>
          <w:color w:val="auto"/>
        </w:rPr>
        <w:t>3</w:t>
      </w:r>
      <w:r w:rsidR="00643D08" w:rsidRPr="0006455E">
        <w:rPr>
          <w:color w:val="auto"/>
        </w:rPr>
        <w:t>)</w:t>
      </w:r>
      <w:bookmarkEnd w:id="13"/>
    </w:p>
    <w:tbl>
      <w:tblPr>
        <w:tblStyle w:val="TableGridLight"/>
        <w:tblW w:w="3942" w:type="pct"/>
        <w:tblLook w:val="04A0" w:firstRow="1" w:lastRow="0" w:firstColumn="1" w:lastColumn="0" w:noHBand="0" w:noVBand="1"/>
      </w:tblPr>
      <w:tblGrid>
        <w:gridCol w:w="2259"/>
        <w:gridCol w:w="1844"/>
        <w:gridCol w:w="1844"/>
        <w:gridCol w:w="1844"/>
        <w:gridCol w:w="1844"/>
        <w:gridCol w:w="1844"/>
      </w:tblGrid>
      <w:tr w:rsidR="00D4083F" w:rsidRPr="00F047B4" w14:paraId="69EC481F" w14:textId="77777777" w:rsidTr="0006455E">
        <w:trPr>
          <w:trHeight w:val="464"/>
        </w:trPr>
        <w:tc>
          <w:tcPr>
            <w:tcW w:w="984" w:type="pct"/>
            <w:vMerge w:val="restart"/>
            <w:shd w:val="clear" w:color="auto" w:fill="100249" w:themeFill="accent4"/>
            <w:hideMark/>
          </w:tcPr>
          <w:p w14:paraId="6E37C1E4" w14:textId="77777777" w:rsidR="00D4083F" w:rsidRPr="00F047B4" w:rsidRDefault="00D4083F" w:rsidP="00E321E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Zone</w:t>
            </w:r>
          </w:p>
        </w:tc>
        <w:tc>
          <w:tcPr>
            <w:tcW w:w="803" w:type="pct"/>
            <w:vMerge w:val="restart"/>
            <w:shd w:val="clear" w:color="auto" w:fill="D9D9D9" w:themeFill="background1" w:themeFillShade="D9"/>
            <w:hideMark/>
          </w:tcPr>
          <w:p w14:paraId="6C163C57" w14:textId="113687EA" w:rsidR="00D4083F" w:rsidRPr="0006455E" w:rsidRDefault="00D4083F" w:rsidP="00F047B4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 xml:space="preserve">Quota </w:t>
            </w: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br/>
              <w:t>Quarter 1</w:t>
            </w:r>
          </w:p>
        </w:tc>
        <w:tc>
          <w:tcPr>
            <w:tcW w:w="803" w:type="pct"/>
            <w:vMerge w:val="restart"/>
            <w:shd w:val="clear" w:color="auto" w:fill="D9D9D9" w:themeFill="background1" w:themeFillShade="D9"/>
            <w:hideMark/>
          </w:tcPr>
          <w:p w14:paraId="05434DE4" w14:textId="61F48F89" w:rsidR="00D4083F" w:rsidRPr="0006455E" w:rsidRDefault="00D4083F" w:rsidP="00F047B4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Total allocated</w:t>
            </w: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br/>
              <w:t>Quarter 1</w:t>
            </w:r>
          </w:p>
        </w:tc>
        <w:tc>
          <w:tcPr>
            <w:tcW w:w="803" w:type="pct"/>
            <w:vMerge w:val="restart"/>
            <w:shd w:val="clear" w:color="auto" w:fill="D9D9D9" w:themeFill="background1" w:themeFillShade="D9"/>
            <w:hideMark/>
          </w:tcPr>
          <w:p w14:paraId="020FD1C3" w14:textId="770519F3" w:rsidR="00D4083F" w:rsidRPr="0006455E" w:rsidRDefault="00D4083F" w:rsidP="00F047B4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 xml:space="preserve">Quota remaining </w:t>
            </w:r>
            <w:r w:rsidR="005830B4"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Q</w:t>
            </w: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uarter 1</w:t>
            </w:r>
          </w:p>
        </w:tc>
        <w:tc>
          <w:tcPr>
            <w:tcW w:w="803" w:type="pct"/>
            <w:vMerge w:val="restart"/>
            <w:shd w:val="clear" w:color="auto" w:fill="D9D9D9" w:themeFill="background1" w:themeFillShade="D9"/>
            <w:hideMark/>
          </w:tcPr>
          <w:p w14:paraId="33EEE694" w14:textId="62BF2DB9" w:rsidR="00D4083F" w:rsidRPr="0006455E" w:rsidRDefault="00D4083F" w:rsidP="00F047B4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Quota consumed</w:t>
            </w: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br/>
            </w:r>
            <w:r w:rsidR="005830B4"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Q</w:t>
            </w: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uarter 1</w:t>
            </w:r>
          </w:p>
        </w:tc>
        <w:tc>
          <w:tcPr>
            <w:tcW w:w="803" w:type="pct"/>
            <w:vMerge w:val="restart"/>
            <w:shd w:val="clear" w:color="auto" w:fill="D9D9D9" w:themeFill="background1" w:themeFillShade="D9"/>
            <w:hideMark/>
          </w:tcPr>
          <w:p w14:paraId="6F109335" w14:textId="25540049" w:rsidR="00D4083F" w:rsidRPr="0006455E" w:rsidRDefault="00D4083F" w:rsidP="00F047B4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Harvesters who received allocations</w:t>
            </w:r>
            <w:r w:rsidRPr="0006455E">
              <w:rPr>
                <w:rFonts w:cs="Arial"/>
                <w:b/>
                <w:bCs/>
                <w:color w:val="auto"/>
                <w:sz w:val="20"/>
                <w:vertAlign w:val="superscript"/>
                <w:lang w:eastAsia="en-AU"/>
              </w:rPr>
              <w:t>1</w:t>
            </w:r>
          </w:p>
        </w:tc>
      </w:tr>
      <w:tr w:rsidR="00E321E4" w:rsidRPr="00F047B4" w14:paraId="1124AE94" w14:textId="77777777" w:rsidTr="0006455E">
        <w:trPr>
          <w:trHeight w:val="438"/>
        </w:trPr>
        <w:tc>
          <w:tcPr>
            <w:tcW w:w="984" w:type="pct"/>
            <w:vMerge/>
            <w:shd w:val="clear" w:color="auto" w:fill="100249" w:themeFill="accent4"/>
            <w:hideMark/>
          </w:tcPr>
          <w:p w14:paraId="2897AE72" w14:textId="77777777" w:rsidR="00E321E4" w:rsidRPr="00F047B4" w:rsidRDefault="00E321E4" w:rsidP="00F047B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</w:p>
        </w:tc>
        <w:tc>
          <w:tcPr>
            <w:tcW w:w="803" w:type="pct"/>
            <w:vMerge/>
            <w:shd w:val="clear" w:color="auto" w:fill="D9D9D9" w:themeFill="background1" w:themeFillShade="D9"/>
            <w:hideMark/>
          </w:tcPr>
          <w:p w14:paraId="5E0C1571" w14:textId="77777777" w:rsidR="00E321E4" w:rsidRPr="0006455E" w:rsidRDefault="00E321E4" w:rsidP="00F047B4">
            <w:pPr>
              <w:spacing w:before="0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</w:p>
        </w:tc>
        <w:tc>
          <w:tcPr>
            <w:tcW w:w="803" w:type="pct"/>
            <w:vMerge/>
            <w:shd w:val="clear" w:color="auto" w:fill="D9D9D9" w:themeFill="background1" w:themeFillShade="D9"/>
            <w:hideMark/>
          </w:tcPr>
          <w:p w14:paraId="3231A316" w14:textId="77777777" w:rsidR="00E321E4" w:rsidRPr="0006455E" w:rsidRDefault="00E321E4" w:rsidP="00F047B4">
            <w:pPr>
              <w:spacing w:before="0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</w:p>
        </w:tc>
        <w:tc>
          <w:tcPr>
            <w:tcW w:w="803" w:type="pct"/>
            <w:vMerge/>
            <w:shd w:val="clear" w:color="auto" w:fill="D9D9D9" w:themeFill="background1" w:themeFillShade="D9"/>
            <w:hideMark/>
          </w:tcPr>
          <w:p w14:paraId="354A5CE8" w14:textId="77777777" w:rsidR="00E321E4" w:rsidRPr="0006455E" w:rsidRDefault="00E321E4" w:rsidP="00F047B4">
            <w:pPr>
              <w:spacing w:before="0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</w:p>
        </w:tc>
        <w:tc>
          <w:tcPr>
            <w:tcW w:w="803" w:type="pct"/>
            <w:vMerge/>
            <w:shd w:val="clear" w:color="auto" w:fill="D9D9D9" w:themeFill="background1" w:themeFillShade="D9"/>
            <w:hideMark/>
          </w:tcPr>
          <w:p w14:paraId="00DB08ED" w14:textId="77777777" w:rsidR="00E321E4" w:rsidRPr="0006455E" w:rsidRDefault="00E321E4" w:rsidP="00F047B4">
            <w:pPr>
              <w:spacing w:before="0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</w:p>
        </w:tc>
        <w:tc>
          <w:tcPr>
            <w:tcW w:w="803" w:type="pct"/>
            <w:vMerge/>
            <w:shd w:val="clear" w:color="auto" w:fill="D9D9D9" w:themeFill="background1" w:themeFillShade="D9"/>
            <w:hideMark/>
          </w:tcPr>
          <w:p w14:paraId="6DF21B00" w14:textId="77777777" w:rsidR="00E321E4" w:rsidRPr="0006455E" w:rsidRDefault="00E321E4" w:rsidP="00F047B4">
            <w:pPr>
              <w:spacing w:before="0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</w:p>
        </w:tc>
      </w:tr>
      <w:tr w:rsidR="00E321E4" w:rsidRPr="00F047B4" w14:paraId="4FA06BE3" w14:textId="77777777" w:rsidTr="0006455E">
        <w:trPr>
          <w:trHeight w:val="418"/>
        </w:trPr>
        <w:tc>
          <w:tcPr>
            <w:tcW w:w="984" w:type="pct"/>
            <w:shd w:val="clear" w:color="auto" w:fill="100249" w:themeFill="accent4"/>
            <w:hideMark/>
          </w:tcPr>
          <w:p w14:paraId="474A2122" w14:textId="77777777" w:rsidR="00E321E4" w:rsidRPr="00F047B4" w:rsidRDefault="00E321E4" w:rsidP="00F047B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803" w:type="pct"/>
            <w:hideMark/>
          </w:tcPr>
          <w:p w14:paraId="01E5E621" w14:textId="6E73D108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16,300</w:t>
            </w:r>
          </w:p>
        </w:tc>
        <w:tc>
          <w:tcPr>
            <w:tcW w:w="803" w:type="pct"/>
            <w:hideMark/>
          </w:tcPr>
          <w:p w14:paraId="64DA5E19" w14:textId="4E47BA38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15,020</w:t>
            </w:r>
          </w:p>
        </w:tc>
        <w:tc>
          <w:tcPr>
            <w:tcW w:w="803" w:type="pct"/>
            <w:hideMark/>
          </w:tcPr>
          <w:p w14:paraId="2858D939" w14:textId="78B17CE2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1,280</w:t>
            </w:r>
          </w:p>
        </w:tc>
        <w:tc>
          <w:tcPr>
            <w:tcW w:w="803" w:type="pct"/>
            <w:hideMark/>
          </w:tcPr>
          <w:p w14:paraId="73922803" w14:textId="738342AB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8,312</w:t>
            </w:r>
          </w:p>
        </w:tc>
        <w:tc>
          <w:tcPr>
            <w:tcW w:w="803" w:type="pct"/>
            <w:hideMark/>
          </w:tcPr>
          <w:p w14:paraId="4915DFCB" w14:textId="177B6E2B" w:rsidR="00E321E4" w:rsidRPr="0006455E" w:rsidRDefault="00E321E4" w:rsidP="00613276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66</w:t>
            </w:r>
          </w:p>
        </w:tc>
      </w:tr>
      <w:tr w:rsidR="00E321E4" w:rsidRPr="00F047B4" w14:paraId="724BB118" w14:textId="77777777" w:rsidTr="0006455E">
        <w:trPr>
          <w:trHeight w:val="418"/>
        </w:trPr>
        <w:tc>
          <w:tcPr>
            <w:tcW w:w="984" w:type="pct"/>
            <w:shd w:val="clear" w:color="auto" w:fill="100249" w:themeFill="accent4"/>
            <w:hideMark/>
          </w:tcPr>
          <w:p w14:paraId="5857C1A6" w14:textId="77777777" w:rsidR="00E321E4" w:rsidRPr="00F047B4" w:rsidRDefault="00E321E4" w:rsidP="00F047B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803" w:type="pct"/>
          </w:tcPr>
          <w:p w14:paraId="39ACE382" w14:textId="50A63256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3,400</w:t>
            </w:r>
          </w:p>
        </w:tc>
        <w:tc>
          <w:tcPr>
            <w:tcW w:w="803" w:type="pct"/>
          </w:tcPr>
          <w:p w14:paraId="2E5108C8" w14:textId="184000BC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3,400</w:t>
            </w:r>
          </w:p>
        </w:tc>
        <w:tc>
          <w:tcPr>
            <w:tcW w:w="803" w:type="pct"/>
          </w:tcPr>
          <w:p w14:paraId="75CAA6C9" w14:textId="3BC71498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0</w:t>
            </w:r>
          </w:p>
        </w:tc>
        <w:tc>
          <w:tcPr>
            <w:tcW w:w="803" w:type="pct"/>
          </w:tcPr>
          <w:p w14:paraId="7A6D6DD1" w14:textId="57DEBFF0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2,202</w:t>
            </w:r>
          </w:p>
        </w:tc>
        <w:tc>
          <w:tcPr>
            <w:tcW w:w="803" w:type="pct"/>
          </w:tcPr>
          <w:p w14:paraId="531AF46B" w14:textId="6B0CBAF7" w:rsidR="00E321E4" w:rsidRPr="0006455E" w:rsidRDefault="00E321E4" w:rsidP="00613276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32</w:t>
            </w:r>
          </w:p>
        </w:tc>
      </w:tr>
      <w:tr w:rsidR="00E321E4" w:rsidRPr="00F047B4" w14:paraId="3D42D4F4" w14:textId="77777777" w:rsidTr="0006455E">
        <w:trPr>
          <w:trHeight w:val="418"/>
        </w:trPr>
        <w:tc>
          <w:tcPr>
            <w:tcW w:w="984" w:type="pct"/>
            <w:shd w:val="clear" w:color="auto" w:fill="100249" w:themeFill="accent4"/>
            <w:hideMark/>
          </w:tcPr>
          <w:p w14:paraId="5CD5DE47" w14:textId="77777777" w:rsidR="00E321E4" w:rsidRPr="00F047B4" w:rsidRDefault="00E321E4" w:rsidP="00F047B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803" w:type="pct"/>
          </w:tcPr>
          <w:p w14:paraId="13BD2DAD" w14:textId="2064A3E9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10,300</w:t>
            </w:r>
          </w:p>
        </w:tc>
        <w:tc>
          <w:tcPr>
            <w:tcW w:w="803" w:type="pct"/>
          </w:tcPr>
          <w:p w14:paraId="2D2D78F0" w14:textId="4AF39888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10,300</w:t>
            </w:r>
          </w:p>
        </w:tc>
        <w:tc>
          <w:tcPr>
            <w:tcW w:w="803" w:type="pct"/>
          </w:tcPr>
          <w:p w14:paraId="44854F8D" w14:textId="5F6DCF41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0</w:t>
            </w:r>
          </w:p>
        </w:tc>
        <w:tc>
          <w:tcPr>
            <w:tcW w:w="803" w:type="pct"/>
          </w:tcPr>
          <w:p w14:paraId="4949AF2F" w14:textId="018460D4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8,121</w:t>
            </w:r>
          </w:p>
        </w:tc>
        <w:tc>
          <w:tcPr>
            <w:tcW w:w="803" w:type="pct"/>
          </w:tcPr>
          <w:p w14:paraId="2AD28B8C" w14:textId="2134C28A" w:rsidR="00E321E4" w:rsidRPr="0006455E" w:rsidRDefault="00E321E4" w:rsidP="00613276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44</w:t>
            </w:r>
          </w:p>
        </w:tc>
      </w:tr>
      <w:tr w:rsidR="00E321E4" w:rsidRPr="00F047B4" w14:paraId="6822D0E2" w14:textId="77777777" w:rsidTr="0006455E">
        <w:trPr>
          <w:trHeight w:val="418"/>
        </w:trPr>
        <w:tc>
          <w:tcPr>
            <w:tcW w:w="984" w:type="pct"/>
            <w:shd w:val="clear" w:color="auto" w:fill="100249" w:themeFill="accent4"/>
            <w:hideMark/>
          </w:tcPr>
          <w:p w14:paraId="47F0784C" w14:textId="77777777" w:rsidR="00E321E4" w:rsidRPr="00F047B4" w:rsidRDefault="00E321E4" w:rsidP="00F047B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803" w:type="pct"/>
          </w:tcPr>
          <w:p w14:paraId="6F43C569" w14:textId="15C10401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550</w:t>
            </w:r>
          </w:p>
        </w:tc>
        <w:tc>
          <w:tcPr>
            <w:tcW w:w="803" w:type="pct"/>
          </w:tcPr>
          <w:p w14:paraId="11403375" w14:textId="596C696E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300</w:t>
            </w:r>
          </w:p>
        </w:tc>
        <w:tc>
          <w:tcPr>
            <w:tcW w:w="803" w:type="pct"/>
          </w:tcPr>
          <w:p w14:paraId="6702CD9E" w14:textId="4DE441E3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250</w:t>
            </w:r>
          </w:p>
        </w:tc>
        <w:tc>
          <w:tcPr>
            <w:tcW w:w="803" w:type="pct"/>
          </w:tcPr>
          <w:p w14:paraId="7197167D" w14:textId="76E7A985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101</w:t>
            </w:r>
          </w:p>
        </w:tc>
        <w:tc>
          <w:tcPr>
            <w:tcW w:w="803" w:type="pct"/>
          </w:tcPr>
          <w:p w14:paraId="4C46AF6C" w14:textId="0017E787" w:rsidR="00E321E4" w:rsidRPr="0006455E" w:rsidRDefault="00E321E4" w:rsidP="00613276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1</w:t>
            </w:r>
          </w:p>
        </w:tc>
      </w:tr>
      <w:tr w:rsidR="00E321E4" w:rsidRPr="00F047B4" w14:paraId="7D59EDB0" w14:textId="77777777" w:rsidTr="0006455E">
        <w:trPr>
          <w:trHeight w:val="418"/>
        </w:trPr>
        <w:tc>
          <w:tcPr>
            <w:tcW w:w="984" w:type="pct"/>
            <w:shd w:val="clear" w:color="auto" w:fill="100249" w:themeFill="accent4"/>
            <w:hideMark/>
          </w:tcPr>
          <w:p w14:paraId="1AB451FC" w14:textId="77777777" w:rsidR="00E321E4" w:rsidRPr="00F047B4" w:rsidRDefault="00E321E4" w:rsidP="00F047B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 East</w:t>
            </w:r>
          </w:p>
        </w:tc>
        <w:tc>
          <w:tcPr>
            <w:tcW w:w="803" w:type="pct"/>
          </w:tcPr>
          <w:p w14:paraId="12B9E8E5" w14:textId="22D74508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2,800</w:t>
            </w:r>
          </w:p>
        </w:tc>
        <w:tc>
          <w:tcPr>
            <w:tcW w:w="803" w:type="pct"/>
          </w:tcPr>
          <w:p w14:paraId="7D45BCE5" w14:textId="0413AA10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2,800</w:t>
            </w:r>
          </w:p>
        </w:tc>
        <w:tc>
          <w:tcPr>
            <w:tcW w:w="803" w:type="pct"/>
          </w:tcPr>
          <w:p w14:paraId="776C9C13" w14:textId="48C08891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0</w:t>
            </w:r>
          </w:p>
        </w:tc>
        <w:tc>
          <w:tcPr>
            <w:tcW w:w="803" w:type="pct"/>
          </w:tcPr>
          <w:p w14:paraId="1CAC81A9" w14:textId="4140E38F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1,736</w:t>
            </w:r>
          </w:p>
        </w:tc>
        <w:tc>
          <w:tcPr>
            <w:tcW w:w="803" w:type="pct"/>
          </w:tcPr>
          <w:p w14:paraId="20F6F482" w14:textId="68D1EAF9" w:rsidR="00E321E4" w:rsidRPr="0006455E" w:rsidRDefault="00E321E4" w:rsidP="00613276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28</w:t>
            </w:r>
          </w:p>
        </w:tc>
      </w:tr>
      <w:tr w:rsidR="00E321E4" w:rsidRPr="00F047B4" w14:paraId="2B71DA70" w14:textId="77777777" w:rsidTr="0006455E">
        <w:trPr>
          <w:trHeight w:val="418"/>
        </w:trPr>
        <w:tc>
          <w:tcPr>
            <w:tcW w:w="984" w:type="pct"/>
            <w:shd w:val="clear" w:color="auto" w:fill="100249" w:themeFill="accent4"/>
            <w:hideMark/>
          </w:tcPr>
          <w:p w14:paraId="7E0073F7" w14:textId="77777777" w:rsidR="00E321E4" w:rsidRPr="00F047B4" w:rsidRDefault="00E321E4" w:rsidP="00F047B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803" w:type="pct"/>
          </w:tcPr>
          <w:p w14:paraId="726DD4D2" w14:textId="29FF04D9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4,000</w:t>
            </w:r>
          </w:p>
        </w:tc>
        <w:tc>
          <w:tcPr>
            <w:tcW w:w="803" w:type="pct"/>
          </w:tcPr>
          <w:p w14:paraId="717C8EDE" w14:textId="6D39EF90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4,000</w:t>
            </w:r>
          </w:p>
        </w:tc>
        <w:tc>
          <w:tcPr>
            <w:tcW w:w="803" w:type="pct"/>
          </w:tcPr>
          <w:p w14:paraId="5281CB7D" w14:textId="1D43FA1F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0</w:t>
            </w:r>
          </w:p>
        </w:tc>
        <w:tc>
          <w:tcPr>
            <w:tcW w:w="803" w:type="pct"/>
          </w:tcPr>
          <w:p w14:paraId="58686987" w14:textId="45B7D8E5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2,303</w:t>
            </w:r>
          </w:p>
        </w:tc>
        <w:tc>
          <w:tcPr>
            <w:tcW w:w="803" w:type="pct"/>
          </w:tcPr>
          <w:p w14:paraId="38A54832" w14:textId="4E9B4931" w:rsidR="00E321E4" w:rsidRPr="0006455E" w:rsidRDefault="00E321E4" w:rsidP="00613276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34</w:t>
            </w:r>
          </w:p>
        </w:tc>
      </w:tr>
      <w:tr w:rsidR="00E321E4" w:rsidRPr="00F047B4" w14:paraId="6E122F78" w14:textId="77777777" w:rsidTr="0006455E">
        <w:trPr>
          <w:trHeight w:val="418"/>
        </w:trPr>
        <w:tc>
          <w:tcPr>
            <w:tcW w:w="984" w:type="pct"/>
            <w:shd w:val="clear" w:color="auto" w:fill="100249" w:themeFill="accent4"/>
            <w:hideMark/>
          </w:tcPr>
          <w:p w14:paraId="49D5C3BE" w14:textId="77777777" w:rsidR="00E321E4" w:rsidRPr="00F047B4" w:rsidRDefault="00E321E4" w:rsidP="00F047B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803" w:type="pct"/>
          </w:tcPr>
          <w:p w14:paraId="28C32DAF" w14:textId="45189C0E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4,750</w:t>
            </w:r>
          </w:p>
        </w:tc>
        <w:tc>
          <w:tcPr>
            <w:tcW w:w="803" w:type="pct"/>
          </w:tcPr>
          <w:p w14:paraId="200CAF43" w14:textId="371FDAA2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4,100</w:t>
            </w:r>
          </w:p>
        </w:tc>
        <w:tc>
          <w:tcPr>
            <w:tcW w:w="803" w:type="pct"/>
          </w:tcPr>
          <w:p w14:paraId="21AC4F05" w14:textId="6D0A43B0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650</w:t>
            </w:r>
          </w:p>
        </w:tc>
        <w:tc>
          <w:tcPr>
            <w:tcW w:w="803" w:type="pct"/>
          </w:tcPr>
          <w:p w14:paraId="6A6036B3" w14:textId="2C123DC7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1,862</w:t>
            </w:r>
          </w:p>
        </w:tc>
        <w:tc>
          <w:tcPr>
            <w:tcW w:w="803" w:type="pct"/>
          </w:tcPr>
          <w:p w14:paraId="081F6099" w14:textId="42C697F1" w:rsidR="00E321E4" w:rsidRPr="0006455E" w:rsidRDefault="00E321E4" w:rsidP="00613276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25</w:t>
            </w:r>
          </w:p>
        </w:tc>
      </w:tr>
      <w:tr w:rsidR="00E321E4" w:rsidRPr="00F047B4" w14:paraId="2AD02A5B" w14:textId="77777777" w:rsidTr="0006455E">
        <w:trPr>
          <w:trHeight w:val="418"/>
        </w:trPr>
        <w:tc>
          <w:tcPr>
            <w:tcW w:w="984" w:type="pct"/>
            <w:shd w:val="clear" w:color="auto" w:fill="100249" w:themeFill="accent4"/>
            <w:hideMark/>
          </w:tcPr>
          <w:p w14:paraId="4AB3FCBD" w14:textId="77777777" w:rsidR="00E321E4" w:rsidRPr="00F047B4" w:rsidRDefault="00E321E4" w:rsidP="00F047B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803" w:type="pct"/>
          </w:tcPr>
          <w:p w14:paraId="75F3B918" w14:textId="0E318610" w:rsidR="00E321E4" w:rsidRPr="0006455E" w:rsidRDefault="00E321E4" w:rsidP="00F047B4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42,100</w:t>
            </w:r>
          </w:p>
        </w:tc>
        <w:tc>
          <w:tcPr>
            <w:tcW w:w="803" w:type="pct"/>
          </w:tcPr>
          <w:p w14:paraId="37FC1777" w14:textId="4DC28DCF" w:rsidR="00E321E4" w:rsidRPr="0006455E" w:rsidRDefault="00E321E4" w:rsidP="00F047B4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39,970</w:t>
            </w:r>
          </w:p>
        </w:tc>
        <w:tc>
          <w:tcPr>
            <w:tcW w:w="803" w:type="pct"/>
          </w:tcPr>
          <w:p w14:paraId="5D1CFE14" w14:textId="707549DA" w:rsidR="00E321E4" w:rsidRPr="0006455E" w:rsidRDefault="00E321E4" w:rsidP="00F047B4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2,180</w:t>
            </w:r>
          </w:p>
        </w:tc>
        <w:tc>
          <w:tcPr>
            <w:tcW w:w="803" w:type="pct"/>
          </w:tcPr>
          <w:p w14:paraId="3C4C3AE7" w14:textId="39A2AE07" w:rsidR="00E321E4" w:rsidRPr="0006455E" w:rsidRDefault="00E321E4" w:rsidP="00F047B4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24,637</w:t>
            </w:r>
          </w:p>
        </w:tc>
        <w:tc>
          <w:tcPr>
            <w:tcW w:w="803" w:type="pct"/>
          </w:tcPr>
          <w:p w14:paraId="537C9080" w14:textId="0B21CB8D" w:rsidR="00E321E4" w:rsidRPr="0006455E" w:rsidRDefault="00E321E4" w:rsidP="00F047B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230</w:t>
            </w:r>
          </w:p>
        </w:tc>
      </w:tr>
    </w:tbl>
    <w:p w14:paraId="67EDC5C1" w14:textId="3A8DFA56" w:rsidR="00CD55CA" w:rsidRPr="00E321E4" w:rsidRDefault="00995EAE" w:rsidP="00CD55CA">
      <w:pPr>
        <w:jc w:val="both"/>
        <w:rPr>
          <w:color w:val="000000" w:themeColor="text1"/>
          <w:szCs w:val="18"/>
        </w:rPr>
      </w:pPr>
      <w:r w:rsidRPr="00E321E4">
        <w:rPr>
          <w:color w:val="000000" w:themeColor="text1"/>
          <w:szCs w:val="18"/>
          <w:vertAlign w:val="superscript"/>
        </w:rPr>
        <w:t>1</w:t>
      </w:r>
      <w:r w:rsidR="00CD55CA" w:rsidRPr="00E321E4">
        <w:rPr>
          <w:i/>
          <w:iCs/>
          <w:color w:val="000000" w:themeColor="text1"/>
          <w:szCs w:val="18"/>
        </w:rPr>
        <w:t xml:space="preserve">The number of harvesters with quota may be higher than the total number of authorised harvesters, as harvesters can operate across more than one zone. </w:t>
      </w:r>
    </w:p>
    <w:p w14:paraId="63B87F30" w14:textId="1D46CFB0" w:rsidR="009B5082" w:rsidRPr="0006455E" w:rsidRDefault="009B5082" w:rsidP="00FE281B">
      <w:pPr>
        <w:pStyle w:val="Heading1"/>
        <w:rPr>
          <w:color w:val="auto"/>
        </w:rPr>
      </w:pPr>
      <w:bookmarkStart w:id="14" w:name="_Toc77936070"/>
      <w:bookmarkStart w:id="15" w:name="_Toc139028895"/>
      <w:r w:rsidRPr="0006455E">
        <w:rPr>
          <w:color w:val="auto"/>
        </w:rPr>
        <w:lastRenderedPageBreak/>
        <w:t>Harvest Information</w:t>
      </w:r>
      <w:bookmarkEnd w:id="14"/>
      <w:bookmarkEnd w:id="15"/>
      <w:r w:rsidRPr="0006455E">
        <w:rPr>
          <w:color w:val="auto"/>
        </w:rPr>
        <w:t xml:space="preserve"> </w:t>
      </w:r>
    </w:p>
    <w:p w14:paraId="37F42FED" w14:textId="77777777" w:rsidR="009B5082" w:rsidRPr="0006455E" w:rsidRDefault="009B5082" w:rsidP="00E321E4">
      <w:pPr>
        <w:pStyle w:val="Heading2"/>
        <w:rPr>
          <w:color w:val="auto"/>
        </w:rPr>
      </w:pPr>
      <w:bookmarkStart w:id="16" w:name="_Toc77936071"/>
      <w:bookmarkStart w:id="17" w:name="_Toc139028896"/>
      <w:r w:rsidRPr="0006455E">
        <w:rPr>
          <w:color w:val="auto"/>
        </w:rPr>
        <w:t>Overview</w:t>
      </w:r>
      <w:bookmarkEnd w:id="16"/>
      <w:bookmarkEnd w:id="17"/>
    </w:p>
    <w:p w14:paraId="2DDF689F" w14:textId="30D3CA72" w:rsidR="009B5082" w:rsidRPr="0006455E" w:rsidRDefault="009B5082" w:rsidP="00DC4B67">
      <w:pPr>
        <w:spacing w:before="0" w:after="0" w:line="360" w:lineRule="auto"/>
        <w:rPr>
          <w:color w:val="auto"/>
          <w:sz w:val="22"/>
          <w:szCs w:val="22"/>
        </w:rPr>
      </w:pPr>
      <w:r w:rsidRPr="0006455E">
        <w:rPr>
          <w:color w:val="auto"/>
          <w:sz w:val="22"/>
          <w:szCs w:val="22"/>
        </w:rPr>
        <w:t xml:space="preserve">Harvesters enter harvest summaries via a mobile phone application hosted by </w:t>
      </w:r>
      <w:r w:rsidR="005830B4" w:rsidRPr="0006455E">
        <w:rPr>
          <w:color w:val="auto"/>
          <w:sz w:val="22"/>
          <w:szCs w:val="22"/>
        </w:rPr>
        <w:t>the Department of Government Services</w:t>
      </w:r>
      <w:r w:rsidRPr="0006455E">
        <w:rPr>
          <w:color w:val="auto"/>
          <w:sz w:val="22"/>
          <w:szCs w:val="22"/>
        </w:rPr>
        <w:t xml:space="preserve"> at the completion of each harvest job. </w:t>
      </w:r>
    </w:p>
    <w:p w14:paraId="286B8A73" w14:textId="77777777" w:rsidR="00DC766F" w:rsidRPr="0006455E" w:rsidRDefault="009B5082" w:rsidP="00DC4B67">
      <w:pPr>
        <w:spacing w:before="0" w:after="0" w:line="360" w:lineRule="auto"/>
        <w:rPr>
          <w:color w:val="auto"/>
          <w:sz w:val="22"/>
          <w:szCs w:val="22"/>
        </w:rPr>
      </w:pPr>
      <w:r w:rsidRPr="0006455E">
        <w:rPr>
          <w:color w:val="auto"/>
          <w:sz w:val="22"/>
          <w:szCs w:val="22"/>
        </w:rPr>
        <w:t>As the harvest summary figures are self-reported, there are often differences between the reported figures and the actual figures.</w:t>
      </w:r>
    </w:p>
    <w:p w14:paraId="337F29EE" w14:textId="302FF6FC" w:rsidR="009B5082" w:rsidRPr="0006455E" w:rsidRDefault="009B5082" w:rsidP="009B5082">
      <w:pPr>
        <w:pStyle w:val="Heading3"/>
        <w:rPr>
          <w:color w:val="auto"/>
        </w:rPr>
      </w:pPr>
      <w:bookmarkStart w:id="18" w:name="_Toc77936072"/>
      <w:bookmarkStart w:id="19" w:name="_Toc139028897"/>
      <w:r w:rsidRPr="0006455E">
        <w:rPr>
          <w:color w:val="auto"/>
        </w:rPr>
        <w:t xml:space="preserve">Harvest summary figures </w:t>
      </w:r>
      <w:r w:rsidR="005830B4" w:rsidRPr="0006455E">
        <w:rPr>
          <w:color w:val="auto"/>
        </w:rPr>
        <w:t>–</w:t>
      </w:r>
      <w:r w:rsidRPr="0006455E">
        <w:rPr>
          <w:color w:val="auto"/>
        </w:rPr>
        <w:t xml:space="preserve"> </w:t>
      </w:r>
      <w:r w:rsidR="005830B4" w:rsidRPr="0006455E">
        <w:rPr>
          <w:color w:val="auto"/>
        </w:rPr>
        <w:t>Quarter on relesae</w:t>
      </w:r>
      <w:r w:rsidRPr="0006455E">
        <w:rPr>
          <w:color w:val="auto"/>
        </w:rPr>
        <w:t xml:space="preserve"> (</w:t>
      </w:r>
      <w:r w:rsidR="001806A6" w:rsidRPr="0006455E">
        <w:rPr>
          <w:color w:val="auto"/>
        </w:rPr>
        <w:t>January</w:t>
      </w:r>
      <w:r w:rsidRPr="0006455E">
        <w:rPr>
          <w:color w:val="auto"/>
        </w:rPr>
        <w:t xml:space="preserve"> to </w:t>
      </w:r>
      <w:r w:rsidR="001806A6" w:rsidRPr="0006455E">
        <w:rPr>
          <w:color w:val="auto"/>
        </w:rPr>
        <w:t>March</w:t>
      </w:r>
      <w:r w:rsidRPr="0006455E">
        <w:rPr>
          <w:color w:val="auto"/>
        </w:rPr>
        <w:t xml:space="preserve"> 202</w:t>
      </w:r>
      <w:r w:rsidR="000A565C" w:rsidRPr="0006455E">
        <w:rPr>
          <w:color w:val="auto"/>
        </w:rPr>
        <w:t>3</w:t>
      </w:r>
      <w:r w:rsidRPr="0006455E">
        <w:rPr>
          <w:color w:val="auto"/>
        </w:rPr>
        <w:t>)</w:t>
      </w:r>
      <w:bookmarkEnd w:id="18"/>
      <w:bookmarkEnd w:id="19"/>
    </w:p>
    <w:tbl>
      <w:tblPr>
        <w:tblStyle w:val="TableGridLight"/>
        <w:tblW w:w="5003" w:type="pct"/>
        <w:tblLook w:val="04A0" w:firstRow="1" w:lastRow="0" w:firstColumn="1" w:lastColumn="0" w:noHBand="0" w:noVBand="1"/>
      </w:tblPr>
      <w:tblGrid>
        <w:gridCol w:w="2428"/>
        <w:gridCol w:w="2427"/>
        <w:gridCol w:w="2427"/>
        <w:gridCol w:w="2427"/>
        <w:gridCol w:w="2427"/>
        <w:gridCol w:w="2433"/>
      </w:tblGrid>
      <w:tr w:rsidR="009B5082" w:rsidRPr="00F0650C" w14:paraId="178B3277" w14:textId="77777777" w:rsidTr="0006455E">
        <w:trPr>
          <w:trHeight w:val="611"/>
        </w:trPr>
        <w:tc>
          <w:tcPr>
            <w:tcW w:w="833" w:type="pct"/>
            <w:shd w:val="clear" w:color="auto" w:fill="100249" w:themeFill="accent4"/>
            <w:hideMark/>
          </w:tcPr>
          <w:p w14:paraId="35F7C8D6" w14:textId="2EEC91D7" w:rsidR="009B5082" w:rsidRPr="005830B4" w:rsidRDefault="00E321E4" w:rsidP="00BC13FF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</w:t>
            </w:r>
          </w:p>
        </w:tc>
        <w:tc>
          <w:tcPr>
            <w:tcW w:w="833" w:type="pct"/>
            <w:shd w:val="clear" w:color="auto" w:fill="D9D9D6" w:themeFill="background2"/>
            <w:hideMark/>
          </w:tcPr>
          <w:p w14:paraId="7DE08591" w14:textId="6F2CE9A7" w:rsidR="009B5082" w:rsidRPr="0006455E" w:rsidRDefault="009B5082" w:rsidP="00BC13FF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 xml:space="preserve">Number </w:t>
            </w:r>
            <w:r w:rsidR="00CB53E8"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of</w:t>
            </w: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 xml:space="preserve"> Western Grey Kangaroos</w:t>
            </w:r>
          </w:p>
        </w:tc>
        <w:tc>
          <w:tcPr>
            <w:tcW w:w="833" w:type="pct"/>
            <w:shd w:val="clear" w:color="auto" w:fill="D9D9D6" w:themeFill="background2"/>
            <w:hideMark/>
          </w:tcPr>
          <w:p w14:paraId="297104FD" w14:textId="3F092981" w:rsidR="009B5082" w:rsidRPr="0006455E" w:rsidRDefault="009B5082" w:rsidP="00BC13FF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 xml:space="preserve">Number </w:t>
            </w:r>
            <w:r w:rsidR="00CB53E8"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of</w:t>
            </w: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 xml:space="preserve"> Eastern Grey Kangaroos</w:t>
            </w:r>
          </w:p>
        </w:tc>
        <w:tc>
          <w:tcPr>
            <w:tcW w:w="833" w:type="pct"/>
            <w:shd w:val="clear" w:color="auto" w:fill="D9D9D6" w:themeFill="background2"/>
            <w:hideMark/>
          </w:tcPr>
          <w:p w14:paraId="6FD91461" w14:textId="4AB809A2" w:rsidR="009B5082" w:rsidRPr="0006455E" w:rsidRDefault="009B5082" w:rsidP="00BC13FF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 xml:space="preserve">Number </w:t>
            </w:r>
            <w:r w:rsidR="00CB53E8"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of</w:t>
            </w: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 xml:space="preserve"> Females</w:t>
            </w:r>
          </w:p>
        </w:tc>
        <w:tc>
          <w:tcPr>
            <w:tcW w:w="833" w:type="pct"/>
            <w:shd w:val="clear" w:color="auto" w:fill="D9D9D6" w:themeFill="background2"/>
            <w:hideMark/>
          </w:tcPr>
          <w:p w14:paraId="75EFCF76" w14:textId="5D5F2D4A" w:rsidR="009B5082" w:rsidRPr="0006455E" w:rsidRDefault="009B5082" w:rsidP="00BC13FF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Tagged Carcasses</w:t>
            </w: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br/>
              <w:t xml:space="preserve">Stored </w:t>
            </w:r>
            <w:r w:rsidR="00CB53E8"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for</w:t>
            </w: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 xml:space="preserve"> Processor</w:t>
            </w:r>
            <w:r w:rsidR="005557ED" w:rsidRPr="0006455E">
              <w:rPr>
                <w:rFonts w:cs="Arial"/>
                <w:b/>
                <w:bCs/>
                <w:color w:val="auto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835" w:type="pct"/>
            <w:shd w:val="clear" w:color="auto" w:fill="D9D9D6" w:themeFill="background2"/>
            <w:hideMark/>
          </w:tcPr>
          <w:p w14:paraId="0BF6D662" w14:textId="2391B26B" w:rsidR="009B5082" w:rsidRPr="0006455E" w:rsidRDefault="009B5082" w:rsidP="00BC13FF">
            <w:pPr>
              <w:spacing w:before="0"/>
              <w:jc w:val="center"/>
              <w:rPr>
                <w:rFonts w:cs="Arial"/>
                <w:b/>
                <w:bCs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 xml:space="preserve">Tagged Carcasses Left </w:t>
            </w:r>
            <w:r w:rsidR="00CB53E8"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>on</w:t>
            </w:r>
            <w:r w:rsidRPr="0006455E">
              <w:rPr>
                <w:rFonts w:cs="Arial"/>
                <w:b/>
                <w:bCs/>
                <w:color w:val="auto"/>
                <w:sz w:val="20"/>
                <w:lang w:eastAsia="en-AU"/>
              </w:rPr>
              <w:t xml:space="preserve"> Property</w:t>
            </w:r>
          </w:p>
        </w:tc>
      </w:tr>
      <w:tr w:rsidR="009B5082" w:rsidRPr="00F0650C" w14:paraId="7BC3C635" w14:textId="77777777" w:rsidTr="0006455E">
        <w:trPr>
          <w:trHeight w:val="460"/>
        </w:trPr>
        <w:tc>
          <w:tcPr>
            <w:tcW w:w="833" w:type="pct"/>
            <w:shd w:val="clear" w:color="auto" w:fill="100249" w:themeFill="accent4"/>
            <w:hideMark/>
          </w:tcPr>
          <w:p w14:paraId="521BAFEF" w14:textId="44AC6B52" w:rsidR="009B5082" w:rsidRPr="005830B4" w:rsidRDefault="00FC6D13" w:rsidP="00BC13FF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5830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833" w:type="pct"/>
            <w:hideMark/>
          </w:tcPr>
          <w:p w14:paraId="0B394037" w14:textId="67275FEA" w:rsidR="009B5082" w:rsidRPr="0006455E" w:rsidRDefault="00837C97" w:rsidP="00A45360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476</w:t>
            </w:r>
          </w:p>
        </w:tc>
        <w:tc>
          <w:tcPr>
            <w:tcW w:w="833" w:type="pct"/>
            <w:hideMark/>
          </w:tcPr>
          <w:p w14:paraId="2E613009" w14:textId="33EFD27A" w:rsidR="009B5082" w:rsidRPr="0006455E" w:rsidRDefault="00837C97" w:rsidP="00A45360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24,161</w:t>
            </w:r>
          </w:p>
        </w:tc>
        <w:tc>
          <w:tcPr>
            <w:tcW w:w="833" w:type="pct"/>
            <w:hideMark/>
          </w:tcPr>
          <w:p w14:paraId="617C89A2" w14:textId="578D599E" w:rsidR="009B5082" w:rsidRPr="0006455E" w:rsidRDefault="00837C97" w:rsidP="00A45360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8,008</w:t>
            </w:r>
          </w:p>
        </w:tc>
        <w:tc>
          <w:tcPr>
            <w:tcW w:w="833" w:type="pct"/>
            <w:hideMark/>
          </w:tcPr>
          <w:p w14:paraId="01B8E6D2" w14:textId="3C491209" w:rsidR="009B5082" w:rsidRPr="0006455E" w:rsidRDefault="00837C97" w:rsidP="00A45360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24,683</w:t>
            </w:r>
          </w:p>
        </w:tc>
        <w:tc>
          <w:tcPr>
            <w:tcW w:w="835" w:type="pct"/>
            <w:hideMark/>
          </w:tcPr>
          <w:p w14:paraId="2D7BA709" w14:textId="609A282D" w:rsidR="009B5082" w:rsidRPr="0006455E" w:rsidRDefault="00837C97" w:rsidP="00A45360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84</w:t>
            </w:r>
          </w:p>
        </w:tc>
      </w:tr>
    </w:tbl>
    <w:p w14:paraId="65AA8191" w14:textId="2566EC14" w:rsidR="006858D1" w:rsidRPr="00E321E4" w:rsidRDefault="00805DDB" w:rsidP="00E321E4">
      <w:pPr>
        <w:rPr>
          <w:i/>
          <w:iCs/>
          <w:color w:val="000000" w:themeColor="text1"/>
        </w:rPr>
      </w:pPr>
      <w:r w:rsidRPr="00E321E4">
        <w:rPr>
          <w:i/>
          <w:iCs/>
          <w:color w:val="000000" w:themeColor="text1"/>
          <w:vertAlign w:val="superscript"/>
        </w:rPr>
        <w:t>2</w:t>
      </w:r>
      <w:r w:rsidRPr="00E321E4">
        <w:rPr>
          <w:i/>
          <w:iCs/>
          <w:color w:val="000000" w:themeColor="text1"/>
        </w:rPr>
        <w:t xml:space="preserve">Tagged carcasses for processing figures </w:t>
      </w:r>
      <w:r w:rsidR="005830B4" w:rsidRPr="00E321E4">
        <w:rPr>
          <w:i/>
          <w:iCs/>
          <w:color w:val="000000" w:themeColor="text1"/>
        </w:rPr>
        <w:t xml:space="preserve">may be </w:t>
      </w:r>
      <w:r w:rsidRPr="00E321E4">
        <w:rPr>
          <w:i/>
          <w:iCs/>
          <w:color w:val="000000" w:themeColor="text1"/>
        </w:rPr>
        <w:t>inconsistent with quota consumed figures. This is because harvesters manually enter the data separately from the scanning of tag</w:t>
      </w:r>
      <w:r w:rsidR="005830B4" w:rsidRPr="00E321E4">
        <w:rPr>
          <w:i/>
          <w:iCs/>
          <w:color w:val="000000" w:themeColor="text1"/>
        </w:rPr>
        <w:t>s</w:t>
      </w:r>
    </w:p>
    <w:p w14:paraId="5BED250C" w14:textId="028D4DBF" w:rsidR="005830B4" w:rsidRPr="0006455E" w:rsidRDefault="006858D1" w:rsidP="00ED31D1">
      <w:pPr>
        <w:pStyle w:val="Heading1"/>
        <w:rPr>
          <w:color w:val="auto"/>
        </w:rPr>
      </w:pPr>
      <w:bookmarkStart w:id="20" w:name="_Toc139028898"/>
      <w:r w:rsidRPr="0006455E">
        <w:rPr>
          <w:color w:val="auto"/>
        </w:rPr>
        <w:lastRenderedPageBreak/>
        <w:t>Compliance figures</w:t>
      </w:r>
      <w:bookmarkEnd w:id="20"/>
      <w:r w:rsidRPr="0006455E">
        <w:rPr>
          <w:color w:val="auto"/>
        </w:rPr>
        <w:t xml:space="preserve"> </w:t>
      </w:r>
    </w:p>
    <w:p w14:paraId="01EC535C" w14:textId="668C2318" w:rsidR="00ED31D1" w:rsidRPr="0006455E" w:rsidRDefault="00ED31D1" w:rsidP="00ED31D1">
      <w:pPr>
        <w:pStyle w:val="Heading3"/>
        <w:rPr>
          <w:color w:val="auto"/>
        </w:rPr>
      </w:pPr>
      <w:bookmarkStart w:id="21" w:name="_Toc139028899"/>
      <w:r w:rsidRPr="0006455E">
        <w:rPr>
          <w:color w:val="auto"/>
        </w:rPr>
        <w:t>Compliance summary figures (January to March 2023)</w:t>
      </w:r>
      <w:bookmarkStart w:id="22" w:name="_Toc132282482"/>
      <w:bookmarkEnd w:id="21"/>
    </w:p>
    <w:tbl>
      <w:tblPr>
        <w:tblStyle w:val="TableGridLight"/>
        <w:tblW w:w="3358" w:type="pct"/>
        <w:tblLook w:val="0480" w:firstRow="0" w:lastRow="0" w:firstColumn="1" w:lastColumn="0" w:noHBand="0" w:noVBand="1"/>
      </w:tblPr>
      <w:tblGrid>
        <w:gridCol w:w="7232"/>
        <w:gridCol w:w="2546"/>
      </w:tblGrid>
      <w:tr w:rsidR="00ED31D1" w:rsidRPr="002C00E3" w14:paraId="0C5B34A5" w14:textId="77777777" w:rsidTr="0006455E">
        <w:trPr>
          <w:trHeight w:val="359"/>
        </w:trPr>
        <w:tc>
          <w:tcPr>
            <w:tcW w:w="3698" w:type="pct"/>
            <w:shd w:val="clear" w:color="auto" w:fill="100249" w:themeFill="accent4"/>
            <w:hideMark/>
          </w:tcPr>
          <w:p w14:paraId="7FBD6EDD" w14:textId="77777777" w:rsidR="00ED31D1" w:rsidRPr="005830B4" w:rsidRDefault="00ED31D1" w:rsidP="00E321E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5830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programmed inspections</w:t>
            </w:r>
          </w:p>
        </w:tc>
        <w:tc>
          <w:tcPr>
            <w:tcW w:w="1302" w:type="pct"/>
            <w:hideMark/>
          </w:tcPr>
          <w:p w14:paraId="21531BB8" w14:textId="77777777" w:rsidR="00ED31D1" w:rsidRPr="0006455E" w:rsidRDefault="00ED31D1" w:rsidP="00E321E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5</w:t>
            </w:r>
          </w:p>
        </w:tc>
      </w:tr>
      <w:tr w:rsidR="00ED31D1" w:rsidRPr="002C00E3" w14:paraId="09CDAAF6" w14:textId="77777777" w:rsidTr="0006455E">
        <w:trPr>
          <w:trHeight w:val="359"/>
        </w:trPr>
        <w:tc>
          <w:tcPr>
            <w:tcW w:w="3698" w:type="pct"/>
            <w:shd w:val="clear" w:color="auto" w:fill="100249" w:themeFill="accent4"/>
            <w:hideMark/>
          </w:tcPr>
          <w:p w14:paraId="21FF4668" w14:textId="77777777" w:rsidR="00ED31D1" w:rsidRPr="005830B4" w:rsidRDefault="00ED31D1" w:rsidP="00E321E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5830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offences detected/reported</w:t>
            </w:r>
          </w:p>
        </w:tc>
        <w:tc>
          <w:tcPr>
            <w:tcW w:w="1302" w:type="pct"/>
            <w:hideMark/>
          </w:tcPr>
          <w:p w14:paraId="593CBA8D" w14:textId="77777777" w:rsidR="00ED31D1" w:rsidRPr="0006455E" w:rsidRDefault="00ED31D1" w:rsidP="00E321E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0</w:t>
            </w:r>
          </w:p>
        </w:tc>
      </w:tr>
      <w:tr w:rsidR="00ED31D1" w:rsidRPr="002C00E3" w14:paraId="45867DD1" w14:textId="77777777" w:rsidTr="0006455E">
        <w:trPr>
          <w:trHeight w:val="359"/>
        </w:trPr>
        <w:tc>
          <w:tcPr>
            <w:tcW w:w="3698" w:type="pct"/>
            <w:shd w:val="clear" w:color="auto" w:fill="100249" w:themeFill="accent4"/>
          </w:tcPr>
          <w:p w14:paraId="32245CE2" w14:textId="77777777" w:rsidR="00ED31D1" w:rsidRPr="005830B4" w:rsidRDefault="00ED31D1" w:rsidP="00E321E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5830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investigations</w:t>
            </w:r>
          </w:p>
        </w:tc>
        <w:tc>
          <w:tcPr>
            <w:tcW w:w="1302" w:type="pct"/>
          </w:tcPr>
          <w:p w14:paraId="380C28D0" w14:textId="77777777" w:rsidR="00ED31D1" w:rsidRPr="0006455E" w:rsidRDefault="00ED31D1" w:rsidP="00E321E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6</w:t>
            </w:r>
          </w:p>
        </w:tc>
      </w:tr>
      <w:tr w:rsidR="00ED31D1" w:rsidRPr="002C00E3" w14:paraId="022A4C71" w14:textId="77777777" w:rsidTr="0006455E">
        <w:trPr>
          <w:trHeight w:val="359"/>
        </w:trPr>
        <w:tc>
          <w:tcPr>
            <w:tcW w:w="3698" w:type="pct"/>
            <w:shd w:val="clear" w:color="auto" w:fill="100249" w:themeFill="accent4"/>
          </w:tcPr>
          <w:p w14:paraId="539594FD" w14:textId="77777777" w:rsidR="00ED31D1" w:rsidRPr="005830B4" w:rsidRDefault="00ED31D1" w:rsidP="00E321E4">
            <w:pPr>
              <w:spacing w:before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5830B4"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Number of Authorisations suspended or cancelled </w:t>
            </w:r>
          </w:p>
        </w:tc>
        <w:tc>
          <w:tcPr>
            <w:tcW w:w="1302" w:type="pct"/>
          </w:tcPr>
          <w:p w14:paraId="2C81947D" w14:textId="77777777" w:rsidR="00ED31D1" w:rsidRPr="0006455E" w:rsidRDefault="00ED31D1" w:rsidP="00E321E4">
            <w:pPr>
              <w:spacing w:before="0"/>
              <w:jc w:val="center"/>
              <w:rPr>
                <w:rFonts w:cs="Arial"/>
                <w:color w:val="auto"/>
                <w:sz w:val="20"/>
                <w:lang w:eastAsia="en-AU"/>
              </w:rPr>
            </w:pPr>
            <w:r w:rsidRPr="0006455E">
              <w:rPr>
                <w:rFonts w:cs="Arial"/>
                <w:color w:val="auto"/>
                <w:sz w:val="20"/>
                <w:lang w:eastAsia="en-AU"/>
              </w:rPr>
              <w:t>0</w:t>
            </w:r>
          </w:p>
        </w:tc>
      </w:tr>
    </w:tbl>
    <w:p w14:paraId="68355FCD" w14:textId="77777777" w:rsidR="00ED31D1" w:rsidRPr="00E321E4" w:rsidRDefault="00ED31D1" w:rsidP="00E321E4">
      <w:pPr>
        <w:rPr>
          <w:vanish/>
        </w:rPr>
      </w:pPr>
      <w:bookmarkStart w:id="23" w:name="_Toc132283620"/>
      <w:bookmarkStart w:id="24" w:name="_Toc139028901"/>
      <w:bookmarkStart w:id="25" w:name="_Toc132283621"/>
      <w:bookmarkStart w:id="26" w:name="_Toc139028902"/>
      <w:bookmarkEnd w:id="22"/>
      <w:bookmarkEnd w:id="23"/>
      <w:bookmarkEnd w:id="24"/>
      <w:bookmarkEnd w:id="25"/>
      <w:bookmarkEnd w:id="26"/>
    </w:p>
    <w:sectPr w:rsidR="00ED31D1" w:rsidRPr="00E321E4" w:rsidSect="006858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38" w:h="11906" w:orient="landscape" w:code="9"/>
      <w:pgMar w:top="1134" w:right="1134" w:bottom="709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C6A9" w14:textId="77777777" w:rsidR="00691CAE" w:rsidRDefault="00691CAE" w:rsidP="00D96C1E">
      <w:r>
        <w:separator/>
      </w:r>
    </w:p>
    <w:p w14:paraId="6227438B" w14:textId="77777777" w:rsidR="00691CAE" w:rsidRDefault="00691CAE" w:rsidP="00D96C1E"/>
  </w:endnote>
  <w:endnote w:type="continuationSeparator" w:id="0">
    <w:p w14:paraId="0365A409" w14:textId="77777777" w:rsidR="00691CAE" w:rsidRDefault="00691CAE" w:rsidP="00D96C1E">
      <w:r>
        <w:continuationSeparator/>
      </w:r>
    </w:p>
    <w:p w14:paraId="6D529AC0" w14:textId="77777777" w:rsidR="00691CAE" w:rsidRDefault="00691CAE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FC73" w14:textId="77777777" w:rsidR="0006455E" w:rsidRDefault="00064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1E37" w14:textId="1DA19CFB" w:rsidR="0006455E" w:rsidRDefault="000645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1007E6" wp14:editId="6CE7079D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" name="MSIPCMa7d3400d953e9f7c14e78549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43BE2A" w14:textId="18D29AAA" w:rsidR="0006455E" w:rsidRPr="0006455E" w:rsidRDefault="0006455E" w:rsidP="0006455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6455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007E6" id="_x0000_t202" coordsize="21600,21600" o:spt="202" path="m,l,21600r21600,l21600,xe">
              <v:stroke joinstyle="miter"/>
              <v:path gradientshapeok="t" o:connecttype="rect"/>
            </v:shapetype>
            <v:shape id="MSIPCMa7d3400d953e9f7c14e78549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6xFw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SFUwyL7KA64X4Oeuq95WuFM2yY&#10;D8/MIdc4Nuo3POEhNWAvOFuU1OB+/c0f85ECjFLSonZK6n8emBOU6B8GyZmPb2+j2NIPGu69dzd4&#10;zaG5B5TlGF+I5cmMuUEPpnTQvKG8V7Ebhpjh2LOku8G8D72S8XlwsVqlJJSVZWFjtpbH0hHNiOxL&#10;98acPcMfkLlHGNTFig8s9Lk9D6tDAKkSRRHfHs0z7CjJRPL5+UTNv/9PWddHvvwN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2Cg+sRcCAAAsBAAADgAAAAAAAAAAAAAAAAAuAgAAZHJzL2Uyb0RvYy54bWxQSwECLQAUAAYA&#10;CAAAACEAX67n/d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5843BE2A" w14:textId="18D29AAA" w:rsidR="0006455E" w:rsidRPr="0006455E" w:rsidRDefault="0006455E" w:rsidP="0006455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6455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1E27" w14:textId="2A00AD6E" w:rsidR="0006455E" w:rsidRDefault="000645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0A2E33" wp14:editId="65E42CEB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" name="MSIPCM2128428fb8d7abb50414220c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2055DB" w14:textId="12B69C90" w:rsidR="0006455E" w:rsidRPr="0006455E" w:rsidRDefault="0006455E" w:rsidP="0006455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6455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A2E33" id="_x0000_t202" coordsize="21600,21600" o:spt="202" path="m,l,21600r21600,l21600,xe">
              <v:stroke joinstyle="miter"/>
              <v:path gradientshapeok="t" o:connecttype="rect"/>
            </v:shapetype>
            <v:shape id="MSIPCM2128428fb8d7abb50414220c" o:spid="_x0000_s1029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85GAIAACwEAAAOAAAAZHJzL2Uyb0RvYy54bWysU99v2jAQfp+0/8Hy+0iAgk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FGMcg5PZJF/MYp3set06H74LaEg0SuqQlwQX&#10;Oz740KcOKbGbgY3SOnGjDWlLOp/O8nThEsHi2mCP67DRCt2uI6oq6XRYZAfVCfdz0FPvLd8onOGB&#10;+fDMHHKNY6N+wxMeUgP2grNFSQ3u19/8MR8pwCglLWqnpP7ngTlBif5hkJzF+OYm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invzkYAgAALAQAAA4AAAAAAAAAAAAAAAAALgIAAGRycy9lMm9Eb2MueG1sUEsBAi0AFAAG&#10;AAgAAAAhAF+u5/3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4B2055DB" w14:textId="12B69C90" w:rsidR="0006455E" w:rsidRPr="0006455E" w:rsidRDefault="0006455E" w:rsidP="0006455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6455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8FB0" w14:textId="77777777" w:rsidR="00691CAE" w:rsidRDefault="00691CAE" w:rsidP="00D96C1E">
      <w:r>
        <w:separator/>
      </w:r>
    </w:p>
    <w:p w14:paraId="6476420E" w14:textId="77777777" w:rsidR="00691CAE" w:rsidRDefault="00691CAE" w:rsidP="00D96C1E"/>
  </w:footnote>
  <w:footnote w:type="continuationSeparator" w:id="0">
    <w:p w14:paraId="17431912" w14:textId="77777777" w:rsidR="00691CAE" w:rsidRDefault="00691CAE" w:rsidP="00D96C1E">
      <w:r>
        <w:continuationSeparator/>
      </w:r>
    </w:p>
    <w:p w14:paraId="04258D14" w14:textId="77777777" w:rsidR="00691CAE" w:rsidRDefault="00691CAE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0523" w14:textId="77777777" w:rsidR="0006455E" w:rsidRDefault="00064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8024" w14:textId="671DFD80" w:rsidR="00BC13FF" w:rsidRDefault="0006455E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93184E" wp14:editId="6F9128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3" name="MSIPCM1fe641809450f71f2c6f165c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515C54" w14:textId="488B52F1" w:rsidR="0006455E" w:rsidRPr="0006455E" w:rsidRDefault="0006455E" w:rsidP="0006455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6455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3184E" id="_x0000_t202" coordsize="21600,21600" o:spt="202" path="m,l,21600r21600,l21600,xe">
              <v:stroke joinstyle="miter"/>
              <v:path gradientshapeok="t" o:connecttype="rect"/>
            </v:shapetype>
            <v:shape id="MSIPCM1fe641809450f71f2c6f165c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1N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GgbzLvRKxufBxXqdklBWloUHs7U8lo5oRmRf&#10;ujfm7Bn+gMw9wqAuVnxgoc/teVgfAkiVKIr49mieYUdJJpLPzydq/v1/yro+8t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z9P1N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B515C54" w14:textId="488B52F1" w:rsidR="0006455E" w:rsidRPr="0006455E" w:rsidRDefault="0006455E" w:rsidP="0006455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6455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E483" w14:textId="1DF22C66" w:rsidR="00BC13FF" w:rsidRDefault="0006455E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9E0DBC" wp14:editId="7AFE29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5" name="MSIPCM97a1430aa391aef7fbe8762d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A826CA" w14:textId="47B4269F" w:rsidR="0006455E" w:rsidRPr="0006455E" w:rsidRDefault="0006455E" w:rsidP="0006455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6455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E0DBC" id="_x0000_t202" coordsize="21600,21600" o:spt="202" path="m,l,21600r21600,l21600,xe">
              <v:stroke joinstyle="miter"/>
              <v:path gradientshapeok="t" o:connecttype="rect"/>
            </v:shapetype>
            <v:shape id="MSIPCM97a1430aa391aef7fbe8762d" o:spid="_x0000_s1028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DA826CA" w14:textId="47B4269F" w:rsidR="0006455E" w:rsidRPr="0006455E" w:rsidRDefault="0006455E" w:rsidP="0006455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6455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C72A43"/>
    <w:multiLevelType w:val="hybridMultilevel"/>
    <w:tmpl w:val="2A36C138"/>
    <w:lvl w:ilvl="0" w:tplc="4D7C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54F27"/>
    <w:multiLevelType w:val="hybridMultilevel"/>
    <w:tmpl w:val="87006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585CC2"/>
    <w:multiLevelType w:val="hybridMultilevel"/>
    <w:tmpl w:val="6974FC0A"/>
    <w:lvl w:ilvl="0" w:tplc="2DAECB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BE53A7"/>
    <w:multiLevelType w:val="hybridMultilevel"/>
    <w:tmpl w:val="E544035E"/>
    <w:lvl w:ilvl="0" w:tplc="AA088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542F2"/>
    <w:multiLevelType w:val="multilevel"/>
    <w:tmpl w:val="E042D8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206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2764985">
    <w:abstractNumId w:val="25"/>
  </w:num>
  <w:num w:numId="2" w16cid:durableId="826283321">
    <w:abstractNumId w:val="25"/>
  </w:num>
  <w:num w:numId="3" w16cid:durableId="1140418196">
    <w:abstractNumId w:val="25"/>
  </w:num>
  <w:num w:numId="4" w16cid:durableId="784077008">
    <w:abstractNumId w:val="25"/>
  </w:num>
  <w:num w:numId="5" w16cid:durableId="971980629">
    <w:abstractNumId w:val="25"/>
  </w:num>
  <w:num w:numId="6" w16cid:durableId="1074275706">
    <w:abstractNumId w:val="21"/>
  </w:num>
  <w:num w:numId="7" w16cid:durableId="1543246031">
    <w:abstractNumId w:val="29"/>
  </w:num>
  <w:num w:numId="8" w16cid:durableId="382755739">
    <w:abstractNumId w:val="27"/>
  </w:num>
  <w:num w:numId="9" w16cid:durableId="155189555">
    <w:abstractNumId w:val="13"/>
  </w:num>
  <w:num w:numId="10" w16cid:durableId="1253394195">
    <w:abstractNumId w:val="11"/>
  </w:num>
  <w:num w:numId="11" w16cid:durableId="15742704">
    <w:abstractNumId w:val="12"/>
  </w:num>
  <w:num w:numId="12" w16cid:durableId="397018982">
    <w:abstractNumId w:val="20"/>
  </w:num>
  <w:num w:numId="13" w16cid:durableId="1724786546">
    <w:abstractNumId w:val="18"/>
  </w:num>
  <w:num w:numId="14" w16cid:durableId="2120369791">
    <w:abstractNumId w:val="19"/>
  </w:num>
  <w:num w:numId="15" w16cid:durableId="1444619011">
    <w:abstractNumId w:val="0"/>
  </w:num>
  <w:num w:numId="16" w16cid:durableId="374544402">
    <w:abstractNumId w:val="1"/>
  </w:num>
  <w:num w:numId="17" w16cid:durableId="1470588854">
    <w:abstractNumId w:val="2"/>
  </w:num>
  <w:num w:numId="18" w16cid:durableId="518742585">
    <w:abstractNumId w:val="3"/>
  </w:num>
  <w:num w:numId="19" w16cid:durableId="1320765219">
    <w:abstractNumId w:val="4"/>
  </w:num>
  <w:num w:numId="20" w16cid:durableId="1588004282">
    <w:abstractNumId w:val="9"/>
  </w:num>
  <w:num w:numId="21" w16cid:durableId="1288121901">
    <w:abstractNumId w:val="5"/>
  </w:num>
  <w:num w:numId="22" w16cid:durableId="1727140719">
    <w:abstractNumId w:val="6"/>
  </w:num>
  <w:num w:numId="23" w16cid:durableId="444663757">
    <w:abstractNumId w:val="7"/>
  </w:num>
  <w:num w:numId="24" w16cid:durableId="1874034356">
    <w:abstractNumId w:val="8"/>
  </w:num>
  <w:num w:numId="25" w16cid:durableId="543061199">
    <w:abstractNumId w:val="10"/>
  </w:num>
  <w:num w:numId="26" w16cid:durableId="991058046">
    <w:abstractNumId w:val="15"/>
  </w:num>
  <w:num w:numId="27" w16cid:durableId="2106681889">
    <w:abstractNumId w:val="17"/>
  </w:num>
  <w:num w:numId="28" w16cid:durableId="1067266851">
    <w:abstractNumId w:val="23"/>
  </w:num>
  <w:num w:numId="29" w16cid:durableId="132723450">
    <w:abstractNumId w:val="28"/>
  </w:num>
  <w:num w:numId="30" w16cid:durableId="433329539">
    <w:abstractNumId w:val="24"/>
  </w:num>
  <w:num w:numId="31" w16cid:durableId="1105416351">
    <w:abstractNumId w:val="16"/>
  </w:num>
  <w:num w:numId="32" w16cid:durableId="2124415585">
    <w:abstractNumId w:val="27"/>
  </w:num>
  <w:num w:numId="33" w16cid:durableId="1090156124">
    <w:abstractNumId w:val="27"/>
  </w:num>
  <w:num w:numId="34" w16cid:durableId="264267025">
    <w:abstractNumId w:val="27"/>
  </w:num>
  <w:num w:numId="35" w16cid:durableId="794981127">
    <w:abstractNumId w:val="27"/>
  </w:num>
  <w:num w:numId="36" w16cid:durableId="626620889">
    <w:abstractNumId w:val="27"/>
  </w:num>
  <w:num w:numId="37" w16cid:durableId="1776516166">
    <w:abstractNumId w:val="27"/>
  </w:num>
  <w:num w:numId="38" w16cid:durableId="34740158">
    <w:abstractNumId w:val="27"/>
  </w:num>
  <w:num w:numId="39" w16cid:durableId="445583072">
    <w:abstractNumId w:val="27"/>
  </w:num>
  <w:num w:numId="40" w16cid:durableId="1160001624">
    <w:abstractNumId w:val="27"/>
  </w:num>
  <w:num w:numId="41" w16cid:durableId="56323064">
    <w:abstractNumId w:val="22"/>
  </w:num>
  <w:num w:numId="42" w16cid:durableId="1843204846">
    <w:abstractNumId w:val="27"/>
  </w:num>
  <w:num w:numId="43" w16cid:durableId="236332455">
    <w:abstractNumId w:val="27"/>
  </w:num>
  <w:num w:numId="44" w16cid:durableId="704908552">
    <w:abstractNumId w:val="14"/>
  </w:num>
  <w:num w:numId="45" w16cid:durableId="68040079">
    <w:abstractNumId w:val="26"/>
  </w:num>
  <w:num w:numId="46" w16cid:durableId="359861175">
    <w:abstractNumId w:val="27"/>
  </w:num>
  <w:num w:numId="47" w16cid:durableId="1458238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TcxMrKwMDYwMzRR0lEKTi0uzszPAymwrAUAcnCCkSwAAAA="/>
  </w:docVars>
  <w:rsids>
    <w:rsidRoot w:val="009B5082"/>
    <w:rsid w:val="00007293"/>
    <w:rsid w:val="0000762E"/>
    <w:rsid w:val="000105A1"/>
    <w:rsid w:val="00011A22"/>
    <w:rsid w:val="00012D03"/>
    <w:rsid w:val="00033C4C"/>
    <w:rsid w:val="00034053"/>
    <w:rsid w:val="0004322F"/>
    <w:rsid w:val="00043BBD"/>
    <w:rsid w:val="00044DC5"/>
    <w:rsid w:val="00052B82"/>
    <w:rsid w:val="00060302"/>
    <w:rsid w:val="000636CE"/>
    <w:rsid w:val="0006455E"/>
    <w:rsid w:val="000664EC"/>
    <w:rsid w:val="00067B25"/>
    <w:rsid w:val="00070516"/>
    <w:rsid w:val="00076063"/>
    <w:rsid w:val="000809CD"/>
    <w:rsid w:val="00083F3A"/>
    <w:rsid w:val="00090437"/>
    <w:rsid w:val="00094434"/>
    <w:rsid w:val="000A08FD"/>
    <w:rsid w:val="000A2D3F"/>
    <w:rsid w:val="000A565C"/>
    <w:rsid w:val="000B2BD7"/>
    <w:rsid w:val="000B5CE2"/>
    <w:rsid w:val="000B7105"/>
    <w:rsid w:val="000E39A7"/>
    <w:rsid w:val="000E52C8"/>
    <w:rsid w:val="000E59A7"/>
    <w:rsid w:val="000F0296"/>
    <w:rsid w:val="000F71D1"/>
    <w:rsid w:val="000F7643"/>
    <w:rsid w:val="00103B27"/>
    <w:rsid w:val="0010493C"/>
    <w:rsid w:val="00106B24"/>
    <w:rsid w:val="00112B06"/>
    <w:rsid w:val="00113B2A"/>
    <w:rsid w:val="001266CB"/>
    <w:rsid w:val="00133F06"/>
    <w:rsid w:val="00135B6F"/>
    <w:rsid w:val="001410ED"/>
    <w:rsid w:val="001417FE"/>
    <w:rsid w:val="001441F4"/>
    <w:rsid w:val="001455F1"/>
    <w:rsid w:val="00152666"/>
    <w:rsid w:val="00152EB9"/>
    <w:rsid w:val="001534A6"/>
    <w:rsid w:val="00154E0A"/>
    <w:rsid w:val="001575E7"/>
    <w:rsid w:val="00162799"/>
    <w:rsid w:val="00162CEF"/>
    <w:rsid w:val="00164024"/>
    <w:rsid w:val="00164461"/>
    <w:rsid w:val="00164987"/>
    <w:rsid w:val="00166869"/>
    <w:rsid w:val="00166A80"/>
    <w:rsid w:val="00167CD4"/>
    <w:rsid w:val="001774D2"/>
    <w:rsid w:val="001806A6"/>
    <w:rsid w:val="00181199"/>
    <w:rsid w:val="001858C2"/>
    <w:rsid w:val="00186B61"/>
    <w:rsid w:val="00187CBA"/>
    <w:rsid w:val="00190A16"/>
    <w:rsid w:val="00195F54"/>
    <w:rsid w:val="00197F18"/>
    <w:rsid w:val="001A1B2A"/>
    <w:rsid w:val="001A653B"/>
    <w:rsid w:val="001A7C9F"/>
    <w:rsid w:val="001B10FB"/>
    <w:rsid w:val="001B58EF"/>
    <w:rsid w:val="001C3DEE"/>
    <w:rsid w:val="001C6B87"/>
    <w:rsid w:val="001E0842"/>
    <w:rsid w:val="001E2724"/>
    <w:rsid w:val="001F01E9"/>
    <w:rsid w:val="001F0A49"/>
    <w:rsid w:val="001F3D55"/>
    <w:rsid w:val="001F5536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70CB2"/>
    <w:rsid w:val="00275C41"/>
    <w:rsid w:val="00277A1E"/>
    <w:rsid w:val="00280BA2"/>
    <w:rsid w:val="00281332"/>
    <w:rsid w:val="00282C5C"/>
    <w:rsid w:val="00284807"/>
    <w:rsid w:val="002848F0"/>
    <w:rsid w:val="0028744D"/>
    <w:rsid w:val="00292254"/>
    <w:rsid w:val="00294079"/>
    <w:rsid w:val="00294DCD"/>
    <w:rsid w:val="00295EF3"/>
    <w:rsid w:val="002A0F48"/>
    <w:rsid w:val="002A56CF"/>
    <w:rsid w:val="002A6CC8"/>
    <w:rsid w:val="002A72B2"/>
    <w:rsid w:val="002B0A79"/>
    <w:rsid w:val="002B24E2"/>
    <w:rsid w:val="002B2A4A"/>
    <w:rsid w:val="002B38ED"/>
    <w:rsid w:val="002B5841"/>
    <w:rsid w:val="002C2764"/>
    <w:rsid w:val="002C2F1F"/>
    <w:rsid w:val="002D1F76"/>
    <w:rsid w:val="002D6F74"/>
    <w:rsid w:val="002E04F8"/>
    <w:rsid w:val="002E3C2C"/>
    <w:rsid w:val="002F04A5"/>
    <w:rsid w:val="00300D80"/>
    <w:rsid w:val="00311E13"/>
    <w:rsid w:val="003219ED"/>
    <w:rsid w:val="00322AE7"/>
    <w:rsid w:val="0032739B"/>
    <w:rsid w:val="0032797D"/>
    <w:rsid w:val="00334843"/>
    <w:rsid w:val="0034620F"/>
    <w:rsid w:val="003513EE"/>
    <w:rsid w:val="00353D57"/>
    <w:rsid w:val="0035752C"/>
    <w:rsid w:val="003603BD"/>
    <w:rsid w:val="003628E3"/>
    <w:rsid w:val="00372295"/>
    <w:rsid w:val="00375F08"/>
    <w:rsid w:val="003772B1"/>
    <w:rsid w:val="00382862"/>
    <w:rsid w:val="0038297E"/>
    <w:rsid w:val="00391A43"/>
    <w:rsid w:val="00393B41"/>
    <w:rsid w:val="003A740D"/>
    <w:rsid w:val="003B0708"/>
    <w:rsid w:val="003B093E"/>
    <w:rsid w:val="003B31C0"/>
    <w:rsid w:val="003B37BD"/>
    <w:rsid w:val="003B4F2D"/>
    <w:rsid w:val="003C44F5"/>
    <w:rsid w:val="003C758A"/>
    <w:rsid w:val="003D44AD"/>
    <w:rsid w:val="003E08CA"/>
    <w:rsid w:val="003E55B0"/>
    <w:rsid w:val="003E690A"/>
    <w:rsid w:val="003E746F"/>
    <w:rsid w:val="003F69F5"/>
    <w:rsid w:val="00412227"/>
    <w:rsid w:val="00421E8D"/>
    <w:rsid w:val="00422F1C"/>
    <w:rsid w:val="00424BD8"/>
    <w:rsid w:val="00427066"/>
    <w:rsid w:val="00427B91"/>
    <w:rsid w:val="00431CED"/>
    <w:rsid w:val="00435FCF"/>
    <w:rsid w:val="004368D2"/>
    <w:rsid w:val="004371F6"/>
    <w:rsid w:val="00440DF0"/>
    <w:rsid w:val="004459F1"/>
    <w:rsid w:val="004464C4"/>
    <w:rsid w:val="004477B6"/>
    <w:rsid w:val="00450189"/>
    <w:rsid w:val="00456170"/>
    <w:rsid w:val="004602BE"/>
    <w:rsid w:val="004621A0"/>
    <w:rsid w:val="00465D19"/>
    <w:rsid w:val="0047003A"/>
    <w:rsid w:val="00480353"/>
    <w:rsid w:val="00480E57"/>
    <w:rsid w:val="0048110C"/>
    <w:rsid w:val="00493684"/>
    <w:rsid w:val="004A147F"/>
    <w:rsid w:val="004B0C07"/>
    <w:rsid w:val="004B3C74"/>
    <w:rsid w:val="004B3FC2"/>
    <w:rsid w:val="004C5942"/>
    <w:rsid w:val="004D653B"/>
    <w:rsid w:val="004E1E15"/>
    <w:rsid w:val="004E4C95"/>
    <w:rsid w:val="004E5983"/>
    <w:rsid w:val="004F10C7"/>
    <w:rsid w:val="004F14B5"/>
    <w:rsid w:val="004F1E91"/>
    <w:rsid w:val="004F5CA8"/>
    <w:rsid w:val="004F7D1B"/>
    <w:rsid w:val="005001F0"/>
    <w:rsid w:val="00503242"/>
    <w:rsid w:val="00504FED"/>
    <w:rsid w:val="00506A93"/>
    <w:rsid w:val="005104E6"/>
    <w:rsid w:val="005163FE"/>
    <w:rsid w:val="005257C6"/>
    <w:rsid w:val="005276EB"/>
    <w:rsid w:val="00532221"/>
    <w:rsid w:val="00533B3D"/>
    <w:rsid w:val="00535D6A"/>
    <w:rsid w:val="00537F3D"/>
    <w:rsid w:val="00545D3B"/>
    <w:rsid w:val="005467D5"/>
    <w:rsid w:val="005557ED"/>
    <w:rsid w:val="0055622E"/>
    <w:rsid w:val="00563560"/>
    <w:rsid w:val="005656A1"/>
    <w:rsid w:val="00570982"/>
    <w:rsid w:val="005723C8"/>
    <w:rsid w:val="00573055"/>
    <w:rsid w:val="0058280D"/>
    <w:rsid w:val="005830B4"/>
    <w:rsid w:val="00585115"/>
    <w:rsid w:val="00591895"/>
    <w:rsid w:val="00592B20"/>
    <w:rsid w:val="005A530A"/>
    <w:rsid w:val="005A6D9F"/>
    <w:rsid w:val="005B0813"/>
    <w:rsid w:val="005B3E27"/>
    <w:rsid w:val="005C6287"/>
    <w:rsid w:val="005D4B13"/>
    <w:rsid w:val="005D59DB"/>
    <w:rsid w:val="005E284D"/>
    <w:rsid w:val="005F1FE7"/>
    <w:rsid w:val="005F654C"/>
    <w:rsid w:val="005F655D"/>
    <w:rsid w:val="005F66C6"/>
    <w:rsid w:val="005F6CE7"/>
    <w:rsid w:val="00604D7C"/>
    <w:rsid w:val="0060555E"/>
    <w:rsid w:val="00606B6E"/>
    <w:rsid w:val="00607F8D"/>
    <w:rsid w:val="0061289B"/>
    <w:rsid w:val="00613276"/>
    <w:rsid w:val="006202B7"/>
    <w:rsid w:val="006223DF"/>
    <w:rsid w:val="00625114"/>
    <w:rsid w:val="00632CEE"/>
    <w:rsid w:val="00635912"/>
    <w:rsid w:val="00643D08"/>
    <w:rsid w:val="00644924"/>
    <w:rsid w:val="0064636E"/>
    <w:rsid w:val="00652939"/>
    <w:rsid w:val="006664B6"/>
    <w:rsid w:val="006766F3"/>
    <w:rsid w:val="00677E57"/>
    <w:rsid w:val="00680187"/>
    <w:rsid w:val="00685649"/>
    <w:rsid w:val="006858D1"/>
    <w:rsid w:val="00687148"/>
    <w:rsid w:val="00687E64"/>
    <w:rsid w:val="006905F9"/>
    <w:rsid w:val="00691CAE"/>
    <w:rsid w:val="00696044"/>
    <w:rsid w:val="00696640"/>
    <w:rsid w:val="006A0CE1"/>
    <w:rsid w:val="006A0E85"/>
    <w:rsid w:val="006A2FFA"/>
    <w:rsid w:val="006A4825"/>
    <w:rsid w:val="006A6607"/>
    <w:rsid w:val="006B70EC"/>
    <w:rsid w:val="006B778A"/>
    <w:rsid w:val="006C0B08"/>
    <w:rsid w:val="006C0F74"/>
    <w:rsid w:val="006C7DEC"/>
    <w:rsid w:val="006D286B"/>
    <w:rsid w:val="006D32C5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12A15"/>
    <w:rsid w:val="00714A1D"/>
    <w:rsid w:val="00720471"/>
    <w:rsid w:val="00720991"/>
    <w:rsid w:val="0072425B"/>
    <w:rsid w:val="00724531"/>
    <w:rsid w:val="00730369"/>
    <w:rsid w:val="00734911"/>
    <w:rsid w:val="007368BA"/>
    <w:rsid w:val="00740629"/>
    <w:rsid w:val="007416F7"/>
    <w:rsid w:val="007431E7"/>
    <w:rsid w:val="007444DD"/>
    <w:rsid w:val="00747C75"/>
    <w:rsid w:val="0075046D"/>
    <w:rsid w:val="00751A85"/>
    <w:rsid w:val="007646AA"/>
    <w:rsid w:val="00770803"/>
    <w:rsid w:val="00771777"/>
    <w:rsid w:val="00782C92"/>
    <w:rsid w:val="00785C43"/>
    <w:rsid w:val="00796CDC"/>
    <w:rsid w:val="007B4719"/>
    <w:rsid w:val="007C1287"/>
    <w:rsid w:val="007C288D"/>
    <w:rsid w:val="007D18B4"/>
    <w:rsid w:val="007D40B8"/>
    <w:rsid w:val="007E01B3"/>
    <w:rsid w:val="007E2122"/>
    <w:rsid w:val="007E71F0"/>
    <w:rsid w:val="00801E58"/>
    <w:rsid w:val="008027EC"/>
    <w:rsid w:val="00805DDB"/>
    <w:rsid w:val="00805E79"/>
    <w:rsid w:val="00805E7C"/>
    <w:rsid w:val="0081052C"/>
    <w:rsid w:val="00814984"/>
    <w:rsid w:val="008151D9"/>
    <w:rsid w:val="00815DBB"/>
    <w:rsid w:val="00821D06"/>
    <w:rsid w:val="00830467"/>
    <w:rsid w:val="0083222C"/>
    <w:rsid w:val="00837C97"/>
    <w:rsid w:val="008508FC"/>
    <w:rsid w:val="00854053"/>
    <w:rsid w:val="00855D60"/>
    <w:rsid w:val="008571B4"/>
    <w:rsid w:val="00864B2F"/>
    <w:rsid w:val="0086526A"/>
    <w:rsid w:val="0087121B"/>
    <w:rsid w:val="008730BD"/>
    <w:rsid w:val="0088172C"/>
    <w:rsid w:val="008868D2"/>
    <w:rsid w:val="00887F48"/>
    <w:rsid w:val="00892EAF"/>
    <w:rsid w:val="00892F06"/>
    <w:rsid w:val="008A3991"/>
    <w:rsid w:val="008B0402"/>
    <w:rsid w:val="008B594B"/>
    <w:rsid w:val="008C2896"/>
    <w:rsid w:val="008C3E63"/>
    <w:rsid w:val="008D1CEA"/>
    <w:rsid w:val="008D2459"/>
    <w:rsid w:val="008D4F5F"/>
    <w:rsid w:val="008D72D6"/>
    <w:rsid w:val="008E34C0"/>
    <w:rsid w:val="008E45EE"/>
    <w:rsid w:val="008E4A82"/>
    <w:rsid w:val="008F6252"/>
    <w:rsid w:val="008F689B"/>
    <w:rsid w:val="00900C6E"/>
    <w:rsid w:val="00907F21"/>
    <w:rsid w:val="00913117"/>
    <w:rsid w:val="00913CAF"/>
    <w:rsid w:val="00913CBF"/>
    <w:rsid w:val="00914E64"/>
    <w:rsid w:val="00921A00"/>
    <w:rsid w:val="0093205D"/>
    <w:rsid w:val="00942086"/>
    <w:rsid w:val="00951F77"/>
    <w:rsid w:val="00952D25"/>
    <w:rsid w:val="00957064"/>
    <w:rsid w:val="00961C45"/>
    <w:rsid w:val="00961E35"/>
    <w:rsid w:val="00965A99"/>
    <w:rsid w:val="00965E6E"/>
    <w:rsid w:val="00974135"/>
    <w:rsid w:val="009749A5"/>
    <w:rsid w:val="00975F0E"/>
    <w:rsid w:val="0098183A"/>
    <w:rsid w:val="00983FCB"/>
    <w:rsid w:val="00992813"/>
    <w:rsid w:val="00995EAE"/>
    <w:rsid w:val="009960AA"/>
    <w:rsid w:val="009B079D"/>
    <w:rsid w:val="009B5082"/>
    <w:rsid w:val="009B5B6D"/>
    <w:rsid w:val="009C2EAA"/>
    <w:rsid w:val="009D44FC"/>
    <w:rsid w:val="009E0B3D"/>
    <w:rsid w:val="009E2D7A"/>
    <w:rsid w:val="009E52E6"/>
    <w:rsid w:val="009E55B4"/>
    <w:rsid w:val="009E692C"/>
    <w:rsid w:val="00A0081D"/>
    <w:rsid w:val="00A013D3"/>
    <w:rsid w:val="00A018D8"/>
    <w:rsid w:val="00A050C9"/>
    <w:rsid w:val="00A0687D"/>
    <w:rsid w:val="00A11752"/>
    <w:rsid w:val="00A11FCE"/>
    <w:rsid w:val="00A1590C"/>
    <w:rsid w:val="00A159BD"/>
    <w:rsid w:val="00A17119"/>
    <w:rsid w:val="00A21BDC"/>
    <w:rsid w:val="00A22F97"/>
    <w:rsid w:val="00A25DCB"/>
    <w:rsid w:val="00A34096"/>
    <w:rsid w:val="00A36FB7"/>
    <w:rsid w:val="00A40738"/>
    <w:rsid w:val="00A41A0F"/>
    <w:rsid w:val="00A45360"/>
    <w:rsid w:val="00A465E3"/>
    <w:rsid w:val="00A51453"/>
    <w:rsid w:val="00A52815"/>
    <w:rsid w:val="00A529EA"/>
    <w:rsid w:val="00A575AA"/>
    <w:rsid w:val="00A6196F"/>
    <w:rsid w:val="00A63F07"/>
    <w:rsid w:val="00A734A2"/>
    <w:rsid w:val="00A749E4"/>
    <w:rsid w:val="00A94CD5"/>
    <w:rsid w:val="00A9748A"/>
    <w:rsid w:val="00AA44D7"/>
    <w:rsid w:val="00AB11A6"/>
    <w:rsid w:val="00AB1D65"/>
    <w:rsid w:val="00AB1EF4"/>
    <w:rsid w:val="00AB2E25"/>
    <w:rsid w:val="00AB6DE9"/>
    <w:rsid w:val="00AD211E"/>
    <w:rsid w:val="00AD7309"/>
    <w:rsid w:val="00AD7476"/>
    <w:rsid w:val="00AE6758"/>
    <w:rsid w:val="00AF152C"/>
    <w:rsid w:val="00B03915"/>
    <w:rsid w:val="00B07F76"/>
    <w:rsid w:val="00B10506"/>
    <w:rsid w:val="00B14DDB"/>
    <w:rsid w:val="00B33D08"/>
    <w:rsid w:val="00B349EC"/>
    <w:rsid w:val="00B5046E"/>
    <w:rsid w:val="00B62A2A"/>
    <w:rsid w:val="00B63B43"/>
    <w:rsid w:val="00B71016"/>
    <w:rsid w:val="00B83FEC"/>
    <w:rsid w:val="00B863CD"/>
    <w:rsid w:val="00B91763"/>
    <w:rsid w:val="00B938A7"/>
    <w:rsid w:val="00B93FD6"/>
    <w:rsid w:val="00B97001"/>
    <w:rsid w:val="00B973EE"/>
    <w:rsid w:val="00BA3888"/>
    <w:rsid w:val="00BA390F"/>
    <w:rsid w:val="00BA66F8"/>
    <w:rsid w:val="00BA70A6"/>
    <w:rsid w:val="00BB47A1"/>
    <w:rsid w:val="00BC13FF"/>
    <w:rsid w:val="00BC174E"/>
    <w:rsid w:val="00BC4ABE"/>
    <w:rsid w:val="00BC4B89"/>
    <w:rsid w:val="00BE131F"/>
    <w:rsid w:val="00BF2BA6"/>
    <w:rsid w:val="00BF2F77"/>
    <w:rsid w:val="00BF533D"/>
    <w:rsid w:val="00C003C2"/>
    <w:rsid w:val="00C05F37"/>
    <w:rsid w:val="00C1035E"/>
    <w:rsid w:val="00C122E4"/>
    <w:rsid w:val="00C233AE"/>
    <w:rsid w:val="00C23B74"/>
    <w:rsid w:val="00C23F57"/>
    <w:rsid w:val="00C25550"/>
    <w:rsid w:val="00C43C8D"/>
    <w:rsid w:val="00C61F44"/>
    <w:rsid w:val="00C63BDC"/>
    <w:rsid w:val="00C71270"/>
    <w:rsid w:val="00C73282"/>
    <w:rsid w:val="00C80E10"/>
    <w:rsid w:val="00C829C6"/>
    <w:rsid w:val="00C83E7A"/>
    <w:rsid w:val="00CA59D5"/>
    <w:rsid w:val="00CB4A0F"/>
    <w:rsid w:val="00CB53E8"/>
    <w:rsid w:val="00CB73CA"/>
    <w:rsid w:val="00CC695E"/>
    <w:rsid w:val="00CC72D9"/>
    <w:rsid w:val="00CC7EF8"/>
    <w:rsid w:val="00CD26BB"/>
    <w:rsid w:val="00CD55CA"/>
    <w:rsid w:val="00CD7E6A"/>
    <w:rsid w:val="00CE520B"/>
    <w:rsid w:val="00CF28F8"/>
    <w:rsid w:val="00CF3770"/>
    <w:rsid w:val="00CF5912"/>
    <w:rsid w:val="00CF6EB4"/>
    <w:rsid w:val="00D02DD9"/>
    <w:rsid w:val="00D120F8"/>
    <w:rsid w:val="00D208D6"/>
    <w:rsid w:val="00D2405B"/>
    <w:rsid w:val="00D2470C"/>
    <w:rsid w:val="00D258CF"/>
    <w:rsid w:val="00D300F2"/>
    <w:rsid w:val="00D308D4"/>
    <w:rsid w:val="00D32E49"/>
    <w:rsid w:val="00D337B2"/>
    <w:rsid w:val="00D34928"/>
    <w:rsid w:val="00D34936"/>
    <w:rsid w:val="00D351B2"/>
    <w:rsid w:val="00D4083F"/>
    <w:rsid w:val="00D651F4"/>
    <w:rsid w:val="00D727C7"/>
    <w:rsid w:val="00D729FA"/>
    <w:rsid w:val="00D72FAD"/>
    <w:rsid w:val="00D73919"/>
    <w:rsid w:val="00D76844"/>
    <w:rsid w:val="00D77BDE"/>
    <w:rsid w:val="00D817B3"/>
    <w:rsid w:val="00D8542D"/>
    <w:rsid w:val="00D96C1E"/>
    <w:rsid w:val="00D97507"/>
    <w:rsid w:val="00DA0941"/>
    <w:rsid w:val="00DA6EFC"/>
    <w:rsid w:val="00DB0DED"/>
    <w:rsid w:val="00DB1E27"/>
    <w:rsid w:val="00DB26D5"/>
    <w:rsid w:val="00DB319E"/>
    <w:rsid w:val="00DB350E"/>
    <w:rsid w:val="00DB6DCF"/>
    <w:rsid w:val="00DC2F7D"/>
    <w:rsid w:val="00DC4912"/>
    <w:rsid w:val="00DC4B67"/>
    <w:rsid w:val="00DC766F"/>
    <w:rsid w:val="00DD6894"/>
    <w:rsid w:val="00DE44D6"/>
    <w:rsid w:val="00DE5D59"/>
    <w:rsid w:val="00DE623C"/>
    <w:rsid w:val="00DE6325"/>
    <w:rsid w:val="00DF2EA7"/>
    <w:rsid w:val="00DF6190"/>
    <w:rsid w:val="00DF6D83"/>
    <w:rsid w:val="00DF7534"/>
    <w:rsid w:val="00E017A7"/>
    <w:rsid w:val="00E02831"/>
    <w:rsid w:val="00E06D21"/>
    <w:rsid w:val="00E10BCD"/>
    <w:rsid w:val="00E10C62"/>
    <w:rsid w:val="00E2142B"/>
    <w:rsid w:val="00E22A18"/>
    <w:rsid w:val="00E252DC"/>
    <w:rsid w:val="00E25444"/>
    <w:rsid w:val="00E273B4"/>
    <w:rsid w:val="00E31E09"/>
    <w:rsid w:val="00E321E4"/>
    <w:rsid w:val="00E3524E"/>
    <w:rsid w:val="00E354A3"/>
    <w:rsid w:val="00E37AAC"/>
    <w:rsid w:val="00E42772"/>
    <w:rsid w:val="00E45D83"/>
    <w:rsid w:val="00E50FC1"/>
    <w:rsid w:val="00E517D1"/>
    <w:rsid w:val="00E5567F"/>
    <w:rsid w:val="00E57C8F"/>
    <w:rsid w:val="00E6008A"/>
    <w:rsid w:val="00E72A0D"/>
    <w:rsid w:val="00E75EFB"/>
    <w:rsid w:val="00E806E9"/>
    <w:rsid w:val="00E85C73"/>
    <w:rsid w:val="00E85CDC"/>
    <w:rsid w:val="00EB1F33"/>
    <w:rsid w:val="00EB2544"/>
    <w:rsid w:val="00EB5CE6"/>
    <w:rsid w:val="00EC06F6"/>
    <w:rsid w:val="00EC7A5C"/>
    <w:rsid w:val="00ED2494"/>
    <w:rsid w:val="00ED31D1"/>
    <w:rsid w:val="00ED3652"/>
    <w:rsid w:val="00ED5C66"/>
    <w:rsid w:val="00ED7FC5"/>
    <w:rsid w:val="00EE00A0"/>
    <w:rsid w:val="00EE0DAC"/>
    <w:rsid w:val="00EE1BC7"/>
    <w:rsid w:val="00F047B4"/>
    <w:rsid w:val="00F06025"/>
    <w:rsid w:val="00F24A20"/>
    <w:rsid w:val="00F26E63"/>
    <w:rsid w:val="00F30640"/>
    <w:rsid w:val="00F43958"/>
    <w:rsid w:val="00F4526C"/>
    <w:rsid w:val="00F45D9E"/>
    <w:rsid w:val="00F67529"/>
    <w:rsid w:val="00F732CD"/>
    <w:rsid w:val="00F73FF1"/>
    <w:rsid w:val="00F80391"/>
    <w:rsid w:val="00F824C0"/>
    <w:rsid w:val="00F82CEB"/>
    <w:rsid w:val="00F86A85"/>
    <w:rsid w:val="00F93A72"/>
    <w:rsid w:val="00F93D88"/>
    <w:rsid w:val="00F9423E"/>
    <w:rsid w:val="00F973F3"/>
    <w:rsid w:val="00FA2EDF"/>
    <w:rsid w:val="00FB0587"/>
    <w:rsid w:val="00FB0DEA"/>
    <w:rsid w:val="00FB11D1"/>
    <w:rsid w:val="00FB5F7E"/>
    <w:rsid w:val="00FC4A46"/>
    <w:rsid w:val="00FC6D13"/>
    <w:rsid w:val="00FC77D8"/>
    <w:rsid w:val="00FD6ACB"/>
    <w:rsid w:val="00FD7F46"/>
    <w:rsid w:val="00FE0570"/>
    <w:rsid w:val="00FE13BF"/>
    <w:rsid w:val="00FE281B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8C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1E4"/>
    <w:pPr>
      <w:keepNext/>
      <w:keepLines/>
      <w:numPr>
        <w:ilvl w:val="1"/>
        <w:numId w:val="8"/>
      </w:numPr>
      <w:spacing w:before="400"/>
      <w:outlineLvl w:val="1"/>
    </w:pPr>
    <w:rPr>
      <w:bCs/>
      <w:color w:val="100249" w:themeColor="accent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1E4"/>
    <w:rPr>
      <w:rFonts w:ascii="Arial" w:eastAsia="Times New Roman" w:hAnsi="Arial" w:cs="Times New Roman"/>
      <w:bCs/>
      <w:color w:val="100249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styleId="FollowedHyperlink">
    <w:name w:val="FollowedHyperlink"/>
    <w:basedOn w:val="DefaultParagraphFont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06455E"/>
    <w:rPr>
      <w:b/>
      <w:color w:val="100249" w:themeColor="accent4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styleId="ListParagraph">
    <w:name w:val="List Paragraph"/>
    <w:basedOn w:val="Normal"/>
    <w:uiPriority w:val="34"/>
    <w:qFormat/>
    <w:locked/>
    <w:rsid w:val="009B5082"/>
    <w:pPr>
      <w:ind w:left="720"/>
      <w:contextualSpacing/>
    </w:pPr>
  </w:style>
  <w:style w:type="paragraph" w:styleId="Revision">
    <w:name w:val="Revision"/>
    <w:hidden/>
    <w:uiPriority w:val="99"/>
    <w:semiHidden/>
    <w:rsid w:val="00EE0DAC"/>
    <w:pPr>
      <w:spacing w:after="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table" w:styleId="TableGridLight">
    <w:name w:val="Grid Table Light"/>
    <w:basedOn w:val="TableNormal"/>
    <w:uiPriority w:val="40"/>
    <w:locked/>
    <w:rsid w:val="000645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locked/>
    <w:rsid w:val="000645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zvkf\Downloads\Report-A4-Landscape%20(2).dotx" TargetMode="External"/></Relationship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318262F18B643A8EED0468F527E54" ma:contentTypeVersion="17" ma:contentTypeDescription="Create a new document." ma:contentTypeScope="" ma:versionID="0e9eeb8d1531fb67a77b7f55c07ec6ef">
  <xsd:schema xmlns:xsd="http://www.w3.org/2001/XMLSchema" xmlns:xs="http://www.w3.org/2001/XMLSchema" xmlns:p="http://schemas.microsoft.com/office/2006/metadata/properties" xmlns:ns2="9df27e40-797b-464d-9cc4-2f4a127c61c1" xmlns:ns3="d885b6b3-7e0d-487d-aa42-3e32d91b08c9" targetNamespace="http://schemas.microsoft.com/office/2006/metadata/properties" ma:root="true" ma:fieldsID="c396fbc663cb97a7beea7d3d930d5c80" ns2:_="" ns3:_="">
    <xsd:import namespace="9df27e40-797b-464d-9cc4-2f4a127c61c1"/>
    <xsd:import namespace="d885b6b3-7e0d-487d-aa42-3e32d91b0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ileNumb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7e40-797b-464d-9cc4-2f4a127c6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Number" ma:index="20" nillable="true" ma:displayName="File Number" ma:description="Number of files in folder" ma:format="Dropdown" ma:internalName="FileNumbe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5b6b3-7e0d-487d-aa42-3e32d91b0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4c270e-74f3-4846-8e79-3882ec6ac95b}" ma:internalName="TaxCatchAll" ma:showField="CatchAllData" ma:web="d885b6b3-7e0d-487d-aa42-3e32d91b0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85b6b3-7e0d-487d-aa42-3e32d91b08c9" xsi:nil="true"/>
    <SharedWithUsers xmlns="d885b6b3-7e0d-487d-aa42-3e32d91b08c9">
      <UserInfo>
        <DisplayName>Grant Allan (GMA)</DisplayName>
        <AccountId>45</AccountId>
        <AccountType/>
      </UserInfo>
      <UserInfo>
        <DisplayName>Zachary Z Powell (GMA)</DisplayName>
        <AccountId>27</AccountId>
        <AccountType/>
      </UserInfo>
      <UserInfo>
        <DisplayName>Wayne James (GMA)</DisplayName>
        <AccountId>40</AccountId>
        <AccountType/>
      </UserInfo>
      <UserInfo>
        <DisplayName>Kelly Button (GMA)</DisplayName>
        <AccountId>37</AccountId>
        <AccountType/>
      </UserInfo>
    </SharedWithUsers>
    <lcf76f155ced4ddcb4097134ff3c332f xmlns="9df27e40-797b-464d-9cc4-2f4a127c61c1">
      <Terms xmlns="http://schemas.microsoft.com/office/infopath/2007/PartnerControls"/>
    </lcf76f155ced4ddcb4097134ff3c332f>
    <FileNumber xmlns="9df27e40-797b-464d-9cc4-2f4a127c61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1A03-8132-4DD6-958F-2C76F2665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7e40-797b-464d-9cc4-2f4a127c61c1"/>
    <ds:schemaRef ds:uri="d885b6b3-7e0d-487d-aa42-3e32d91b0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9735F-00F9-45BB-80A6-885D80DAA666}">
  <ds:schemaRefs>
    <ds:schemaRef ds:uri="http://schemas.microsoft.com/office/2006/metadata/properties"/>
    <ds:schemaRef ds:uri="http://schemas.microsoft.com/office/infopath/2007/PartnerControls"/>
    <ds:schemaRef ds:uri="d885b6b3-7e0d-487d-aa42-3e32d91b08c9"/>
    <ds:schemaRef ds:uri="9df27e40-797b-464d-9cc4-2f4a127c61c1"/>
  </ds:schemaRefs>
</ds:datastoreItem>
</file>

<file path=customXml/itemProps3.xml><?xml version="1.0" encoding="utf-8"?>
<ds:datastoreItem xmlns:ds="http://schemas.openxmlformats.org/officeDocument/2006/customXml" ds:itemID="{C0F7C097-6EC9-4DCE-ADFF-5B3A6FF62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0BE9F-2F62-498D-BC20-A77E9D68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Report-A4-Landscape (2).dotx</Template>
  <TotalTime>0</TotalTime>
  <Pages>5</Pages>
  <Words>687</Words>
  <Characters>3680</Characters>
  <Application>Microsoft Office Word</Application>
  <DocSecurity>0</DocSecurity>
  <Lines>245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2023-06-30T05:04:00Z</dcterms:created>
  <dcterms:modified xsi:type="dcterms:W3CDTF">2023-06-30T05:04:00Z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0x010100476318262F18B643A8EED0468F527E54</vt:lpwstr>
  </property>
  <property fmtid="{D5CDD505-2E9C-101B-9397-08002B2CF9AE}" pid="3" name="DEDJTRDivision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2023-06-30T05:04:25Z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60bd182a-dab6-42cb-8f0d-268a186d46fd</vt:lpwstr>
  </property>
  <property fmtid="{D5CDD505-2E9C-101B-9397-08002B2CF9AE}" pid="15" name="MSIP_Label_d00a4df9-c942-4b09-b23a-6c1023f6de27_ContentBits">
    <vt:lpwstr>3</vt:lpwstr>
  </property>
</Properties>
</file>