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val="0"/>
          <w:color w:val="000000"/>
          <w:spacing w:val="0"/>
          <w:sz w:val="18"/>
          <w:szCs w:val="18"/>
          <w:lang w:val="en-US"/>
        </w:rPr>
        <w:id w:val="-1190906142"/>
        <w:docPartObj>
          <w:docPartGallery w:val="Cover Pages"/>
          <w:docPartUnique/>
        </w:docPartObj>
      </w:sdtPr>
      <w:sdtEndPr>
        <w:rPr>
          <w:color w:val="000000" w:themeColor="text1"/>
        </w:rPr>
      </w:sdtEndPr>
      <w:sdtContent>
        <w:p w14:paraId="3A226A61" w14:textId="22A4FD21" w:rsidR="00A976CE" w:rsidRPr="00845FAB" w:rsidRDefault="00000000" w:rsidP="00E46734">
          <w:pPr>
            <w:pStyle w:val="Title"/>
          </w:pPr>
          <w:sdt>
            <w:sdtPr>
              <w:id w:val="-1805535528"/>
              <w:placeholder>
                <w:docPart w:val="DDDBBF8F781040DEAFFF60D0D10ED56F"/>
              </w:placeholder>
            </w:sdtPr>
            <w:sdtContent>
              <w:r w:rsidR="009461D2">
                <w:t>Guide to Good Governance and Portfolio</w:t>
              </w:r>
              <w:r w:rsidR="00A16390">
                <w:t xml:space="preserve"> performance</w:t>
              </w:r>
            </w:sdtContent>
          </w:sdt>
        </w:p>
        <w:sdt>
          <w:sdtPr>
            <w:id w:val="-518473900"/>
            <w:placeholder>
              <w:docPart w:val="90967D32E33A42B9ACC15D43E55D27C7"/>
            </w:placeholder>
          </w:sdtPr>
          <w:sdtContent>
            <w:p w14:paraId="5557D51E" w14:textId="6687D7E3" w:rsidR="00A976CE" w:rsidRPr="00845FAB" w:rsidRDefault="003B7772" w:rsidP="00845FAB">
              <w:pPr>
                <w:pStyle w:val="Subtitle"/>
              </w:pPr>
              <w:r>
                <w:t>June</w:t>
              </w:r>
              <w:r w:rsidR="00736892">
                <w:t xml:space="preserve"> </w:t>
              </w:r>
              <w:r w:rsidR="001861F9">
                <w:t>202</w:t>
              </w:r>
              <w:r w:rsidR="003C4175">
                <w:t>5</w:t>
              </w:r>
            </w:p>
          </w:sdtContent>
        </w:sdt>
        <w:p w14:paraId="494D12DE" w14:textId="3F3217B2" w:rsidR="00A976CE" w:rsidRDefault="00000000" w:rsidP="00442F54">
          <w:pPr>
            <w:rPr>
              <w:sz w:val="28"/>
              <w:szCs w:val="28"/>
            </w:rPr>
            <w:sectPr w:rsidR="00A976CE" w:rsidSect="00477880">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701" w:left="1361" w:header="284" w:footer="340" w:gutter="0"/>
              <w:pgNumType w:start="0"/>
              <w:cols w:space="708"/>
              <w:titlePg/>
              <w:docGrid w:linePitch="360"/>
            </w:sectPr>
          </w:pPr>
        </w:p>
      </w:sdtContent>
    </w:sdt>
    <w:sdt>
      <w:sdtPr>
        <w:rPr>
          <w:rFonts w:ascii="Arial" w:eastAsiaTheme="minorEastAsia" w:hAnsi="Arial" w:cs="Arial"/>
          <w:color w:val="000000"/>
          <w:sz w:val="18"/>
          <w:szCs w:val="18"/>
        </w:rPr>
        <w:id w:val="1176853181"/>
        <w:docPartObj>
          <w:docPartGallery w:val="Table of Contents"/>
          <w:docPartUnique/>
        </w:docPartObj>
      </w:sdtPr>
      <w:sdtEndPr>
        <w:rPr>
          <w:b/>
          <w:bCs/>
          <w:color w:val="000000" w:themeColor="text1"/>
        </w:rPr>
      </w:sdtEndPr>
      <w:sdtContent>
        <w:p w14:paraId="5A3B59DE" w14:textId="77777777" w:rsidR="0039117E" w:rsidRDefault="0039117E">
          <w:pPr>
            <w:pStyle w:val="TOCHeading"/>
          </w:pPr>
        </w:p>
        <w:p w14:paraId="4B60351D" w14:textId="2674645F" w:rsidR="00F835F8" w:rsidRDefault="00F835F8">
          <w:pPr>
            <w:pStyle w:val="TOCHeading"/>
          </w:pPr>
          <w:r>
            <w:t>Table of Contents</w:t>
          </w:r>
        </w:p>
        <w:p w14:paraId="292805B3" w14:textId="224D26A2" w:rsidR="00902342" w:rsidRDefault="00DA7B3E">
          <w:pPr>
            <w:pStyle w:val="TOC1"/>
            <w:rPr>
              <w:rFonts w:asciiTheme="minorHAnsi" w:eastAsiaTheme="minorEastAsia" w:hAnsiTheme="minorHAnsi" w:cstheme="minorBidi"/>
              <w:noProof/>
              <w:color w:val="auto"/>
              <w:kern w:val="2"/>
              <w:sz w:val="24"/>
              <w:szCs w:val="24"/>
              <w:lang w:val="en-AU" w:eastAsia="en-AU"/>
              <w14:ligatures w14:val="standardContextual"/>
            </w:rPr>
          </w:pPr>
          <w:r>
            <w:fldChar w:fldCharType="begin"/>
          </w:r>
          <w:r>
            <w:instrText xml:space="preserve"> TOC \o "1-5" \h \z \u </w:instrText>
          </w:r>
          <w:r>
            <w:fldChar w:fldCharType="separate"/>
          </w:r>
          <w:hyperlink w:anchor="_Toc194930354" w:history="1">
            <w:r w:rsidR="00902342" w:rsidRPr="00F31EE4">
              <w:rPr>
                <w:rStyle w:val="Hyperlink"/>
                <w:noProof/>
              </w:rPr>
              <w:t>Secretary’s Foreword</w:t>
            </w:r>
            <w:r w:rsidR="00902342">
              <w:rPr>
                <w:noProof/>
                <w:webHidden/>
              </w:rPr>
              <w:tab/>
            </w:r>
            <w:r w:rsidR="00902342">
              <w:rPr>
                <w:noProof/>
                <w:webHidden/>
              </w:rPr>
              <w:fldChar w:fldCharType="begin"/>
            </w:r>
            <w:r w:rsidR="00902342">
              <w:rPr>
                <w:noProof/>
                <w:webHidden/>
              </w:rPr>
              <w:instrText xml:space="preserve"> PAGEREF _Toc194930354 \h </w:instrText>
            </w:r>
            <w:r w:rsidR="00902342">
              <w:rPr>
                <w:noProof/>
                <w:webHidden/>
              </w:rPr>
            </w:r>
            <w:r w:rsidR="00902342">
              <w:rPr>
                <w:noProof/>
                <w:webHidden/>
              </w:rPr>
              <w:fldChar w:fldCharType="separate"/>
            </w:r>
            <w:r w:rsidR="00D432F2">
              <w:rPr>
                <w:noProof/>
                <w:webHidden/>
              </w:rPr>
              <w:t>1</w:t>
            </w:r>
            <w:r w:rsidR="00902342">
              <w:rPr>
                <w:noProof/>
                <w:webHidden/>
              </w:rPr>
              <w:fldChar w:fldCharType="end"/>
            </w:r>
          </w:hyperlink>
        </w:p>
        <w:p w14:paraId="7F6F7206" w14:textId="33A98027" w:rsidR="00902342" w:rsidRDefault="00902342">
          <w:pPr>
            <w:pStyle w:val="TOC1"/>
            <w:rPr>
              <w:rFonts w:asciiTheme="minorHAnsi" w:eastAsiaTheme="minorEastAsia" w:hAnsiTheme="minorHAnsi" w:cstheme="minorBidi"/>
              <w:noProof/>
              <w:color w:val="auto"/>
              <w:kern w:val="2"/>
              <w:sz w:val="24"/>
              <w:szCs w:val="24"/>
              <w:lang w:val="en-AU" w:eastAsia="en-AU"/>
              <w14:ligatures w14:val="standardContextual"/>
            </w:rPr>
          </w:pPr>
          <w:hyperlink w:anchor="_Toc194930355" w:history="1">
            <w:r w:rsidRPr="00F31EE4">
              <w:rPr>
                <w:rStyle w:val="Hyperlink"/>
                <w:noProof/>
              </w:rPr>
              <w:t>1</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Purpose of this Guide</w:t>
            </w:r>
            <w:r>
              <w:rPr>
                <w:noProof/>
                <w:webHidden/>
              </w:rPr>
              <w:tab/>
            </w:r>
            <w:r>
              <w:rPr>
                <w:noProof/>
                <w:webHidden/>
              </w:rPr>
              <w:fldChar w:fldCharType="begin"/>
            </w:r>
            <w:r>
              <w:rPr>
                <w:noProof/>
                <w:webHidden/>
              </w:rPr>
              <w:instrText xml:space="preserve"> PAGEREF _Toc194930355 \h </w:instrText>
            </w:r>
            <w:r>
              <w:rPr>
                <w:noProof/>
                <w:webHidden/>
              </w:rPr>
            </w:r>
            <w:r>
              <w:rPr>
                <w:noProof/>
                <w:webHidden/>
              </w:rPr>
              <w:fldChar w:fldCharType="separate"/>
            </w:r>
            <w:r w:rsidR="00D432F2">
              <w:rPr>
                <w:noProof/>
                <w:webHidden/>
              </w:rPr>
              <w:t>2</w:t>
            </w:r>
            <w:r>
              <w:rPr>
                <w:noProof/>
                <w:webHidden/>
              </w:rPr>
              <w:fldChar w:fldCharType="end"/>
            </w:r>
          </w:hyperlink>
        </w:p>
        <w:p w14:paraId="717653C0" w14:textId="68F09E62" w:rsidR="00902342" w:rsidRDefault="00902342">
          <w:pPr>
            <w:pStyle w:val="TOC1"/>
            <w:rPr>
              <w:rFonts w:asciiTheme="minorHAnsi" w:eastAsiaTheme="minorEastAsia" w:hAnsiTheme="minorHAnsi" w:cstheme="minorBidi"/>
              <w:noProof/>
              <w:color w:val="auto"/>
              <w:kern w:val="2"/>
              <w:sz w:val="24"/>
              <w:szCs w:val="24"/>
              <w:lang w:val="en-AU" w:eastAsia="en-AU"/>
              <w14:ligatures w14:val="standardContextual"/>
            </w:rPr>
          </w:pPr>
          <w:hyperlink w:anchor="_Toc194930356" w:history="1">
            <w:r w:rsidRPr="00F31EE4">
              <w:rPr>
                <w:rStyle w:val="Hyperlink"/>
                <w:noProof/>
              </w:rPr>
              <w:t>2</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Background</w:t>
            </w:r>
            <w:r>
              <w:rPr>
                <w:noProof/>
                <w:webHidden/>
              </w:rPr>
              <w:tab/>
            </w:r>
            <w:r>
              <w:rPr>
                <w:noProof/>
                <w:webHidden/>
              </w:rPr>
              <w:fldChar w:fldCharType="begin"/>
            </w:r>
            <w:r>
              <w:rPr>
                <w:noProof/>
                <w:webHidden/>
              </w:rPr>
              <w:instrText xml:space="preserve"> PAGEREF _Toc194930356 \h </w:instrText>
            </w:r>
            <w:r>
              <w:rPr>
                <w:noProof/>
                <w:webHidden/>
              </w:rPr>
            </w:r>
            <w:r>
              <w:rPr>
                <w:noProof/>
                <w:webHidden/>
              </w:rPr>
              <w:fldChar w:fldCharType="separate"/>
            </w:r>
            <w:r w:rsidR="00D432F2">
              <w:rPr>
                <w:noProof/>
                <w:webHidden/>
              </w:rPr>
              <w:t>2</w:t>
            </w:r>
            <w:r>
              <w:rPr>
                <w:noProof/>
                <w:webHidden/>
              </w:rPr>
              <w:fldChar w:fldCharType="end"/>
            </w:r>
          </w:hyperlink>
        </w:p>
        <w:p w14:paraId="6377EB74" w14:textId="7776832A" w:rsidR="00902342" w:rsidRDefault="00902342">
          <w:pPr>
            <w:pStyle w:val="TOC1"/>
            <w:rPr>
              <w:rFonts w:asciiTheme="minorHAnsi" w:eastAsiaTheme="minorEastAsia" w:hAnsiTheme="minorHAnsi" w:cstheme="minorBidi"/>
              <w:noProof/>
              <w:color w:val="auto"/>
              <w:kern w:val="2"/>
              <w:sz w:val="24"/>
              <w:szCs w:val="24"/>
              <w:lang w:val="en-AU" w:eastAsia="en-AU"/>
              <w14:ligatures w14:val="standardContextual"/>
            </w:rPr>
          </w:pPr>
          <w:hyperlink w:anchor="_Toc194930357" w:history="1">
            <w:r w:rsidRPr="00F31EE4">
              <w:rPr>
                <w:rStyle w:val="Hyperlink"/>
                <w:noProof/>
              </w:rPr>
              <w:t>3</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Governance Framework Principles</w:t>
            </w:r>
            <w:r>
              <w:rPr>
                <w:noProof/>
                <w:webHidden/>
              </w:rPr>
              <w:tab/>
            </w:r>
            <w:r>
              <w:rPr>
                <w:noProof/>
                <w:webHidden/>
              </w:rPr>
              <w:fldChar w:fldCharType="begin"/>
            </w:r>
            <w:r>
              <w:rPr>
                <w:noProof/>
                <w:webHidden/>
              </w:rPr>
              <w:instrText xml:space="preserve"> PAGEREF _Toc194930357 \h </w:instrText>
            </w:r>
            <w:r>
              <w:rPr>
                <w:noProof/>
                <w:webHidden/>
              </w:rPr>
            </w:r>
            <w:r>
              <w:rPr>
                <w:noProof/>
                <w:webHidden/>
              </w:rPr>
              <w:fldChar w:fldCharType="separate"/>
            </w:r>
            <w:r w:rsidR="00D432F2">
              <w:rPr>
                <w:noProof/>
                <w:webHidden/>
              </w:rPr>
              <w:t>3</w:t>
            </w:r>
            <w:r>
              <w:rPr>
                <w:noProof/>
                <w:webHidden/>
              </w:rPr>
              <w:fldChar w:fldCharType="end"/>
            </w:r>
          </w:hyperlink>
        </w:p>
        <w:p w14:paraId="0A90A0FA" w14:textId="576B0A94" w:rsidR="00902342" w:rsidRDefault="00902342">
          <w:pPr>
            <w:pStyle w:val="TOC2"/>
            <w:rPr>
              <w:rFonts w:asciiTheme="minorHAnsi" w:eastAsiaTheme="minorEastAsia" w:hAnsiTheme="minorHAnsi" w:cstheme="minorBidi"/>
              <w:noProof/>
              <w:color w:val="auto"/>
              <w:kern w:val="2"/>
              <w:sz w:val="24"/>
              <w:szCs w:val="24"/>
              <w:lang w:val="en-AU" w:eastAsia="en-AU"/>
              <w14:ligatures w14:val="standardContextual"/>
            </w:rPr>
          </w:pPr>
          <w:hyperlink w:anchor="_Toc194930358" w:history="1">
            <w:r w:rsidRPr="00F31EE4">
              <w:rPr>
                <w:rStyle w:val="Hyperlink"/>
                <w:noProof/>
              </w:rPr>
              <w:t>3.1</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Proportionality</w:t>
            </w:r>
            <w:r>
              <w:rPr>
                <w:noProof/>
                <w:webHidden/>
              </w:rPr>
              <w:tab/>
            </w:r>
            <w:r>
              <w:rPr>
                <w:noProof/>
                <w:webHidden/>
              </w:rPr>
              <w:fldChar w:fldCharType="begin"/>
            </w:r>
            <w:r>
              <w:rPr>
                <w:noProof/>
                <w:webHidden/>
              </w:rPr>
              <w:instrText xml:space="preserve"> PAGEREF _Toc194930358 \h </w:instrText>
            </w:r>
            <w:r>
              <w:rPr>
                <w:noProof/>
                <w:webHidden/>
              </w:rPr>
            </w:r>
            <w:r>
              <w:rPr>
                <w:noProof/>
                <w:webHidden/>
              </w:rPr>
              <w:fldChar w:fldCharType="separate"/>
            </w:r>
            <w:r w:rsidR="00D432F2">
              <w:rPr>
                <w:noProof/>
                <w:webHidden/>
              </w:rPr>
              <w:t>3</w:t>
            </w:r>
            <w:r>
              <w:rPr>
                <w:noProof/>
                <w:webHidden/>
              </w:rPr>
              <w:fldChar w:fldCharType="end"/>
            </w:r>
          </w:hyperlink>
        </w:p>
        <w:p w14:paraId="697C5682" w14:textId="48771AF0" w:rsidR="00902342" w:rsidRDefault="00902342">
          <w:pPr>
            <w:pStyle w:val="TOC2"/>
            <w:rPr>
              <w:rFonts w:asciiTheme="minorHAnsi" w:eastAsiaTheme="minorEastAsia" w:hAnsiTheme="minorHAnsi" w:cstheme="minorBidi"/>
              <w:noProof/>
              <w:color w:val="auto"/>
              <w:kern w:val="2"/>
              <w:sz w:val="24"/>
              <w:szCs w:val="24"/>
              <w:lang w:val="en-AU" w:eastAsia="en-AU"/>
              <w14:ligatures w14:val="standardContextual"/>
            </w:rPr>
          </w:pPr>
          <w:hyperlink w:anchor="_Toc194930359" w:history="1">
            <w:r w:rsidRPr="00F31EE4">
              <w:rPr>
                <w:rStyle w:val="Hyperlink"/>
                <w:noProof/>
              </w:rPr>
              <w:t>3.2</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Clear expectations</w:t>
            </w:r>
            <w:r>
              <w:rPr>
                <w:noProof/>
                <w:webHidden/>
              </w:rPr>
              <w:tab/>
            </w:r>
            <w:r>
              <w:rPr>
                <w:noProof/>
                <w:webHidden/>
              </w:rPr>
              <w:fldChar w:fldCharType="begin"/>
            </w:r>
            <w:r>
              <w:rPr>
                <w:noProof/>
                <w:webHidden/>
              </w:rPr>
              <w:instrText xml:space="preserve"> PAGEREF _Toc194930359 \h </w:instrText>
            </w:r>
            <w:r>
              <w:rPr>
                <w:noProof/>
                <w:webHidden/>
              </w:rPr>
            </w:r>
            <w:r>
              <w:rPr>
                <w:noProof/>
                <w:webHidden/>
              </w:rPr>
              <w:fldChar w:fldCharType="separate"/>
            </w:r>
            <w:r w:rsidR="00D432F2">
              <w:rPr>
                <w:noProof/>
                <w:webHidden/>
              </w:rPr>
              <w:t>3</w:t>
            </w:r>
            <w:r>
              <w:rPr>
                <w:noProof/>
                <w:webHidden/>
              </w:rPr>
              <w:fldChar w:fldCharType="end"/>
            </w:r>
          </w:hyperlink>
        </w:p>
        <w:p w14:paraId="620FA233" w14:textId="76038403" w:rsidR="00902342" w:rsidRDefault="00902342">
          <w:pPr>
            <w:pStyle w:val="TOC2"/>
            <w:rPr>
              <w:rFonts w:asciiTheme="minorHAnsi" w:eastAsiaTheme="minorEastAsia" w:hAnsiTheme="minorHAnsi" w:cstheme="minorBidi"/>
              <w:noProof/>
              <w:color w:val="auto"/>
              <w:kern w:val="2"/>
              <w:sz w:val="24"/>
              <w:szCs w:val="24"/>
              <w:lang w:val="en-AU" w:eastAsia="en-AU"/>
              <w14:ligatures w14:val="standardContextual"/>
            </w:rPr>
          </w:pPr>
          <w:hyperlink w:anchor="_Toc194930360" w:history="1">
            <w:r w:rsidRPr="00F31EE4">
              <w:rPr>
                <w:rStyle w:val="Hyperlink"/>
                <w:noProof/>
              </w:rPr>
              <w:t>3.3</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Balancing independence and oversight</w:t>
            </w:r>
            <w:r>
              <w:rPr>
                <w:noProof/>
                <w:webHidden/>
              </w:rPr>
              <w:tab/>
            </w:r>
            <w:r>
              <w:rPr>
                <w:noProof/>
                <w:webHidden/>
              </w:rPr>
              <w:fldChar w:fldCharType="begin"/>
            </w:r>
            <w:r>
              <w:rPr>
                <w:noProof/>
                <w:webHidden/>
              </w:rPr>
              <w:instrText xml:space="preserve"> PAGEREF _Toc194930360 \h </w:instrText>
            </w:r>
            <w:r>
              <w:rPr>
                <w:noProof/>
                <w:webHidden/>
              </w:rPr>
            </w:r>
            <w:r>
              <w:rPr>
                <w:noProof/>
                <w:webHidden/>
              </w:rPr>
              <w:fldChar w:fldCharType="separate"/>
            </w:r>
            <w:r w:rsidR="00D432F2">
              <w:rPr>
                <w:noProof/>
                <w:webHidden/>
              </w:rPr>
              <w:t>3</w:t>
            </w:r>
            <w:r>
              <w:rPr>
                <w:noProof/>
                <w:webHidden/>
              </w:rPr>
              <w:fldChar w:fldCharType="end"/>
            </w:r>
          </w:hyperlink>
        </w:p>
        <w:p w14:paraId="0CCE6ABA" w14:textId="298BADDB" w:rsidR="00902342" w:rsidRDefault="00902342">
          <w:pPr>
            <w:pStyle w:val="TOC2"/>
            <w:rPr>
              <w:rFonts w:asciiTheme="minorHAnsi" w:eastAsiaTheme="minorEastAsia" w:hAnsiTheme="minorHAnsi" w:cstheme="minorBidi"/>
              <w:noProof/>
              <w:color w:val="auto"/>
              <w:kern w:val="2"/>
              <w:sz w:val="24"/>
              <w:szCs w:val="24"/>
              <w:lang w:val="en-AU" w:eastAsia="en-AU"/>
              <w14:ligatures w14:val="standardContextual"/>
            </w:rPr>
          </w:pPr>
          <w:hyperlink w:anchor="_Toc194930361" w:history="1">
            <w:r w:rsidRPr="00F31EE4">
              <w:rPr>
                <w:rStyle w:val="Hyperlink"/>
                <w:noProof/>
              </w:rPr>
              <w:t>3.4</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Trust, cooperation, and collaboration</w:t>
            </w:r>
            <w:r>
              <w:rPr>
                <w:noProof/>
                <w:webHidden/>
              </w:rPr>
              <w:tab/>
            </w:r>
            <w:r>
              <w:rPr>
                <w:noProof/>
                <w:webHidden/>
              </w:rPr>
              <w:fldChar w:fldCharType="begin"/>
            </w:r>
            <w:r>
              <w:rPr>
                <w:noProof/>
                <w:webHidden/>
              </w:rPr>
              <w:instrText xml:space="preserve"> PAGEREF _Toc194930361 \h </w:instrText>
            </w:r>
            <w:r>
              <w:rPr>
                <w:noProof/>
                <w:webHidden/>
              </w:rPr>
            </w:r>
            <w:r>
              <w:rPr>
                <w:noProof/>
                <w:webHidden/>
              </w:rPr>
              <w:fldChar w:fldCharType="separate"/>
            </w:r>
            <w:r w:rsidR="00D432F2">
              <w:rPr>
                <w:noProof/>
                <w:webHidden/>
              </w:rPr>
              <w:t>3</w:t>
            </w:r>
            <w:r>
              <w:rPr>
                <w:noProof/>
                <w:webHidden/>
              </w:rPr>
              <w:fldChar w:fldCharType="end"/>
            </w:r>
          </w:hyperlink>
        </w:p>
        <w:p w14:paraId="65E12022" w14:textId="11429CB2" w:rsidR="00902342" w:rsidRDefault="00902342">
          <w:pPr>
            <w:pStyle w:val="TOC1"/>
            <w:rPr>
              <w:rFonts w:asciiTheme="minorHAnsi" w:eastAsiaTheme="minorEastAsia" w:hAnsiTheme="minorHAnsi" w:cstheme="minorBidi"/>
              <w:noProof/>
              <w:color w:val="auto"/>
              <w:kern w:val="2"/>
              <w:sz w:val="24"/>
              <w:szCs w:val="24"/>
              <w:lang w:val="en-AU" w:eastAsia="en-AU"/>
              <w14:ligatures w14:val="standardContextual"/>
            </w:rPr>
          </w:pPr>
          <w:hyperlink w:anchor="_Toc194930362" w:history="1">
            <w:r w:rsidRPr="00F31EE4">
              <w:rPr>
                <w:rStyle w:val="Hyperlink"/>
                <w:noProof/>
              </w:rPr>
              <w:t>4</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Governance Framework Model</w:t>
            </w:r>
            <w:r>
              <w:rPr>
                <w:noProof/>
                <w:webHidden/>
              </w:rPr>
              <w:tab/>
            </w:r>
            <w:r>
              <w:rPr>
                <w:noProof/>
                <w:webHidden/>
              </w:rPr>
              <w:fldChar w:fldCharType="begin"/>
            </w:r>
            <w:r>
              <w:rPr>
                <w:noProof/>
                <w:webHidden/>
              </w:rPr>
              <w:instrText xml:space="preserve"> PAGEREF _Toc194930362 \h </w:instrText>
            </w:r>
            <w:r>
              <w:rPr>
                <w:noProof/>
                <w:webHidden/>
              </w:rPr>
            </w:r>
            <w:r>
              <w:rPr>
                <w:noProof/>
                <w:webHidden/>
              </w:rPr>
              <w:fldChar w:fldCharType="separate"/>
            </w:r>
            <w:r w:rsidR="00D432F2">
              <w:rPr>
                <w:noProof/>
                <w:webHidden/>
              </w:rPr>
              <w:t>4</w:t>
            </w:r>
            <w:r>
              <w:rPr>
                <w:noProof/>
                <w:webHidden/>
              </w:rPr>
              <w:fldChar w:fldCharType="end"/>
            </w:r>
          </w:hyperlink>
        </w:p>
        <w:p w14:paraId="089AABE5" w14:textId="72826B6F" w:rsidR="00902342" w:rsidRDefault="00902342">
          <w:pPr>
            <w:pStyle w:val="TOC1"/>
            <w:rPr>
              <w:rFonts w:asciiTheme="minorHAnsi" w:eastAsiaTheme="minorEastAsia" w:hAnsiTheme="minorHAnsi" w:cstheme="minorBidi"/>
              <w:noProof/>
              <w:color w:val="auto"/>
              <w:kern w:val="2"/>
              <w:sz w:val="24"/>
              <w:szCs w:val="24"/>
              <w:lang w:val="en-AU" w:eastAsia="en-AU"/>
              <w14:ligatures w14:val="standardContextual"/>
            </w:rPr>
          </w:pPr>
          <w:hyperlink w:anchor="_Toc194930363" w:history="1">
            <w:r w:rsidRPr="00F31EE4">
              <w:rPr>
                <w:rStyle w:val="Hyperlink"/>
                <w:noProof/>
              </w:rPr>
              <w:t>5</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Key Governance Requirements</w:t>
            </w:r>
            <w:r>
              <w:rPr>
                <w:noProof/>
                <w:webHidden/>
              </w:rPr>
              <w:tab/>
            </w:r>
            <w:r>
              <w:rPr>
                <w:noProof/>
                <w:webHidden/>
              </w:rPr>
              <w:fldChar w:fldCharType="begin"/>
            </w:r>
            <w:r>
              <w:rPr>
                <w:noProof/>
                <w:webHidden/>
              </w:rPr>
              <w:instrText xml:space="preserve"> PAGEREF _Toc194930363 \h </w:instrText>
            </w:r>
            <w:r>
              <w:rPr>
                <w:noProof/>
                <w:webHidden/>
              </w:rPr>
            </w:r>
            <w:r>
              <w:rPr>
                <w:noProof/>
                <w:webHidden/>
              </w:rPr>
              <w:fldChar w:fldCharType="separate"/>
            </w:r>
            <w:r w:rsidR="00D432F2">
              <w:rPr>
                <w:noProof/>
                <w:webHidden/>
              </w:rPr>
              <w:t>4</w:t>
            </w:r>
            <w:r>
              <w:rPr>
                <w:noProof/>
                <w:webHidden/>
              </w:rPr>
              <w:fldChar w:fldCharType="end"/>
            </w:r>
          </w:hyperlink>
        </w:p>
        <w:p w14:paraId="30C1271D" w14:textId="5D7ED605" w:rsidR="00902342" w:rsidRDefault="00902342">
          <w:pPr>
            <w:pStyle w:val="TOC2"/>
            <w:rPr>
              <w:rFonts w:asciiTheme="minorHAnsi" w:eastAsiaTheme="minorEastAsia" w:hAnsiTheme="minorHAnsi" w:cstheme="minorBidi"/>
              <w:noProof/>
              <w:color w:val="auto"/>
              <w:kern w:val="2"/>
              <w:sz w:val="24"/>
              <w:szCs w:val="24"/>
              <w:lang w:val="en-AU" w:eastAsia="en-AU"/>
              <w14:ligatures w14:val="standardContextual"/>
            </w:rPr>
          </w:pPr>
          <w:hyperlink w:anchor="_Toc194930364" w:history="1">
            <w:r w:rsidRPr="00F31EE4">
              <w:rPr>
                <w:rStyle w:val="Hyperlink"/>
                <w:noProof/>
              </w:rPr>
              <w:t>5.1</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Planning</w:t>
            </w:r>
            <w:r>
              <w:rPr>
                <w:noProof/>
                <w:webHidden/>
              </w:rPr>
              <w:tab/>
            </w:r>
            <w:r>
              <w:rPr>
                <w:noProof/>
                <w:webHidden/>
              </w:rPr>
              <w:fldChar w:fldCharType="begin"/>
            </w:r>
            <w:r>
              <w:rPr>
                <w:noProof/>
                <w:webHidden/>
              </w:rPr>
              <w:instrText xml:space="preserve"> PAGEREF _Toc194930364 \h </w:instrText>
            </w:r>
            <w:r>
              <w:rPr>
                <w:noProof/>
                <w:webHidden/>
              </w:rPr>
            </w:r>
            <w:r>
              <w:rPr>
                <w:noProof/>
                <w:webHidden/>
              </w:rPr>
              <w:fldChar w:fldCharType="separate"/>
            </w:r>
            <w:r w:rsidR="00D432F2">
              <w:rPr>
                <w:noProof/>
                <w:webHidden/>
              </w:rPr>
              <w:t>4</w:t>
            </w:r>
            <w:r>
              <w:rPr>
                <w:noProof/>
                <w:webHidden/>
              </w:rPr>
              <w:fldChar w:fldCharType="end"/>
            </w:r>
          </w:hyperlink>
        </w:p>
        <w:p w14:paraId="7D0662D7" w14:textId="29D97FC8"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65" w:history="1">
            <w:r w:rsidRPr="00F31EE4">
              <w:rPr>
                <w:rStyle w:val="Hyperlink"/>
                <w:noProof/>
              </w:rPr>
              <w:t>5.1.1</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Corporate and business planning</w:t>
            </w:r>
            <w:r>
              <w:rPr>
                <w:noProof/>
                <w:webHidden/>
              </w:rPr>
              <w:tab/>
            </w:r>
            <w:r>
              <w:rPr>
                <w:noProof/>
                <w:webHidden/>
              </w:rPr>
              <w:fldChar w:fldCharType="begin"/>
            </w:r>
            <w:r>
              <w:rPr>
                <w:noProof/>
                <w:webHidden/>
              </w:rPr>
              <w:instrText xml:space="preserve"> PAGEREF _Toc194930365 \h </w:instrText>
            </w:r>
            <w:r>
              <w:rPr>
                <w:noProof/>
                <w:webHidden/>
              </w:rPr>
            </w:r>
            <w:r>
              <w:rPr>
                <w:noProof/>
                <w:webHidden/>
              </w:rPr>
              <w:fldChar w:fldCharType="separate"/>
            </w:r>
            <w:r w:rsidR="00D432F2">
              <w:rPr>
                <w:noProof/>
                <w:webHidden/>
              </w:rPr>
              <w:t>4</w:t>
            </w:r>
            <w:r>
              <w:rPr>
                <w:noProof/>
                <w:webHidden/>
              </w:rPr>
              <w:fldChar w:fldCharType="end"/>
            </w:r>
          </w:hyperlink>
        </w:p>
        <w:p w14:paraId="2F77EF58" w14:textId="0498785B"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67" w:history="1">
            <w:r w:rsidRPr="00F31EE4">
              <w:rPr>
                <w:rStyle w:val="Hyperlink"/>
                <w:noProof/>
              </w:rPr>
              <w:t>5.1.2</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Resource Management Framework</w:t>
            </w:r>
            <w:r>
              <w:rPr>
                <w:noProof/>
                <w:webHidden/>
              </w:rPr>
              <w:tab/>
            </w:r>
            <w:r>
              <w:rPr>
                <w:noProof/>
                <w:webHidden/>
              </w:rPr>
              <w:fldChar w:fldCharType="begin"/>
            </w:r>
            <w:r>
              <w:rPr>
                <w:noProof/>
                <w:webHidden/>
              </w:rPr>
              <w:instrText xml:space="preserve"> PAGEREF _Toc194930367 \h </w:instrText>
            </w:r>
            <w:r>
              <w:rPr>
                <w:noProof/>
                <w:webHidden/>
              </w:rPr>
            </w:r>
            <w:r>
              <w:rPr>
                <w:noProof/>
                <w:webHidden/>
              </w:rPr>
              <w:fldChar w:fldCharType="separate"/>
            </w:r>
            <w:r w:rsidR="00D432F2">
              <w:rPr>
                <w:noProof/>
                <w:webHidden/>
              </w:rPr>
              <w:t>5</w:t>
            </w:r>
            <w:r>
              <w:rPr>
                <w:noProof/>
                <w:webHidden/>
              </w:rPr>
              <w:fldChar w:fldCharType="end"/>
            </w:r>
          </w:hyperlink>
        </w:p>
        <w:p w14:paraId="2725CD39" w14:textId="107732F0"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68" w:history="1">
            <w:r w:rsidRPr="00F31EE4">
              <w:rPr>
                <w:rStyle w:val="Hyperlink"/>
                <w:noProof/>
              </w:rPr>
              <w:t>5.1.3</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Budget formulation</w:t>
            </w:r>
            <w:r>
              <w:rPr>
                <w:noProof/>
                <w:webHidden/>
              </w:rPr>
              <w:tab/>
            </w:r>
            <w:r>
              <w:rPr>
                <w:noProof/>
                <w:webHidden/>
              </w:rPr>
              <w:fldChar w:fldCharType="begin"/>
            </w:r>
            <w:r>
              <w:rPr>
                <w:noProof/>
                <w:webHidden/>
              </w:rPr>
              <w:instrText xml:space="preserve"> PAGEREF _Toc194930368 \h </w:instrText>
            </w:r>
            <w:r>
              <w:rPr>
                <w:noProof/>
                <w:webHidden/>
              </w:rPr>
            </w:r>
            <w:r>
              <w:rPr>
                <w:noProof/>
                <w:webHidden/>
              </w:rPr>
              <w:fldChar w:fldCharType="separate"/>
            </w:r>
            <w:r w:rsidR="00D432F2">
              <w:rPr>
                <w:noProof/>
                <w:webHidden/>
              </w:rPr>
              <w:t>5</w:t>
            </w:r>
            <w:r>
              <w:rPr>
                <w:noProof/>
                <w:webHidden/>
              </w:rPr>
              <w:fldChar w:fldCharType="end"/>
            </w:r>
          </w:hyperlink>
        </w:p>
        <w:p w14:paraId="703EDDC5" w14:textId="6FEC76CC"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69" w:history="1">
            <w:r w:rsidRPr="00F31EE4">
              <w:rPr>
                <w:rStyle w:val="Hyperlink"/>
                <w:noProof/>
              </w:rPr>
              <w:t>5.1.4</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Policy proposals</w:t>
            </w:r>
            <w:r>
              <w:rPr>
                <w:noProof/>
                <w:webHidden/>
              </w:rPr>
              <w:tab/>
            </w:r>
            <w:r>
              <w:rPr>
                <w:noProof/>
                <w:webHidden/>
              </w:rPr>
              <w:fldChar w:fldCharType="begin"/>
            </w:r>
            <w:r>
              <w:rPr>
                <w:noProof/>
                <w:webHidden/>
              </w:rPr>
              <w:instrText xml:space="preserve"> PAGEREF _Toc194930369 \h </w:instrText>
            </w:r>
            <w:r>
              <w:rPr>
                <w:noProof/>
                <w:webHidden/>
              </w:rPr>
            </w:r>
            <w:r>
              <w:rPr>
                <w:noProof/>
                <w:webHidden/>
              </w:rPr>
              <w:fldChar w:fldCharType="separate"/>
            </w:r>
            <w:r w:rsidR="00D432F2">
              <w:rPr>
                <w:noProof/>
                <w:webHidden/>
              </w:rPr>
              <w:t>6</w:t>
            </w:r>
            <w:r>
              <w:rPr>
                <w:noProof/>
                <w:webHidden/>
              </w:rPr>
              <w:fldChar w:fldCharType="end"/>
            </w:r>
          </w:hyperlink>
        </w:p>
        <w:p w14:paraId="36CEB525" w14:textId="7003575C"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70" w:history="1">
            <w:r w:rsidRPr="00F31EE4">
              <w:rPr>
                <w:rStyle w:val="Hyperlink"/>
                <w:noProof/>
              </w:rPr>
              <w:t>5.1.5</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Budget and funding proposals</w:t>
            </w:r>
            <w:r>
              <w:rPr>
                <w:noProof/>
                <w:webHidden/>
              </w:rPr>
              <w:tab/>
            </w:r>
            <w:r>
              <w:rPr>
                <w:noProof/>
                <w:webHidden/>
              </w:rPr>
              <w:fldChar w:fldCharType="begin"/>
            </w:r>
            <w:r>
              <w:rPr>
                <w:noProof/>
                <w:webHidden/>
              </w:rPr>
              <w:instrText xml:space="preserve"> PAGEREF _Toc194930370 \h </w:instrText>
            </w:r>
            <w:r>
              <w:rPr>
                <w:noProof/>
                <w:webHidden/>
              </w:rPr>
            </w:r>
            <w:r>
              <w:rPr>
                <w:noProof/>
                <w:webHidden/>
              </w:rPr>
              <w:fldChar w:fldCharType="separate"/>
            </w:r>
            <w:r w:rsidR="00D432F2">
              <w:rPr>
                <w:noProof/>
                <w:webHidden/>
              </w:rPr>
              <w:t>6</w:t>
            </w:r>
            <w:r>
              <w:rPr>
                <w:noProof/>
                <w:webHidden/>
              </w:rPr>
              <w:fldChar w:fldCharType="end"/>
            </w:r>
          </w:hyperlink>
        </w:p>
        <w:p w14:paraId="3308198B" w14:textId="3FC9C8DF"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71" w:history="1">
            <w:r w:rsidRPr="00F31EE4">
              <w:rPr>
                <w:rStyle w:val="Hyperlink"/>
                <w:noProof/>
              </w:rPr>
              <w:t>5.1.6</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Procurement</w:t>
            </w:r>
            <w:r>
              <w:rPr>
                <w:noProof/>
                <w:webHidden/>
              </w:rPr>
              <w:tab/>
            </w:r>
            <w:r>
              <w:rPr>
                <w:noProof/>
                <w:webHidden/>
              </w:rPr>
              <w:fldChar w:fldCharType="begin"/>
            </w:r>
            <w:r>
              <w:rPr>
                <w:noProof/>
                <w:webHidden/>
              </w:rPr>
              <w:instrText xml:space="preserve"> PAGEREF _Toc194930371 \h </w:instrText>
            </w:r>
            <w:r>
              <w:rPr>
                <w:noProof/>
                <w:webHidden/>
              </w:rPr>
            </w:r>
            <w:r>
              <w:rPr>
                <w:noProof/>
                <w:webHidden/>
              </w:rPr>
              <w:fldChar w:fldCharType="separate"/>
            </w:r>
            <w:r w:rsidR="00D432F2">
              <w:rPr>
                <w:noProof/>
                <w:webHidden/>
              </w:rPr>
              <w:t>6</w:t>
            </w:r>
            <w:r>
              <w:rPr>
                <w:noProof/>
                <w:webHidden/>
              </w:rPr>
              <w:fldChar w:fldCharType="end"/>
            </w:r>
          </w:hyperlink>
        </w:p>
        <w:p w14:paraId="58C8BFD0" w14:textId="1DCE6885"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72" w:history="1">
            <w:r w:rsidRPr="00F31EE4">
              <w:rPr>
                <w:rStyle w:val="Hyperlink"/>
                <w:noProof/>
              </w:rPr>
              <w:t>5.1.7</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Service Level Agreements (SLA)</w:t>
            </w:r>
            <w:r>
              <w:rPr>
                <w:noProof/>
                <w:webHidden/>
              </w:rPr>
              <w:tab/>
            </w:r>
            <w:r>
              <w:rPr>
                <w:noProof/>
                <w:webHidden/>
              </w:rPr>
              <w:fldChar w:fldCharType="begin"/>
            </w:r>
            <w:r>
              <w:rPr>
                <w:noProof/>
                <w:webHidden/>
              </w:rPr>
              <w:instrText xml:space="preserve"> PAGEREF _Toc194930372 \h </w:instrText>
            </w:r>
            <w:r>
              <w:rPr>
                <w:noProof/>
                <w:webHidden/>
              </w:rPr>
            </w:r>
            <w:r>
              <w:rPr>
                <w:noProof/>
                <w:webHidden/>
              </w:rPr>
              <w:fldChar w:fldCharType="separate"/>
            </w:r>
            <w:r w:rsidR="00D432F2">
              <w:rPr>
                <w:noProof/>
                <w:webHidden/>
              </w:rPr>
              <w:t>7</w:t>
            </w:r>
            <w:r>
              <w:rPr>
                <w:noProof/>
                <w:webHidden/>
              </w:rPr>
              <w:fldChar w:fldCharType="end"/>
            </w:r>
          </w:hyperlink>
        </w:p>
        <w:p w14:paraId="287371FE" w14:textId="2FAF4353"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73" w:history="1">
            <w:r w:rsidRPr="00F31EE4">
              <w:rPr>
                <w:rStyle w:val="Hyperlink"/>
                <w:noProof/>
              </w:rPr>
              <w:t>5.1.8</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Statement of Expectations (SOE)</w:t>
            </w:r>
            <w:r>
              <w:rPr>
                <w:noProof/>
                <w:webHidden/>
              </w:rPr>
              <w:tab/>
            </w:r>
            <w:r>
              <w:rPr>
                <w:noProof/>
                <w:webHidden/>
              </w:rPr>
              <w:fldChar w:fldCharType="begin"/>
            </w:r>
            <w:r>
              <w:rPr>
                <w:noProof/>
                <w:webHidden/>
              </w:rPr>
              <w:instrText xml:space="preserve"> PAGEREF _Toc194930373 \h </w:instrText>
            </w:r>
            <w:r>
              <w:rPr>
                <w:noProof/>
                <w:webHidden/>
              </w:rPr>
            </w:r>
            <w:r>
              <w:rPr>
                <w:noProof/>
                <w:webHidden/>
              </w:rPr>
              <w:fldChar w:fldCharType="separate"/>
            </w:r>
            <w:r w:rsidR="00D432F2">
              <w:rPr>
                <w:noProof/>
                <w:webHidden/>
              </w:rPr>
              <w:t>7</w:t>
            </w:r>
            <w:r>
              <w:rPr>
                <w:noProof/>
                <w:webHidden/>
              </w:rPr>
              <w:fldChar w:fldCharType="end"/>
            </w:r>
          </w:hyperlink>
        </w:p>
        <w:p w14:paraId="6FE8F889" w14:textId="04CCB326" w:rsidR="00902342" w:rsidRDefault="00902342">
          <w:pPr>
            <w:pStyle w:val="TOC2"/>
            <w:rPr>
              <w:rFonts w:asciiTheme="minorHAnsi" w:eastAsiaTheme="minorEastAsia" w:hAnsiTheme="minorHAnsi" w:cstheme="minorBidi"/>
              <w:noProof/>
              <w:color w:val="auto"/>
              <w:kern w:val="2"/>
              <w:sz w:val="24"/>
              <w:szCs w:val="24"/>
              <w:lang w:val="en-AU" w:eastAsia="en-AU"/>
              <w14:ligatures w14:val="standardContextual"/>
            </w:rPr>
          </w:pPr>
          <w:hyperlink w:anchor="_Toc194930374" w:history="1">
            <w:r w:rsidRPr="00F31EE4">
              <w:rPr>
                <w:rStyle w:val="Hyperlink"/>
                <w:noProof/>
              </w:rPr>
              <w:t>5.2</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Analyse and Monitor</w:t>
            </w:r>
            <w:r>
              <w:rPr>
                <w:noProof/>
                <w:webHidden/>
              </w:rPr>
              <w:tab/>
            </w:r>
            <w:r>
              <w:rPr>
                <w:noProof/>
                <w:webHidden/>
              </w:rPr>
              <w:fldChar w:fldCharType="begin"/>
            </w:r>
            <w:r>
              <w:rPr>
                <w:noProof/>
                <w:webHidden/>
              </w:rPr>
              <w:instrText xml:space="preserve"> PAGEREF _Toc194930374 \h </w:instrText>
            </w:r>
            <w:r>
              <w:rPr>
                <w:noProof/>
                <w:webHidden/>
              </w:rPr>
            </w:r>
            <w:r>
              <w:rPr>
                <w:noProof/>
                <w:webHidden/>
              </w:rPr>
              <w:fldChar w:fldCharType="separate"/>
            </w:r>
            <w:r w:rsidR="00D432F2">
              <w:rPr>
                <w:noProof/>
                <w:webHidden/>
              </w:rPr>
              <w:t>7</w:t>
            </w:r>
            <w:r>
              <w:rPr>
                <w:noProof/>
                <w:webHidden/>
              </w:rPr>
              <w:fldChar w:fldCharType="end"/>
            </w:r>
          </w:hyperlink>
        </w:p>
        <w:p w14:paraId="579382C0" w14:textId="1F3C0577"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75" w:history="1">
            <w:r w:rsidRPr="00F31EE4">
              <w:rPr>
                <w:rStyle w:val="Hyperlink"/>
                <w:noProof/>
              </w:rPr>
              <w:t>5.2.1</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Entity review</w:t>
            </w:r>
            <w:r>
              <w:rPr>
                <w:noProof/>
                <w:webHidden/>
              </w:rPr>
              <w:tab/>
            </w:r>
            <w:r>
              <w:rPr>
                <w:noProof/>
                <w:webHidden/>
              </w:rPr>
              <w:fldChar w:fldCharType="begin"/>
            </w:r>
            <w:r>
              <w:rPr>
                <w:noProof/>
                <w:webHidden/>
              </w:rPr>
              <w:instrText xml:space="preserve"> PAGEREF _Toc194930375 \h </w:instrText>
            </w:r>
            <w:r>
              <w:rPr>
                <w:noProof/>
                <w:webHidden/>
              </w:rPr>
            </w:r>
            <w:r>
              <w:rPr>
                <w:noProof/>
                <w:webHidden/>
              </w:rPr>
              <w:fldChar w:fldCharType="separate"/>
            </w:r>
            <w:r w:rsidR="00D432F2">
              <w:rPr>
                <w:noProof/>
                <w:webHidden/>
              </w:rPr>
              <w:t>7</w:t>
            </w:r>
            <w:r>
              <w:rPr>
                <w:noProof/>
                <w:webHidden/>
              </w:rPr>
              <w:fldChar w:fldCharType="end"/>
            </w:r>
          </w:hyperlink>
        </w:p>
        <w:p w14:paraId="510BD7A4" w14:textId="127915CD"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76" w:history="1">
            <w:r w:rsidRPr="00F31EE4">
              <w:rPr>
                <w:rStyle w:val="Hyperlink"/>
                <w:noProof/>
              </w:rPr>
              <w:t>5.2.2</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Program evaluations</w:t>
            </w:r>
            <w:r>
              <w:rPr>
                <w:noProof/>
                <w:webHidden/>
              </w:rPr>
              <w:tab/>
            </w:r>
            <w:r>
              <w:rPr>
                <w:noProof/>
                <w:webHidden/>
              </w:rPr>
              <w:fldChar w:fldCharType="begin"/>
            </w:r>
            <w:r>
              <w:rPr>
                <w:noProof/>
                <w:webHidden/>
              </w:rPr>
              <w:instrText xml:space="preserve"> PAGEREF _Toc194930376 \h </w:instrText>
            </w:r>
            <w:r>
              <w:rPr>
                <w:noProof/>
                <w:webHidden/>
              </w:rPr>
            </w:r>
            <w:r>
              <w:rPr>
                <w:noProof/>
                <w:webHidden/>
              </w:rPr>
              <w:fldChar w:fldCharType="separate"/>
            </w:r>
            <w:r w:rsidR="00D432F2">
              <w:rPr>
                <w:noProof/>
                <w:webHidden/>
              </w:rPr>
              <w:t>8</w:t>
            </w:r>
            <w:r>
              <w:rPr>
                <w:noProof/>
                <w:webHidden/>
              </w:rPr>
              <w:fldChar w:fldCharType="end"/>
            </w:r>
          </w:hyperlink>
        </w:p>
        <w:p w14:paraId="4E5C8AE4" w14:textId="7FDB305F" w:rsidR="00902342" w:rsidRDefault="00902342">
          <w:pPr>
            <w:pStyle w:val="TOC2"/>
            <w:rPr>
              <w:rFonts w:asciiTheme="minorHAnsi" w:eastAsiaTheme="minorEastAsia" w:hAnsiTheme="minorHAnsi" w:cstheme="minorBidi"/>
              <w:noProof/>
              <w:color w:val="auto"/>
              <w:kern w:val="2"/>
              <w:sz w:val="24"/>
              <w:szCs w:val="24"/>
              <w:lang w:val="en-AU" w:eastAsia="en-AU"/>
              <w14:ligatures w14:val="standardContextual"/>
            </w:rPr>
          </w:pPr>
          <w:hyperlink w:anchor="_Toc194930377" w:history="1">
            <w:r w:rsidRPr="00F31EE4">
              <w:rPr>
                <w:rStyle w:val="Hyperlink"/>
                <w:noProof/>
              </w:rPr>
              <w:t>5.3</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Report</w:t>
            </w:r>
            <w:r>
              <w:rPr>
                <w:noProof/>
                <w:webHidden/>
              </w:rPr>
              <w:tab/>
            </w:r>
            <w:r>
              <w:rPr>
                <w:noProof/>
                <w:webHidden/>
              </w:rPr>
              <w:fldChar w:fldCharType="begin"/>
            </w:r>
            <w:r>
              <w:rPr>
                <w:noProof/>
                <w:webHidden/>
              </w:rPr>
              <w:instrText xml:space="preserve"> PAGEREF _Toc194930377 \h </w:instrText>
            </w:r>
            <w:r>
              <w:rPr>
                <w:noProof/>
                <w:webHidden/>
              </w:rPr>
            </w:r>
            <w:r>
              <w:rPr>
                <w:noProof/>
                <w:webHidden/>
              </w:rPr>
              <w:fldChar w:fldCharType="separate"/>
            </w:r>
            <w:r w:rsidR="00D432F2">
              <w:rPr>
                <w:noProof/>
                <w:webHidden/>
              </w:rPr>
              <w:t>8</w:t>
            </w:r>
            <w:r>
              <w:rPr>
                <w:noProof/>
                <w:webHidden/>
              </w:rPr>
              <w:fldChar w:fldCharType="end"/>
            </w:r>
          </w:hyperlink>
        </w:p>
        <w:p w14:paraId="4F491E46" w14:textId="052A3279"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78" w:history="1">
            <w:r w:rsidRPr="00F31EE4">
              <w:rPr>
                <w:rStyle w:val="Hyperlink"/>
                <w:iCs/>
                <w:noProof/>
              </w:rPr>
              <w:t>5.3.1</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i/>
                <w:noProof/>
              </w:rPr>
              <w:t>Financial Management Act 1994</w:t>
            </w:r>
            <w:r w:rsidRPr="00F31EE4">
              <w:rPr>
                <w:rStyle w:val="Hyperlink"/>
                <w:noProof/>
              </w:rPr>
              <w:t xml:space="preserve"> and Standing Directions 2018</w:t>
            </w:r>
            <w:r>
              <w:rPr>
                <w:noProof/>
                <w:webHidden/>
              </w:rPr>
              <w:tab/>
            </w:r>
            <w:r>
              <w:rPr>
                <w:noProof/>
                <w:webHidden/>
              </w:rPr>
              <w:fldChar w:fldCharType="begin"/>
            </w:r>
            <w:r>
              <w:rPr>
                <w:noProof/>
                <w:webHidden/>
              </w:rPr>
              <w:instrText xml:space="preserve"> PAGEREF _Toc194930378 \h </w:instrText>
            </w:r>
            <w:r>
              <w:rPr>
                <w:noProof/>
                <w:webHidden/>
              </w:rPr>
            </w:r>
            <w:r>
              <w:rPr>
                <w:noProof/>
                <w:webHidden/>
              </w:rPr>
              <w:fldChar w:fldCharType="separate"/>
            </w:r>
            <w:r w:rsidR="00D432F2">
              <w:rPr>
                <w:noProof/>
                <w:webHidden/>
              </w:rPr>
              <w:t>8</w:t>
            </w:r>
            <w:r>
              <w:rPr>
                <w:noProof/>
                <w:webHidden/>
              </w:rPr>
              <w:fldChar w:fldCharType="end"/>
            </w:r>
          </w:hyperlink>
        </w:p>
        <w:p w14:paraId="431B4E47" w14:textId="0A64C93C"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79" w:history="1">
            <w:r w:rsidRPr="00F31EE4">
              <w:rPr>
                <w:rStyle w:val="Hyperlink"/>
                <w:noProof/>
              </w:rPr>
              <w:t>5.3.2</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Performance reports</w:t>
            </w:r>
            <w:r>
              <w:rPr>
                <w:noProof/>
                <w:webHidden/>
              </w:rPr>
              <w:tab/>
            </w:r>
            <w:r>
              <w:rPr>
                <w:noProof/>
                <w:webHidden/>
              </w:rPr>
              <w:fldChar w:fldCharType="begin"/>
            </w:r>
            <w:r>
              <w:rPr>
                <w:noProof/>
                <w:webHidden/>
              </w:rPr>
              <w:instrText xml:space="preserve"> PAGEREF _Toc194930379 \h </w:instrText>
            </w:r>
            <w:r>
              <w:rPr>
                <w:noProof/>
                <w:webHidden/>
              </w:rPr>
            </w:r>
            <w:r>
              <w:rPr>
                <w:noProof/>
                <w:webHidden/>
              </w:rPr>
              <w:fldChar w:fldCharType="separate"/>
            </w:r>
            <w:r w:rsidR="00D432F2">
              <w:rPr>
                <w:noProof/>
                <w:webHidden/>
              </w:rPr>
              <w:t>9</w:t>
            </w:r>
            <w:r>
              <w:rPr>
                <w:noProof/>
                <w:webHidden/>
              </w:rPr>
              <w:fldChar w:fldCharType="end"/>
            </w:r>
          </w:hyperlink>
        </w:p>
        <w:p w14:paraId="0996D463" w14:textId="338BC42E"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80" w:history="1">
            <w:r w:rsidRPr="00F31EE4">
              <w:rPr>
                <w:rStyle w:val="Hyperlink"/>
                <w:noProof/>
              </w:rPr>
              <w:t>5.3.3</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Financial reports</w:t>
            </w:r>
            <w:r>
              <w:rPr>
                <w:noProof/>
                <w:webHidden/>
              </w:rPr>
              <w:tab/>
            </w:r>
            <w:r>
              <w:rPr>
                <w:noProof/>
                <w:webHidden/>
              </w:rPr>
              <w:fldChar w:fldCharType="begin"/>
            </w:r>
            <w:r>
              <w:rPr>
                <w:noProof/>
                <w:webHidden/>
              </w:rPr>
              <w:instrText xml:space="preserve"> PAGEREF _Toc194930380 \h </w:instrText>
            </w:r>
            <w:r>
              <w:rPr>
                <w:noProof/>
                <w:webHidden/>
              </w:rPr>
            </w:r>
            <w:r>
              <w:rPr>
                <w:noProof/>
                <w:webHidden/>
              </w:rPr>
              <w:fldChar w:fldCharType="separate"/>
            </w:r>
            <w:r w:rsidR="00D432F2">
              <w:rPr>
                <w:noProof/>
                <w:webHidden/>
              </w:rPr>
              <w:t>9</w:t>
            </w:r>
            <w:r>
              <w:rPr>
                <w:noProof/>
                <w:webHidden/>
              </w:rPr>
              <w:fldChar w:fldCharType="end"/>
            </w:r>
          </w:hyperlink>
        </w:p>
        <w:p w14:paraId="7A5E7E3A" w14:textId="418318F5"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81" w:history="1">
            <w:r w:rsidRPr="00F31EE4">
              <w:rPr>
                <w:rStyle w:val="Hyperlink"/>
                <w:noProof/>
              </w:rPr>
              <w:t>5.3.4</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Compliance with DTF’s Asset Management and Accountability Framework (AMAF) and related attestation requirements</w:t>
            </w:r>
            <w:r>
              <w:rPr>
                <w:noProof/>
                <w:webHidden/>
              </w:rPr>
              <w:tab/>
            </w:r>
            <w:r>
              <w:rPr>
                <w:noProof/>
                <w:webHidden/>
              </w:rPr>
              <w:fldChar w:fldCharType="begin"/>
            </w:r>
            <w:r>
              <w:rPr>
                <w:noProof/>
                <w:webHidden/>
              </w:rPr>
              <w:instrText xml:space="preserve"> PAGEREF _Toc194930381 \h </w:instrText>
            </w:r>
            <w:r>
              <w:rPr>
                <w:noProof/>
                <w:webHidden/>
              </w:rPr>
            </w:r>
            <w:r>
              <w:rPr>
                <w:noProof/>
                <w:webHidden/>
              </w:rPr>
              <w:fldChar w:fldCharType="separate"/>
            </w:r>
            <w:r w:rsidR="00D432F2">
              <w:rPr>
                <w:noProof/>
                <w:webHidden/>
              </w:rPr>
              <w:t>10</w:t>
            </w:r>
            <w:r>
              <w:rPr>
                <w:noProof/>
                <w:webHidden/>
              </w:rPr>
              <w:fldChar w:fldCharType="end"/>
            </w:r>
          </w:hyperlink>
        </w:p>
        <w:p w14:paraId="161D73FB" w14:textId="79EC245A" w:rsidR="00902342" w:rsidRDefault="00902342">
          <w:pPr>
            <w:pStyle w:val="TOC2"/>
            <w:rPr>
              <w:rFonts w:asciiTheme="minorHAnsi" w:eastAsiaTheme="minorEastAsia" w:hAnsiTheme="minorHAnsi" w:cstheme="minorBidi"/>
              <w:noProof/>
              <w:color w:val="auto"/>
              <w:kern w:val="2"/>
              <w:sz w:val="24"/>
              <w:szCs w:val="24"/>
              <w:lang w:val="en-AU" w:eastAsia="en-AU"/>
              <w14:ligatures w14:val="standardContextual"/>
            </w:rPr>
          </w:pPr>
          <w:hyperlink w:anchor="_Toc194930382" w:history="1">
            <w:r w:rsidRPr="00F31EE4">
              <w:rPr>
                <w:rStyle w:val="Hyperlink"/>
                <w:noProof/>
              </w:rPr>
              <w:t>5.4</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Risk Management and Assurance</w:t>
            </w:r>
            <w:r>
              <w:rPr>
                <w:noProof/>
                <w:webHidden/>
              </w:rPr>
              <w:tab/>
            </w:r>
            <w:r>
              <w:rPr>
                <w:noProof/>
                <w:webHidden/>
              </w:rPr>
              <w:fldChar w:fldCharType="begin"/>
            </w:r>
            <w:r>
              <w:rPr>
                <w:noProof/>
                <w:webHidden/>
              </w:rPr>
              <w:instrText xml:space="preserve"> PAGEREF _Toc194930382 \h </w:instrText>
            </w:r>
            <w:r>
              <w:rPr>
                <w:noProof/>
                <w:webHidden/>
              </w:rPr>
            </w:r>
            <w:r>
              <w:rPr>
                <w:noProof/>
                <w:webHidden/>
              </w:rPr>
              <w:fldChar w:fldCharType="separate"/>
            </w:r>
            <w:r w:rsidR="00D432F2">
              <w:rPr>
                <w:noProof/>
                <w:webHidden/>
              </w:rPr>
              <w:t>10</w:t>
            </w:r>
            <w:r>
              <w:rPr>
                <w:noProof/>
                <w:webHidden/>
              </w:rPr>
              <w:fldChar w:fldCharType="end"/>
            </w:r>
          </w:hyperlink>
        </w:p>
        <w:p w14:paraId="02F70FDF" w14:textId="4CA056FE"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83" w:history="1">
            <w:r w:rsidRPr="00F31EE4">
              <w:rPr>
                <w:rStyle w:val="Hyperlink"/>
                <w:noProof/>
              </w:rPr>
              <w:t>5.4.1</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Risk management</w:t>
            </w:r>
            <w:r>
              <w:rPr>
                <w:noProof/>
                <w:webHidden/>
              </w:rPr>
              <w:tab/>
            </w:r>
            <w:r>
              <w:rPr>
                <w:noProof/>
                <w:webHidden/>
              </w:rPr>
              <w:fldChar w:fldCharType="begin"/>
            </w:r>
            <w:r>
              <w:rPr>
                <w:noProof/>
                <w:webHidden/>
              </w:rPr>
              <w:instrText xml:space="preserve"> PAGEREF _Toc194930383 \h </w:instrText>
            </w:r>
            <w:r>
              <w:rPr>
                <w:noProof/>
                <w:webHidden/>
              </w:rPr>
            </w:r>
            <w:r>
              <w:rPr>
                <w:noProof/>
                <w:webHidden/>
              </w:rPr>
              <w:fldChar w:fldCharType="separate"/>
            </w:r>
            <w:r w:rsidR="00D432F2">
              <w:rPr>
                <w:noProof/>
                <w:webHidden/>
              </w:rPr>
              <w:t>10</w:t>
            </w:r>
            <w:r>
              <w:rPr>
                <w:noProof/>
                <w:webHidden/>
              </w:rPr>
              <w:fldChar w:fldCharType="end"/>
            </w:r>
          </w:hyperlink>
        </w:p>
        <w:p w14:paraId="5B288D84" w14:textId="3E68B550"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84" w:history="1">
            <w:r w:rsidRPr="00F31EE4">
              <w:rPr>
                <w:rStyle w:val="Hyperlink"/>
                <w:noProof/>
              </w:rPr>
              <w:t>5.4.2</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Entity risk escalation criteria</w:t>
            </w:r>
            <w:r>
              <w:rPr>
                <w:noProof/>
                <w:webHidden/>
              </w:rPr>
              <w:tab/>
            </w:r>
            <w:r>
              <w:rPr>
                <w:noProof/>
                <w:webHidden/>
              </w:rPr>
              <w:fldChar w:fldCharType="begin"/>
            </w:r>
            <w:r>
              <w:rPr>
                <w:noProof/>
                <w:webHidden/>
              </w:rPr>
              <w:instrText xml:space="preserve"> PAGEREF _Toc194930384 \h </w:instrText>
            </w:r>
            <w:r>
              <w:rPr>
                <w:noProof/>
                <w:webHidden/>
              </w:rPr>
            </w:r>
            <w:r>
              <w:rPr>
                <w:noProof/>
                <w:webHidden/>
              </w:rPr>
              <w:fldChar w:fldCharType="separate"/>
            </w:r>
            <w:r w:rsidR="00D432F2">
              <w:rPr>
                <w:noProof/>
                <w:webHidden/>
              </w:rPr>
              <w:t>11</w:t>
            </w:r>
            <w:r>
              <w:rPr>
                <w:noProof/>
                <w:webHidden/>
              </w:rPr>
              <w:fldChar w:fldCharType="end"/>
            </w:r>
          </w:hyperlink>
        </w:p>
        <w:p w14:paraId="3DC9E0F0" w14:textId="7952274C"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85" w:history="1">
            <w:r w:rsidRPr="00F31EE4">
              <w:rPr>
                <w:rStyle w:val="Hyperlink"/>
                <w:noProof/>
              </w:rPr>
              <w:t>5.4.3</w:t>
            </w:r>
            <w:r>
              <w:rPr>
                <w:rFonts w:asciiTheme="minorHAnsi" w:eastAsiaTheme="minorEastAsia" w:hAnsiTheme="minorHAnsi" w:cstheme="minorBidi"/>
                <w:noProof/>
                <w:color w:val="auto"/>
                <w:kern w:val="2"/>
                <w:sz w:val="24"/>
                <w:szCs w:val="24"/>
                <w:lang w:val="en-AU" w:eastAsia="en-AU"/>
                <w14:ligatures w14:val="standardContextual"/>
              </w:rPr>
              <w:tab/>
            </w:r>
            <w:r w:rsidR="002A39DB">
              <w:rPr>
                <w:rStyle w:val="Hyperlink"/>
                <w:noProof/>
              </w:rPr>
              <w:t>Reporting cyber</w:t>
            </w:r>
            <w:r w:rsidR="003B4AD8">
              <w:rPr>
                <w:rStyle w:val="Hyperlink"/>
                <w:noProof/>
              </w:rPr>
              <w:t>security incidents to the department</w:t>
            </w:r>
            <w:r>
              <w:rPr>
                <w:noProof/>
                <w:webHidden/>
              </w:rPr>
              <w:tab/>
            </w:r>
            <w:r>
              <w:rPr>
                <w:noProof/>
                <w:webHidden/>
              </w:rPr>
              <w:fldChar w:fldCharType="begin"/>
            </w:r>
            <w:r>
              <w:rPr>
                <w:noProof/>
                <w:webHidden/>
              </w:rPr>
              <w:instrText xml:space="preserve"> PAGEREF _Toc194930385 \h </w:instrText>
            </w:r>
            <w:r>
              <w:rPr>
                <w:noProof/>
                <w:webHidden/>
              </w:rPr>
            </w:r>
            <w:r>
              <w:rPr>
                <w:noProof/>
                <w:webHidden/>
              </w:rPr>
              <w:fldChar w:fldCharType="separate"/>
            </w:r>
            <w:r w:rsidR="00D432F2">
              <w:rPr>
                <w:noProof/>
                <w:webHidden/>
              </w:rPr>
              <w:t>12</w:t>
            </w:r>
            <w:r>
              <w:rPr>
                <w:noProof/>
                <w:webHidden/>
              </w:rPr>
              <w:fldChar w:fldCharType="end"/>
            </w:r>
          </w:hyperlink>
        </w:p>
        <w:p w14:paraId="04C73BD2" w14:textId="12141E2D" w:rsidR="00902342" w:rsidRDefault="00902342">
          <w:pPr>
            <w:pStyle w:val="TOC3"/>
            <w:rPr>
              <w:rStyle w:val="Hyperlink"/>
              <w:noProof/>
            </w:rPr>
          </w:pPr>
          <w:hyperlink w:anchor="_Toc194930386" w:history="1">
            <w:r w:rsidRPr="00F31EE4">
              <w:rPr>
                <w:rStyle w:val="Hyperlink"/>
                <w:noProof/>
              </w:rPr>
              <w:t>5.4.4</w:t>
            </w:r>
            <w:r>
              <w:rPr>
                <w:rFonts w:asciiTheme="minorHAnsi" w:eastAsiaTheme="minorEastAsia" w:hAnsiTheme="minorHAnsi" w:cstheme="minorBidi"/>
                <w:noProof/>
                <w:color w:val="auto"/>
                <w:kern w:val="2"/>
                <w:sz w:val="24"/>
                <w:szCs w:val="24"/>
                <w:lang w:val="en-AU" w:eastAsia="en-AU"/>
                <w14:ligatures w14:val="standardContextual"/>
              </w:rPr>
              <w:tab/>
            </w:r>
            <w:r w:rsidR="002A39DB">
              <w:rPr>
                <w:rStyle w:val="Hyperlink"/>
                <w:noProof/>
              </w:rPr>
              <w:t>Assurance Activities</w:t>
            </w:r>
            <w:r>
              <w:rPr>
                <w:noProof/>
                <w:webHidden/>
              </w:rPr>
              <w:tab/>
            </w:r>
            <w:r>
              <w:rPr>
                <w:noProof/>
                <w:webHidden/>
              </w:rPr>
              <w:fldChar w:fldCharType="begin"/>
            </w:r>
            <w:r>
              <w:rPr>
                <w:noProof/>
                <w:webHidden/>
              </w:rPr>
              <w:instrText xml:space="preserve"> PAGEREF _Toc194930386 \h </w:instrText>
            </w:r>
            <w:r>
              <w:rPr>
                <w:noProof/>
                <w:webHidden/>
              </w:rPr>
            </w:r>
            <w:r>
              <w:rPr>
                <w:noProof/>
                <w:webHidden/>
              </w:rPr>
              <w:fldChar w:fldCharType="separate"/>
            </w:r>
            <w:r w:rsidR="00D432F2">
              <w:rPr>
                <w:noProof/>
                <w:webHidden/>
              </w:rPr>
              <w:t>12</w:t>
            </w:r>
            <w:r>
              <w:rPr>
                <w:noProof/>
                <w:webHidden/>
              </w:rPr>
              <w:fldChar w:fldCharType="end"/>
            </w:r>
          </w:hyperlink>
        </w:p>
        <w:p w14:paraId="63D43D55" w14:textId="06BCD494" w:rsidR="00C8335F" w:rsidRPr="006C04C9" w:rsidRDefault="00C8335F" w:rsidP="006C04C9">
          <w:pPr>
            <w:rPr>
              <w:noProof/>
            </w:rPr>
          </w:pPr>
          <w:r>
            <w:rPr>
              <w:noProof/>
            </w:rPr>
            <w:t xml:space="preserve">       5.4.5       Insurance……………………………………………………………………………………………………….</w:t>
          </w:r>
          <w:r w:rsidR="002A39DB">
            <w:rPr>
              <w:noProof/>
            </w:rPr>
            <w:t>12</w:t>
          </w:r>
        </w:p>
        <w:p w14:paraId="6A4E9897" w14:textId="43109E85" w:rsidR="00902342" w:rsidRDefault="00902342">
          <w:pPr>
            <w:pStyle w:val="TOC2"/>
            <w:rPr>
              <w:rFonts w:asciiTheme="minorHAnsi" w:eastAsiaTheme="minorEastAsia" w:hAnsiTheme="minorHAnsi" w:cstheme="minorBidi"/>
              <w:noProof/>
              <w:color w:val="auto"/>
              <w:kern w:val="2"/>
              <w:sz w:val="24"/>
              <w:szCs w:val="24"/>
              <w:lang w:val="en-AU" w:eastAsia="en-AU"/>
              <w14:ligatures w14:val="standardContextual"/>
            </w:rPr>
          </w:pPr>
          <w:hyperlink w:anchor="_Toc194930387" w:history="1">
            <w:r w:rsidRPr="00F31EE4">
              <w:rPr>
                <w:rStyle w:val="Hyperlink"/>
                <w:noProof/>
              </w:rPr>
              <w:t>5.5</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Communication and Engagement</w:t>
            </w:r>
            <w:r>
              <w:rPr>
                <w:noProof/>
                <w:webHidden/>
              </w:rPr>
              <w:tab/>
            </w:r>
            <w:r>
              <w:rPr>
                <w:noProof/>
                <w:webHidden/>
              </w:rPr>
              <w:fldChar w:fldCharType="begin"/>
            </w:r>
            <w:r>
              <w:rPr>
                <w:noProof/>
                <w:webHidden/>
              </w:rPr>
              <w:instrText xml:space="preserve"> PAGEREF _Toc194930387 \h </w:instrText>
            </w:r>
            <w:r>
              <w:rPr>
                <w:noProof/>
                <w:webHidden/>
              </w:rPr>
            </w:r>
            <w:r>
              <w:rPr>
                <w:noProof/>
                <w:webHidden/>
              </w:rPr>
              <w:fldChar w:fldCharType="separate"/>
            </w:r>
            <w:r w:rsidR="00D432F2">
              <w:rPr>
                <w:noProof/>
                <w:webHidden/>
              </w:rPr>
              <w:t>13</w:t>
            </w:r>
            <w:r>
              <w:rPr>
                <w:noProof/>
                <w:webHidden/>
              </w:rPr>
              <w:fldChar w:fldCharType="end"/>
            </w:r>
          </w:hyperlink>
        </w:p>
        <w:p w14:paraId="6440C6A0" w14:textId="2465CECC"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88" w:history="1">
            <w:r w:rsidRPr="00F31EE4">
              <w:rPr>
                <w:rStyle w:val="Hyperlink"/>
                <w:noProof/>
              </w:rPr>
              <w:t>5.5.1</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Roles and responsibilities of relationship managers</w:t>
            </w:r>
            <w:r>
              <w:rPr>
                <w:noProof/>
                <w:webHidden/>
              </w:rPr>
              <w:tab/>
            </w:r>
            <w:r>
              <w:rPr>
                <w:noProof/>
                <w:webHidden/>
              </w:rPr>
              <w:fldChar w:fldCharType="begin"/>
            </w:r>
            <w:r>
              <w:rPr>
                <w:noProof/>
                <w:webHidden/>
              </w:rPr>
              <w:instrText xml:space="preserve"> PAGEREF _Toc194930388 \h </w:instrText>
            </w:r>
            <w:r>
              <w:rPr>
                <w:noProof/>
                <w:webHidden/>
              </w:rPr>
            </w:r>
            <w:r>
              <w:rPr>
                <w:noProof/>
                <w:webHidden/>
              </w:rPr>
              <w:fldChar w:fldCharType="separate"/>
            </w:r>
            <w:r w:rsidR="00D432F2">
              <w:rPr>
                <w:noProof/>
                <w:webHidden/>
              </w:rPr>
              <w:t>13</w:t>
            </w:r>
            <w:r>
              <w:rPr>
                <w:noProof/>
                <w:webHidden/>
              </w:rPr>
              <w:fldChar w:fldCharType="end"/>
            </w:r>
          </w:hyperlink>
        </w:p>
        <w:p w14:paraId="2410C5F0" w14:textId="5842F6F4" w:rsidR="00902342" w:rsidRDefault="00902342">
          <w:pPr>
            <w:pStyle w:val="TOC4"/>
            <w:rPr>
              <w:rFonts w:asciiTheme="minorHAnsi" w:eastAsiaTheme="minorEastAsia" w:hAnsiTheme="minorHAnsi" w:cstheme="minorBidi"/>
              <w:noProof/>
              <w:color w:val="auto"/>
              <w:kern w:val="2"/>
              <w:sz w:val="24"/>
              <w:szCs w:val="24"/>
              <w:lang w:val="en-AU" w:eastAsia="en-AU"/>
              <w14:ligatures w14:val="standardContextual"/>
            </w:rPr>
          </w:pPr>
          <w:hyperlink w:anchor="_Toc194930389" w:history="1">
            <w:r w:rsidRPr="00F31EE4">
              <w:rPr>
                <w:rStyle w:val="Hyperlink"/>
                <w:noProof/>
              </w:rPr>
              <w:t>5.5.1.1 Roles and responsibilities of Corporate Services</w:t>
            </w:r>
            <w:r>
              <w:rPr>
                <w:noProof/>
                <w:webHidden/>
              </w:rPr>
              <w:tab/>
            </w:r>
            <w:r>
              <w:rPr>
                <w:noProof/>
                <w:webHidden/>
              </w:rPr>
              <w:fldChar w:fldCharType="begin"/>
            </w:r>
            <w:r>
              <w:rPr>
                <w:noProof/>
                <w:webHidden/>
              </w:rPr>
              <w:instrText xml:space="preserve"> PAGEREF _Toc194930389 \h </w:instrText>
            </w:r>
            <w:r>
              <w:rPr>
                <w:noProof/>
                <w:webHidden/>
              </w:rPr>
            </w:r>
            <w:r>
              <w:rPr>
                <w:noProof/>
                <w:webHidden/>
              </w:rPr>
              <w:fldChar w:fldCharType="separate"/>
            </w:r>
            <w:r w:rsidR="00D432F2">
              <w:rPr>
                <w:noProof/>
                <w:webHidden/>
              </w:rPr>
              <w:t>13</w:t>
            </w:r>
            <w:r>
              <w:rPr>
                <w:noProof/>
                <w:webHidden/>
              </w:rPr>
              <w:fldChar w:fldCharType="end"/>
            </w:r>
          </w:hyperlink>
        </w:p>
        <w:p w14:paraId="32864B8D" w14:textId="17816E0C"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90" w:history="1">
            <w:r w:rsidRPr="00F31EE4">
              <w:rPr>
                <w:rStyle w:val="Hyperlink"/>
                <w:noProof/>
              </w:rPr>
              <w:t>5.5.2</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Consultation on ministerial briefs</w:t>
            </w:r>
            <w:r>
              <w:rPr>
                <w:noProof/>
                <w:webHidden/>
              </w:rPr>
              <w:tab/>
            </w:r>
            <w:r>
              <w:rPr>
                <w:noProof/>
                <w:webHidden/>
              </w:rPr>
              <w:fldChar w:fldCharType="begin"/>
            </w:r>
            <w:r>
              <w:rPr>
                <w:noProof/>
                <w:webHidden/>
              </w:rPr>
              <w:instrText xml:space="preserve"> PAGEREF _Toc194930390 \h </w:instrText>
            </w:r>
            <w:r>
              <w:rPr>
                <w:noProof/>
                <w:webHidden/>
              </w:rPr>
            </w:r>
            <w:r>
              <w:rPr>
                <w:noProof/>
                <w:webHidden/>
              </w:rPr>
              <w:fldChar w:fldCharType="separate"/>
            </w:r>
            <w:r w:rsidR="00D432F2">
              <w:rPr>
                <w:noProof/>
                <w:webHidden/>
              </w:rPr>
              <w:t>14</w:t>
            </w:r>
            <w:r>
              <w:rPr>
                <w:noProof/>
                <w:webHidden/>
              </w:rPr>
              <w:fldChar w:fldCharType="end"/>
            </w:r>
          </w:hyperlink>
        </w:p>
        <w:p w14:paraId="650D1F03" w14:textId="2F3C7515"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91" w:history="1">
            <w:r w:rsidRPr="00F31EE4">
              <w:rPr>
                <w:rStyle w:val="Hyperlink"/>
                <w:noProof/>
              </w:rPr>
              <w:t>5.5.3</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Corresponding with the minister</w:t>
            </w:r>
            <w:r>
              <w:rPr>
                <w:noProof/>
                <w:webHidden/>
              </w:rPr>
              <w:tab/>
            </w:r>
            <w:r>
              <w:rPr>
                <w:noProof/>
                <w:webHidden/>
              </w:rPr>
              <w:fldChar w:fldCharType="begin"/>
            </w:r>
            <w:r>
              <w:rPr>
                <w:noProof/>
                <w:webHidden/>
              </w:rPr>
              <w:instrText xml:space="preserve"> PAGEREF _Toc194930391 \h </w:instrText>
            </w:r>
            <w:r>
              <w:rPr>
                <w:noProof/>
                <w:webHidden/>
              </w:rPr>
            </w:r>
            <w:r>
              <w:rPr>
                <w:noProof/>
                <w:webHidden/>
              </w:rPr>
              <w:fldChar w:fldCharType="separate"/>
            </w:r>
            <w:r w:rsidR="00D432F2">
              <w:rPr>
                <w:noProof/>
                <w:webHidden/>
              </w:rPr>
              <w:t>15</w:t>
            </w:r>
            <w:r>
              <w:rPr>
                <w:noProof/>
                <w:webHidden/>
              </w:rPr>
              <w:fldChar w:fldCharType="end"/>
            </w:r>
          </w:hyperlink>
        </w:p>
        <w:p w14:paraId="436B982C" w14:textId="51BE62FE"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92" w:history="1">
            <w:r w:rsidRPr="00F31EE4">
              <w:rPr>
                <w:rStyle w:val="Hyperlink"/>
                <w:noProof/>
              </w:rPr>
              <w:t>5.5.4</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Meetings with the minister and ministerial staff</w:t>
            </w:r>
            <w:r>
              <w:rPr>
                <w:noProof/>
                <w:webHidden/>
              </w:rPr>
              <w:tab/>
            </w:r>
            <w:r>
              <w:rPr>
                <w:noProof/>
                <w:webHidden/>
              </w:rPr>
              <w:fldChar w:fldCharType="begin"/>
            </w:r>
            <w:r>
              <w:rPr>
                <w:noProof/>
                <w:webHidden/>
              </w:rPr>
              <w:instrText xml:space="preserve"> PAGEREF _Toc194930392 \h </w:instrText>
            </w:r>
            <w:r>
              <w:rPr>
                <w:noProof/>
                <w:webHidden/>
              </w:rPr>
            </w:r>
            <w:r>
              <w:rPr>
                <w:noProof/>
                <w:webHidden/>
              </w:rPr>
              <w:fldChar w:fldCharType="separate"/>
            </w:r>
            <w:r w:rsidR="00D432F2">
              <w:rPr>
                <w:noProof/>
                <w:webHidden/>
              </w:rPr>
              <w:t>15</w:t>
            </w:r>
            <w:r>
              <w:rPr>
                <w:noProof/>
                <w:webHidden/>
              </w:rPr>
              <w:fldChar w:fldCharType="end"/>
            </w:r>
          </w:hyperlink>
        </w:p>
        <w:p w14:paraId="11B9A0E9" w14:textId="6654DBE1"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93" w:history="1">
            <w:r w:rsidRPr="00F31EE4">
              <w:rPr>
                <w:rStyle w:val="Hyperlink"/>
                <w:noProof/>
              </w:rPr>
              <w:t>5.5.5</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Governance meetings and frequency</w:t>
            </w:r>
            <w:r>
              <w:rPr>
                <w:noProof/>
                <w:webHidden/>
              </w:rPr>
              <w:tab/>
            </w:r>
            <w:r>
              <w:rPr>
                <w:noProof/>
                <w:webHidden/>
              </w:rPr>
              <w:fldChar w:fldCharType="begin"/>
            </w:r>
            <w:r>
              <w:rPr>
                <w:noProof/>
                <w:webHidden/>
              </w:rPr>
              <w:instrText xml:space="preserve"> PAGEREF _Toc194930393 \h </w:instrText>
            </w:r>
            <w:r>
              <w:rPr>
                <w:noProof/>
                <w:webHidden/>
              </w:rPr>
            </w:r>
            <w:r>
              <w:rPr>
                <w:noProof/>
                <w:webHidden/>
              </w:rPr>
              <w:fldChar w:fldCharType="separate"/>
            </w:r>
            <w:r w:rsidR="00D432F2">
              <w:rPr>
                <w:noProof/>
                <w:webHidden/>
              </w:rPr>
              <w:t>15</w:t>
            </w:r>
            <w:r>
              <w:rPr>
                <w:noProof/>
                <w:webHidden/>
              </w:rPr>
              <w:fldChar w:fldCharType="end"/>
            </w:r>
          </w:hyperlink>
        </w:p>
        <w:p w14:paraId="195EC4B7" w14:textId="48331BD1" w:rsidR="00902342" w:rsidRDefault="00902342">
          <w:pPr>
            <w:pStyle w:val="TOC2"/>
            <w:rPr>
              <w:rFonts w:asciiTheme="minorHAnsi" w:eastAsiaTheme="minorEastAsia" w:hAnsiTheme="minorHAnsi" w:cstheme="minorBidi"/>
              <w:noProof/>
              <w:color w:val="auto"/>
              <w:kern w:val="2"/>
              <w:sz w:val="24"/>
              <w:szCs w:val="24"/>
              <w:lang w:val="en-AU" w:eastAsia="en-AU"/>
              <w14:ligatures w14:val="standardContextual"/>
            </w:rPr>
          </w:pPr>
          <w:hyperlink w:anchor="_Toc194930394" w:history="1">
            <w:r w:rsidRPr="00F31EE4">
              <w:rPr>
                <w:rStyle w:val="Hyperlink"/>
                <w:noProof/>
              </w:rPr>
              <w:t>5.6</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Board Appointments, Induction, Meetings and Performance</w:t>
            </w:r>
            <w:r>
              <w:rPr>
                <w:noProof/>
                <w:webHidden/>
              </w:rPr>
              <w:tab/>
            </w:r>
            <w:r>
              <w:rPr>
                <w:noProof/>
                <w:webHidden/>
              </w:rPr>
              <w:fldChar w:fldCharType="begin"/>
            </w:r>
            <w:r>
              <w:rPr>
                <w:noProof/>
                <w:webHidden/>
              </w:rPr>
              <w:instrText xml:space="preserve"> PAGEREF _Toc194930394 \h </w:instrText>
            </w:r>
            <w:r>
              <w:rPr>
                <w:noProof/>
                <w:webHidden/>
              </w:rPr>
            </w:r>
            <w:r>
              <w:rPr>
                <w:noProof/>
                <w:webHidden/>
              </w:rPr>
              <w:fldChar w:fldCharType="separate"/>
            </w:r>
            <w:r w:rsidR="00D432F2">
              <w:rPr>
                <w:noProof/>
                <w:webHidden/>
              </w:rPr>
              <w:t>16</w:t>
            </w:r>
            <w:r>
              <w:rPr>
                <w:noProof/>
                <w:webHidden/>
              </w:rPr>
              <w:fldChar w:fldCharType="end"/>
            </w:r>
          </w:hyperlink>
        </w:p>
        <w:p w14:paraId="63AD718D" w14:textId="188A442C"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95" w:history="1">
            <w:r w:rsidRPr="00F31EE4">
              <w:rPr>
                <w:rStyle w:val="Hyperlink"/>
                <w:noProof/>
              </w:rPr>
              <w:t>5.6.1</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Recruitment, selection, appointment and remuneration processes</w:t>
            </w:r>
            <w:r>
              <w:rPr>
                <w:noProof/>
                <w:webHidden/>
              </w:rPr>
              <w:tab/>
            </w:r>
            <w:r>
              <w:rPr>
                <w:noProof/>
                <w:webHidden/>
              </w:rPr>
              <w:fldChar w:fldCharType="begin"/>
            </w:r>
            <w:r>
              <w:rPr>
                <w:noProof/>
                <w:webHidden/>
              </w:rPr>
              <w:instrText xml:space="preserve"> PAGEREF _Toc194930395 \h </w:instrText>
            </w:r>
            <w:r>
              <w:rPr>
                <w:noProof/>
                <w:webHidden/>
              </w:rPr>
            </w:r>
            <w:r>
              <w:rPr>
                <w:noProof/>
                <w:webHidden/>
              </w:rPr>
              <w:fldChar w:fldCharType="separate"/>
            </w:r>
            <w:r w:rsidR="00D432F2">
              <w:rPr>
                <w:noProof/>
                <w:webHidden/>
              </w:rPr>
              <w:t>16</w:t>
            </w:r>
            <w:r>
              <w:rPr>
                <w:noProof/>
                <w:webHidden/>
              </w:rPr>
              <w:fldChar w:fldCharType="end"/>
            </w:r>
          </w:hyperlink>
        </w:p>
        <w:p w14:paraId="0FEA1C98" w14:textId="63621F66"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96" w:history="1">
            <w:r w:rsidRPr="00F31EE4">
              <w:rPr>
                <w:rStyle w:val="Hyperlink"/>
                <w:noProof/>
              </w:rPr>
              <w:t xml:space="preserve">5.6.2 </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Diversity on Victorian Government boards</w:t>
            </w:r>
            <w:r>
              <w:rPr>
                <w:noProof/>
                <w:webHidden/>
              </w:rPr>
              <w:tab/>
            </w:r>
            <w:r>
              <w:rPr>
                <w:noProof/>
                <w:webHidden/>
              </w:rPr>
              <w:fldChar w:fldCharType="begin"/>
            </w:r>
            <w:r>
              <w:rPr>
                <w:noProof/>
                <w:webHidden/>
              </w:rPr>
              <w:instrText xml:space="preserve"> PAGEREF _Toc194930396 \h </w:instrText>
            </w:r>
            <w:r>
              <w:rPr>
                <w:noProof/>
                <w:webHidden/>
              </w:rPr>
            </w:r>
            <w:r>
              <w:rPr>
                <w:noProof/>
                <w:webHidden/>
              </w:rPr>
              <w:fldChar w:fldCharType="separate"/>
            </w:r>
            <w:r w:rsidR="00D432F2">
              <w:rPr>
                <w:noProof/>
                <w:webHidden/>
              </w:rPr>
              <w:t>16</w:t>
            </w:r>
            <w:r>
              <w:rPr>
                <w:noProof/>
                <w:webHidden/>
              </w:rPr>
              <w:fldChar w:fldCharType="end"/>
            </w:r>
          </w:hyperlink>
        </w:p>
        <w:p w14:paraId="2357BC0D" w14:textId="3E8B6F65" w:rsidR="00902342" w:rsidRDefault="00902342">
          <w:pPr>
            <w:pStyle w:val="TOC4"/>
            <w:rPr>
              <w:rFonts w:asciiTheme="minorHAnsi" w:eastAsiaTheme="minorEastAsia" w:hAnsiTheme="minorHAnsi" w:cstheme="minorBidi"/>
              <w:noProof/>
              <w:color w:val="auto"/>
              <w:kern w:val="2"/>
              <w:sz w:val="24"/>
              <w:szCs w:val="24"/>
              <w:lang w:val="en-AU" w:eastAsia="en-AU"/>
              <w14:ligatures w14:val="standardContextual"/>
            </w:rPr>
          </w:pPr>
          <w:hyperlink w:anchor="_Toc194930397" w:history="1">
            <w:r w:rsidRPr="00F31EE4">
              <w:rPr>
                <w:rStyle w:val="Hyperlink"/>
                <w:rFonts w:cstheme="majorHAnsi"/>
                <w:noProof/>
              </w:rPr>
              <w:t>5.6.2.1 Scope of diversity targets</w:t>
            </w:r>
            <w:r>
              <w:rPr>
                <w:noProof/>
                <w:webHidden/>
              </w:rPr>
              <w:tab/>
            </w:r>
            <w:r>
              <w:rPr>
                <w:noProof/>
                <w:webHidden/>
              </w:rPr>
              <w:fldChar w:fldCharType="begin"/>
            </w:r>
            <w:r>
              <w:rPr>
                <w:noProof/>
                <w:webHidden/>
              </w:rPr>
              <w:instrText xml:space="preserve"> PAGEREF _Toc194930397 \h </w:instrText>
            </w:r>
            <w:r>
              <w:rPr>
                <w:noProof/>
                <w:webHidden/>
              </w:rPr>
            </w:r>
            <w:r>
              <w:rPr>
                <w:noProof/>
                <w:webHidden/>
              </w:rPr>
              <w:fldChar w:fldCharType="separate"/>
            </w:r>
            <w:r w:rsidR="00D432F2">
              <w:rPr>
                <w:noProof/>
                <w:webHidden/>
              </w:rPr>
              <w:t>16</w:t>
            </w:r>
            <w:r>
              <w:rPr>
                <w:noProof/>
                <w:webHidden/>
              </w:rPr>
              <w:fldChar w:fldCharType="end"/>
            </w:r>
          </w:hyperlink>
        </w:p>
        <w:p w14:paraId="77D6077A" w14:textId="77607A40"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98" w:history="1">
            <w:r w:rsidRPr="00F31EE4">
              <w:rPr>
                <w:rStyle w:val="Hyperlink"/>
                <w:noProof/>
              </w:rPr>
              <w:t>5.6.3</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Board induction</w:t>
            </w:r>
            <w:r>
              <w:rPr>
                <w:noProof/>
                <w:webHidden/>
              </w:rPr>
              <w:tab/>
            </w:r>
            <w:r>
              <w:rPr>
                <w:noProof/>
                <w:webHidden/>
              </w:rPr>
              <w:fldChar w:fldCharType="begin"/>
            </w:r>
            <w:r>
              <w:rPr>
                <w:noProof/>
                <w:webHidden/>
              </w:rPr>
              <w:instrText xml:space="preserve"> PAGEREF _Toc194930398 \h </w:instrText>
            </w:r>
            <w:r>
              <w:rPr>
                <w:noProof/>
                <w:webHidden/>
              </w:rPr>
            </w:r>
            <w:r>
              <w:rPr>
                <w:noProof/>
                <w:webHidden/>
              </w:rPr>
              <w:fldChar w:fldCharType="separate"/>
            </w:r>
            <w:r w:rsidR="00D432F2">
              <w:rPr>
                <w:noProof/>
                <w:webHidden/>
              </w:rPr>
              <w:t>17</w:t>
            </w:r>
            <w:r>
              <w:rPr>
                <w:noProof/>
                <w:webHidden/>
              </w:rPr>
              <w:fldChar w:fldCharType="end"/>
            </w:r>
          </w:hyperlink>
        </w:p>
        <w:p w14:paraId="68E9BB78" w14:textId="461929B3"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399" w:history="1">
            <w:r w:rsidRPr="00F31EE4">
              <w:rPr>
                <w:rStyle w:val="Hyperlink"/>
                <w:noProof/>
              </w:rPr>
              <w:t>5.6.4</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Departmental attendance at entity board meetings</w:t>
            </w:r>
            <w:r>
              <w:rPr>
                <w:noProof/>
                <w:webHidden/>
              </w:rPr>
              <w:tab/>
            </w:r>
            <w:r>
              <w:rPr>
                <w:noProof/>
                <w:webHidden/>
              </w:rPr>
              <w:fldChar w:fldCharType="begin"/>
            </w:r>
            <w:r>
              <w:rPr>
                <w:noProof/>
                <w:webHidden/>
              </w:rPr>
              <w:instrText xml:space="preserve"> PAGEREF _Toc194930399 \h </w:instrText>
            </w:r>
            <w:r>
              <w:rPr>
                <w:noProof/>
                <w:webHidden/>
              </w:rPr>
            </w:r>
            <w:r>
              <w:rPr>
                <w:noProof/>
                <w:webHidden/>
              </w:rPr>
              <w:fldChar w:fldCharType="separate"/>
            </w:r>
            <w:r w:rsidR="00D432F2">
              <w:rPr>
                <w:noProof/>
                <w:webHidden/>
              </w:rPr>
              <w:t>17</w:t>
            </w:r>
            <w:r>
              <w:rPr>
                <w:noProof/>
                <w:webHidden/>
              </w:rPr>
              <w:fldChar w:fldCharType="end"/>
            </w:r>
          </w:hyperlink>
        </w:p>
        <w:p w14:paraId="69C9D703" w14:textId="10EC1A66"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400" w:history="1">
            <w:r w:rsidRPr="00F31EE4">
              <w:rPr>
                <w:rStyle w:val="Hyperlink"/>
                <w:noProof/>
              </w:rPr>
              <w:t>5.6.5</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Board performance</w:t>
            </w:r>
            <w:r>
              <w:rPr>
                <w:noProof/>
                <w:webHidden/>
              </w:rPr>
              <w:tab/>
            </w:r>
            <w:r>
              <w:rPr>
                <w:noProof/>
                <w:webHidden/>
              </w:rPr>
              <w:fldChar w:fldCharType="begin"/>
            </w:r>
            <w:r>
              <w:rPr>
                <w:noProof/>
                <w:webHidden/>
              </w:rPr>
              <w:instrText xml:space="preserve"> PAGEREF _Toc194930400 \h </w:instrText>
            </w:r>
            <w:r>
              <w:rPr>
                <w:noProof/>
                <w:webHidden/>
              </w:rPr>
            </w:r>
            <w:r>
              <w:rPr>
                <w:noProof/>
                <w:webHidden/>
              </w:rPr>
              <w:fldChar w:fldCharType="separate"/>
            </w:r>
            <w:r w:rsidR="00D432F2">
              <w:rPr>
                <w:noProof/>
                <w:webHidden/>
              </w:rPr>
              <w:t>18</w:t>
            </w:r>
            <w:r>
              <w:rPr>
                <w:noProof/>
                <w:webHidden/>
              </w:rPr>
              <w:fldChar w:fldCharType="end"/>
            </w:r>
          </w:hyperlink>
        </w:p>
        <w:p w14:paraId="7F4A87EB" w14:textId="1D9622EE" w:rsidR="00902342" w:rsidRDefault="00902342">
          <w:pPr>
            <w:pStyle w:val="TOC2"/>
            <w:rPr>
              <w:rFonts w:asciiTheme="minorHAnsi" w:eastAsiaTheme="minorEastAsia" w:hAnsiTheme="minorHAnsi" w:cstheme="minorBidi"/>
              <w:noProof/>
              <w:color w:val="auto"/>
              <w:kern w:val="2"/>
              <w:sz w:val="24"/>
              <w:szCs w:val="24"/>
              <w:lang w:val="en-AU" w:eastAsia="en-AU"/>
              <w14:ligatures w14:val="standardContextual"/>
            </w:rPr>
          </w:pPr>
          <w:hyperlink w:anchor="_Toc194930401" w:history="1">
            <w:r w:rsidRPr="00F31EE4">
              <w:rPr>
                <w:rStyle w:val="Hyperlink"/>
                <w:noProof/>
              </w:rPr>
              <w:t>5.7 Occupational Health and Safety (OHS)</w:t>
            </w:r>
            <w:r>
              <w:rPr>
                <w:noProof/>
                <w:webHidden/>
              </w:rPr>
              <w:tab/>
            </w:r>
            <w:r>
              <w:rPr>
                <w:noProof/>
                <w:webHidden/>
              </w:rPr>
              <w:fldChar w:fldCharType="begin"/>
            </w:r>
            <w:r>
              <w:rPr>
                <w:noProof/>
                <w:webHidden/>
              </w:rPr>
              <w:instrText xml:space="preserve"> PAGEREF _Toc194930401 \h </w:instrText>
            </w:r>
            <w:r>
              <w:rPr>
                <w:noProof/>
                <w:webHidden/>
              </w:rPr>
            </w:r>
            <w:r>
              <w:rPr>
                <w:noProof/>
                <w:webHidden/>
              </w:rPr>
              <w:fldChar w:fldCharType="separate"/>
            </w:r>
            <w:r w:rsidR="00D432F2">
              <w:rPr>
                <w:noProof/>
                <w:webHidden/>
              </w:rPr>
              <w:t>18</w:t>
            </w:r>
            <w:r>
              <w:rPr>
                <w:noProof/>
                <w:webHidden/>
              </w:rPr>
              <w:fldChar w:fldCharType="end"/>
            </w:r>
          </w:hyperlink>
        </w:p>
        <w:p w14:paraId="694D4FE9" w14:textId="1B431013"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402" w:history="1">
            <w:r w:rsidRPr="00F31EE4">
              <w:rPr>
                <w:rStyle w:val="Hyperlink"/>
                <w:noProof/>
                <w:lang w:eastAsia="en-AU"/>
              </w:rPr>
              <w:t xml:space="preserve">5.7.1 </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lang w:eastAsia="en-AU"/>
              </w:rPr>
              <w:t>Management of OHS risk</w:t>
            </w:r>
            <w:r>
              <w:rPr>
                <w:noProof/>
                <w:webHidden/>
              </w:rPr>
              <w:tab/>
            </w:r>
            <w:r>
              <w:rPr>
                <w:noProof/>
                <w:webHidden/>
              </w:rPr>
              <w:fldChar w:fldCharType="begin"/>
            </w:r>
            <w:r>
              <w:rPr>
                <w:noProof/>
                <w:webHidden/>
              </w:rPr>
              <w:instrText xml:space="preserve"> PAGEREF _Toc194930402 \h </w:instrText>
            </w:r>
            <w:r>
              <w:rPr>
                <w:noProof/>
                <w:webHidden/>
              </w:rPr>
            </w:r>
            <w:r>
              <w:rPr>
                <w:noProof/>
                <w:webHidden/>
              </w:rPr>
              <w:fldChar w:fldCharType="separate"/>
            </w:r>
            <w:r w:rsidR="00D432F2">
              <w:rPr>
                <w:noProof/>
                <w:webHidden/>
              </w:rPr>
              <w:t>18</w:t>
            </w:r>
            <w:r>
              <w:rPr>
                <w:noProof/>
                <w:webHidden/>
              </w:rPr>
              <w:fldChar w:fldCharType="end"/>
            </w:r>
          </w:hyperlink>
        </w:p>
        <w:p w14:paraId="55FF7C21" w14:textId="1C2E4250"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403" w:history="1">
            <w:r w:rsidRPr="00F31EE4">
              <w:rPr>
                <w:rStyle w:val="Hyperlink"/>
                <w:noProof/>
                <w:lang w:val="en"/>
              </w:rPr>
              <w:t xml:space="preserve">5.7.2 </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lang w:val="en"/>
              </w:rPr>
              <w:t>Psychological Health in the workplace</w:t>
            </w:r>
            <w:r>
              <w:rPr>
                <w:noProof/>
                <w:webHidden/>
              </w:rPr>
              <w:tab/>
            </w:r>
            <w:r>
              <w:rPr>
                <w:noProof/>
                <w:webHidden/>
              </w:rPr>
              <w:fldChar w:fldCharType="begin"/>
            </w:r>
            <w:r>
              <w:rPr>
                <w:noProof/>
                <w:webHidden/>
              </w:rPr>
              <w:instrText xml:space="preserve"> PAGEREF _Toc194930403 \h </w:instrText>
            </w:r>
            <w:r>
              <w:rPr>
                <w:noProof/>
                <w:webHidden/>
              </w:rPr>
            </w:r>
            <w:r>
              <w:rPr>
                <w:noProof/>
                <w:webHidden/>
              </w:rPr>
              <w:fldChar w:fldCharType="separate"/>
            </w:r>
            <w:r w:rsidR="00D432F2">
              <w:rPr>
                <w:noProof/>
                <w:webHidden/>
              </w:rPr>
              <w:t>19</w:t>
            </w:r>
            <w:r>
              <w:rPr>
                <w:noProof/>
                <w:webHidden/>
              </w:rPr>
              <w:fldChar w:fldCharType="end"/>
            </w:r>
          </w:hyperlink>
        </w:p>
        <w:p w14:paraId="4549D9B3" w14:textId="2ED8D690"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404" w:history="1">
            <w:r w:rsidRPr="00F31EE4">
              <w:rPr>
                <w:rStyle w:val="Hyperlink"/>
                <w:noProof/>
              </w:rPr>
              <w:t>5.7.3</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OHS resources</w:t>
            </w:r>
            <w:r>
              <w:rPr>
                <w:noProof/>
                <w:webHidden/>
              </w:rPr>
              <w:tab/>
            </w:r>
          </w:hyperlink>
          <w:r w:rsidR="00240C20">
            <w:rPr>
              <w:noProof/>
            </w:rPr>
            <w:t>19</w:t>
          </w:r>
        </w:p>
        <w:p w14:paraId="3D318E74" w14:textId="1A85AD16" w:rsidR="00902342" w:rsidRDefault="00902342">
          <w:pPr>
            <w:pStyle w:val="TOC2"/>
            <w:rPr>
              <w:rFonts w:asciiTheme="minorHAnsi" w:eastAsiaTheme="minorEastAsia" w:hAnsiTheme="minorHAnsi" w:cstheme="minorBidi"/>
              <w:noProof/>
              <w:color w:val="auto"/>
              <w:kern w:val="2"/>
              <w:sz w:val="24"/>
              <w:szCs w:val="24"/>
              <w:lang w:val="en-AU" w:eastAsia="en-AU"/>
              <w14:ligatures w14:val="standardContextual"/>
            </w:rPr>
          </w:pPr>
          <w:hyperlink w:anchor="_Toc194930405" w:history="1">
            <w:r w:rsidRPr="00F31EE4">
              <w:rPr>
                <w:rStyle w:val="Hyperlink"/>
                <w:noProof/>
              </w:rPr>
              <w:t>5.8</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Integrity</w:t>
            </w:r>
            <w:r>
              <w:rPr>
                <w:noProof/>
                <w:webHidden/>
              </w:rPr>
              <w:tab/>
            </w:r>
            <w:r w:rsidR="00240C20">
              <w:rPr>
                <w:noProof/>
                <w:webHidden/>
              </w:rPr>
              <w:t>19</w:t>
            </w:r>
          </w:hyperlink>
        </w:p>
        <w:p w14:paraId="3132DD98" w14:textId="667C0501"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406" w:history="1">
            <w:r w:rsidRPr="00F31EE4">
              <w:rPr>
                <w:rStyle w:val="Hyperlink"/>
                <w:noProof/>
              </w:rPr>
              <w:t>5.8.1</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Integrity Overview</w:t>
            </w:r>
            <w:r>
              <w:rPr>
                <w:noProof/>
                <w:webHidden/>
              </w:rPr>
              <w:tab/>
            </w:r>
            <w:r w:rsidR="00240C20">
              <w:rPr>
                <w:noProof/>
                <w:webHidden/>
              </w:rPr>
              <w:t>19</w:t>
            </w:r>
          </w:hyperlink>
        </w:p>
        <w:p w14:paraId="076BE7D0" w14:textId="2350D65A"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407" w:history="1">
            <w:r w:rsidRPr="00F31EE4">
              <w:rPr>
                <w:rStyle w:val="Hyperlink"/>
                <w:noProof/>
              </w:rPr>
              <w:t>5.8.2</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Conflict of Interest</w:t>
            </w:r>
            <w:r>
              <w:rPr>
                <w:noProof/>
                <w:webHidden/>
              </w:rPr>
              <w:tab/>
            </w:r>
            <w:r w:rsidR="005549D4">
              <w:rPr>
                <w:noProof/>
                <w:webHidden/>
              </w:rPr>
              <w:t>20</w:t>
            </w:r>
          </w:hyperlink>
        </w:p>
        <w:p w14:paraId="51A8D700" w14:textId="25A95AC0" w:rsidR="00902342" w:rsidRDefault="00902342">
          <w:pPr>
            <w:pStyle w:val="TOC4"/>
            <w:rPr>
              <w:rFonts w:asciiTheme="minorHAnsi" w:eastAsiaTheme="minorEastAsia" w:hAnsiTheme="minorHAnsi" w:cstheme="minorBidi"/>
              <w:noProof/>
              <w:color w:val="auto"/>
              <w:kern w:val="2"/>
              <w:sz w:val="24"/>
              <w:szCs w:val="24"/>
              <w:lang w:val="en-AU" w:eastAsia="en-AU"/>
              <w14:ligatures w14:val="standardContextual"/>
            </w:rPr>
          </w:pPr>
          <w:hyperlink w:anchor="_Toc194930408" w:history="1">
            <w:r w:rsidRPr="00F31EE4">
              <w:rPr>
                <w:rStyle w:val="Hyperlink"/>
                <w:noProof/>
              </w:rPr>
              <w:t>5.8.2.1 Consensual Personal Relationships</w:t>
            </w:r>
            <w:r>
              <w:rPr>
                <w:noProof/>
                <w:webHidden/>
              </w:rPr>
              <w:tab/>
            </w:r>
            <w:r>
              <w:rPr>
                <w:noProof/>
                <w:webHidden/>
              </w:rPr>
              <w:fldChar w:fldCharType="begin"/>
            </w:r>
            <w:r>
              <w:rPr>
                <w:noProof/>
                <w:webHidden/>
              </w:rPr>
              <w:instrText xml:space="preserve"> PAGEREF _Toc194930408 \h </w:instrText>
            </w:r>
            <w:r>
              <w:rPr>
                <w:noProof/>
                <w:webHidden/>
              </w:rPr>
            </w:r>
            <w:r>
              <w:rPr>
                <w:noProof/>
                <w:webHidden/>
              </w:rPr>
              <w:fldChar w:fldCharType="separate"/>
            </w:r>
            <w:r w:rsidR="00D432F2">
              <w:rPr>
                <w:noProof/>
                <w:webHidden/>
              </w:rPr>
              <w:t>20</w:t>
            </w:r>
            <w:r>
              <w:rPr>
                <w:noProof/>
                <w:webHidden/>
              </w:rPr>
              <w:fldChar w:fldCharType="end"/>
            </w:r>
          </w:hyperlink>
        </w:p>
        <w:p w14:paraId="554CFCEE" w14:textId="63AAFD87" w:rsidR="00902342" w:rsidRDefault="00902342">
          <w:pPr>
            <w:pStyle w:val="TOC4"/>
            <w:rPr>
              <w:rFonts w:asciiTheme="minorHAnsi" w:eastAsiaTheme="minorEastAsia" w:hAnsiTheme="minorHAnsi" w:cstheme="minorBidi"/>
              <w:noProof/>
              <w:color w:val="auto"/>
              <w:kern w:val="2"/>
              <w:sz w:val="24"/>
              <w:szCs w:val="24"/>
              <w:lang w:val="en-AU" w:eastAsia="en-AU"/>
              <w14:ligatures w14:val="standardContextual"/>
            </w:rPr>
          </w:pPr>
          <w:hyperlink w:anchor="_Toc194930409" w:history="1">
            <w:r w:rsidRPr="00F31EE4">
              <w:rPr>
                <w:rStyle w:val="Hyperlink"/>
                <w:noProof/>
              </w:rPr>
              <w:t>5.8.2.2</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Specific reporting obligations for board members</w:t>
            </w:r>
            <w:r>
              <w:rPr>
                <w:noProof/>
                <w:webHidden/>
              </w:rPr>
              <w:tab/>
            </w:r>
            <w:r>
              <w:rPr>
                <w:noProof/>
                <w:webHidden/>
              </w:rPr>
              <w:fldChar w:fldCharType="begin"/>
            </w:r>
            <w:r>
              <w:rPr>
                <w:noProof/>
                <w:webHidden/>
              </w:rPr>
              <w:instrText xml:space="preserve"> PAGEREF _Toc194930409 \h </w:instrText>
            </w:r>
            <w:r>
              <w:rPr>
                <w:noProof/>
                <w:webHidden/>
              </w:rPr>
            </w:r>
            <w:r>
              <w:rPr>
                <w:noProof/>
                <w:webHidden/>
              </w:rPr>
              <w:fldChar w:fldCharType="separate"/>
            </w:r>
            <w:r w:rsidR="00D432F2">
              <w:rPr>
                <w:noProof/>
                <w:webHidden/>
              </w:rPr>
              <w:t>20</w:t>
            </w:r>
            <w:r>
              <w:rPr>
                <w:noProof/>
                <w:webHidden/>
              </w:rPr>
              <w:fldChar w:fldCharType="end"/>
            </w:r>
          </w:hyperlink>
        </w:p>
        <w:p w14:paraId="05901FD0" w14:textId="2575DC40"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410" w:history="1">
            <w:r w:rsidRPr="00F31EE4">
              <w:rPr>
                <w:rStyle w:val="Hyperlink"/>
                <w:noProof/>
              </w:rPr>
              <w:t>5.8.3</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Fraud and Corruption Mitigation</w:t>
            </w:r>
            <w:r>
              <w:rPr>
                <w:noProof/>
                <w:webHidden/>
              </w:rPr>
              <w:tab/>
            </w:r>
            <w:r>
              <w:rPr>
                <w:noProof/>
                <w:webHidden/>
              </w:rPr>
              <w:fldChar w:fldCharType="begin"/>
            </w:r>
            <w:r>
              <w:rPr>
                <w:noProof/>
                <w:webHidden/>
              </w:rPr>
              <w:instrText xml:space="preserve"> PAGEREF _Toc194930410 \h </w:instrText>
            </w:r>
            <w:r>
              <w:rPr>
                <w:noProof/>
                <w:webHidden/>
              </w:rPr>
            </w:r>
            <w:r>
              <w:rPr>
                <w:noProof/>
                <w:webHidden/>
              </w:rPr>
              <w:fldChar w:fldCharType="separate"/>
            </w:r>
            <w:r w:rsidR="00D432F2">
              <w:rPr>
                <w:noProof/>
                <w:webHidden/>
              </w:rPr>
              <w:t>21</w:t>
            </w:r>
            <w:r>
              <w:rPr>
                <w:noProof/>
                <w:webHidden/>
              </w:rPr>
              <w:fldChar w:fldCharType="end"/>
            </w:r>
          </w:hyperlink>
        </w:p>
        <w:p w14:paraId="052130E1" w14:textId="564F5FE8"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411" w:history="1">
            <w:r w:rsidRPr="00F31EE4">
              <w:rPr>
                <w:rStyle w:val="Hyperlink"/>
                <w:noProof/>
              </w:rPr>
              <w:t>5.8.4</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Gifts, Benefits and Hospitality</w:t>
            </w:r>
            <w:r>
              <w:rPr>
                <w:noProof/>
                <w:webHidden/>
              </w:rPr>
              <w:tab/>
            </w:r>
            <w:r>
              <w:rPr>
                <w:noProof/>
                <w:webHidden/>
              </w:rPr>
              <w:fldChar w:fldCharType="begin"/>
            </w:r>
            <w:r>
              <w:rPr>
                <w:noProof/>
                <w:webHidden/>
              </w:rPr>
              <w:instrText xml:space="preserve"> PAGEREF _Toc194930411 \h </w:instrText>
            </w:r>
            <w:r>
              <w:rPr>
                <w:noProof/>
                <w:webHidden/>
              </w:rPr>
            </w:r>
            <w:r>
              <w:rPr>
                <w:noProof/>
                <w:webHidden/>
              </w:rPr>
              <w:fldChar w:fldCharType="separate"/>
            </w:r>
            <w:r w:rsidR="00D432F2">
              <w:rPr>
                <w:noProof/>
                <w:webHidden/>
              </w:rPr>
              <w:t>21</w:t>
            </w:r>
            <w:r>
              <w:rPr>
                <w:noProof/>
                <w:webHidden/>
              </w:rPr>
              <w:fldChar w:fldCharType="end"/>
            </w:r>
          </w:hyperlink>
        </w:p>
        <w:p w14:paraId="655CD1B2" w14:textId="4F234772" w:rsidR="00902342" w:rsidRDefault="00902342">
          <w:pPr>
            <w:pStyle w:val="TOC4"/>
            <w:rPr>
              <w:rFonts w:asciiTheme="minorHAnsi" w:eastAsiaTheme="minorEastAsia" w:hAnsiTheme="minorHAnsi" w:cstheme="minorBidi"/>
              <w:noProof/>
              <w:color w:val="auto"/>
              <w:kern w:val="2"/>
              <w:sz w:val="24"/>
              <w:szCs w:val="24"/>
              <w:lang w:val="en-AU" w:eastAsia="en-AU"/>
              <w14:ligatures w14:val="standardContextual"/>
            </w:rPr>
          </w:pPr>
          <w:hyperlink w:anchor="_Toc194930412" w:history="1">
            <w:r w:rsidRPr="00F31EE4">
              <w:rPr>
                <w:rStyle w:val="Hyperlink"/>
                <w:noProof/>
              </w:rPr>
              <w:t>5.8.4.1</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GBH reporting obligations</w:t>
            </w:r>
            <w:r>
              <w:rPr>
                <w:noProof/>
                <w:webHidden/>
              </w:rPr>
              <w:tab/>
            </w:r>
            <w:r>
              <w:rPr>
                <w:noProof/>
                <w:webHidden/>
              </w:rPr>
              <w:fldChar w:fldCharType="begin"/>
            </w:r>
            <w:r>
              <w:rPr>
                <w:noProof/>
                <w:webHidden/>
              </w:rPr>
              <w:instrText xml:space="preserve"> PAGEREF _Toc194930412 \h </w:instrText>
            </w:r>
            <w:r>
              <w:rPr>
                <w:noProof/>
                <w:webHidden/>
              </w:rPr>
            </w:r>
            <w:r>
              <w:rPr>
                <w:noProof/>
                <w:webHidden/>
              </w:rPr>
              <w:fldChar w:fldCharType="separate"/>
            </w:r>
            <w:r w:rsidR="00D432F2">
              <w:rPr>
                <w:noProof/>
                <w:webHidden/>
              </w:rPr>
              <w:t>21</w:t>
            </w:r>
            <w:r>
              <w:rPr>
                <w:noProof/>
                <w:webHidden/>
              </w:rPr>
              <w:fldChar w:fldCharType="end"/>
            </w:r>
          </w:hyperlink>
        </w:p>
        <w:p w14:paraId="34E58F14" w14:textId="0DC1DEF6"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413" w:history="1">
            <w:r w:rsidRPr="00F31EE4">
              <w:rPr>
                <w:rStyle w:val="Hyperlink"/>
                <w:noProof/>
              </w:rPr>
              <w:t>5.8.5</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Public Interest Disclosures</w:t>
            </w:r>
            <w:r>
              <w:rPr>
                <w:noProof/>
                <w:webHidden/>
              </w:rPr>
              <w:tab/>
            </w:r>
            <w:r>
              <w:rPr>
                <w:noProof/>
                <w:webHidden/>
              </w:rPr>
              <w:fldChar w:fldCharType="begin"/>
            </w:r>
            <w:r>
              <w:rPr>
                <w:noProof/>
                <w:webHidden/>
              </w:rPr>
              <w:instrText xml:space="preserve"> PAGEREF _Toc194930413 \h </w:instrText>
            </w:r>
            <w:r>
              <w:rPr>
                <w:noProof/>
                <w:webHidden/>
              </w:rPr>
            </w:r>
            <w:r>
              <w:rPr>
                <w:noProof/>
                <w:webHidden/>
              </w:rPr>
              <w:fldChar w:fldCharType="separate"/>
            </w:r>
            <w:r w:rsidR="00D432F2">
              <w:rPr>
                <w:noProof/>
                <w:webHidden/>
              </w:rPr>
              <w:t>22</w:t>
            </w:r>
            <w:r>
              <w:rPr>
                <w:noProof/>
                <w:webHidden/>
              </w:rPr>
              <w:fldChar w:fldCharType="end"/>
            </w:r>
          </w:hyperlink>
        </w:p>
        <w:p w14:paraId="65AEBDF1" w14:textId="67FC4A84" w:rsidR="00902342" w:rsidRDefault="00902342">
          <w:pPr>
            <w:pStyle w:val="TOC4"/>
            <w:rPr>
              <w:rFonts w:asciiTheme="minorHAnsi" w:eastAsiaTheme="minorEastAsia" w:hAnsiTheme="minorHAnsi" w:cstheme="minorBidi"/>
              <w:noProof/>
              <w:color w:val="auto"/>
              <w:kern w:val="2"/>
              <w:sz w:val="24"/>
              <w:szCs w:val="24"/>
              <w:lang w:val="en-AU" w:eastAsia="en-AU"/>
              <w14:ligatures w14:val="standardContextual"/>
            </w:rPr>
          </w:pPr>
          <w:hyperlink w:anchor="_Toc194930414" w:history="1">
            <w:r w:rsidRPr="00F31EE4">
              <w:rPr>
                <w:rStyle w:val="Hyperlink"/>
                <w:noProof/>
              </w:rPr>
              <w:t>5.8.5.1</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Entity requirements</w:t>
            </w:r>
            <w:r>
              <w:rPr>
                <w:noProof/>
                <w:webHidden/>
              </w:rPr>
              <w:tab/>
            </w:r>
            <w:r>
              <w:rPr>
                <w:noProof/>
                <w:webHidden/>
              </w:rPr>
              <w:fldChar w:fldCharType="begin"/>
            </w:r>
            <w:r>
              <w:rPr>
                <w:noProof/>
                <w:webHidden/>
              </w:rPr>
              <w:instrText xml:space="preserve"> PAGEREF _Toc194930414 \h </w:instrText>
            </w:r>
            <w:r>
              <w:rPr>
                <w:noProof/>
                <w:webHidden/>
              </w:rPr>
            </w:r>
            <w:r>
              <w:rPr>
                <w:noProof/>
                <w:webHidden/>
              </w:rPr>
              <w:fldChar w:fldCharType="separate"/>
            </w:r>
            <w:r w:rsidR="00D432F2">
              <w:rPr>
                <w:noProof/>
                <w:webHidden/>
              </w:rPr>
              <w:t>22</w:t>
            </w:r>
            <w:r>
              <w:rPr>
                <w:noProof/>
                <w:webHidden/>
              </w:rPr>
              <w:fldChar w:fldCharType="end"/>
            </w:r>
          </w:hyperlink>
        </w:p>
        <w:p w14:paraId="7BB9B1EB" w14:textId="7146D37E" w:rsidR="00902342" w:rsidRDefault="00902342">
          <w:pPr>
            <w:pStyle w:val="TOC3"/>
            <w:rPr>
              <w:noProof/>
            </w:rPr>
          </w:pPr>
          <w:hyperlink w:anchor="_Toc194930415" w:history="1">
            <w:r w:rsidRPr="00F31EE4">
              <w:rPr>
                <w:rStyle w:val="Hyperlink"/>
                <w:noProof/>
              </w:rPr>
              <w:t>5.8.6 Foreign interference</w:t>
            </w:r>
            <w:r>
              <w:rPr>
                <w:noProof/>
                <w:webHidden/>
              </w:rPr>
              <w:tab/>
            </w:r>
            <w:r>
              <w:rPr>
                <w:noProof/>
                <w:webHidden/>
              </w:rPr>
              <w:fldChar w:fldCharType="begin"/>
            </w:r>
            <w:r>
              <w:rPr>
                <w:noProof/>
                <w:webHidden/>
              </w:rPr>
              <w:instrText xml:space="preserve"> PAGEREF _Toc194930415 \h </w:instrText>
            </w:r>
            <w:r>
              <w:rPr>
                <w:noProof/>
                <w:webHidden/>
              </w:rPr>
            </w:r>
            <w:r>
              <w:rPr>
                <w:noProof/>
                <w:webHidden/>
              </w:rPr>
              <w:fldChar w:fldCharType="separate"/>
            </w:r>
            <w:r w:rsidR="00D432F2">
              <w:rPr>
                <w:noProof/>
                <w:webHidden/>
              </w:rPr>
              <w:t>23</w:t>
            </w:r>
            <w:r>
              <w:rPr>
                <w:noProof/>
                <w:webHidden/>
              </w:rPr>
              <w:fldChar w:fldCharType="end"/>
            </w:r>
          </w:hyperlink>
        </w:p>
        <w:p w14:paraId="4990A8CE" w14:textId="20F846CF" w:rsidR="00206721" w:rsidRPr="00053F6A" w:rsidRDefault="00206721" w:rsidP="00053F6A">
          <w:pPr>
            <w:rPr>
              <w:noProof/>
            </w:rPr>
          </w:pPr>
          <w:r>
            <w:rPr>
              <w:noProof/>
            </w:rPr>
            <w:t xml:space="preserve">       5.8.7 Child Safety…………………………………………………………………………………………………………</w:t>
          </w:r>
          <w:r w:rsidR="00053F6A">
            <w:rPr>
              <w:noProof/>
            </w:rPr>
            <w:t>2</w:t>
          </w:r>
          <w:r w:rsidR="00240C20">
            <w:rPr>
              <w:noProof/>
            </w:rPr>
            <w:t>3</w:t>
          </w:r>
        </w:p>
        <w:p w14:paraId="1DEB8FBD" w14:textId="58EBAC6D" w:rsidR="00902342" w:rsidRDefault="00902342">
          <w:pPr>
            <w:pStyle w:val="TOC3"/>
            <w:rPr>
              <w:rFonts w:asciiTheme="minorHAnsi" w:eastAsiaTheme="minorEastAsia" w:hAnsiTheme="minorHAnsi" w:cstheme="minorBidi"/>
              <w:noProof/>
              <w:color w:val="auto"/>
              <w:kern w:val="2"/>
              <w:sz w:val="24"/>
              <w:szCs w:val="24"/>
              <w:lang w:val="en-AU" w:eastAsia="en-AU"/>
              <w14:ligatures w14:val="standardContextual"/>
            </w:rPr>
          </w:pPr>
          <w:hyperlink w:anchor="_Toc194930416" w:history="1">
            <w:r w:rsidRPr="00F31EE4">
              <w:rPr>
                <w:rStyle w:val="Hyperlink"/>
                <w:noProof/>
              </w:rPr>
              <w:t>5.8.8</w:t>
            </w:r>
            <w:r>
              <w:rPr>
                <w:rFonts w:asciiTheme="minorHAnsi" w:eastAsiaTheme="minorEastAsia" w:hAnsiTheme="minorHAnsi" w:cstheme="minorBidi"/>
                <w:noProof/>
                <w:color w:val="auto"/>
                <w:kern w:val="2"/>
                <w:sz w:val="24"/>
                <w:szCs w:val="24"/>
                <w:lang w:val="en-AU" w:eastAsia="en-AU"/>
                <w14:ligatures w14:val="standardContextual"/>
              </w:rPr>
              <w:tab/>
            </w:r>
            <w:r w:rsidRPr="00F31EE4">
              <w:rPr>
                <w:rStyle w:val="Hyperlink"/>
                <w:noProof/>
              </w:rPr>
              <w:t>Further information and guidance on integrity</w:t>
            </w:r>
            <w:r>
              <w:rPr>
                <w:noProof/>
                <w:webHidden/>
              </w:rPr>
              <w:tab/>
            </w:r>
            <w:r>
              <w:rPr>
                <w:noProof/>
                <w:webHidden/>
              </w:rPr>
              <w:fldChar w:fldCharType="begin"/>
            </w:r>
            <w:r>
              <w:rPr>
                <w:noProof/>
                <w:webHidden/>
              </w:rPr>
              <w:instrText xml:space="preserve"> PAGEREF _Toc194930416 \h </w:instrText>
            </w:r>
            <w:r>
              <w:rPr>
                <w:noProof/>
                <w:webHidden/>
              </w:rPr>
            </w:r>
            <w:r>
              <w:rPr>
                <w:noProof/>
                <w:webHidden/>
              </w:rPr>
              <w:fldChar w:fldCharType="separate"/>
            </w:r>
            <w:r w:rsidR="00D432F2">
              <w:rPr>
                <w:noProof/>
                <w:webHidden/>
              </w:rPr>
              <w:t>24</w:t>
            </w:r>
            <w:r>
              <w:rPr>
                <w:noProof/>
                <w:webHidden/>
              </w:rPr>
              <w:fldChar w:fldCharType="end"/>
            </w:r>
          </w:hyperlink>
        </w:p>
        <w:p w14:paraId="70F619CD" w14:textId="70EDA8DC" w:rsidR="00902342" w:rsidRDefault="00902342">
          <w:pPr>
            <w:pStyle w:val="TOC4"/>
            <w:rPr>
              <w:rFonts w:asciiTheme="minorHAnsi" w:eastAsiaTheme="minorEastAsia" w:hAnsiTheme="minorHAnsi" w:cstheme="minorBidi"/>
              <w:noProof/>
              <w:color w:val="auto"/>
              <w:kern w:val="2"/>
              <w:sz w:val="24"/>
              <w:szCs w:val="24"/>
              <w:lang w:val="en-AU" w:eastAsia="en-AU"/>
              <w14:ligatures w14:val="standardContextual"/>
            </w:rPr>
          </w:pPr>
          <w:hyperlink w:anchor="_Toc194930417" w:history="1">
            <w:r w:rsidRPr="00F31EE4">
              <w:rPr>
                <w:rStyle w:val="Hyperlink"/>
                <w:noProof/>
              </w:rPr>
              <w:t>5.8.8.1 Further information – DJSIR</w:t>
            </w:r>
            <w:r>
              <w:rPr>
                <w:noProof/>
                <w:webHidden/>
              </w:rPr>
              <w:tab/>
            </w:r>
            <w:r>
              <w:rPr>
                <w:noProof/>
                <w:webHidden/>
              </w:rPr>
              <w:fldChar w:fldCharType="begin"/>
            </w:r>
            <w:r>
              <w:rPr>
                <w:noProof/>
                <w:webHidden/>
              </w:rPr>
              <w:instrText xml:space="preserve"> PAGEREF _Toc194930417 \h </w:instrText>
            </w:r>
            <w:r>
              <w:rPr>
                <w:noProof/>
                <w:webHidden/>
              </w:rPr>
            </w:r>
            <w:r>
              <w:rPr>
                <w:noProof/>
                <w:webHidden/>
              </w:rPr>
              <w:fldChar w:fldCharType="separate"/>
            </w:r>
            <w:r w:rsidR="00D432F2">
              <w:rPr>
                <w:noProof/>
                <w:webHidden/>
              </w:rPr>
              <w:t>24</w:t>
            </w:r>
            <w:r>
              <w:rPr>
                <w:noProof/>
                <w:webHidden/>
              </w:rPr>
              <w:fldChar w:fldCharType="end"/>
            </w:r>
          </w:hyperlink>
        </w:p>
        <w:p w14:paraId="2C48CD01" w14:textId="438390D3" w:rsidR="00902342" w:rsidRDefault="00902342">
          <w:pPr>
            <w:pStyle w:val="TOC4"/>
            <w:rPr>
              <w:rFonts w:asciiTheme="minorHAnsi" w:eastAsiaTheme="minorEastAsia" w:hAnsiTheme="minorHAnsi" w:cstheme="minorBidi"/>
              <w:noProof/>
              <w:color w:val="auto"/>
              <w:kern w:val="2"/>
              <w:sz w:val="24"/>
              <w:szCs w:val="24"/>
              <w:lang w:val="en-AU" w:eastAsia="en-AU"/>
              <w14:ligatures w14:val="standardContextual"/>
            </w:rPr>
          </w:pPr>
          <w:hyperlink w:anchor="_Toc194930418" w:history="1">
            <w:r w:rsidRPr="00F31EE4">
              <w:rPr>
                <w:rStyle w:val="Hyperlink"/>
                <w:noProof/>
              </w:rPr>
              <w:t>5.8.8.2 Further information – External Organisations</w:t>
            </w:r>
            <w:r>
              <w:rPr>
                <w:noProof/>
                <w:webHidden/>
              </w:rPr>
              <w:tab/>
            </w:r>
            <w:r>
              <w:rPr>
                <w:noProof/>
                <w:webHidden/>
              </w:rPr>
              <w:fldChar w:fldCharType="begin"/>
            </w:r>
            <w:r>
              <w:rPr>
                <w:noProof/>
                <w:webHidden/>
              </w:rPr>
              <w:instrText xml:space="preserve"> PAGEREF _Toc194930418 \h </w:instrText>
            </w:r>
            <w:r>
              <w:rPr>
                <w:noProof/>
                <w:webHidden/>
              </w:rPr>
            </w:r>
            <w:r>
              <w:rPr>
                <w:noProof/>
                <w:webHidden/>
              </w:rPr>
              <w:fldChar w:fldCharType="separate"/>
            </w:r>
            <w:r w:rsidR="00D432F2">
              <w:rPr>
                <w:noProof/>
                <w:webHidden/>
              </w:rPr>
              <w:t>25</w:t>
            </w:r>
            <w:r>
              <w:rPr>
                <w:noProof/>
                <w:webHidden/>
              </w:rPr>
              <w:fldChar w:fldCharType="end"/>
            </w:r>
          </w:hyperlink>
        </w:p>
        <w:p w14:paraId="7FED58D4" w14:textId="28E6ED9C" w:rsidR="00902342" w:rsidRDefault="00902342">
          <w:pPr>
            <w:pStyle w:val="TOC1"/>
            <w:rPr>
              <w:rFonts w:asciiTheme="minorHAnsi" w:eastAsiaTheme="minorEastAsia" w:hAnsiTheme="minorHAnsi" w:cstheme="minorBidi"/>
              <w:noProof/>
              <w:color w:val="auto"/>
              <w:kern w:val="2"/>
              <w:sz w:val="24"/>
              <w:szCs w:val="24"/>
              <w:lang w:val="en-AU" w:eastAsia="en-AU"/>
              <w14:ligatures w14:val="standardContextual"/>
            </w:rPr>
          </w:pPr>
          <w:hyperlink w:anchor="_Toc194930419" w:history="1">
            <w:r w:rsidRPr="00F31EE4">
              <w:rPr>
                <w:rStyle w:val="Hyperlink"/>
                <w:noProof/>
              </w:rPr>
              <w:t>APPENDIX A: Legislation</w:t>
            </w:r>
            <w:r>
              <w:rPr>
                <w:noProof/>
                <w:webHidden/>
              </w:rPr>
              <w:tab/>
            </w:r>
            <w:r>
              <w:rPr>
                <w:noProof/>
                <w:webHidden/>
              </w:rPr>
              <w:fldChar w:fldCharType="begin"/>
            </w:r>
            <w:r>
              <w:rPr>
                <w:noProof/>
                <w:webHidden/>
              </w:rPr>
              <w:instrText xml:space="preserve"> PAGEREF _Toc194930419 \h </w:instrText>
            </w:r>
            <w:r>
              <w:rPr>
                <w:noProof/>
                <w:webHidden/>
              </w:rPr>
            </w:r>
            <w:r>
              <w:rPr>
                <w:noProof/>
                <w:webHidden/>
              </w:rPr>
              <w:fldChar w:fldCharType="separate"/>
            </w:r>
            <w:r w:rsidR="00D432F2">
              <w:rPr>
                <w:noProof/>
                <w:webHidden/>
              </w:rPr>
              <w:t>26</w:t>
            </w:r>
            <w:r>
              <w:rPr>
                <w:noProof/>
                <w:webHidden/>
              </w:rPr>
              <w:fldChar w:fldCharType="end"/>
            </w:r>
          </w:hyperlink>
        </w:p>
        <w:p w14:paraId="4F75C96E" w14:textId="42461BC2" w:rsidR="00902342" w:rsidRDefault="00902342">
          <w:pPr>
            <w:pStyle w:val="TOC1"/>
            <w:rPr>
              <w:rFonts w:asciiTheme="minorHAnsi" w:eastAsiaTheme="minorEastAsia" w:hAnsiTheme="minorHAnsi" w:cstheme="minorBidi"/>
              <w:noProof/>
              <w:color w:val="auto"/>
              <w:kern w:val="2"/>
              <w:sz w:val="24"/>
              <w:szCs w:val="24"/>
              <w:lang w:val="en-AU" w:eastAsia="en-AU"/>
              <w14:ligatures w14:val="standardContextual"/>
            </w:rPr>
          </w:pPr>
          <w:hyperlink w:anchor="_Toc194930420" w:history="1">
            <w:r w:rsidRPr="00F31EE4">
              <w:rPr>
                <w:rStyle w:val="Hyperlink"/>
                <w:noProof/>
              </w:rPr>
              <w:t>APPENDIX B: Diversity cohorts on Victorian Government Boards</w:t>
            </w:r>
            <w:r>
              <w:rPr>
                <w:noProof/>
                <w:webHidden/>
              </w:rPr>
              <w:tab/>
            </w:r>
            <w:r>
              <w:rPr>
                <w:noProof/>
                <w:webHidden/>
              </w:rPr>
              <w:fldChar w:fldCharType="begin"/>
            </w:r>
            <w:r>
              <w:rPr>
                <w:noProof/>
                <w:webHidden/>
              </w:rPr>
              <w:instrText xml:space="preserve"> PAGEREF _Toc194930420 \h </w:instrText>
            </w:r>
            <w:r>
              <w:rPr>
                <w:noProof/>
                <w:webHidden/>
              </w:rPr>
            </w:r>
            <w:r>
              <w:rPr>
                <w:noProof/>
                <w:webHidden/>
              </w:rPr>
              <w:fldChar w:fldCharType="separate"/>
            </w:r>
            <w:r w:rsidR="00D432F2">
              <w:rPr>
                <w:noProof/>
                <w:webHidden/>
              </w:rPr>
              <w:t>27</w:t>
            </w:r>
            <w:r>
              <w:rPr>
                <w:noProof/>
                <w:webHidden/>
              </w:rPr>
              <w:fldChar w:fldCharType="end"/>
            </w:r>
          </w:hyperlink>
        </w:p>
        <w:p w14:paraId="74BD6A15" w14:textId="213F10A5" w:rsidR="00902342" w:rsidRDefault="00902342">
          <w:pPr>
            <w:pStyle w:val="TOC1"/>
            <w:rPr>
              <w:rFonts w:asciiTheme="minorHAnsi" w:eastAsiaTheme="minorEastAsia" w:hAnsiTheme="minorHAnsi" w:cstheme="minorBidi"/>
              <w:noProof/>
              <w:color w:val="auto"/>
              <w:kern w:val="2"/>
              <w:sz w:val="24"/>
              <w:szCs w:val="24"/>
              <w:lang w:val="en-AU" w:eastAsia="en-AU"/>
              <w14:ligatures w14:val="standardContextual"/>
            </w:rPr>
          </w:pPr>
          <w:hyperlink w:anchor="_Toc194930421" w:history="1">
            <w:r w:rsidRPr="00F31EE4">
              <w:rPr>
                <w:rStyle w:val="Hyperlink"/>
                <w:noProof/>
              </w:rPr>
              <w:t>APPENDIX C: Support and resources</w:t>
            </w:r>
            <w:r>
              <w:rPr>
                <w:noProof/>
                <w:webHidden/>
              </w:rPr>
              <w:tab/>
            </w:r>
            <w:r>
              <w:rPr>
                <w:noProof/>
                <w:webHidden/>
              </w:rPr>
              <w:fldChar w:fldCharType="begin"/>
            </w:r>
            <w:r>
              <w:rPr>
                <w:noProof/>
                <w:webHidden/>
              </w:rPr>
              <w:instrText xml:space="preserve"> PAGEREF _Toc194930421 \h </w:instrText>
            </w:r>
            <w:r>
              <w:rPr>
                <w:noProof/>
                <w:webHidden/>
              </w:rPr>
            </w:r>
            <w:r>
              <w:rPr>
                <w:noProof/>
                <w:webHidden/>
              </w:rPr>
              <w:fldChar w:fldCharType="separate"/>
            </w:r>
            <w:r w:rsidR="00D432F2">
              <w:rPr>
                <w:noProof/>
                <w:webHidden/>
              </w:rPr>
              <w:t>31</w:t>
            </w:r>
            <w:r>
              <w:rPr>
                <w:noProof/>
                <w:webHidden/>
              </w:rPr>
              <w:fldChar w:fldCharType="end"/>
            </w:r>
          </w:hyperlink>
        </w:p>
        <w:p w14:paraId="44E27DA4" w14:textId="218FC884" w:rsidR="00F835F8" w:rsidRDefault="00902342" w:rsidP="00240C20">
          <w:pPr>
            <w:pStyle w:val="TOC1"/>
          </w:pPr>
          <w:hyperlink w:anchor="_Toc194930422" w:history="1">
            <w:r w:rsidRPr="00F31EE4">
              <w:rPr>
                <w:rStyle w:val="Hyperlink"/>
                <w:noProof/>
              </w:rPr>
              <w:t>APPENDIX D: Glossary</w:t>
            </w:r>
            <w:r>
              <w:rPr>
                <w:noProof/>
                <w:webHidden/>
              </w:rPr>
              <w:tab/>
            </w:r>
            <w:r>
              <w:rPr>
                <w:noProof/>
                <w:webHidden/>
              </w:rPr>
              <w:fldChar w:fldCharType="begin"/>
            </w:r>
            <w:r>
              <w:rPr>
                <w:noProof/>
                <w:webHidden/>
              </w:rPr>
              <w:instrText xml:space="preserve"> PAGEREF _Toc194930422 \h </w:instrText>
            </w:r>
            <w:r>
              <w:rPr>
                <w:noProof/>
                <w:webHidden/>
              </w:rPr>
            </w:r>
            <w:r>
              <w:rPr>
                <w:noProof/>
                <w:webHidden/>
              </w:rPr>
              <w:fldChar w:fldCharType="separate"/>
            </w:r>
            <w:r w:rsidR="00D432F2">
              <w:rPr>
                <w:noProof/>
                <w:webHidden/>
              </w:rPr>
              <w:t>34</w:t>
            </w:r>
            <w:r>
              <w:rPr>
                <w:noProof/>
                <w:webHidden/>
              </w:rPr>
              <w:fldChar w:fldCharType="end"/>
            </w:r>
          </w:hyperlink>
          <w:r w:rsidR="00DA7B3E">
            <w:fldChar w:fldCharType="end"/>
          </w:r>
          <w:r w:rsidR="00A6560C">
            <w:t xml:space="preserve"> </w:t>
          </w:r>
        </w:p>
      </w:sdtContent>
    </w:sdt>
    <w:p w14:paraId="3A535DF1" w14:textId="214F13DE" w:rsidR="004B661B" w:rsidRPr="00E5328C" w:rsidRDefault="004B661B" w:rsidP="00D6748F">
      <w:pPr>
        <w:spacing w:before="2400"/>
        <w:sectPr w:rsidR="004B661B" w:rsidRPr="00E5328C" w:rsidSect="00477880">
          <w:headerReference w:type="even" r:id="rId17"/>
          <w:headerReference w:type="default" r:id="rId18"/>
          <w:footerReference w:type="default" r:id="rId19"/>
          <w:headerReference w:type="first" r:id="rId20"/>
          <w:type w:val="oddPage"/>
          <w:pgSz w:w="11906" w:h="16838" w:code="9"/>
          <w:pgMar w:top="2268" w:right="1361" w:bottom="1701" w:left="1361" w:header="284" w:footer="340" w:gutter="0"/>
          <w:cols w:space="708"/>
          <w:docGrid w:linePitch="360"/>
        </w:sectPr>
      </w:pPr>
    </w:p>
    <w:p w14:paraId="030EEE0F" w14:textId="76428DF7" w:rsidR="003B39B7" w:rsidRDefault="003B39B7" w:rsidP="003B39B7">
      <w:pPr>
        <w:pStyle w:val="Heading1"/>
        <w:spacing w:before="0" w:after="0"/>
      </w:pPr>
      <w:bookmarkStart w:id="0" w:name="_Toc21095914"/>
      <w:bookmarkStart w:id="1" w:name="_Toc39481495"/>
      <w:bookmarkStart w:id="2" w:name="_Toc194930354"/>
      <w:r>
        <w:lastRenderedPageBreak/>
        <w:t xml:space="preserve">Secretary’s </w:t>
      </w:r>
      <w:r w:rsidR="00B804DB">
        <w:t>F</w:t>
      </w:r>
      <w:r>
        <w:t>oreword</w:t>
      </w:r>
      <w:bookmarkEnd w:id="0"/>
      <w:bookmarkEnd w:id="1"/>
      <w:bookmarkEnd w:id="2"/>
    </w:p>
    <w:p w14:paraId="283803E9" w14:textId="09C64150" w:rsidR="003B39B7" w:rsidRDefault="003B39B7" w:rsidP="003B39B7"/>
    <w:p w14:paraId="07FAB92C" w14:textId="77777777" w:rsidR="003B39B7" w:rsidRDefault="003B39B7" w:rsidP="003B39B7"/>
    <w:p w14:paraId="5A820C5B" w14:textId="47D59FF3" w:rsidR="00C77EFC" w:rsidRDefault="00C77EFC" w:rsidP="00C77EFC">
      <w:pPr>
        <w:spacing w:after="240" w:line="242" w:lineRule="atLeast"/>
        <w:rPr>
          <w:rFonts w:eastAsia="Arial"/>
          <w:color w:val="000000" w:themeColor="text1"/>
        </w:rPr>
      </w:pPr>
      <w:r w:rsidRPr="104713DB">
        <w:rPr>
          <w:rFonts w:eastAsia="Arial"/>
          <w:color w:val="000000" w:themeColor="text1"/>
        </w:rPr>
        <w:t xml:space="preserve">The Department of Jobs, Skills, Industry and Regions is </w:t>
      </w:r>
      <w:r w:rsidR="00184A07">
        <w:rPr>
          <w:rFonts w:eastAsia="Arial"/>
          <w:color w:val="000000" w:themeColor="text1"/>
        </w:rPr>
        <w:t xml:space="preserve">committed to fostering </w:t>
      </w:r>
      <w:r w:rsidRPr="104713DB">
        <w:rPr>
          <w:rFonts w:eastAsia="Arial"/>
          <w:color w:val="000000" w:themeColor="text1"/>
        </w:rPr>
        <w:t xml:space="preserve">economic development across Victoria. </w:t>
      </w:r>
    </w:p>
    <w:p w14:paraId="4A20ECE7" w14:textId="77777777" w:rsidR="00C77EFC" w:rsidRDefault="00C77EFC" w:rsidP="00C77EFC">
      <w:pPr>
        <w:ind w:right="-20"/>
        <w:rPr>
          <w:color w:val="000000" w:themeColor="text1"/>
        </w:rPr>
      </w:pPr>
      <w:r w:rsidRPr="104713DB">
        <w:rPr>
          <w:rFonts w:eastAsia="Arial"/>
          <w:color w:val="000000" w:themeColor="text1"/>
        </w:rPr>
        <w:t xml:space="preserve">Together with our 65 portfolio entities, we deliver policies and programs that support industries and businesses to grow, create jobs and opportunities, attract investment and visitors, and enrich communities around the state. </w:t>
      </w:r>
    </w:p>
    <w:p w14:paraId="6C2D3EB2" w14:textId="61AFD659" w:rsidR="00C77EFC" w:rsidRDefault="00C77EFC" w:rsidP="00C77EFC">
      <w:pPr>
        <w:ind w:left="-20" w:right="-20"/>
        <w:rPr>
          <w:rFonts w:eastAsia="Arial"/>
          <w:color w:val="000000" w:themeColor="text1"/>
        </w:rPr>
      </w:pPr>
      <w:r w:rsidRPr="4CFDF5D0">
        <w:rPr>
          <w:rFonts w:eastAsia="Arial"/>
          <w:color w:val="000000" w:themeColor="text1"/>
        </w:rPr>
        <w:t xml:space="preserve">While our remit is broad, we are united by a shared focus on building a stronger economy and a </w:t>
      </w:r>
      <w:r w:rsidR="00723066">
        <w:rPr>
          <w:rFonts w:eastAsia="Arial"/>
          <w:color w:val="000000" w:themeColor="text1"/>
        </w:rPr>
        <w:t xml:space="preserve">better future for </w:t>
      </w:r>
      <w:r w:rsidRPr="4CFDF5D0">
        <w:rPr>
          <w:rFonts w:eastAsia="Arial"/>
          <w:color w:val="000000" w:themeColor="text1"/>
        </w:rPr>
        <w:t>Victorians.</w:t>
      </w:r>
    </w:p>
    <w:p w14:paraId="1ECB1845" w14:textId="77777777" w:rsidR="00C77EFC" w:rsidRDefault="00C77EFC" w:rsidP="00C77EFC">
      <w:pPr>
        <w:spacing w:after="240" w:line="242" w:lineRule="atLeast"/>
        <w:rPr>
          <w:rFonts w:eastAsia="Arial"/>
          <w:color w:val="000000" w:themeColor="text1"/>
        </w:rPr>
      </w:pPr>
      <w:r w:rsidRPr="061F0C79">
        <w:rPr>
          <w:rFonts w:eastAsia="Arial"/>
          <w:color w:val="000000" w:themeColor="text1"/>
        </w:rPr>
        <w:t xml:space="preserve">To achieve this, good governance is fundamental. </w:t>
      </w:r>
      <w:r w:rsidRPr="104713DB">
        <w:rPr>
          <w:rFonts w:eastAsia="Arial"/>
          <w:color w:val="000000" w:themeColor="text1"/>
        </w:rPr>
        <w:t xml:space="preserve">It’s a precondition for high performance and critical for upholding public trust in our work. </w:t>
      </w:r>
    </w:p>
    <w:p w14:paraId="706ECE3A" w14:textId="77777777" w:rsidR="00C77EFC" w:rsidRPr="00F17B7A" w:rsidRDefault="00C77EFC" w:rsidP="00C77EFC">
      <w:pPr>
        <w:ind w:left="-20" w:right="-20"/>
        <w:rPr>
          <w:rFonts w:eastAsia="Arial"/>
          <w:color w:val="498205"/>
        </w:rPr>
      </w:pPr>
      <w:r w:rsidRPr="104713DB">
        <w:rPr>
          <w:rFonts w:eastAsia="Arial"/>
          <w:color w:val="000000" w:themeColor="text1"/>
        </w:rPr>
        <w:t xml:space="preserve">That’s why I’m proud to introduce this updated </w:t>
      </w:r>
      <w:r w:rsidRPr="104713DB">
        <w:rPr>
          <w:rFonts w:eastAsia="Arial"/>
          <w:i/>
          <w:iCs/>
          <w:color w:val="000000" w:themeColor="text1"/>
        </w:rPr>
        <w:t xml:space="preserve">Guide to Good Governance and Portfolio Performance. </w:t>
      </w:r>
    </w:p>
    <w:p w14:paraId="65EA8BFE" w14:textId="77777777" w:rsidR="00C77EFC" w:rsidRDefault="00C77EFC" w:rsidP="00C77EFC">
      <w:pPr>
        <w:spacing w:after="240" w:line="242" w:lineRule="atLeast"/>
        <w:rPr>
          <w:rFonts w:eastAsia="Arial"/>
          <w:color w:val="000000" w:themeColor="text1"/>
        </w:rPr>
      </w:pPr>
      <w:r w:rsidRPr="00344189">
        <w:rPr>
          <w:rFonts w:eastAsia="Arial"/>
          <w:color w:val="000000" w:themeColor="text1"/>
        </w:rPr>
        <w:t>This</w:t>
      </w:r>
      <w:r>
        <w:rPr>
          <w:rFonts w:eastAsia="Arial"/>
          <w:color w:val="000000" w:themeColor="text1"/>
        </w:rPr>
        <w:t xml:space="preserve"> guide</w:t>
      </w:r>
      <w:r w:rsidRPr="4720C189">
        <w:rPr>
          <w:rFonts w:eastAsia="Arial"/>
          <w:color w:val="000000" w:themeColor="text1"/>
        </w:rPr>
        <w:t xml:space="preserve"> </w:t>
      </w:r>
      <w:r>
        <w:rPr>
          <w:rFonts w:eastAsia="Arial"/>
          <w:color w:val="000000" w:themeColor="text1"/>
        </w:rPr>
        <w:t xml:space="preserve">is a practical tool that helps the department and its entities to understand and meet our </w:t>
      </w:r>
      <w:r w:rsidRPr="4720C189">
        <w:rPr>
          <w:rFonts w:eastAsia="Arial"/>
          <w:color w:val="000000" w:themeColor="text1"/>
        </w:rPr>
        <w:t xml:space="preserve">planning, financial management, performance, risk, governance and integrity </w:t>
      </w:r>
      <w:r>
        <w:rPr>
          <w:rFonts w:eastAsia="Arial"/>
          <w:color w:val="000000" w:themeColor="text1"/>
        </w:rPr>
        <w:t>requirements</w:t>
      </w:r>
      <w:r w:rsidRPr="4720C189">
        <w:rPr>
          <w:rFonts w:eastAsia="Arial"/>
          <w:color w:val="000000" w:themeColor="text1"/>
        </w:rPr>
        <w:t xml:space="preserve">. </w:t>
      </w:r>
      <w:r w:rsidRPr="104713DB">
        <w:rPr>
          <w:rFonts w:eastAsia="Arial"/>
          <w:color w:val="000000" w:themeColor="text1"/>
        </w:rPr>
        <w:t xml:space="preserve">It is a one-stop-shop for information and advice about the obligations the department and </w:t>
      </w:r>
      <w:r>
        <w:rPr>
          <w:rFonts w:eastAsia="Arial"/>
          <w:color w:val="000000" w:themeColor="text1"/>
        </w:rPr>
        <w:t xml:space="preserve">its </w:t>
      </w:r>
      <w:r w:rsidRPr="104713DB">
        <w:rPr>
          <w:rFonts w:eastAsia="Arial"/>
          <w:color w:val="000000" w:themeColor="text1"/>
        </w:rPr>
        <w:t xml:space="preserve">entities hold under legislation and as part of department oversight arrangements. </w:t>
      </w:r>
    </w:p>
    <w:p w14:paraId="7209721A" w14:textId="77777777" w:rsidR="00C77EFC" w:rsidRDefault="00C77EFC" w:rsidP="00C77EFC">
      <w:pPr>
        <w:spacing w:after="240" w:line="242" w:lineRule="atLeast"/>
        <w:rPr>
          <w:rFonts w:eastAsia="Arial"/>
          <w:color w:val="000000" w:themeColor="text1"/>
        </w:rPr>
      </w:pPr>
      <w:r>
        <w:rPr>
          <w:rFonts w:eastAsia="Arial"/>
          <w:color w:val="000000" w:themeColor="text1"/>
        </w:rPr>
        <w:t>The guide also sets out expectations</w:t>
      </w:r>
      <w:r w:rsidRPr="4720C189">
        <w:rPr>
          <w:rFonts w:eastAsia="Arial"/>
          <w:color w:val="000000" w:themeColor="text1"/>
        </w:rPr>
        <w:t xml:space="preserve"> for entity governance </w:t>
      </w:r>
      <w:r>
        <w:rPr>
          <w:rFonts w:eastAsia="Arial"/>
          <w:color w:val="000000" w:themeColor="text1"/>
        </w:rPr>
        <w:t xml:space="preserve">with clear and agreed roles, ensuring we get the balance right between oversight and independence. </w:t>
      </w:r>
      <w:r w:rsidRPr="104713DB">
        <w:rPr>
          <w:rFonts w:eastAsia="Arial"/>
          <w:color w:val="000000" w:themeColor="text1"/>
        </w:rPr>
        <w:t xml:space="preserve">Collaboration is a key thread, made clear through the obligations the department and </w:t>
      </w:r>
      <w:r>
        <w:rPr>
          <w:rFonts w:eastAsia="Arial"/>
          <w:color w:val="000000" w:themeColor="text1"/>
        </w:rPr>
        <w:t xml:space="preserve">its </w:t>
      </w:r>
      <w:r w:rsidRPr="104713DB">
        <w:rPr>
          <w:rFonts w:eastAsia="Arial"/>
          <w:color w:val="000000" w:themeColor="text1"/>
        </w:rPr>
        <w:t>entities hold to each</w:t>
      </w:r>
      <w:r>
        <w:rPr>
          <w:rFonts w:eastAsia="Arial"/>
          <w:color w:val="000000" w:themeColor="text1"/>
        </w:rPr>
        <w:t xml:space="preserve"> </w:t>
      </w:r>
      <w:r w:rsidRPr="104713DB">
        <w:rPr>
          <w:rFonts w:eastAsia="Arial"/>
          <w:color w:val="000000" w:themeColor="text1"/>
        </w:rPr>
        <w:t xml:space="preserve">other. </w:t>
      </w:r>
    </w:p>
    <w:p w14:paraId="6F6B3FAF" w14:textId="77777777" w:rsidR="00C77EFC" w:rsidRDefault="00C77EFC" w:rsidP="00C77EFC">
      <w:pPr>
        <w:spacing w:after="240" w:line="242" w:lineRule="atLeast"/>
        <w:rPr>
          <w:rFonts w:eastAsia="Arial"/>
          <w:color w:val="000000" w:themeColor="text1"/>
        </w:rPr>
      </w:pPr>
      <w:r w:rsidRPr="104713DB">
        <w:rPr>
          <w:rFonts w:eastAsia="Arial"/>
          <w:color w:val="000000" w:themeColor="text1"/>
        </w:rPr>
        <w:t>The guide is updated annually and, this year, includes contemporary advice to help the department and</w:t>
      </w:r>
      <w:r>
        <w:rPr>
          <w:rFonts w:eastAsia="Arial"/>
          <w:color w:val="000000" w:themeColor="text1"/>
        </w:rPr>
        <w:t xml:space="preserve"> its</w:t>
      </w:r>
      <w:r w:rsidRPr="104713DB">
        <w:rPr>
          <w:rFonts w:eastAsia="Arial"/>
          <w:color w:val="000000" w:themeColor="text1"/>
        </w:rPr>
        <w:t xml:space="preserve"> entities identify and manage evolving risks in areas such as cyber security and integrity. </w:t>
      </w:r>
    </w:p>
    <w:p w14:paraId="007720AD" w14:textId="77777777" w:rsidR="00C77EFC" w:rsidRDefault="00C77EFC" w:rsidP="00C77EFC">
      <w:pPr>
        <w:ind w:left="-20" w:right="-20"/>
        <w:rPr>
          <w:rFonts w:eastAsia="Arial"/>
          <w:color w:val="000000" w:themeColor="text1"/>
        </w:rPr>
      </w:pPr>
      <w:r w:rsidRPr="104713DB">
        <w:rPr>
          <w:rFonts w:eastAsia="Arial"/>
          <w:color w:val="000000" w:themeColor="text1"/>
        </w:rPr>
        <w:t>The department also provides support through a network of relationship managers assigned to each entity, serving as a single point of contact for all governance matters.</w:t>
      </w:r>
    </w:p>
    <w:p w14:paraId="752D4950" w14:textId="77777777" w:rsidR="00C77EFC" w:rsidRDefault="00C77EFC" w:rsidP="00C77EFC">
      <w:pPr>
        <w:rPr>
          <w:rFonts w:eastAsia="Arial"/>
          <w:color w:val="000000" w:themeColor="text1"/>
        </w:rPr>
      </w:pPr>
      <w:r>
        <w:rPr>
          <w:rFonts w:eastAsia="Arial"/>
          <w:color w:val="000000" w:themeColor="text1"/>
        </w:rPr>
        <w:t xml:space="preserve">With these supports, we are well placed to demonstrate good governance and deliver on our promise to drive economic development and ensure Victoria is the best place to live, work, stay, experience, invest and study. </w:t>
      </w:r>
    </w:p>
    <w:p w14:paraId="06F239FF" w14:textId="77777777" w:rsidR="00B9114E" w:rsidRPr="004B2A2C" w:rsidRDefault="00B9114E" w:rsidP="004B2A2C">
      <w:pPr>
        <w:spacing w:after="0"/>
        <w:ind w:left="-20" w:right="-20"/>
        <w:rPr>
          <w:rFonts w:asciiTheme="minorHAnsi" w:eastAsiaTheme="minorEastAsia" w:hAnsiTheme="minorHAnsi" w:cstheme="minorHAnsi"/>
          <w:color w:val="000000" w:themeColor="text1"/>
        </w:rPr>
      </w:pPr>
    </w:p>
    <w:p w14:paraId="103017B2" w14:textId="3F8AA06E" w:rsidR="004B2A2C" w:rsidRDefault="004B2A2C" w:rsidP="003B39B7">
      <w:pPr>
        <w:rPr>
          <w:rFonts w:asciiTheme="minorHAnsi" w:hAnsiTheme="minorHAnsi" w:cstheme="minorHAnsi"/>
          <w:color w:val="auto"/>
        </w:rPr>
      </w:pPr>
    </w:p>
    <w:p w14:paraId="06054E7D" w14:textId="11C8B7C3" w:rsidR="003B39B7" w:rsidRDefault="003B39B7" w:rsidP="003B39B7"/>
    <w:p w14:paraId="14A0C7E3" w14:textId="5DF3A2FD" w:rsidR="003B39B7" w:rsidRPr="000D1F62" w:rsidRDefault="001778C0" w:rsidP="003B39B7">
      <w:pPr>
        <w:rPr>
          <w:rFonts w:ascii="Calibri" w:hAnsi="Calibri"/>
          <w:b/>
          <w:bCs/>
          <w:sz w:val="22"/>
          <w:lang w:eastAsia="en-AU"/>
        </w:rPr>
      </w:pPr>
      <w:r>
        <w:rPr>
          <w:b/>
          <w:bCs/>
          <w:lang w:eastAsia="en-AU"/>
        </w:rPr>
        <w:t>Matt Carrick</w:t>
      </w:r>
    </w:p>
    <w:p w14:paraId="772104F6" w14:textId="22F30401" w:rsidR="003B39B7" w:rsidRDefault="003B39B7" w:rsidP="003B39B7">
      <w:pPr>
        <w:spacing w:after="240" w:line="242" w:lineRule="atLeast"/>
        <w:rPr>
          <w:color w:val="0070C0"/>
          <w:lang w:eastAsia="en-AU"/>
        </w:rPr>
      </w:pPr>
      <w:r w:rsidRPr="000D1F62">
        <w:rPr>
          <w:b/>
          <w:bCs/>
          <w:lang w:eastAsia="en-AU"/>
        </w:rPr>
        <w:t>Secretary</w:t>
      </w:r>
      <w:r w:rsidRPr="000D1F62">
        <w:rPr>
          <w:b/>
          <w:bCs/>
          <w:lang w:eastAsia="en-AU"/>
        </w:rPr>
        <w:br/>
        <w:t>Department of Jobs,</w:t>
      </w:r>
      <w:r w:rsidR="003311FE">
        <w:rPr>
          <w:b/>
          <w:bCs/>
          <w:lang w:eastAsia="en-AU"/>
        </w:rPr>
        <w:t xml:space="preserve"> Skills, </w:t>
      </w:r>
      <w:r w:rsidR="00322B6B">
        <w:rPr>
          <w:b/>
          <w:bCs/>
          <w:lang w:eastAsia="en-AU"/>
        </w:rPr>
        <w:t>Industry</w:t>
      </w:r>
      <w:r w:rsidR="00322B6B" w:rsidRPr="000D1F62">
        <w:rPr>
          <w:b/>
          <w:bCs/>
          <w:lang w:eastAsia="en-AU"/>
        </w:rPr>
        <w:t xml:space="preserve"> and</w:t>
      </w:r>
      <w:r w:rsidRPr="000D1F62">
        <w:rPr>
          <w:b/>
          <w:bCs/>
          <w:lang w:eastAsia="en-AU"/>
        </w:rPr>
        <w:t xml:space="preserve"> Regions</w:t>
      </w:r>
      <w:r>
        <w:rPr>
          <w:color w:val="404040"/>
          <w:lang w:eastAsia="en-AU"/>
        </w:rPr>
        <w:br/>
      </w:r>
    </w:p>
    <w:p w14:paraId="67601DF3" w14:textId="0DB72E2E" w:rsidR="0000440C" w:rsidRDefault="00215602" w:rsidP="00735900">
      <w:pPr>
        <w:pStyle w:val="Heading1"/>
        <w:numPr>
          <w:ilvl w:val="0"/>
          <w:numId w:val="53"/>
        </w:numPr>
      </w:pPr>
      <w:r>
        <w:br w:type="page"/>
      </w:r>
      <w:bookmarkStart w:id="3" w:name="_Toc194930355"/>
      <w:r w:rsidR="00062F88">
        <w:lastRenderedPageBreak/>
        <w:t>Purpose of this Guide</w:t>
      </w:r>
      <w:bookmarkEnd w:id="3"/>
    </w:p>
    <w:p w14:paraId="47295C76" w14:textId="77777777" w:rsidR="003B7772" w:rsidRPr="003B7772" w:rsidRDefault="003B7772" w:rsidP="003B7772"/>
    <w:p w14:paraId="10075B03" w14:textId="753EF278" w:rsidR="00870350" w:rsidRDefault="00870350" w:rsidP="00870350">
      <w:bookmarkStart w:id="4" w:name="_Toc122014105"/>
      <w:r w:rsidRPr="007D1E86">
        <w:t xml:space="preserve">An essential element of good public administration is the existence of a governance framework, which clearly sets out the expectations of </w:t>
      </w:r>
      <w:r>
        <w:t>m</w:t>
      </w:r>
      <w:r w:rsidRPr="007D1E86">
        <w:t>inister</w:t>
      </w:r>
      <w:r>
        <w:t>s</w:t>
      </w:r>
      <w:r w:rsidRPr="007D1E86">
        <w:t xml:space="preserve"> and their departments when </w:t>
      </w:r>
      <w:r w:rsidR="00C91D7A">
        <w:t xml:space="preserve">portfolio </w:t>
      </w:r>
      <w:r w:rsidR="008925B8">
        <w:t xml:space="preserve">entities </w:t>
      </w:r>
      <w:r w:rsidRPr="007D1E86">
        <w:t xml:space="preserve">exercise their functions and powers. </w:t>
      </w:r>
    </w:p>
    <w:p w14:paraId="053B42E8" w14:textId="14B7638F" w:rsidR="00870350" w:rsidRDefault="00870350" w:rsidP="00870350">
      <w:r>
        <w:t xml:space="preserve">Effective governance also relies on ministers, departments and </w:t>
      </w:r>
      <w:r w:rsidR="00C81471">
        <w:t>entities</w:t>
      </w:r>
      <w:r>
        <w:t xml:space="preserve"> working well together and departments providing support and guidance to </w:t>
      </w:r>
      <w:r w:rsidR="00C81471">
        <w:t>entities</w:t>
      </w:r>
      <w:r>
        <w:t xml:space="preserve"> in their portfolios. This requires clarity about respective roles and responsibilities and a shared understanding of how these roles will be undertaken.</w:t>
      </w:r>
    </w:p>
    <w:p w14:paraId="4D827654" w14:textId="6F05BEAB" w:rsidR="00870350" w:rsidRPr="001258C7" w:rsidRDefault="00870350" w:rsidP="00870350">
      <w:r>
        <w:t xml:space="preserve">Accordingly, the Department of Jobs, </w:t>
      </w:r>
      <w:r w:rsidR="006430BA">
        <w:t xml:space="preserve">Skills, Industry and Regions </w:t>
      </w:r>
      <w:r>
        <w:t xml:space="preserve">(the department) </w:t>
      </w:r>
      <w:r w:rsidR="001457D7">
        <w:t xml:space="preserve">has </w:t>
      </w:r>
      <w:r>
        <w:t>developed the Portfolio Governance Framework (governance framework) to apply to the department and its portfolio</w:t>
      </w:r>
      <w:r w:rsidR="00D7075D">
        <w:t xml:space="preserve"> </w:t>
      </w:r>
      <w:r w:rsidR="001A128B">
        <w:t>entities</w:t>
      </w:r>
      <w:r>
        <w:t xml:space="preserve">. </w:t>
      </w:r>
      <w:r w:rsidRPr="000C0EF8">
        <w:t xml:space="preserve">The </w:t>
      </w:r>
      <w:r>
        <w:t>governance f</w:t>
      </w:r>
      <w:r w:rsidRPr="000C0EF8">
        <w:t>ramework aims to:</w:t>
      </w:r>
    </w:p>
    <w:p w14:paraId="21024943" w14:textId="77777777" w:rsidR="00870350" w:rsidRPr="00227E62" w:rsidRDefault="00870350" w:rsidP="007B76F0">
      <w:pPr>
        <w:pStyle w:val="ListBullet"/>
        <w:numPr>
          <w:ilvl w:val="0"/>
          <w:numId w:val="9"/>
        </w:numPr>
        <w:rPr>
          <w:color w:val="auto"/>
        </w:rPr>
      </w:pPr>
      <w:r w:rsidRPr="00227E62">
        <w:rPr>
          <w:color w:val="auto"/>
        </w:rPr>
        <w:t>encourage better alignment of the portfolio’s strategic priorities</w:t>
      </w:r>
    </w:p>
    <w:p w14:paraId="6FC15386" w14:textId="50AB186D" w:rsidR="00870350" w:rsidRPr="00227E62" w:rsidRDefault="00870350" w:rsidP="007B76F0">
      <w:pPr>
        <w:pStyle w:val="ListBullet"/>
        <w:numPr>
          <w:ilvl w:val="0"/>
          <w:numId w:val="9"/>
        </w:numPr>
        <w:rPr>
          <w:color w:val="auto"/>
        </w:rPr>
      </w:pPr>
      <w:r w:rsidRPr="00227E62">
        <w:rPr>
          <w:color w:val="auto"/>
        </w:rPr>
        <w:t xml:space="preserve">improve coordination and collaboration to </w:t>
      </w:r>
      <w:r w:rsidR="004C28A9">
        <w:rPr>
          <w:color w:val="auto"/>
        </w:rPr>
        <w:t>enhance</w:t>
      </w:r>
      <w:r w:rsidR="004C28A9" w:rsidRPr="00227E62">
        <w:rPr>
          <w:color w:val="auto"/>
        </w:rPr>
        <w:t xml:space="preserve"> </w:t>
      </w:r>
      <w:r w:rsidRPr="00227E62">
        <w:rPr>
          <w:color w:val="auto"/>
        </w:rPr>
        <w:t>performance across the portfolio</w:t>
      </w:r>
    </w:p>
    <w:p w14:paraId="66AE20C2" w14:textId="1CDEC58B" w:rsidR="00870350" w:rsidRPr="00227E62" w:rsidRDefault="00870350" w:rsidP="00E42B54">
      <w:pPr>
        <w:pStyle w:val="ListBullet"/>
        <w:numPr>
          <w:ilvl w:val="0"/>
          <w:numId w:val="9"/>
        </w:numPr>
        <w:spacing w:after="120"/>
        <w:ind w:left="714" w:hanging="357"/>
        <w:rPr>
          <w:color w:val="auto"/>
        </w:rPr>
      </w:pPr>
      <w:r w:rsidRPr="00227E62">
        <w:rPr>
          <w:color w:val="auto"/>
        </w:rPr>
        <w:t>effectively identify and resolve risks and issues</w:t>
      </w:r>
      <w:r w:rsidR="004C28A9">
        <w:rPr>
          <w:color w:val="auto"/>
        </w:rPr>
        <w:t>.</w:t>
      </w:r>
      <w:r w:rsidRPr="00227E62">
        <w:rPr>
          <w:color w:val="auto"/>
        </w:rPr>
        <w:t xml:space="preserve"> </w:t>
      </w:r>
    </w:p>
    <w:p w14:paraId="412B8DAA" w14:textId="798F56D5" w:rsidR="00870350" w:rsidRDefault="00870350" w:rsidP="00870350">
      <w:r w:rsidRPr="007D1E86">
        <w:t xml:space="preserve">This </w:t>
      </w:r>
      <w:r w:rsidRPr="003E4AE3">
        <w:rPr>
          <w:i/>
        </w:rPr>
        <w:t>Guide to Good Governance and Portfolio Performance</w:t>
      </w:r>
      <w:r>
        <w:t xml:space="preserve"> (guide) </w:t>
      </w:r>
      <w:r w:rsidRPr="007D1E86">
        <w:t>set</w:t>
      </w:r>
      <w:r>
        <w:t xml:space="preserve">s </w:t>
      </w:r>
      <w:r w:rsidRPr="007D1E86">
        <w:t xml:space="preserve">the </w:t>
      </w:r>
      <w:r>
        <w:t xml:space="preserve">minimum </w:t>
      </w:r>
      <w:r w:rsidRPr="007D1E86">
        <w:t>standard</w:t>
      </w:r>
      <w:r>
        <w:t>s</w:t>
      </w:r>
      <w:r w:rsidRPr="007D1E86">
        <w:t xml:space="preserve"> for </w:t>
      </w:r>
      <w:r>
        <w:t xml:space="preserve">the </w:t>
      </w:r>
      <w:r w:rsidR="007E75B9">
        <w:t xml:space="preserve">governance framework for the </w:t>
      </w:r>
      <w:r>
        <w:t>depa</w:t>
      </w:r>
      <w:r w:rsidRPr="00F3454B">
        <w:t>rtment and its portfolio</w:t>
      </w:r>
      <w:r w:rsidR="00D7075D">
        <w:t xml:space="preserve"> </w:t>
      </w:r>
      <w:r w:rsidR="00E938AC">
        <w:t>entities</w:t>
      </w:r>
      <w:r>
        <w:t xml:space="preserve">. </w:t>
      </w:r>
    </w:p>
    <w:p w14:paraId="3EE68EC5" w14:textId="5AB68EBA" w:rsidR="00870350" w:rsidRPr="001D00C4" w:rsidRDefault="00870350" w:rsidP="00870350">
      <w:r w:rsidRPr="007D1E86">
        <w:t xml:space="preserve">The </w:t>
      </w:r>
      <w:r>
        <w:t>g</w:t>
      </w:r>
      <w:r w:rsidRPr="007D1E86">
        <w:t>uide also outlines the support and guidance</w:t>
      </w:r>
      <w:r>
        <w:t xml:space="preserve"> that</w:t>
      </w:r>
      <w:r w:rsidRPr="007D1E86">
        <w:t xml:space="preserve"> </w:t>
      </w:r>
      <w:r>
        <w:t xml:space="preserve">the department </w:t>
      </w:r>
      <w:r w:rsidRPr="007D1E86">
        <w:t xml:space="preserve">will provide to </w:t>
      </w:r>
      <w:r w:rsidR="005B3FCA">
        <w:t>entities</w:t>
      </w:r>
      <w:r w:rsidR="00D7075D">
        <w:t xml:space="preserve"> </w:t>
      </w:r>
      <w:r w:rsidRPr="007D1E86">
        <w:t>to support the achie</w:t>
      </w:r>
      <w:r>
        <w:t xml:space="preserve">vement of portfolio objectives </w:t>
      </w:r>
      <w:r w:rsidR="005A2730">
        <w:t>while meeting</w:t>
      </w:r>
      <w:r>
        <w:t xml:space="preserve"> </w:t>
      </w:r>
      <w:r w:rsidRPr="007D1E86">
        <w:t>legislative</w:t>
      </w:r>
      <w:r>
        <w:t xml:space="preserve">, </w:t>
      </w:r>
      <w:r w:rsidRPr="007D1E86">
        <w:t xml:space="preserve">governance and public administration </w:t>
      </w:r>
      <w:r>
        <w:t>requirements</w:t>
      </w:r>
      <w:r w:rsidRPr="007D1E86">
        <w:t xml:space="preserve">. </w:t>
      </w:r>
    </w:p>
    <w:p w14:paraId="2DFFF781" w14:textId="640881D0" w:rsidR="00870350" w:rsidRDefault="00870350" w:rsidP="00870350">
      <w:r w:rsidRPr="007D1E86">
        <w:t>Th</w:t>
      </w:r>
      <w:r>
        <w:t xml:space="preserve">e guide is </w:t>
      </w:r>
      <w:r w:rsidRPr="007D1E86">
        <w:t xml:space="preserve">not intended to substitute </w:t>
      </w:r>
      <w:r>
        <w:t>W</w:t>
      </w:r>
      <w:r w:rsidRPr="007D1E86">
        <w:t>hole</w:t>
      </w:r>
      <w:r>
        <w:t>-of-</w:t>
      </w:r>
      <w:r w:rsidRPr="007D1E86">
        <w:t xml:space="preserve">Victorian Government </w:t>
      </w:r>
      <w:r>
        <w:t xml:space="preserve">(WoVG) </w:t>
      </w:r>
      <w:r w:rsidRPr="007D1E86">
        <w:t xml:space="preserve">principles, guidelines, policies and circulars, or intended to be a substitute for </w:t>
      </w:r>
      <w:r w:rsidR="005B3FCA">
        <w:t xml:space="preserve">entity </w:t>
      </w:r>
      <w:r w:rsidRPr="007D1E86">
        <w:t xml:space="preserve">compliance with Victorian and </w:t>
      </w:r>
      <w:r w:rsidR="002D3150">
        <w:t>Australian</w:t>
      </w:r>
      <w:r w:rsidR="002D3150" w:rsidRPr="007D1E86">
        <w:t xml:space="preserve"> </w:t>
      </w:r>
      <w:r w:rsidRPr="007D1E86">
        <w:t>legislation.</w:t>
      </w:r>
      <w:r>
        <w:t xml:space="preserve"> </w:t>
      </w:r>
      <w:r w:rsidRPr="00522603">
        <w:t xml:space="preserve">The </w:t>
      </w:r>
      <w:r>
        <w:t>g</w:t>
      </w:r>
      <w:r w:rsidRPr="00522603">
        <w:t>uide do</w:t>
      </w:r>
      <w:r>
        <w:t>es</w:t>
      </w:r>
      <w:r w:rsidRPr="00522603">
        <w:t xml:space="preserve"> not replace or supersede the </w:t>
      </w:r>
      <w:r>
        <w:t>enabling</w:t>
      </w:r>
      <w:r w:rsidRPr="00522603">
        <w:t xml:space="preserve"> legislation of </w:t>
      </w:r>
      <w:r w:rsidR="00C81471">
        <w:t>entities</w:t>
      </w:r>
      <w:r w:rsidRPr="00522603">
        <w:t xml:space="preserve"> and in the event of a conflict</w:t>
      </w:r>
      <w:r>
        <w:t>,</w:t>
      </w:r>
      <w:r w:rsidRPr="00522603">
        <w:t xml:space="preserve"> the latter will take precedence over</w:t>
      </w:r>
      <w:r>
        <w:t xml:space="preserve"> the guide.</w:t>
      </w:r>
    </w:p>
    <w:p w14:paraId="4FC6E4D5" w14:textId="4732B096" w:rsidR="00870350" w:rsidRDefault="00870350" w:rsidP="00870350">
      <w:r>
        <w:t>It is recognise</w:t>
      </w:r>
      <w:r w:rsidR="0073216C">
        <w:t>d</w:t>
      </w:r>
      <w:r w:rsidR="00F86F40">
        <w:t xml:space="preserve"> that</w:t>
      </w:r>
      <w:r>
        <w:t xml:space="preserve"> the guide does not cover all aspects of governance and that it will continually mature</w:t>
      </w:r>
      <w:r w:rsidR="00402C92">
        <w:t xml:space="preserve"> through </w:t>
      </w:r>
      <w:r w:rsidR="00A412DB">
        <w:t xml:space="preserve"> annual review</w:t>
      </w:r>
      <w:r w:rsidR="00402C92">
        <w:t>s</w:t>
      </w:r>
      <w:r>
        <w:t>. Feedback on the guide is encouraged and will be routinely sought by the department. Any questions or comments on the contents of the guide should initially be directed to your nominated department relationship manager</w:t>
      </w:r>
      <w:r w:rsidR="005825D9">
        <w:t xml:space="preserve"> (RM)</w:t>
      </w:r>
      <w:r>
        <w:t>.</w:t>
      </w:r>
    </w:p>
    <w:p w14:paraId="23A1274A" w14:textId="14FFAD63" w:rsidR="00B34C91" w:rsidRDefault="00B34C91" w:rsidP="00735900">
      <w:pPr>
        <w:pStyle w:val="Heading1"/>
        <w:numPr>
          <w:ilvl w:val="0"/>
          <w:numId w:val="53"/>
        </w:numPr>
      </w:pPr>
      <w:bookmarkStart w:id="5" w:name="_Toc194930356"/>
      <w:r>
        <w:t>Background</w:t>
      </w:r>
      <w:bookmarkEnd w:id="5"/>
    </w:p>
    <w:p w14:paraId="70B9B4AA" w14:textId="77777777" w:rsidR="003B7772" w:rsidRPr="003B7772" w:rsidRDefault="003B7772" w:rsidP="003B7772">
      <w:pPr>
        <w:pStyle w:val="ListParagraph"/>
        <w:ind w:left="1080"/>
      </w:pPr>
    </w:p>
    <w:p w14:paraId="0EC2AC13" w14:textId="7DA37B29" w:rsidR="004B73A5" w:rsidRPr="007D1E86" w:rsidRDefault="004B73A5" w:rsidP="004B73A5">
      <w:r>
        <w:t xml:space="preserve">The department </w:t>
      </w:r>
      <w:r w:rsidRPr="007D1E86">
        <w:t xml:space="preserve">is committed to supportive and constructive behaviours that contribute to collaborative relationships between </w:t>
      </w:r>
      <w:r>
        <w:t>m</w:t>
      </w:r>
      <w:r w:rsidRPr="007D1E86">
        <w:t xml:space="preserve">inisters, </w:t>
      </w:r>
      <w:r w:rsidR="00DE3672">
        <w:t xml:space="preserve">the </w:t>
      </w:r>
      <w:r>
        <w:t>department</w:t>
      </w:r>
      <w:r w:rsidRPr="007D1E86">
        <w:t xml:space="preserve"> and</w:t>
      </w:r>
      <w:r w:rsidR="00E51CAE">
        <w:t xml:space="preserve"> </w:t>
      </w:r>
      <w:r w:rsidR="00881B51">
        <w:t xml:space="preserve">portfolio </w:t>
      </w:r>
      <w:r w:rsidR="004E2A6D">
        <w:t>entities</w:t>
      </w:r>
      <w:r w:rsidRPr="007D1E86">
        <w:t>.</w:t>
      </w:r>
    </w:p>
    <w:p w14:paraId="5D4FFB44" w14:textId="3EFE89D2" w:rsidR="004B73A5" w:rsidRDefault="004B73A5" w:rsidP="004B73A5">
      <w:r>
        <w:t xml:space="preserve">This </w:t>
      </w:r>
      <w:r w:rsidRPr="007D1E86">
        <w:t xml:space="preserve">collaborative approach </w:t>
      </w:r>
      <w:r>
        <w:t>is reinforced by t</w:t>
      </w:r>
      <w:r w:rsidRPr="007D1E86">
        <w:t xml:space="preserve">he </w:t>
      </w:r>
      <w:r w:rsidRPr="007D1E86">
        <w:rPr>
          <w:i/>
          <w:iCs/>
        </w:rPr>
        <w:t xml:space="preserve">Public Administration Act 2004 </w:t>
      </w:r>
      <w:r w:rsidRPr="007D1E86">
        <w:t>(PAA)</w:t>
      </w:r>
      <w:r>
        <w:t>,</w:t>
      </w:r>
      <w:r w:rsidRPr="007D1E86">
        <w:t xml:space="preserve"> </w:t>
      </w:r>
      <w:r>
        <w:t>which outlines a department s</w:t>
      </w:r>
      <w:r w:rsidRPr="007D1E86">
        <w:t xml:space="preserve">ecretary’s responsibilities in respect </w:t>
      </w:r>
      <w:r>
        <w:t xml:space="preserve">to </w:t>
      </w:r>
      <w:r w:rsidR="00881B51">
        <w:t xml:space="preserve">entities </w:t>
      </w:r>
      <w:r w:rsidRPr="007D1E86">
        <w:t xml:space="preserve">and in turn the obligations of </w:t>
      </w:r>
      <w:r w:rsidR="00C661A1">
        <w:t xml:space="preserve">entities </w:t>
      </w:r>
      <w:r w:rsidRPr="007D1E86">
        <w:t xml:space="preserve">to </w:t>
      </w:r>
      <w:r>
        <w:t>the s</w:t>
      </w:r>
      <w:r w:rsidRPr="007D1E86">
        <w:t>ecretar</w:t>
      </w:r>
      <w:r>
        <w:t>y (as head of the d</w:t>
      </w:r>
      <w:r w:rsidRPr="007D1E86">
        <w:t>epartment</w:t>
      </w:r>
      <w:r>
        <w:t>)</w:t>
      </w:r>
      <w:r w:rsidRPr="007D1E86">
        <w:t xml:space="preserve">. </w:t>
      </w:r>
      <w:r w:rsidRPr="00924E85">
        <w:t>In 2014, the Parliament of Victoria passed legislation introducing a new section 13A of the PAA</w:t>
      </w:r>
      <w:r w:rsidRPr="007D1E86">
        <w:t>, which</w:t>
      </w:r>
      <w:r>
        <w:t xml:space="preserve"> </w:t>
      </w:r>
      <w:r w:rsidR="00DE3672">
        <w:t xml:space="preserve">outlines </w:t>
      </w:r>
      <w:r>
        <w:t>a</w:t>
      </w:r>
      <w:r w:rsidRPr="007D1E86">
        <w:t xml:space="preserve"> </w:t>
      </w:r>
      <w:r>
        <w:t>s</w:t>
      </w:r>
      <w:r w:rsidRPr="007D1E86">
        <w:t xml:space="preserve">ecretary’s obligations in relation to </w:t>
      </w:r>
      <w:r w:rsidR="00914E8F" w:rsidRPr="007D1E86">
        <w:t>portfolio entities</w:t>
      </w:r>
      <w:r w:rsidRPr="007D1E86">
        <w:t xml:space="preserve">. </w:t>
      </w:r>
      <w:r>
        <w:t>These obligations are:</w:t>
      </w:r>
    </w:p>
    <w:p w14:paraId="6067398A" w14:textId="0AF31E27" w:rsidR="004B73A5" w:rsidRPr="000B7E9F" w:rsidRDefault="004B73A5" w:rsidP="007B76F0">
      <w:pPr>
        <w:pStyle w:val="ListBullet"/>
        <w:numPr>
          <w:ilvl w:val="0"/>
          <w:numId w:val="8"/>
        </w:numPr>
        <w:rPr>
          <w:color w:val="auto"/>
        </w:rPr>
      </w:pPr>
      <w:r w:rsidRPr="000B7E9F">
        <w:rPr>
          <w:color w:val="auto"/>
        </w:rPr>
        <w:t>advising the minister on matters relating to the</w:t>
      </w:r>
      <w:r w:rsidR="00E51CAE">
        <w:rPr>
          <w:color w:val="auto"/>
        </w:rPr>
        <w:t xml:space="preserve"> </w:t>
      </w:r>
      <w:r w:rsidR="00443C5E">
        <w:rPr>
          <w:color w:val="auto"/>
        </w:rPr>
        <w:t>entity</w:t>
      </w:r>
      <w:r w:rsidRPr="000B7E9F">
        <w:rPr>
          <w:color w:val="auto"/>
        </w:rPr>
        <w:t>, including discharge of the</w:t>
      </w:r>
      <w:r w:rsidR="00E51CAE">
        <w:rPr>
          <w:color w:val="auto"/>
        </w:rPr>
        <w:t xml:space="preserve"> entity</w:t>
      </w:r>
      <w:r w:rsidR="00E51CAE" w:rsidRPr="000B7E9F">
        <w:rPr>
          <w:color w:val="auto"/>
        </w:rPr>
        <w:t>’s</w:t>
      </w:r>
      <w:r w:rsidR="00E51CAE">
        <w:rPr>
          <w:color w:val="auto"/>
        </w:rPr>
        <w:t xml:space="preserve"> responsibilities</w:t>
      </w:r>
      <w:r w:rsidRPr="000B7E9F">
        <w:rPr>
          <w:color w:val="auto"/>
        </w:rPr>
        <w:t xml:space="preserve"> under legislation</w:t>
      </w:r>
    </w:p>
    <w:p w14:paraId="73175B2A" w14:textId="646745CB" w:rsidR="004B73A5" w:rsidRPr="000B7E9F" w:rsidRDefault="004B73A5" w:rsidP="007B76F0">
      <w:pPr>
        <w:pStyle w:val="ListBullet"/>
        <w:numPr>
          <w:ilvl w:val="0"/>
          <w:numId w:val="8"/>
        </w:numPr>
        <w:rPr>
          <w:color w:val="auto"/>
        </w:rPr>
      </w:pPr>
      <w:r w:rsidRPr="000B7E9F">
        <w:rPr>
          <w:color w:val="auto"/>
        </w:rPr>
        <w:t xml:space="preserve">working with the </w:t>
      </w:r>
      <w:r w:rsidR="008C3381">
        <w:rPr>
          <w:color w:val="auto"/>
        </w:rPr>
        <w:t xml:space="preserve">entity </w:t>
      </w:r>
      <w:r w:rsidRPr="000B7E9F">
        <w:rPr>
          <w:color w:val="auto"/>
        </w:rPr>
        <w:t>to assist with matters relating to public administration and governance</w:t>
      </w:r>
    </w:p>
    <w:p w14:paraId="4EB6F364" w14:textId="665D0C8A" w:rsidR="004B73A5" w:rsidRPr="004860EB" w:rsidRDefault="004B73A5" w:rsidP="007B76F0">
      <w:pPr>
        <w:pStyle w:val="ListBullet"/>
        <w:numPr>
          <w:ilvl w:val="0"/>
          <w:numId w:val="8"/>
        </w:numPr>
        <w:rPr>
          <w:color w:val="auto"/>
        </w:rPr>
      </w:pPr>
      <w:r w:rsidRPr="000B7E9F">
        <w:rPr>
          <w:color w:val="auto"/>
        </w:rPr>
        <w:t xml:space="preserve">providing guidance to the </w:t>
      </w:r>
      <w:r w:rsidR="001160BA">
        <w:rPr>
          <w:color w:val="auto"/>
        </w:rPr>
        <w:t xml:space="preserve">entity </w:t>
      </w:r>
      <w:r w:rsidRPr="000B7E9F">
        <w:rPr>
          <w:color w:val="auto"/>
        </w:rPr>
        <w:t>to assist with matters relating to public administration and governance</w:t>
      </w:r>
      <w:r w:rsidR="004860EB">
        <w:rPr>
          <w:color w:val="auto"/>
        </w:rPr>
        <w:t xml:space="preserve"> </w:t>
      </w:r>
      <w:r w:rsidRPr="004860EB">
        <w:rPr>
          <w:color w:val="auto"/>
        </w:rPr>
        <w:t xml:space="preserve">obtaining information from the </w:t>
      </w:r>
      <w:r w:rsidR="001160BA">
        <w:rPr>
          <w:color w:val="auto"/>
        </w:rPr>
        <w:t xml:space="preserve">entity </w:t>
      </w:r>
      <w:r w:rsidRPr="004860EB">
        <w:rPr>
          <w:color w:val="auto"/>
        </w:rPr>
        <w:t>so the above tasks can be performed.</w:t>
      </w:r>
    </w:p>
    <w:p w14:paraId="5BA4160C" w14:textId="249892B5" w:rsidR="004B73A5" w:rsidRDefault="004B73A5" w:rsidP="004B73A5">
      <w:r w:rsidRPr="00EC5F55">
        <w:t xml:space="preserve">Section 13A of the PAA does not allow the secretary to direct or control an </w:t>
      </w:r>
      <w:r w:rsidR="003C0034" w:rsidRPr="00EC5F55">
        <w:t>entity</w:t>
      </w:r>
      <w:r w:rsidRPr="00EC5F55">
        <w:t xml:space="preserve">. </w:t>
      </w:r>
      <w:r w:rsidR="00837D9A" w:rsidRPr="00EC5F55">
        <w:t>Entities also</w:t>
      </w:r>
      <w:r w:rsidRPr="00EC5F55">
        <w:t xml:space="preserve"> have obligations under the PAA, which mirror those of the secretary, provided under section 81.</w:t>
      </w:r>
      <w:r>
        <w:t xml:space="preserve"> For example, </w:t>
      </w:r>
      <w:r w:rsidR="008108AB">
        <w:t xml:space="preserve">entities </w:t>
      </w:r>
      <w:r>
        <w:t>need to</w:t>
      </w:r>
      <w:r w:rsidRPr="007D1E86">
        <w:t xml:space="preserve"> inform the </w:t>
      </w:r>
      <w:r>
        <w:t>m</w:t>
      </w:r>
      <w:r w:rsidRPr="007D1E86">
        <w:t xml:space="preserve">inister and </w:t>
      </w:r>
      <w:r>
        <w:t>s</w:t>
      </w:r>
      <w:r w:rsidRPr="007D1E86">
        <w:t xml:space="preserve">ecretary of known major risks to the effective operation of the </w:t>
      </w:r>
      <w:r w:rsidR="00EE093A">
        <w:t xml:space="preserve">entity </w:t>
      </w:r>
      <w:r w:rsidRPr="007D1E86">
        <w:t xml:space="preserve">and provide the </w:t>
      </w:r>
      <w:r>
        <w:t>m</w:t>
      </w:r>
      <w:r w:rsidRPr="007D1E86">
        <w:t>inister with relevant information on request.</w:t>
      </w:r>
    </w:p>
    <w:p w14:paraId="40EEB894" w14:textId="6262B2CA" w:rsidR="004B73A5" w:rsidRDefault="004B73A5" w:rsidP="004B73A5">
      <w:r>
        <w:t xml:space="preserve">In addition, the </w:t>
      </w:r>
      <w:r w:rsidRPr="009507D4">
        <w:t>Standing Directions 2018</w:t>
      </w:r>
      <w:r w:rsidRPr="000B4109">
        <w:rPr>
          <w:i/>
        </w:rPr>
        <w:t xml:space="preserve"> under the Financial Management Act 1994</w:t>
      </w:r>
      <w:r>
        <w:t xml:space="preserve"> (FMA) </w:t>
      </w:r>
      <w:r w:rsidR="00D26ECC">
        <w:t>outlines</w:t>
      </w:r>
      <w:r>
        <w:t xml:space="preserve"> obligations of the department in relation to the financial management of</w:t>
      </w:r>
      <w:r w:rsidR="00BC42A3">
        <w:t xml:space="preserve"> </w:t>
      </w:r>
      <w:r w:rsidR="00EE093A">
        <w:t>entities</w:t>
      </w:r>
      <w:r>
        <w:t>. The Standing Directions 2018 require the department to:</w:t>
      </w:r>
    </w:p>
    <w:p w14:paraId="4FA27142" w14:textId="1304D189" w:rsidR="00FB199D" w:rsidRPr="0079344B" w:rsidRDefault="00FB199D" w:rsidP="00FB199D">
      <w:pPr>
        <w:pStyle w:val="ListBullet"/>
        <w:rPr>
          <w:color w:val="auto"/>
        </w:rPr>
      </w:pPr>
      <w:r w:rsidRPr="0079344B">
        <w:rPr>
          <w:color w:val="auto"/>
        </w:rPr>
        <w:lastRenderedPageBreak/>
        <w:t xml:space="preserve">provide advice and support to </w:t>
      </w:r>
      <w:r w:rsidR="00127310">
        <w:rPr>
          <w:color w:val="auto"/>
        </w:rPr>
        <w:t>entities</w:t>
      </w:r>
      <w:r w:rsidR="00575417" w:rsidRPr="0079344B">
        <w:rPr>
          <w:color w:val="auto"/>
        </w:rPr>
        <w:t xml:space="preserve"> </w:t>
      </w:r>
      <w:r w:rsidRPr="0079344B">
        <w:rPr>
          <w:color w:val="auto"/>
        </w:rPr>
        <w:t xml:space="preserve">in relation to financial management, </w:t>
      </w:r>
      <w:r w:rsidR="00BC42A3" w:rsidRPr="0079344B">
        <w:rPr>
          <w:color w:val="auto"/>
        </w:rPr>
        <w:t>performance,</w:t>
      </w:r>
      <w:r w:rsidRPr="0079344B">
        <w:rPr>
          <w:color w:val="auto"/>
        </w:rPr>
        <w:t xml:space="preserve"> and sustainability (Direction 2.3.4 (a))</w:t>
      </w:r>
    </w:p>
    <w:p w14:paraId="25DFC739" w14:textId="2BF63D04" w:rsidR="00FB199D" w:rsidRPr="0079344B" w:rsidRDefault="00FB199D" w:rsidP="0079344B">
      <w:pPr>
        <w:pStyle w:val="ListBullet"/>
        <w:rPr>
          <w:color w:val="auto"/>
        </w:rPr>
      </w:pPr>
      <w:r w:rsidRPr="0079344B">
        <w:rPr>
          <w:color w:val="auto"/>
        </w:rPr>
        <w:t xml:space="preserve">support the </w:t>
      </w:r>
      <w:r w:rsidR="00127310">
        <w:rPr>
          <w:color w:val="auto"/>
        </w:rPr>
        <w:t>r</w:t>
      </w:r>
      <w:r w:rsidRPr="0079344B">
        <w:rPr>
          <w:color w:val="auto"/>
        </w:rPr>
        <w:t xml:space="preserve">esponsible </w:t>
      </w:r>
      <w:r w:rsidR="00127310">
        <w:rPr>
          <w:color w:val="auto"/>
        </w:rPr>
        <w:t>m</w:t>
      </w:r>
      <w:r w:rsidRPr="0079344B">
        <w:rPr>
          <w:color w:val="auto"/>
        </w:rPr>
        <w:t xml:space="preserve">inister in the oversight of </w:t>
      </w:r>
      <w:r w:rsidR="00127310">
        <w:rPr>
          <w:color w:val="auto"/>
        </w:rPr>
        <w:t>entities</w:t>
      </w:r>
      <w:r w:rsidR="00575417" w:rsidRPr="0079344B">
        <w:rPr>
          <w:color w:val="auto"/>
        </w:rPr>
        <w:t xml:space="preserve"> </w:t>
      </w:r>
      <w:r w:rsidRPr="0079344B">
        <w:rPr>
          <w:color w:val="auto"/>
        </w:rPr>
        <w:t xml:space="preserve">and the </w:t>
      </w:r>
      <w:r w:rsidR="00127310">
        <w:rPr>
          <w:color w:val="auto"/>
        </w:rPr>
        <w:t>r</w:t>
      </w:r>
      <w:r w:rsidRPr="0079344B">
        <w:rPr>
          <w:color w:val="auto"/>
        </w:rPr>
        <w:t xml:space="preserve">esponsible </w:t>
      </w:r>
      <w:r w:rsidR="00127310">
        <w:rPr>
          <w:color w:val="auto"/>
        </w:rPr>
        <w:t>m</w:t>
      </w:r>
      <w:r w:rsidRPr="0079344B">
        <w:rPr>
          <w:color w:val="auto"/>
        </w:rPr>
        <w:t xml:space="preserve">inister’s portfolio as a whole, including providing information to the </w:t>
      </w:r>
      <w:r w:rsidR="00127310">
        <w:rPr>
          <w:color w:val="auto"/>
        </w:rPr>
        <w:t>r</w:t>
      </w:r>
      <w:r w:rsidRPr="0079344B">
        <w:rPr>
          <w:color w:val="auto"/>
        </w:rPr>
        <w:t xml:space="preserve">esponsible </w:t>
      </w:r>
      <w:r w:rsidR="00127310">
        <w:rPr>
          <w:color w:val="auto"/>
        </w:rPr>
        <w:t>m</w:t>
      </w:r>
      <w:r w:rsidRPr="0079344B">
        <w:rPr>
          <w:color w:val="auto"/>
        </w:rPr>
        <w:t xml:space="preserve">inister on </w:t>
      </w:r>
      <w:r w:rsidR="00127310">
        <w:rPr>
          <w:color w:val="auto"/>
        </w:rPr>
        <w:t>entities</w:t>
      </w:r>
      <w:r w:rsidR="007500C5">
        <w:rPr>
          <w:color w:val="auto"/>
        </w:rPr>
        <w:t>'</w:t>
      </w:r>
      <w:r w:rsidR="00127310" w:rsidRPr="0079344B">
        <w:rPr>
          <w:color w:val="auto"/>
        </w:rPr>
        <w:t xml:space="preserve"> </w:t>
      </w:r>
      <w:r w:rsidRPr="0079344B">
        <w:rPr>
          <w:color w:val="auto"/>
        </w:rPr>
        <w:t>financial management, performance and sustainability (Direction 2.3.4 (b))</w:t>
      </w:r>
    </w:p>
    <w:p w14:paraId="14EA8BCF" w14:textId="52532A3C" w:rsidR="00FB199D" w:rsidRDefault="00FB199D" w:rsidP="0079344B">
      <w:pPr>
        <w:pStyle w:val="ListBullet"/>
        <w:rPr>
          <w:color w:val="auto"/>
        </w:rPr>
      </w:pPr>
      <w:r w:rsidRPr="0079344B">
        <w:rPr>
          <w:color w:val="auto"/>
        </w:rPr>
        <w:t xml:space="preserve">provide information to the DTF </w:t>
      </w:r>
      <w:r w:rsidR="007500C5">
        <w:rPr>
          <w:color w:val="auto"/>
        </w:rPr>
        <w:t>a</w:t>
      </w:r>
      <w:r w:rsidRPr="0079344B">
        <w:rPr>
          <w:color w:val="auto"/>
        </w:rPr>
        <w:t xml:space="preserve">ccountable </w:t>
      </w:r>
      <w:r w:rsidR="007500C5">
        <w:rPr>
          <w:color w:val="auto"/>
        </w:rPr>
        <w:t>o</w:t>
      </w:r>
      <w:r w:rsidRPr="0079344B">
        <w:rPr>
          <w:color w:val="auto"/>
        </w:rPr>
        <w:t xml:space="preserve">fficer to support the </w:t>
      </w:r>
      <w:r w:rsidR="00106F8D" w:rsidRPr="0079344B">
        <w:rPr>
          <w:color w:val="auto"/>
        </w:rPr>
        <w:t>g</w:t>
      </w:r>
      <w:r w:rsidRPr="0079344B">
        <w:rPr>
          <w:color w:val="auto"/>
        </w:rPr>
        <w:t>overnment’s delivery of sound financial management (Direction 2.3.4 (c)).</w:t>
      </w:r>
      <w:r w:rsidRPr="0079344B">
        <w:rPr>
          <w:rStyle w:val="FootnoteReference"/>
          <w:color w:val="auto"/>
        </w:rPr>
        <w:footnoteReference w:id="2"/>
      </w:r>
      <w:r w:rsidRPr="0079344B">
        <w:rPr>
          <w:color w:val="auto"/>
        </w:rPr>
        <w:t xml:space="preserve">  </w:t>
      </w:r>
    </w:p>
    <w:p w14:paraId="00588209" w14:textId="77777777" w:rsidR="00575417" w:rsidRPr="0079344B" w:rsidRDefault="00575417" w:rsidP="009F42BA">
      <w:pPr>
        <w:pStyle w:val="ListBullet"/>
        <w:numPr>
          <w:ilvl w:val="0"/>
          <w:numId w:val="0"/>
        </w:numPr>
        <w:ind w:left="720"/>
        <w:rPr>
          <w:color w:val="auto"/>
        </w:rPr>
      </w:pPr>
    </w:p>
    <w:p w14:paraId="05023D39" w14:textId="2B01DF2E" w:rsidR="00FB199D" w:rsidRPr="00513781" w:rsidRDefault="00FB199D" w:rsidP="00FB199D">
      <w:pPr>
        <w:rPr>
          <w:color w:val="auto"/>
        </w:rPr>
      </w:pPr>
      <w:r w:rsidRPr="00513781">
        <w:rPr>
          <w:color w:val="auto"/>
        </w:rPr>
        <w:t xml:space="preserve">Additional requirements under the 2018 updates to the Standing Directions strengthen the </w:t>
      </w:r>
      <w:r w:rsidR="000F100E">
        <w:rPr>
          <w:color w:val="auto"/>
        </w:rPr>
        <w:t>c</w:t>
      </w:r>
      <w:r w:rsidRPr="00513781">
        <w:rPr>
          <w:color w:val="auto"/>
        </w:rPr>
        <w:t xml:space="preserve">hief </w:t>
      </w:r>
      <w:r w:rsidR="000F100E">
        <w:rPr>
          <w:color w:val="auto"/>
        </w:rPr>
        <w:t>f</w:t>
      </w:r>
      <w:r w:rsidRPr="00513781">
        <w:rPr>
          <w:color w:val="auto"/>
        </w:rPr>
        <w:t xml:space="preserve">inancial </w:t>
      </w:r>
      <w:r w:rsidR="000F100E">
        <w:rPr>
          <w:color w:val="auto"/>
        </w:rPr>
        <w:t>o</w:t>
      </w:r>
      <w:r w:rsidRPr="00513781">
        <w:rPr>
          <w:color w:val="auto"/>
        </w:rPr>
        <w:t xml:space="preserve">fficer’s (CFO) accountability to achieve whole-of-government financial objectives by requiring </w:t>
      </w:r>
      <w:r w:rsidR="00EF4C9F" w:rsidRPr="00513781">
        <w:rPr>
          <w:color w:val="auto"/>
        </w:rPr>
        <w:t>entity</w:t>
      </w:r>
      <w:r w:rsidR="00387C13" w:rsidRPr="00513781">
        <w:rPr>
          <w:color w:val="auto"/>
        </w:rPr>
        <w:t xml:space="preserve">’s </w:t>
      </w:r>
      <w:r w:rsidRPr="00513781">
        <w:rPr>
          <w:color w:val="auto"/>
        </w:rPr>
        <w:t>CFOs to:</w:t>
      </w:r>
    </w:p>
    <w:p w14:paraId="41F36FF3" w14:textId="2BF5A2EF" w:rsidR="00FB199D" w:rsidRPr="00513781" w:rsidRDefault="00FB199D" w:rsidP="00FB199D">
      <w:pPr>
        <w:pStyle w:val="ListBullet"/>
        <w:rPr>
          <w:color w:val="auto"/>
        </w:rPr>
      </w:pPr>
      <w:r w:rsidRPr="00513781">
        <w:rPr>
          <w:color w:val="auto"/>
        </w:rPr>
        <w:t xml:space="preserve">support whole of </w:t>
      </w:r>
      <w:r w:rsidR="00B50595">
        <w:rPr>
          <w:color w:val="auto"/>
        </w:rPr>
        <w:t>g</w:t>
      </w:r>
      <w:r w:rsidRPr="00513781">
        <w:rPr>
          <w:color w:val="auto"/>
        </w:rPr>
        <w:t>overnment financial objectives and the principles of sound financial management (Direction 2.4.6.1 (a))</w:t>
      </w:r>
    </w:p>
    <w:p w14:paraId="331A989E" w14:textId="1879F031" w:rsidR="00FB199D" w:rsidRPr="00513781" w:rsidRDefault="00FB199D" w:rsidP="00FB199D">
      <w:pPr>
        <w:pStyle w:val="ListBullet"/>
        <w:rPr>
          <w:color w:val="auto"/>
        </w:rPr>
      </w:pPr>
      <w:r w:rsidRPr="00513781">
        <w:rPr>
          <w:color w:val="auto"/>
        </w:rPr>
        <w:t xml:space="preserve">support their portfolio </w:t>
      </w:r>
      <w:r w:rsidR="00D11913">
        <w:rPr>
          <w:color w:val="auto"/>
        </w:rPr>
        <w:t>m</w:t>
      </w:r>
      <w:r w:rsidRPr="00513781">
        <w:rPr>
          <w:color w:val="auto"/>
        </w:rPr>
        <w:t xml:space="preserve">inisters in relation to the financial management of their </w:t>
      </w:r>
      <w:r w:rsidR="00260F19">
        <w:rPr>
          <w:color w:val="auto"/>
        </w:rPr>
        <w:t>d</w:t>
      </w:r>
      <w:r w:rsidR="00852BCA" w:rsidRPr="00513781">
        <w:rPr>
          <w:color w:val="auto"/>
        </w:rPr>
        <w:t>epartment</w:t>
      </w:r>
      <w:r w:rsidRPr="00513781">
        <w:rPr>
          <w:color w:val="auto"/>
        </w:rPr>
        <w:t xml:space="preserve"> or</w:t>
      </w:r>
      <w:r w:rsidR="00575417">
        <w:rPr>
          <w:color w:val="auto"/>
        </w:rPr>
        <w:t xml:space="preserve"> </w:t>
      </w:r>
      <w:r w:rsidR="00D11913">
        <w:rPr>
          <w:color w:val="auto"/>
        </w:rPr>
        <w:t>entity</w:t>
      </w:r>
      <w:r w:rsidRPr="00513781">
        <w:rPr>
          <w:color w:val="auto"/>
        </w:rPr>
        <w:t xml:space="preserve">, including issues and risks that may have an impact on the relevant </w:t>
      </w:r>
      <w:r w:rsidR="00B50595">
        <w:rPr>
          <w:color w:val="auto"/>
        </w:rPr>
        <w:t>m</w:t>
      </w:r>
      <w:r w:rsidRPr="00513781">
        <w:rPr>
          <w:color w:val="auto"/>
        </w:rPr>
        <w:t xml:space="preserve">inister’s portfolio or the financial performance and position of the </w:t>
      </w:r>
      <w:r w:rsidR="00805134">
        <w:rPr>
          <w:color w:val="auto"/>
        </w:rPr>
        <w:t>s</w:t>
      </w:r>
      <w:r w:rsidRPr="00513781">
        <w:rPr>
          <w:color w:val="auto"/>
        </w:rPr>
        <w:t>tate (Direction 2.4.6.1 (b))</w:t>
      </w:r>
    </w:p>
    <w:p w14:paraId="1E5DA8FC" w14:textId="13ADBA61" w:rsidR="00FB199D" w:rsidRPr="00513781" w:rsidRDefault="00FB199D" w:rsidP="00FB199D">
      <w:pPr>
        <w:pStyle w:val="ListBullet"/>
        <w:rPr>
          <w:color w:val="auto"/>
        </w:rPr>
      </w:pPr>
      <w:r w:rsidRPr="00513781">
        <w:rPr>
          <w:color w:val="auto"/>
        </w:rPr>
        <w:t xml:space="preserve">inform the CFO of their </w:t>
      </w:r>
      <w:r w:rsidR="001C0D8A">
        <w:rPr>
          <w:color w:val="auto"/>
        </w:rPr>
        <w:t>p</w:t>
      </w:r>
      <w:r w:rsidRPr="00513781">
        <w:rPr>
          <w:color w:val="auto"/>
        </w:rPr>
        <w:t xml:space="preserve">ortfolio </w:t>
      </w:r>
      <w:r w:rsidR="001C0D8A">
        <w:rPr>
          <w:color w:val="auto"/>
        </w:rPr>
        <w:t>d</w:t>
      </w:r>
      <w:r w:rsidRPr="00513781">
        <w:rPr>
          <w:color w:val="auto"/>
        </w:rPr>
        <w:t xml:space="preserve">epartment of issues and risks that may have an impact on the financial performance and position of the </w:t>
      </w:r>
      <w:r w:rsidR="00805134">
        <w:rPr>
          <w:color w:val="auto"/>
        </w:rPr>
        <w:t>s</w:t>
      </w:r>
      <w:r w:rsidRPr="00513781">
        <w:rPr>
          <w:color w:val="auto"/>
        </w:rPr>
        <w:t>tate (Direction 2.4.6.3 (a))</w:t>
      </w:r>
    </w:p>
    <w:p w14:paraId="0A289F3F" w14:textId="1A074470" w:rsidR="00FB199D" w:rsidRPr="00513781" w:rsidRDefault="00FB199D" w:rsidP="00FB199D">
      <w:pPr>
        <w:pStyle w:val="ListBullet"/>
        <w:rPr>
          <w:color w:val="auto"/>
        </w:rPr>
      </w:pPr>
      <w:r w:rsidRPr="00513781">
        <w:rPr>
          <w:color w:val="auto"/>
        </w:rPr>
        <w:t xml:space="preserve">directly provide to their </w:t>
      </w:r>
      <w:r w:rsidR="001C0D8A">
        <w:rPr>
          <w:color w:val="auto"/>
        </w:rPr>
        <w:t>p</w:t>
      </w:r>
      <w:r w:rsidRPr="00513781">
        <w:rPr>
          <w:color w:val="auto"/>
        </w:rPr>
        <w:t xml:space="preserve">ortfolio </w:t>
      </w:r>
      <w:r w:rsidR="001C0D8A">
        <w:rPr>
          <w:color w:val="auto"/>
        </w:rPr>
        <w:t>d</w:t>
      </w:r>
      <w:r w:rsidRPr="00513781">
        <w:rPr>
          <w:color w:val="auto"/>
        </w:rPr>
        <w:t xml:space="preserve">epartment factual financial information requested by the </w:t>
      </w:r>
      <w:r w:rsidR="00260F19">
        <w:rPr>
          <w:color w:val="auto"/>
        </w:rPr>
        <w:t>d</w:t>
      </w:r>
      <w:r w:rsidRPr="00513781">
        <w:rPr>
          <w:color w:val="auto"/>
        </w:rPr>
        <w:t>epartment to facilitate reporting and government decision making, within the time provided in the request (Direction 2.4.6.3 (b)).</w:t>
      </w:r>
    </w:p>
    <w:p w14:paraId="7AC3A35B" w14:textId="6A9F3F2D" w:rsidR="00FB199D" w:rsidRDefault="00FB199D" w:rsidP="00735900">
      <w:pPr>
        <w:pStyle w:val="Heading1"/>
        <w:numPr>
          <w:ilvl w:val="0"/>
          <w:numId w:val="53"/>
        </w:numPr>
      </w:pPr>
      <w:bookmarkStart w:id="6" w:name="_Toc194930357"/>
      <w:r>
        <w:t>Governance Framework Principles</w:t>
      </w:r>
      <w:bookmarkEnd w:id="6"/>
    </w:p>
    <w:p w14:paraId="32AD1FDE" w14:textId="77777777" w:rsidR="003B7772" w:rsidRPr="003B7772" w:rsidRDefault="003B7772" w:rsidP="003B7772">
      <w:pPr>
        <w:pStyle w:val="ListParagraph"/>
        <w:ind w:left="1080"/>
      </w:pPr>
    </w:p>
    <w:p w14:paraId="3241C1E7" w14:textId="5767BFC8" w:rsidR="00B34C91" w:rsidRDefault="00891813" w:rsidP="00870350">
      <w:r w:rsidRPr="007D1E86">
        <w:t xml:space="preserve">The </w:t>
      </w:r>
      <w:r w:rsidR="00A86E42">
        <w:t>g</w:t>
      </w:r>
      <w:r>
        <w:t xml:space="preserve">overnance </w:t>
      </w:r>
      <w:r w:rsidR="00A86E42">
        <w:t>f</w:t>
      </w:r>
      <w:r>
        <w:t xml:space="preserve">ramework and </w:t>
      </w:r>
      <w:r w:rsidR="00A86E42">
        <w:t>g</w:t>
      </w:r>
      <w:r w:rsidRPr="007D1E86">
        <w:t xml:space="preserve">uide </w:t>
      </w:r>
      <w:r>
        <w:t>are</w:t>
      </w:r>
      <w:r w:rsidRPr="007D1E86">
        <w:t xml:space="preserve"> based on the following principles</w:t>
      </w:r>
      <w:r>
        <w:t>.</w:t>
      </w:r>
    </w:p>
    <w:p w14:paraId="476639BE" w14:textId="4D5B7C70" w:rsidR="00891813" w:rsidRPr="00891813" w:rsidRDefault="00891813" w:rsidP="00891813">
      <w:pPr>
        <w:pStyle w:val="Heading2"/>
      </w:pPr>
      <w:bookmarkStart w:id="7" w:name="_Toc194930358"/>
      <w:bookmarkEnd w:id="4"/>
      <w:r>
        <w:t>3.1</w:t>
      </w:r>
      <w:r>
        <w:tab/>
      </w:r>
      <w:r w:rsidR="008F4990">
        <w:t>Proportionality</w:t>
      </w:r>
      <w:bookmarkEnd w:id="7"/>
    </w:p>
    <w:p w14:paraId="5A468237" w14:textId="29BE1A55" w:rsidR="00E325BC" w:rsidRDefault="00E325BC" w:rsidP="00D556AE">
      <w:pPr>
        <w:pStyle w:val="bullet1"/>
        <w:numPr>
          <w:ilvl w:val="0"/>
          <w:numId w:val="0"/>
        </w:numPr>
        <w:ind w:left="720"/>
      </w:pPr>
      <w:r w:rsidRPr="00E706A7">
        <w:t xml:space="preserve">Oversight and monitoring mechanisms should be commensurate with risk and should not create an undue administrative burden for either the department </w:t>
      </w:r>
      <w:r w:rsidR="0033586D" w:rsidRPr="00E706A7">
        <w:t>or entities</w:t>
      </w:r>
      <w:r w:rsidRPr="00E706A7">
        <w:t>.</w:t>
      </w:r>
    </w:p>
    <w:p w14:paraId="5E4BF3D9" w14:textId="54BE4A02" w:rsidR="00E325BC" w:rsidRPr="00E706A7" w:rsidRDefault="00E325BC" w:rsidP="007D3AC9">
      <w:pPr>
        <w:pStyle w:val="Heading2"/>
      </w:pPr>
      <w:bookmarkStart w:id="8" w:name="_Toc194930359"/>
      <w:r>
        <w:t>3.2</w:t>
      </w:r>
      <w:r>
        <w:tab/>
        <w:t>Clear expectations</w:t>
      </w:r>
      <w:bookmarkEnd w:id="8"/>
    </w:p>
    <w:p w14:paraId="72B67E74" w14:textId="1FF49C8B" w:rsidR="00415FAA" w:rsidRDefault="00865AFC" w:rsidP="00E6716A">
      <w:pPr>
        <w:pStyle w:val="bullet1"/>
        <w:numPr>
          <w:ilvl w:val="0"/>
          <w:numId w:val="0"/>
        </w:numPr>
        <w:ind w:left="720"/>
      </w:pPr>
      <w:r>
        <w:t xml:space="preserve">The department’s expectations for </w:t>
      </w:r>
      <w:r w:rsidR="00DA1816">
        <w:t xml:space="preserve">entity </w:t>
      </w:r>
      <w:r>
        <w:t>governance are to be clear and well-defined</w:t>
      </w:r>
      <w:r w:rsidR="00415FAA">
        <w:t>.</w:t>
      </w:r>
      <w:r w:rsidR="00E6716A">
        <w:t xml:space="preserve"> </w:t>
      </w:r>
      <w:r w:rsidR="00415FAA">
        <w:t xml:space="preserve">The respective roles of </w:t>
      </w:r>
      <w:r w:rsidR="00C81471">
        <w:t>entities</w:t>
      </w:r>
      <w:r w:rsidR="00DA1816">
        <w:t xml:space="preserve"> </w:t>
      </w:r>
      <w:r w:rsidR="00415FAA">
        <w:t>and the department should be clear and agreed.</w:t>
      </w:r>
    </w:p>
    <w:p w14:paraId="1631FF87" w14:textId="4E098693" w:rsidR="00415FAA" w:rsidRPr="00E706A7" w:rsidRDefault="00415FAA" w:rsidP="00415FAA">
      <w:pPr>
        <w:pStyle w:val="Heading2"/>
      </w:pPr>
      <w:bookmarkStart w:id="9" w:name="_Toc194930360"/>
      <w:r>
        <w:t>3.</w:t>
      </w:r>
      <w:r w:rsidR="00793962">
        <w:t>3</w:t>
      </w:r>
      <w:r>
        <w:tab/>
      </w:r>
      <w:r w:rsidR="0011297A">
        <w:t xml:space="preserve">Balancing independence and </w:t>
      </w:r>
      <w:r w:rsidR="00B3281A">
        <w:t>oversight</w:t>
      </w:r>
      <w:bookmarkEnd w:id="9"/>
    </w:p>
    <w:p w14:paraId="61A0D826" w14:textId="35E37394" w:rsidR="0000440C" w:rsidRDefault="00B3281A" w:rsidP="0058648A">
      <w:pPr>
        <w:pStyle w:val="bullet2"/>
        <w:numPr>
          <w:ilvl w:val="0"/>
          <w:numId w:val="0"/>
        </w:numPr>
        <w:ind w:left="720"/>
      </w:pPr>
      <w:r>
        <w:t>The department should balance</w:t>
      </w:r>
      <w:r w:rsidR="008D0BFE">
        <w:t xml:space="preserve"> the imperative for oversight and monitoring with </w:t>
      </w:r>
      <w:r w:rsidR="001012EB">
        <w:t>entities</w:t>
      </w:r>
      <w:r w:rsidR="00D11913">
        <w:t>’</w:t>
      </w:r>
      <w:r w:rsidR="001012EB">
        <w:t xml:space="preserve"> independence</w:t>
      </w:r>
      <w:r w:rsidR="003F5152">
        <w:t>.</w:t>
      </w:r>
    </w:p>
    <w:p w14:paraId="73E7C74F" w14:textId="1732D336" w:rsidR="00793962" w:rsidRPr="00E706A7" w:rsidRDefault="00793962" w:rsidP="00793962">
      <w:pPr>
        <w:pStyle w:val="Heading2"/>
      </w:pPr>
      <w:bookmarkStart w:id="10" w:name="_Toc194930361"/>
      <w:r>
        <w:t>3.4</w:t>
      </w:r>
      <w:r>
        <w:tab/>
        <w:t>Trust</w:t>
      </w:r>
      <w:r w:rsidR="00C36FB7">
        <w:t>,</w:t>
      </w:r>
      <w:r>
        <w:t xml:space="preserve"> </w:t>
      </w:r>
      <w:r w:rsidR="007E26B1">
        <w:t>cooperation,</w:t>
      </w:r>
      <w:r>
        <w:t xml:space="preserve"> and </w:t>
      </w:r>
      <w:r w:rsidR="003F5152">
        <w:t>collaboration</w:t>
      </w:r>
      <w:bookmarkEnd w:id="10"/>
    </w:p>
    <w:p w14:paraId="1A6E7CEC" w14:textId="74B20FD7" w:rsidR="008606C2" w:rsidRPr="0058648A" w:rsidRDefault="008606C2" w:rsidP="0058648A">
      <w:pPr>
        <w:ind w:left="720"/>
        <w:rPr>
          <w:rFonts w:asciiTheme="minorHAnsi" w:hAnsiTheme="minorHAnsi" w:cstheme="minorHAnsi"/>
          <w:color w:val="auto"/>
        </w:rPr>
      </w:pPr>
      <w:r w:rsidRPr="0058648A">
        <w:rPr>
          <w:rFonts w:asciiTheme="minorHAnsi" w:hAnsiTheme="minorHAnsi" w:cstheme="minorHAnsi"/>
          <w:color w:val="auto"/>
          <w:kern w:val="24"/>
        </w:rPr>
        <w:t xml:space="preserve">The department and </w:t>
      </w:r>
      <w:r w:rsidR="00C81471" w:rsidRPr="0058648A">
        <w:rPr>
          <w:rFonts w:asciiTheme="minorHAnsi" w:hAnsiTheme="minorHAnsi" w:cstheme="minorHAnsi"/>
          <w:color w:val="auto"/>
          <w:kern w:val="24"/>
        </w:rPr>
        <w:t>entities</w:t>
      </w:r>
      <w:r w:rsidR="0099133E" w:rsidRPr="0058648A">
        <w:rPr>
          <w:rFonts w:asciiTheme="minorHAnsi" w:hAnsiTheme="minorHAnsi" w:cstheme="minorHAnsi"/>
          <w:color w:val="auto"/>
          <w:kern w:val="24"/>
        </w:rPr>
        <w:t xml:space="preserve"> </w:t>
      </w:r>
      <w:r w:rsidRPr="0058648A">
        <w:rPr>
          <w:rFonts w:asciiTheme="minorHAnsi" w:hAnsiTheme="minorHAnsi" w:cstheme="minorHAnsi"/>
          <w:color w:val="auto"/>
          <w:kern w:val="24"/>
        </w:rPr>
        <w:t>must commit to maintaining collaborative dialogue and to sharing information in a timely and transparent manner.</w:t>
      </w:r>
    </w:p>
    <w:p w14:paraId="00FF176A" w14:textId="251F6F9C" w:rsidR="009E5BCA" w:rsidRDefault="009E5BCA">
      <w:pPr>
        <w:suppressAutoHyphens w:val="0"/>
        <w:autoSpaceDE/>
        <w:autoSpaceDN/>
        <w:adjustRightInd/>
        <w:spacing w:after="0" w:line="240" w:lineRule="auto"/>
        <w:textAlignment w:val="auto"/>
      </w:pPr>
      <w:r>
        <w:br w:type="page"/>
      </w:r>
    </w:p>
    <w:p w14:paraId="111DC407" w14:textId="5580050D" w:rsidR="006216C1" w:rsidRDefault="006216C1" w:rsidP="00735900">
      <w:pPr>
        <w:pStyle w:val="Heading1"/>
        <w:numPr>
          <w:ilvl w:val="0"/>
          <w:numId w:val="53"/>
        </w:numPr>
      </w:pPr>
      <w:bookmarkStart w:id="11" w:name="_Toc194930362"/>
      <w:r>
        <w:lastRenderedPageBreak/>
        <w:t xml:space="preserve">Governance </w:t>
      </w:r>
      <w:r w:rsidR="00A55233">
        <w:t>Framework Model</w:t>
      </w:r>
      <w:bookmarkEnd w:id="11"/>
    </w:p>
    <w:p w14:paraId="27EC332A" w14:textId="77777777" w:rsidR="003B7772" w:rsidRPr="003B7772" w:rsidRDefault="003B7772" w:rsidP="003B7772">
      <w:pPr>
        <w:pStyle w:val="ListParagraph"/>
        <w:ind w:left="1080"/>
      </w:pPr>
    </w:p>
    <w:p w14:paraId="4FBBAB56" w14:textId="62A6B14A" w:rsidR="009E1E43" w:rsidRDefault="009E1E43" w:rsidP="009E1E43">
      <w:r>
        <w:t xml:space="preserve">The governance framework </w:t>
      </w:r>
      <w:r w:rsidRPr="00E44C48">
        <w:t>capture</w:t>
      </w:r>
      <w:r>
        <w:t>s</w:t>
      </w:r>
      <w:r w:rsidRPr="00E44C48">
        <w:t xml:space="preserve"> a broad range of areas relating to planning and performance, financial sustainability and accountability </w:t>
      </w:r>
      <w:r>
        <w:t xml:space="preserve">applicable to the department </w:t>
      </w:r>
      <w:r w:rsidRPr="00E44C48">
        <w:t>and</w:t>
      </w:r>
      <w:r w:rsidR="00F52298">
        <w:t xml:space="preserve"> </w:t>
      </w:r>
      <w:r w:rsidR="006C5B95">
        <w:t>entities</w:t>
      </w:r>
      <w:r w:rsidRPr="00E44C48">
        <w:t>.</w:t>
      </w:r>
    </w:p>
    <w:p w14:paraId="6DA8EF43" w14:textId="67B5B749" w:rsidR="009E1E43" w:rsidRDefault="009E1E43" w:rsidP="009E1E43">
      <w:r w:rsidRPr="00E44C48">
        <w:t xml:space="preserve">The </w:t>
      </w:r>
      <w:r>
        <w:t>governance f</w:t>
      </w:r>
      <w:r w:rsidRPr="00E44C48">
        <w:t>ramework has four key stages: plan, analyse, report and monitor</w:t>
      </w:r>
      <w:r>
        <w:t>,</w:t>
      </w:r>
      <w:r w:rsidRPr="00E44C48">
        <w:t xml:space="preserve"> w</w:t>
      </w:r>
      <w:r>
        <w:t xml:space="preserve">ith elements of risk management, </w:t>
      </w:r>
      <w:r w:rsidR="00C81471">
        <w:t>entit</w:t>
      </w:r>
      <w:r w:rsidR="009537ED">
        <w:t>y</w:t>
      </w:r>
      <w:r w:rsidR="001B3A08" w:rsidRPr="007B049F">
        <w:t xml:space="preserve"> </w:t>
      </w:r>
      <w:r w:rsidRPr="007B049F">
        <w:t xml:space="preserve">support and oversight </w:t>
      </w:r>
      <w:r>
        <w:t>embedded at each stage</w:t>
      </w:r>
      <w:r w:rsidR="005B4E6D">
        <w:t>:</w:t>
      </w:r>
    </w:p>
    <w:p w14:paraId="05A92582" w14:textId="66950F3D" w:rsidR="00F42AAA" w:rsidRPr="007400CA" w:rsidRDefault="001D13E0" w:rsidP="00735900">
      <w:pPr>
        <w:pStyle w:val="ListParagraph"/>
        <w:numPr>
          <w:ilvl w:val="0"/>
          <w:numId w:val="55"/>
        </w:numPr>
        <w:rPr>
          <w:rFonts w:ascii="Arial" w:eastAsiaTheme="minorHAnsi" w:hAnsi="Arial" w:cs="Arial"/>
          <w:color w:val="000000"/>
          <w:sz w:val="18"/>
          <w:szCs w:val="18"/>
          <w:lang w:val="en-US" w:eastAsia="en-US"/>
        </w:rPr>
      </w:pPr>
      <w:r w:rsidRPr="007400CA">
        <w:rPr>
          <w:rFonts w:ascii="Arial" w:eastAsiaTheme="minorHAnsi" w:hAnsi="Arial" w:cs="Arial"/>
          <w:color w:val="000000"/>
          <w:sz w:val="18"/>
          <w:szCs w:val="18"/>
          <w:lang w:val="en-US" w:eastAsia="en-US"/>
        </w:rPr>
        <w:t xml:space="preserve">Plan: </w:t>
      </w:r>
      <w:r w:rsidR="000A3583" w:rsidRPr="007400CA">
        <w:rPr>
          <w:rFonts w:ascii="Arial" w:eastAsiaTheme="minorHAnsi" w:hAnsi="Arial" w:cs="Arial"/>
          <w:color w:val="000000"/>
          <w:sz w:val="18"/>
          <w:szCs w:val="18"/>
          <w:lang w:val="en-US" w:eastAsia="en-US"/>
        </w:rPr>
        <w:t>It</w:t>
      </w:r>
      <w:r w:rsidRPr="007400CA">
        <w:rPr>
          <w:rFonts w:ascii="Arial" w:eastAsiaTheme="minorHAnsi" w:hAnsi="Arial" w:cs="Arial"/>
          <w:color w:val="000000"/>
          <w:sz w:val="18"/>
          <w:szCs w:val="18"/>
          <w:lang w:val="en-US" w:eastAsia="en-US"/>
        </w:rPr>
        <w:t xml:space="preserve"> in</w:t>
      </w:r>
      <w:r w:rsidR="00C10B80" w:rsidRPr="007400CA">
        <w:rPr>
          <w:rFonts w:ascii="Arial" w:eastAsiaTheme="minorHAnsi" w:hAnsi="Arial" w:cs="Arial"/>
          <w:color w:val="000000"/>
          <w:sz w:val="18"/>
          <w:szCs w:val="18"/>
          <w:lang w:val="en-US" w:eastAsia="en-US"/>
        </w:rPr>
        <w:t>cludes –</w:t>
      </w:r>
    </w:p>
    <w:p w14:paraId="40EDB45D" w14:textId="41E5853B" w:rsidR="00C10B80" w:rsidRPr="009A15C8" w:rsidRDefault="00C10B80" w:rsidP="00735900">
      <w:pPr>
        <w:pStyle w:val="ListParagraph"/>
        <w:numPr>
          <w:ilvl w:val="1"/>
          <w:numId w:val="54"/>
        </w:numPr>
        <w:rPr>
          <w:rFonts w:ascii="Arial" w:eastAsiaTheme="minorHAnsi" w:hAnsi="Arial" w:cs="Arial"/>
          <w:color w:val="000000"/>
          <w:sz w:val="18"/>
          <w:szCs w:val="18"/>
          <w:lang w:val="en-US" w:eastAsia="en-US"/>
        </w:rPr>
      </w:pPr>
      <w:r w:rsidRPr="009A15C8">
        <w:rPr>
          <w:rFonts w:ascii="Arial" w:eastAsiaTheme="minorHAnsi" w:hAnsi="Arial" w:cs="Arial"/>
          <w:color w:val="000000"/>
          <w:sz w:val="18"/>
          <w:szCs w:val="18"/>
          <w:lang w:val="en-US" w:eastAsia="en-US"/>
        </w:rPr>
        <w:t>Set strategy and priorities</w:t>
      </w:r>
    </w:p>
    <w:p w14:paraId="6DD0C710" w14:textId="55CEF3D1" w:rsidR="00C10B80" w:rsidRPr="009A15C8" w:rsidRDefault="00C10B80" w:rsidP="00735900">
      <w:pPr>
        <w:pStyle w:val="ListParagraph"/>
        <w:numPr>
          <w:ilvl w:val="1"/>
          <w:numId w:val="54"/>
        </w:numPr>
        <w:rPr>
          <w:rFonts w:ascii="Arial" w:eastAsiaTheme="minorHAnsi" w:hAnsi="Arial" w:cs="Arial"/>
          <w:color w:val="000000"/>
          <w:sz w:val="18"/>
          <w:szCs w:val="18"/>
          <w:lang w:val="en-US" w:eastAsia="en-US"/>
        </w:rPr>
      </w:pPr>
      <w:r w:rsidRPr="009A15C8">
        <w:rPr>
          <w:rFonts w:ascii="Arial" w:eastAsiaTheme="minorHAnsi" w:hAnsi="Arial" w:cs="Arial"/>
          <w:color w:val="000000"/>
          <w:sz w:val="18"/>
          <w:szCs w:val="18"/>
          <w:lang w:val="en-US" w:eastAsia="en-US"/>
        </w:rPr>
        <w:t>Set standards and guidance</w:t>
      </w:r>
    </w:p>
    <w:p w14:paraId="26997124" w14:textId="1964736F" w:rsidR="00C10B80" w:rsidRPr="009A15C8" w:rsidRDefault="000A3583" w:rsidP="00735900">
      <w:pPr>
        <w:pStyle w:val="ListParagraph"/>
        <w:numPr>
          <w:ilvl w:val="1"/>
          <w:numId w:val="54"/>
        </w:numPr>
        <w:rPr>
          <w:rFonts w:ascii="Arial" w:eastAsiaTheme="minorHAnsi" w:hAnsi="Arial" w:cs="Arial"/>
          <w:color w:val="000000"/>
          <w:sz w:val="18"/>
          <w:szCs w:val="18"/>
          <w:lang w:val="en-US" w:eastAsia="en-US"/>
        </w:rPr>
      </w:pPr>
      <w:r w:rsidRPr="009A15C8">
        <w:rPr>
          <w:rFonts w:ascii="Arial" w:eastAsiaTheme="minorHAnsi" w:hAnsi="Arial" w:cs="Arial"/>
          <w:color w:val="000000"/>
          <w:sz w:val="18"/>
          <w:szCs w:val="18"/>
          <w:lang w:val="en-US" w:eastAsia="en-US"/>
        </w:rPr>
        <w:t>Identify, plan and implement responses</w:t>
      </w:r>
    </w:p>
    <w:p w14:paraId="2ED0AF16" w14:textId="42302FD8" w:rsidR="009A15C8" w:rsidRPr="00811C36" w:rsidRDefault="009A15C8" w:rsidP="00735900">
      <w:pPr>
        <w:pStyle w:val="ListParagraph"/>
        <w:numPr>
          <w:ilvl w:val="1"/>
          <w:numId w:val="54"/>
        </w:numPr>
        <w:rPr>
          <w:rFonts w:ascii="Arial" w:eastAsiaTheme="minorHAnsi" w:hAnsi="Arial" w:cs="Arial"/>
          <w:color w:val="000000"/>
          <w:sz w:val="18"/>
          <w:szCs w:val="18"/>
          <w:lang w:val="en-US" w:eastAsia="en-US"/>
        </w:rPr>
      </w:pPr>
      <w:r w:rsidRPr="009A15C8">
        <w:rPr>
          <w:rFonts w:ascii="Arial" w:eastAsiaTheme="minorHAnsi" w:hAnsi="Arial" w:cs="Arial"/>
          <w:color w:val="000000"/>
          <w:sz w:val="18"/>
          <w:szCs w:val="18"/>
          <w:lang w:val="en-US" w:eastAsia="en-US"/>
        </w:rPr>
        <w:t>Develop performance indicators</w:t>
      </w:r>
    </w:p>
    <w:p w14:paraId="7DE37B0E" w14:textId="1C301B13" w:rsidR="001D13E0" w:rsidRDefault="001D13E0" w:rsidP="00735900">
      <w:pPr>
        <w:pStyle w:val="ListParagraph"/>
        <w:numPr>
          <w:ilvl w:val="0"/>
          <w:numId w:val="55"/>
        </w:numPr>
        <w:rPr>
          <w:rFonts w:ascii="Arial" w:eastAsiaTheme="minorHAnsi" w:hAnsi="Arial" w:cs="Arial"/>
          <w:color w:val="000000"/>
          <w:sz w:val="18"/>
          <w:szCs w:val="18"/>
          <w:lang w:val="en-US" w:eastAsia="en-US"/>
        </w:rPr>
      </w:pPr>
      <w:r w:rsidRPr="007400CA">
        <w:rPr>
          <w:rFonts w:ascii="Arial" w:eastAsiaTheme="minorHAnsi" w:hAnsi="Arial" w:cs="Arial"/>
          <w:color w:val="000000"/>
          <w:sz w:val="18"/>
          <w:szCs w:val="18"/>
          <w:lang w:val="en-US" w:eastAsia="en-US"/>
        </w:rPr>
        <w:t>Analyse:</w:t>
      </w:r>
      <w:r w:rsidR="00AC3AEA">
        <w:rPr>
          <w:rFonts w:ascii="Arial" w:eastAsiaTheme="minorHAnsi" w:hAnsi="Arial" w:cs="Arial"/>
          <w:color w:val="000000"/>
          <w:sz w:val="18"/>
          <w:szCs w:val="18"/>
          <w:lang w:val="en-US" w:eastAsia="en-US"/>
        </w:rPr>
        <w:t xml:space="preserve"> It includes-</w:t>
      </w:r>
    </w:p>
    <w:p w14:paraId="399612C7" w14:textId="4E6BD242" w:rsidR="00AC3AEA" w:rsidRDefault="00AC3AEA" w:rsidP="00735900">
      <w:pPr>
        <w:pStyle w:val="ListParagraph"/>
        <w:numPr>
          <w:ilvl w:val="0"/>
          <w:numId w:val="56"/>
        </w:numPr>
        <w:rPr>
          <w:rFonts w:ascii="Arial" w:eastAsiaTheme="minorHAnsi" w:hAnsi="Arial" w:cs="Arial"/>
          <w:color w:val="000000"/>
          <w:sz w:val="18"/>
          <w:szCs w:val="18"/>
          <w:lang w:val="en-US" w:eastAsia="en-US"/>
        </w:rPr>
      </w:pPr>
      <w:r>
        <w:rPr>
          <w:rFonts w:ascii="Arial" w:eastAsiaTheme="minorHAnsi" w:hAnsi="Arial" w:cs="Arial"/>
          <w:color w:val="000000"/>
          <w:sz w:val="18"/>
          <w:szCs w:val="18"/>
          <w:lang w:val="en-US" w:eastAsia="en-US"/>
        </w:rPr>
        <w:t>Collect data and analyse performance</w:t>
      </w:r>
    </w:p>
    <w:p w14:paraId="571CA018" w14:textId="718CFF24" w:rsidR="00AC3AEA" w:rsidRPr="007400CA" w:rsidRDefault="00935CA4" w:rsidP="00735900">
      <w:pPr>
        <w:pStyle w:val="ListParagraph"/>
        <w:numPr>
          <w:ilvl w:val="0"/>
          <w:numId w:val="56"/>
        </w:numPr>
        <w:rPr>
          <w:rFonts w:ascii="Arial" w:eastAsiaTheme="minorHAnsi" w:hAnsi="Arial" w:cs="Arial"/>
          <w:color w:val="000000"/>
          <w:sz w:val="18"/>
          <w:szCs w:val="18"/>
          <w:lang w:val="en-US" w:eastAsia="en-US"/>
        </w:rPr>
      </w:pPr>
      <w:r>
        <w:rPr>
          <w:rFonts w:ascii="Arial" w:eastAsiaTheme="minorHAnsi" w:hAnsi="Arial" w:cs="Arial"/>
          <w:color w:val="000000"/>
          <w:sz w:val="18"/>
          <w:szCs w:val="18"/>
          <w:lang w:val="en-US" w:eastAsia="en-US"/>
        </w:rPr>
        <w:t>Strategic review and evaluate</w:t>
      </w:r>
    </w:p>
    <w:p w14:paraId="4DF65CF3" w14:textId="2DA5F997" w:rsidR="001D13E0" w:rsidRDefault="001D13E0" w:rsidP="00735900">
      <w:pPr>
        <w:pStyle w:val="ListParagraph"/>
        <w:numPr>
          <w:ilvl w:val="0"/>
          <w:numId w:val="55"/>
        </w:numPr>
        <w:rPr>
          <w:rFonts w:ascii="Arial" w:eastAsiaTheme="minorHAnsi" w:hAnsi="Arial" w:cs="Arial"/>
          <w:color w:val="000000"/>
          <w:sz w:val="18"/>
          <w:szCs w:val="18"/>
          <w:lang w:val="en-US" w:eastAsia="en-US"/>
        </w:rPr>
      </w:pPr>
      <w:r w:rsidRPr="007400CA">
        <w:rPr>
          <w:rFonts w:ascii="Arial" w:eastAsiaTheme="minorHAnsi" w:hAnsi="Arial" w:cs="Arial"/>
          <w:color w:val="000000"/>
          <w:sz w:val="18"/>
          <w:szCs w:val="18"/>
          <w:lang w:val="en-US" w:eastAsia="en-US"/>
        </w:rPr>
        <w:t>Report:</w:t>
      </w:r>
      <w:r w:rsidR="00935CA4">
        <w:rPr>
          <w:rFonts w:ascii="Arial" w:eastAsiaTheme="minorHAnsi" w:hAnsi="Arial" w:cs="Arial"/>
          <w:color w:val="000000"/>
          <w:sz w:val="18"/>
          <w:szCs w:val="18"/>
          <w:lang w:val="en-US" w:eastAsia="en-US"/>
        </w:rPr>
        <w:t xml:space="preserve"> It includes:</w:t>
      </w:r>
    </w:p>
    <w:p w14:paraId="69BA03BA" w14:textId="73AC5080" w:rsidR="00935CA4" w:rsidRDefault="00811C36" w:rsidP="00735900">
      <w:pPr>
        <w:pStyle w:val="ListParagraph"/>
        <w:numPr>
          <w:ilvl w:val="0"/>
          <w:numId w:val="57"/>
        </w:numPr>
        <w:rPr>
          <w:rFonts w:ascii="Arial" w:eastAsiaTheme="minorHAnsi" w:hAnsi="Arial" w:cs="Arial"/>
          <w:color w:val="000000"/>
          <w:sz w:val="18"/>
          <w:szCs w:val="18"/>
          <w:lang w:val="en-US" w:eastAsia="en-US"/>
        </w:rPr>
      </w:pPr>
      <w:r>
        <w:rPr>
          <w:rFonts w:ascii="Arial" w:eastAsiaTheme="minorHAnsi" w:hAnsi="Arial" w:cs="Arial"/>
          <w:color w:val="000000"/>
          <w:sz w:val="18"/>
          <w:szCs w:val="18"/>
          <w:lang w:val="en-US" w:eastAsia="en-US"/>
        </w:rPr>
        <w:t>Report on performance</w:t>
      </w:r>
    </w:p>
    <w:p w14:paraId="17BBE614" w14:textId="66162938" w:rsidR="00811C36" w:rsidRPr="007400CA" w:rsidRDefault="00811C36" w:rsidP="00735900">
      <w:pPr>
        <w:pStyle w:val="ListParagraph"/>
        <w:numPr>
          <w:ilvl w:val="0"/>
          <w:numId w:val="57"/>
        </w:numPr>
        <w:rPr>
          <w:rFonts w:ascii="Arial" w:eastAsiaTheme="minorHAnsi" w:hAnsi="Arial" w:cs="Arial"/>
          <w:color w:val="000000"/>
          <w:sz w:val="18"/>
          <w:szCs w:val="18"/>
          <w:lang w:val="en-US" w:eastAsia="en-US"/>
        </w:rPr>
      </w:pPr>
      <w:r>
        <w:rPr>
          <w:rFonts w:ascii="Arial" w:eastAsiaTheme="minorHAnsi" w:hAnsi="Arial" w:cs="Arial"/>
          <w:color w:val="000000"/>
          <w:sz w:val="18"/>
          <w:szCs w:val="18"/>
          <w:lang w:val="en-US" w:eastAsia="en-US"/>
        </w:rPr>
        <w:t>Share and discuss learnings</w:t>
      </w:r>
    </w:p>
    <w:p w14:paraId="717D0D49" w14:textId="20248594" w:rsidR="001D13E0" w:rsidRDefault="001D13E0" w:rsidP="00735900">
      <w:pPr>
        <w:pStyle w:val="ListParagraph"/>
        <w:numPr>
          <w:ilvl w:val="0"/>
          <w:numId w:val="55"/>
        </w:numPr>
        <w:rPr>
          <w:rFonts w:ascii="Arial" w:eastAsiaTheme="minorHAnsi" w:hAnsi="Arial" w:cs="Arial"/>
          <w:color w:val="000000"/>
          <w:sz w:val="18"/>
          <w:szCs w:val="18"/>
          <w:lang w:val="en-US" w:eastAsia="en-US"/>
        </w:rPr>
      </w:pPr>
      <w:r w:rsidRPr="007400CA">
        <w:rPr>
          <w:rFonts w:ascii="Arial" w:eastAsiaTheme="minorHAnsi" w:hAnsi="Arial" w:cs="Arial"/>
          <w:color w:val="000000"/>
          <w:sz w:val="18"/>
          <w:szCs w:val="18"/>
          <w:lang w:val="en-US" w:eastAsia="en-US"/>
        </w:rPr>
        <w:t>Monitor:</w:t>
      </w:r>
      <w:r w:rsidR="00811C36">
        <w:rPr>
          <w:rFonts w:ascii="Arial" w:eastAsiaTheme="minorHAnsi" w:hAnsi="Arial" w:cs="Arial"/>
          <w:color w:val="000000"/>
          <w:sz w:val="18"/>
          <w:szCs w:val="18"/>
          <w:lang w:val="en-US" w:eastAsia="en-US"/>
        </w:rPr>
        <w:t xml:space="preserve"> It includes:</w:t>
      </w:r>
    </w:p>
    <w:p w14:paraId="019F5296" w14:textId="4480E2B7" w:rsidR="00811C36" w:rsidRDefault="006541A3" w:rsidP="00735900">
      <w:pPr>
        <w:pStyle w:val="ListParagraph"/>
        <w:numPr>
          <w:ilvl w:val="0"/>
          <w:numId w:val="58"/>
        </w:numPr>
        <w:rPr>
          <w:rFonts w:ascii="Arial" w:eastAsiaTheme="minorHAnsi" w:hAnsi="Arial" w:cs="Arial"/>
          <w:color w:val="000000"/>
          <w:sz w:val="18"/>
          <w:szCs w:val="18"/>
          <w:lang w:val="en-US" w:eastAsia="en-US"/>
        </w:rPr>
      </w:pPr>
      <w:r>
        <w:rPr>
          <w:rFonts w:ascii="Arial" w:eastAsiaTheme="minorHAnsi" w:hAnsi="Arial" w:cs="Arial"/>
          <w:color w:val="000000"/>
          <w:sz w:val="18"/>
          <w:szCs w:val="18"/>
          <w:lang w:val="en-US" w:eastAsia="en-US"/>
        </w:rPr>
        <w:t>Monitor and assess performance</w:t>
      </w:r>
    </w:p>
    <w:p w14:paraId="0829F871" w14:textId="3AE4F3B3" w:rsidR="006541A3" w:rsidRPr="007400CA" w:rsidRDefault="006541A3" w:rsidP="00735900">
      <w:pPr>
        <w:pStyle w:val="ListParagraph"/>
        <w:numPr>
          <w:ilvl w:val="0"/>
          <w:numId w:val="58"/>
        </w:numPr>
        <w:rPr>
          <w:rFonts w:ascii="Arial" w:eastAsiaTheme="minorHAnsi" w:hAnsi="Arial" w:cs="Arial"/>
          <w:color w:val="000000"/>
          <w:sz w:val="18"/>
          <w:szCs w:val="18"/>
          <w:lang w:val="en-US" w:eastAsia="en-US"/>
        </w:rPr>
      </w:pPr>
      <w:r>
        <w:rPr>
          <w:rFonts w:ascii="Arial" w:eastAsiaTheme="minorHAnsi" w:hAnsi="Arial" w:cs="Arial"/>
          <w:color w:val="000000"/>
          <w:sz w:val="18"/>
          <w:szCs w:val="18"/>
          <w:lang w:val="en-US" w:eastAsia="en-US"/>
        </w:rPr>
        <w:t>Apply context and use judgement</w:t>
      </w:r>
    </w:p>
    <w:p w14:paraId="2C854E0D" w14:textId="77777777" w:rsidR="00B71272" w:rsidRDefault="00B71272" w:rsidP="00B71272"/>
    <w:p w14:paraId="69880D24" w14:textId="6626F98B" w:rsidR="00224756" w:rsidRDefault="00224756" w:rsidP="00B71272">
      <w:r>
        <w:t xml:space="preserve">These stages </w:t>
      </w:r>
      <w:r w:rsidR="00B47039">
        <w:t xml:space="preserve">form a continuous loop aimed at driving improvement. </w:t>
      </w:r>
      <w:r w:rsidR="00FC371F">
        <w:t xml:space="preserve">The key drivers for information </w:t>
      </w:r>
      <w:r w:rsidR="005B352B">
        <w:t>at these stages are:</w:t>
      </w:r>
    </w:p>
    <w:p w14:paraId="480356DA" w14:textId="1D2C84DE" w:rsidR="005B352B" w:rsidRPr="00B425C6" w:rsidRDefault="005B352B" w:rsidP="0060188E">
      <w:pPr>
        <w:pStyle w:val="ListParagraph"/>
        <w:numPr>
          <w:ilvl w:val="1"/>
          <w:numId w:val="59"/>
        </w:numPr>
        <w:rPr>
          <w:rFonts w:ascii="Arial" w:eastAsiaTheme="minorHAnsi" w:hAnsi="Arial" w:cs="Arial"/>
          <w:color w:val="000000"/>
          <w:sz w:val="18"/>
          <w:szCs w:val="18"/>
          <w:lang w:val="en-US" w:eastAsia="en-US"/>
        </w:rPr>
      </w:pPr>
      <w:r w:rsidRPr="00B425C6">
        <w:rPr>
          <w:rFonts w:ascii="Arial" w:eastAsiaTheme="minorHAnsi" w:hAnsi="Arial" w:cs="Arial"/>
          <w:color w:val="000000"/>
          <w:sz w:val="18"/>
          <w:szCs w:val="18"/>
          <w:lang w:val="en-US" w:eastAsia="en-US"/>
        </w:rPr>
        <w:t>Inform strategy and investment decisions</w:t>
      </w:r>
    </w:p>
    <w:p w14:paraId="730EF75D" w14:textId="33EFA036" w:rsidR="005B352B" w:rsidRPr="00B425C6" w:rsidRDefault="005B352B" w:rsidP="0060188E">
      <w:pPr>
        <w:pStyle w:val="ListParagraph"/>
        <w:numPr>
          <w:ilvl w:val="1"/>
          <w:numId w:val="59"/>
        </w:numPr>
        <w:rPr>
          <w:rFonts w:ascii="Arial" w:eastAsiaTheme="minorHAnsi" w:hAnsi="Arial" w:cs="Arial"/>
          <w:color w:val="000000"/>
          <w:sz w:val="18"/>
          <w:szCs w:val="18"/>
          <w:lang w:val="en-US" w:eastAsia="en-US"/>
        </w:rPr>
      </w:pPr>
      <w:r w:rsidRPr="00B425C6">
        <w:rPr>
          <w:rFonts w:ascii="Arial" w:eastAsiaTheme="minorHAnsi" w:hAnsi="Arial" w:cs="Arial"/>
          <w:color w:val="000000"/>
          <w:sz w:val="18"/>
          <w:szCs w:val="18"/>
          <w:lang w:val="en-US" w:eastAsia="en-US"/>
        </w:rPr>
        <w:t>Demonstrate effectiveness</w:t>
      </w:r>
    </w:p>
    <w:p w14:paraId="7D4C6F84" w14:textId="6BD7D4E6" w:rsidR="00B425C6" w:rsidRPr="00B425C6" w:rsidRDefault="00B425C6" w:rsidP="0060188E">
      <w:pPr>
        <w:pStyle w:val="ListParagraph"/>
        <w:numPr>
          <w:ilvl w:val="1"/>
          <w:numId w:val="59"/>
        </w:numPr>
        <w:rPr>
          <w:rFonts w:ascii="Arial" w:eastAsiaTheme="minorHAnsi" w:hAnsi="Arial" w:cs="Arial"/>
          <w:color w:val="000000"/>
          <w:sz w:val="18"/>
          <w:szCs w:val="18"/>
          <w:lang w:val="en-US" w:eastAsia="en-US"/>
        </w:rPr>
      </w:pPr>
      <w:r w:rsidRPr="00B425C6">
        <w:rPr>
          <w:rFonts w:ascii="Arial" w:eastAsiaTheme="minorHAnsi" w:hAnsi="Arial" w:cs="Arial"/>
          <w:color w:val="000000"/>
          <w:sz w:val="18"/>
          <w:szCs w:val="18"/>
          <w:lang w:val="en-US" w:eastAsia="en-US"/>
        </w:rPr>
        <w:t>Improve performance</w:t>
      </w:r>
    </w:p>
    <w:p w14:paraId="506233A6" w14:textId="1DC9614D" w:rsidR="00B425C6" w:rsidRPr="00B425C6" w:rsidRDefault="00B425C6" w:rsidP="0060188E">
      <w:pPr>
        <w:pStyle w:val="ListParagraph"/>
        <w:numPr>
          <w:ilvl w:val="1"/>
          <w:numId w:val="59"/>
        </w:numPr>
        <w:rPr>
          <w:rFonts w:ascii="Arial" w:eastAsiaTheme="minorHAnsi" w:hAnsi="Arial" w:cs="Arial"/>
          <w:color w:val="000000"/>
          <w:sz w:val="18"/>
          <w:szCs w:val="18"/>
          <w:lang w:val="en-US" w:eastAsia="en-US"/>
        </w:rPr>
      </w:pPr>
      <w:r w:rsidRPr="00B425C6">
        <w:rPr>
          <w:rFonts w:ascii="Arial" w:eastAsiaTheme="minorHAnsi" w:hAnsi="Arial" w:cs="Arial"/>
          <w:color w:val="000000"/>
          <w:sz w:val="18"/>
          <w:szCs w:val="18"/>
          <w:lang w:val="en-US" w:eastAsia="en-US"/>
        </w:rPr>
        <w:t>Promote accountability</w:t>
      </w:r>
    </w:p>
    <w:p w14:paraId="3BB36807" w14:textId="77777777" w:rsidR="00B71272" w:rsidRDefault="00B71272" w:rsidP="00B71272"/>
    <w:p w14:paraId="77E1CBFB" w14:textId="6BBAA719" w:rsidR="00A6764F" w:rsidRPr="00A001B1" w:rsidRDefault="00806C0A" w:rsidP="00A6764F">
      <w:r w:rsidRPr="00A001B1">
        <w:t xml:space="preserve">This information has been developed from the graphic content </w:t>
      </w:r>
      <w:r w:rsidR="0023395E" w:rsidRPr="00A001B1">
        <w:t>in the PDF version of th</w:t>
      </w:r>
      <w:r w:rsidR="002A1C66" w:rsidRPr="00A001B1">
        <w:t xml:space="preserve">is document. </w:t>
      </w:r>
    </w:p>
    <w:p w14:paraId="0392F9A3" w14:textId="4C6C900E" w:rsidR="003B7772" w:rsidRPr="003B7772" w:rsidRDefault="00F72F65" w:rsidP="00735900">
      <w:pPr>
        <w:pStyle w:val="Heading1"/>
        <w:numPr>
          <w:ilvl w:val="0"/>
          <w:numId w:val="53"/>
        </w:numPr>
      </w:pPr>
      <w:bookmarkStart w:id="12" w:name="_Toc194930363"/>
      <w:r>
        <w:t xml:space="preserve">Key Governance </w:t>
      </w:r>
      <w:r w:rsidR="000E4D4F">
        <w:t>Requirements</w:t>
      </w:r>
      <w:bookmarkEnd w:id="12"/>
    </w:p>
    <w:p w14:paraId="7976F797" w14:textId="184ACCDA" w:rsidR="00684E32" w:rsidRPr="00891813" w:rsidRDefault="00684E32" w:rsidP="00684E32">
      <w:pPr>
        <w:pStyle w:val="Heading2"/>
      </w:pPr>
      <w:bookmarkStart w:id="13" w:name="_Toc194930364"/>
      <w:r>
        <w:t>5.1</w:t>
      </w:r>
      <w:r>
        <w:tab/>
        <w:t>Plan</w:t>
      </w:r>
      <w:r w:rsidR="0091361D">
        <w:t>ning</w:t>
      </w:r>
      <w:bookmarkEnd w:id="13"/>
    </w:p>
    <w:p w14:paraId="420987E4" w14:textId="28EC3B72" w:rsidR="008F4990" w:rsidRPr="000B7E9F" w:rsidRDefault="00EF50A5" w:rsidP="00EF50A5">
      <w:pPr>
        <w:pStyle w:val="bodycopy"/>
        <w:rPr>
          <w:color w:val="auto"/>
          <w:sz w:val="18"/>
          <w:szCs w:val="18"/>
        </w:rPr>
      </w:pPr>
      <w:r w:rsidRPr="000B7E9F">
        <w:rPr>
          <w:color w:val="auto"/>
          <w:sz w:val="18"/>
          <w:szCs w:val="18"/>
        </w:rPr>
        <w:t xml:space="preserve">An effective planning framework is critical to ensuring </w:t>
      </w:r>
      <w:r w:rsidR="00F55929">
        <w:rPr>
          <w:color w:val="auto"/>
          <w:sz w:val="18"/>
          <w:szCs w:val="18"/>
        </w:rPr>
        <w:t xml:space="preserve">entity </w:t>
      </w:r>
      <w:r w:rsidRPr="000B7E9F">
        <w:rPr>
          <w:color w:val="auto"/>
          <w:sz w:val="18"/>
          <w:szCs w:val="18"/>
        </w:rPr>
        <w:t xml:space="preserve">alignment with government priorities and department objectives. </w:t>
      </w:r>
    </w:p>
    <w:p w14:paraId="72910AD6" w14:textId="5BEBEA75" w:rsidR="0000440C" w:rsidRPr="00822532" w:rsidRDefault="00EF50A5" w:rsidP="00123BB4">
      <w:pPr>
        <w:pStyle w:val="Heading3"/>
      </w:pPr>
      <w:bookmarkStart w:id="14" w:name="_Toc194930365"/>
      <w:r>
        <w:t>5.1.1</w:t>
      </w:r>
      <w:r>
        <w:tab/>
        <w:t>Corporate and business planning</w:t>
      </w:r>
      <w:bookmarkEnd w:id="14"/>
    </w:p>
    <w:p w14:paraId="0D18E551" w14:textId="533C3C28" w:rsidR="00622BBE" w:rsidRDefault="00622D22" w:rsidP="00622D22">
      <w:r w:rsidRPr="00641FD1">
        <w:t xml:space="preserve">A corporate plan </w:t>
      </w:r>
      <w:r>
        <w:t>is</w:t>
      </w:r>
      <w:r w:rsidRPr="00641FD1">
        <w:t xml:space="preserve"> often </w:t>
      </w:r>
      <w:r w:rsidR="006D1781">
        <w:t xml:space="preserve">a </w:t>
      </w:r>
      <w:r w:rsidR="006D1781" w:rsidRPr="00641FD1">
        <w:t xml:space="preserve">primary </w:t>
      </w:r>
      <w:r w:rsidRPr="00641FD1">
        <w:t>planning document</w:t>
      </w:r>
      <w:r w:rsidR="006D1781">
        <w:t xml:space="preserve"> </w:t>
      </w:r>
      <w:r w:rsidR="00BB0744">
        <w:t>for</w:t>
      </w:r>
      <w:r w:rsidR="006D1781" w:rsidRPr="006D1781">
        <w:t xml:space="preserve"> </w:t>
      </w:r>
      <w:r w:rsidR="006D1781" w:rsidRPr="00641FD1">
        <w:t>a</w:t>
      </w:r>
      <w:r w:rsidR="006D1781">
        <w:t>n entity</w:t>
      </w:r>
      <w:r w:rsidRPr="00484505">
        <w:t xml:space="preserve">, </w:t>
      </w:r>
      <w:r>
        <w:t xml:space="preserve">setting out </w:t>
      </w:r>
      <w:r w:rsidRPr="00BE4254">
        <w:t xml:space="preserve">the </w:t>
      </w:r>
      <w:r>
        <w:t>medium</w:t>
      </w:r>
      <w:r w:rsidRPr="00BE4254">
        <w:t xml:space="preserve">-term strategic </w:t>
      </w:r>
      <w:r>
        <w:t>direction.</w:t>
      </w:r>
      <w:r w:rsidR="007A707B">
        <w:t xml:space="preserve"> </w:t>
      </w:r>
      <w:r w:rsidR="00BB0744">
        <w:t>According to the</w:t>
      </w:r>
      <w:r w:rsidR="001E64F8">
        <w:t xml:space="preserve"> </w:t>
      </w:r>
      <w:r w:rsidR="007063B9">
        <w:t>Resource Management Framework (</w:t>
      </w:r>
      <w:r w:rsidR="001E64F8">
        <w:t>RMF</w:t>
      </w:r>
      <w:r w:rsidR="007063B9">
        <w:t>)</w:t>
      </w:r>
      <w:r w:rsidR="009C31EF">
        <w:t xml:space="preserve"> (July 202</w:t>
      </w:r>
      <w:r w:rsidR="00B248AE">
        <w:t>4</w:t>
      </w:r>
      <w:r w:rsidR="009C31EF">
        <w:t>)</w:t>
      </w:r>
      <w:r w:rsidR="001E64F8">
        <w:t xml:space="preserve"> definition, </w:t>
      </w:r>
      <w:r w:rsidR="00BA4FA0">
        <w:t xml:space="preserve">the </w:t>
      </w:r>
      <w:r w:rsidR="001E64F8">
        <w:t>medium term</w:t>
      </w:r>
      <w:r w:rsidR="007063B9">
        <w:t xml:space="preserve"> covers a rolling 4-year period.</w:t>
      </w:r>
      <w:r>
        <w:t xml:space="preserve"> It</w:t>
      </w:r>
      <w:r w:rsidRPr="00641FD1">
        <w:t xml:space="preserve"> represent</w:t>
      </w:r>
      <w:r>
        <w:t>s</w:t>
      </w:r>
      <w:r w:rsidRPr="00641FD1">
        <w:t xml:space="preserve"> an agreement between the </w:t>
      </w:r>
      <w:r w:rsidR="00C81471">
        <w:t>entity</w:t>
      </w:r>
      <w:r w:rsidR="00DB7632">
        <w:t xml:space="preserve">’s </w:t>
      </w:r>
      <w:r>
        <w:t>board (or equivalent)</w:t>
      </w:r>
      <w:r w:rsidRPr="00641FD1">
        <w:t xml:space="preserve"> and the</w:t>
      </w:r>
      <w:r>
        <w:t xml:space="preserve"> relevant</w:t>
      </w:r>
      <w:r w:rsidRPr="00641FD1">
        <w:t xml:space="preserve"> </w:t>
      </w:r>
      <w:r>
        <w:t>m</w:t>
      </w:r>
      <w:r w:rsidRPr="00641FD1">
        <w:t>inister</w:t>
      </w:r>
      <w:r>
        <w:t xml:space="preserve">. </w:t>
      </w:r>
      <w:r w:rsidRPr="00BE4254">
        <w:t>For some</w:t>
      </w:r>
      <w:r w:rsidR="00DB7632">
        <w:t xml:space="preserve"> </w:t>
      </w:r>
      <w:r w:rsidR="004E4543">
        <w:t>entities</w:t>
      </w:r>
      <w:r w:rsidRPr="00BE4254">
        <w:t>, corporate planning documentation</w:t>
      </w:r>
      <w:r w:rsidRPr="009E135A">
        <w:t xml:space="preserve"> may also be a legislative requirement.</w:t>
      </w:r>
      <w:r w:rsidR="00A210CE">
        <w:t xml:space="preserve"> </w:t>
      </w:r>
    </w:p>
    <w:p w14:paraId="17958754" w14:textId="3058586D" w:rsidR="0055455E" w:rsidRDefault="003E6D73" w:rsidP="0055455E">
      <w:r w:rsidRPr="00BE72BD">
        <w:t xml:space="preserve">Entities </w:t>
      </w:r>
      <w:r w:rsidR="003D1EBF">
        <w:t xml:space="preserve">should </w:t>
      </w:r>
      <w:r w:rsidRPr="00BE72BD">
        <w:t xml:space="preserve">develop or review their corporate plan annually. </w:t>
      </w:r>
      <w:r w:rsidR="0055455E">
        <w:t>The duration of corporate plans may vary in accordance with the entity’s enabling legislation</w:t>
      </w:r>
      <w:r w:rsidR="00423CA0">
        <w:t>,</w:t>
      </w:r>
      <w:r w:rsidR="0055455E">
        <w:t xml:space="preserve"> which may include annual business plans (or others), as stipulated by their legislative provisions.</w:t>
      </w:r>
      <w:r w:rsidR="00020600">
        <w:t xml:space="preserve"> </w:t>
      </w:r>
      <w:r w:rsidR="0055455E">
        <w:t>Entities</w:t>
      </w:r>
      <w:r w:rsidR="0055455E" w:rsidRPr="00BE4254">
        <w:t xml:space="preserve"> </w:t>
      </w:r>
      <w:r w:rsidR="0055455E">
        <w:t xml:space="preserve">may </w:t>
      </w:r>
      <w:r w:rsidR="0055455E" w:rsidRPr="00BE4254">
        <w:t xml:space="preserve">prepare an annual </w:t>
      </w:r>
      <w:r w:rsidR="0055455E">
        <w:t>b</w:t>
      </w:r>
      <w:r w:rsidR="0055455E" w:rsidRPr="00BE4254">
        <w:t xml:space="preserve">usiness </w:t>
      </w:r>
      <w:r w:rsidR="0055455E">
        <w:t>p</w:t>
      </w:r>
      <w:r w:rsidR="0055455E" w:rsidRPr="00BE4254">
        <w:t>lan</w:t>
      </w:r>
      <w:r w:rsidR="0055455E">
        <w:t>, as legislatively required</w:t>
      </w:r>
      <w:r w:rsidR="006D1781">
        <w:t xml:space="preserve"> or</w:t>
      </w:r>
      <w:r w:rsidR="0055455E">
        <w:t xml:space="preserve"> as part of their general governance practices, in lieu of a corporate plan.</w:t>
      </w:r>
      <w:r w:rsidR="0055455E" w:rsidRPr="00266E8A">
        <w:t xml:space="preserve"> </w:t>
      </w:r>
      <w:r w:rsidR="0055455E">
        <w:t>These business plans</w:t>
      </w:r>
      <w:r w:rsidR="003D1EBF">
        <w:t xml:space="preserve"> should</w:t>
      </w:r>
      <w:r w:rsidR="0055455E" w:rsidRPr="00BE4254">
        <w:t xml:space="preserve"> ensure</w:t>
      </w:r>
      <w:r w:rsidR="0055455E">
        <w:t xml:space="preserve"> that</w:t>
      </w:r>
      <w:r w:rsidR="0055455E" w:rsidRPr="00BE4254">
        <w:t xml:space="preserve"> the </w:t>
      </w:r>
      <w:r w:rsidR="0055455E">
        <w:t>entity</w:t>
      </w:r>
      <w:r w:rsidR="0055455E" w:rsidRPr="00BE4254">
        <w:t xml:space="preserve"> is on</w:t>
      </w:r>
      <w:r w:rsidR="00C148B6">
        <w:t xml:space="preserve"> </w:t>
      </w:r>
      <w:r w:rsidR="0055455E" w:rsidRPr="00BE4254">
        <w:t xml:space="preserve">track to deliver </w:t>
      </w:r>
      <w:r w:rsidR="003E3EF3">
        <w:t>its</w:t>
      </w:r>
      <w:r w:rsidR="0055455E" w:rsidRPr="00BE4254">
        <w:t xml:space="preserve"> </w:t>
      </w:r>
      <w:r w:rsidR="0055455E">
        <w:t>medium</w:t>
      </w:r>
      <w:r w:rsidR="0055455E" w:rsidRPr="00BE4254">
        <w:t>-term strategy</w:t>
      </w:r>
      <w:r w:rsidR="0055455E">
        <w:t xml:space="preserve">, as well as report on </w:t>
      </w:r>
      <w:r w:rsidR="008E2DB4">
        <w:t xml:space="preserve">the </w:t>
      </w:r>
      <w:r w:rsidR="0055455E">
        <w:t>p</w:t>
      </w:r>
      <w:r w:rsidR="0055455E" w:rsidRPr="00266E8A">
        <w:t>rogress of key strategic initiatives</w:t>
      </w:r>
      <w:r w:rsidR="0055455E">
        <w:t xml:space="preserve"> through the inclusion of </w:t>
      </w:r>
      <w:r w:rsidR="0055455E" w:rsidRPr="00BE4254">
        <w:t>achievable and measurable targets and milestones</w:t>
      </w:r>
      <w:r w:rsidR="0055455E">
        <w:t>.</w:t>
      </w:r>
    </w:p>
    <w:p w14:paraId="21834400" w14:textId="4AA64461" w:rsidR="003E6D73" w:rsidRDefault="003E6D73" w:rsidP="00622D22">
      <w:r w:rsidRPr="00BE72BD">
        <w:t xml:space="preserve">The </w:t>
      </w:r>
      <w:r w:rsidR="006D1781">
        <w:t>corporate or business</w:t>
      </w:r>
      <w:r w:rsidRPr="00BE72BD">
        <w:t xml:space="preserve"> plan sets out vision and mission statements,</w:t>
      </w:r>
      <w:r>
        <w:t xml:space="preserve"> </w:t>
      </w:r>
      <w:r w:rsidR="00FF3EC0">
        <w:t xml:space="preserve">the </w:t>
      </w:r>
      <w:r>
        <w:t>operating environment, strategic direction,</w:t>
      </w:r>
      <w:r w:rsidR="00B705FB">
        <w:t xml:space="preserve"> </w:t>
      </w:r>
      <w:r>
        <w:t>objectives</w:t>
      </w:r>
      <w:r w:rsidR="00B705FB">
        <w:t xml:space="preserve"> </w:t>
      </w:r>
      <w:r>
        <w:t xml:space="preserve">(including deliverables, </w:t>
      </w:r>
      <w:r w:rsidRPr="00641FD1">
        <w:t>performance targets</w:t>
      </w:r>
      <w:r>
        <w:t xml:space="preserve"> and </w:t>
      </w:r>
      <w:r w:rsidRPr="00641FD1">
        <w:t>f</w:t>
      </w:r>
      <w:r>
        <w:t>inancial</w:t>
      </w:r>
      <w:r w:rsidRPr="00641FD1">
        <w:t xml:space="preserve"> commitments</w:t>
      </w:r>
      <w:r>
        <w:t xml:space="preserve"> and forecasts</w:t>
      </w:r>
      <w:r w:rsidRPr="00641FD1">
        <w:t xml:space="preserve"> over the corporate planning period</w:t>
      </w:r>
      <w:r>
        <w:t>)</w:t>
      </w:r>
      <w:r w:rsidR="00FE68B9">
        <w:t>,</w:t>
      </w:r>
      <w:r>
        <w:t xml:space="preserve"> commentary on policy obligations performed on behalf of the government, identification </w:t>
      </w:r>
      <w:r>
        <w:lastRenderedPageBreak/>
        <w:t xml:space="preserve">of risks (including environmental risk such as climate change and asset </w:t>
      </w:r>
      <w:r w:rsidR="00D0104C">
        <w:t>risks</w:t>
      </w:r>
      <w:r w:rsidR="00E962AB">
        <w:t>)</w:t>
      </w:r>
      <w:r w:rsidR="008E36DC">
        <w:t>,</w:t>
      </w:r>
      <w:r>
        <w:t xml:space="preserve"> and strategies to m</w:t>
      </w:r>
      <w:r w:rsidR="002D42F5">
        <w:t>anag</w:t>
      </w:r>
      <w:r w:rsidR="00D76FBC">
        <w:t>e</w:t>
      </w:r>
      <w:r>
        <w:t xml:space="preserve"> operating costs and achieve operating efficiencies</w:t>
      </w:r>
      <w:r w:rsidRPr="00BE4254">
        <w:t>.</w:t>
      </w:r>
    </w:p>
    <w:p w14:paraId="06526D7C" w14:textId="6C3B0741" w:rsidR="00622D22" w:rsidRDefault="00A210CE" w:rsidP="00622D22">
      <w:r>
        <w:t xml:space="preserve">Where </w:t>
      </w:r>
      <w:r w:rsidR="00910D98">
        <w:t>no explicit mandatory requirements apply, the Standing Directions</w:t>
      </w:r>
      <w:r w:rsidR="00EE4A90">
        <w:t xml:space="preserve"> 2018</w:t>
      </w:r>
      <w:r w:rsidR="00910D98">
        <w:t xml:space="preserve"> under the FMA</w:t>
      </w:r>
      <w:r w:rsidR="00AF3CEF">
        <w:t xml:space="preserve"> specifies </w:t>
      </w:r>
      <w:r w:rsidR="00E46DC8">
        <w:t xml:space="preserve">public sector entity responsibilities </w:t>
      </w:r>
      <w:r w:rsidR="002E4AB3">
        <w:t>to achieve</w:t>
      </w:r>
      <w:r w:rsidR="00BA2A0F">
        <w:t xml:space="preserve"> </w:t>
      </w:r>
      <w:r w:rsidR="00C627B9">
        <w:t xml:space="preserve">high standards of public financial management and </w:t>
      </w:r>
      <w:r w:rsidR="00C5473D">
        <w:t>accountability.</w:t>
      </w:r>
      <w:r>
        <w:t xml:space="preserve"> </w:t>
      </w:r>
    </w:p>
    <w:p w14:paraId="3C36BC2F" w14:textId="507E8D80" w:rsidR="00622D22" w:rsidRDefault="009F51A4" w:rsidP="00622D22">
      <w:r w:rsidRPr="009F51A4">
        <w:t xml:space="preserve">When preparing corporate plans, entities should consult with their </w:t>
      </w:r>
      <w:r w:rsidR="00F76D36">
        <w:t>department</w:t>
      </w:r>
      <w:r w:rsidRPr="009F51A4">
        <w:t xml:space="preserve"> RMs early</w:t>
      </w:r>
      <w:r>
        <w:t xml:space="preserve">. </w:t>
      </w:r>
      <w:r w:rsidR="00622D22">
        <w:t>The collaboration between the d</w:t>
      </w:r>
      <w:r w:rsidR="00622D22" w:rsidRPr="00F313C4">
        <w:t xml:space="preserve">epartment and </w:t>
      </w:r>
      <w:r w:rsidR="00A87CE5">
        <w:t>entities</w:t>
      </w:r>
      <w:r w:rsidR="00A87CE5" w:rsidRPr="00F313C4">
        <w:t xml:space="preserve"> </w:t>
      </w:r>
      <w:r w:rsidR="00622D22" w:rsidRPr="00F313C4">
        <w:t xml:space="preserve">should allow for transparent and constructive </w:t>
      </w:r>
      <w:r w:rsidR="00622D22">
        <w:t xml:space="preserve">discussion on plans. </w:t>
      </w:r>
      <w:r w:rsidR="00622D22" w:rsidRPr="00D03E0F">
        <w:t>Following a thorough analysis and review</w:t>
      </w:r>
      <w:r w:rsidR="00622D22">
        <w:t xml:space="preserve"> from the department,</w:t>
      </w:r>
      <w:r w:rsidR="00622D22" w:rsidRPr="00D03E0F">
        <w:t xml:space="preserve"> the </w:t>
      </w:r>
      <w:r w:rsidR="00622D22">
        <w:t>m</w:t>
      </w:r>
      <w:r w:rsidR="00622D22" w:rsidRPr="00D03E0F">
        <w:t>inister may accept the plan in full or request certain amendments</w:t>
      </w:r>
      <w:r w:rsidR="006D1781">
        <w:t xml:space="preserve"> by an entity</w:t>
      </w:r>
      <w:r w:rsidR="00622D22" w:rsidRPr="00D03E0F">
        <w:t xml:space="preserve">. </w:t>
      </w:r>
      <w:r w:rsidR="00622D22">
        <w:t xml:space="preserve"> </w:t>
      </w:r>
    </w:p>
    <w:p w14:paraId="16BC9FCC" w14:textId="04B9E0BD" w:rsidR="008277FE" w:rsidRDefault="008277FE" w:rsidP="008277FE">
      <w:r>
        <w:t xml:space="preserve">The department may review </w:t>
      </w:r>
      <w:r w:rsidR="00C2520E">
        <w:t>corporate</w:t>
      </w:r>
      <w:r w:rsidR="007054F1">
        <w:t xml:space="preserve"> </w:t>
      </w:r>
      <w:r w:rsidR="00636547">
        <w:t xml:space="preserve">or </w:t>
      </w:r>
      <w:r>
        <w:t>business plans</w:t>
      </w:r>
      <w:r w:rsidRPr="00441731">
        <w:t xml:space="preserve"> prior to submission for </w:t>
      </w:r>
      <w:r>
        <w:t>m</w:t>
      </w:r>
      <w:r w:rsidRPr="00441731">
        <w:t xml:space="preserve">inisterial </w:t>
      </w:r>
      <w:r w:rsidR="004410DC">
        <w:t>approval</w:t>
      </w:r>
      <w:r w:rsidR="00636547">
        <w:t>.</w:t>
      </w:r>
      <w:r>
        <w:t xml:space="preserve"> </w:t>
      </w:r>
      <w:r w:rsidR="00EB7EB1">
        <w:t xml:space="preserve">Entity </w:t>
      </w:r>
      <w:r w:rsidRPr="00266E8A">
        <w:t>decisions should</w:t>
      </w:r>
      <w:r>
        <w:t xml:space="preserve"> then</w:t>
      </w:r>
      <w:r w:rsidRPr="00266E8A">
        <w:t xml:space="preserve"> be consistent with the agreed strategic direction in the corporate</w:t>
      </w:r>
      <w:r w:rsidR="00483018">
        <w:t xml:space="preserve"> or </w:t>
      </w:r>
      <w:r w:rsidR="00C2520E">
        <w:t>business</w:t>
      </w:r>
      <w:r w:rsidRPr="00266E8A">
        <w:t xml:space="preserve"> plan.</w:t>
      </w:r>
    </w:p>
    <w:p w14:paraId="5EB46283" w14:textId="54301B75" w:rsidR="00706DCF" w:rsidRPr="007C6C37" w:rsidRDefault="00505846" w:rsidP="007C6C37">
      <w:pPr>
        <w:pStyle w:val="Heading3"/>
        <w:rPr>
          <w:b w:val="0"/>
          <w:bCs w:val="0"/>
          <w:sz w:val="18"/>
          <w:szCs w:val="18"/>
        </w:rPr>
      </w:pPr>
      <w:bookmarkStart w:id="15" w:name="_Toc164067836"/>
      <w:bookmarkStart w:id="16" w:name="_Toc192577876"/>
      <w:bookmarkStart w:id="17" w:name="_Toc194930366"/>
      <w:r w:rsidRPr="00505846">
        <w:rPr>
          <w:b w:val="0"/>
          <w:bCs w:val="0"/>
          <w:sz w:val="18"/>
          <w:szCs w:val="18"/>
        </w:rPr>
        <w:t xml:space="preserve">Some entities need to meet the Department of Treasury and Finance’s (DTF) requirements set out in the </w:t>
      </w:r>
      <w:hyperlink r:id="rId21" w:tgtFrame="_blank" w:tooltip="https://www.dtf.vic.gov.au/planning-budgeting-and-financial-reporting-frameworks/corporate-planning-and-performance-reporting-requirements" w:history="1">
        <w:r w:rsidRPr="00505846">
          <w:rPr>
            <w:b w:val="0"/>
            <w:bCs w:val="0"/>
            <w:i/>
            <w:iCs/>
            <w:color w:val="0000FF"/>
            <w:sz w:val="18"/>
            <w:szCs w:val="18"/>
            <w:u w:val="single"/>
          </w:rPr>
          <w:t>Corporate Planning and Performance Reporting requirements for Government Business Enterprises</w:t>
        </w:r>
      </w:hyperlink>
      <w:r w:rsidRPr="00505846">
        <w:rPr>
          <w:b w:val="0"/>
          <w:bCs w:val="0"/>
          <w:i/>
          <w:iCs/>
          <w:sz w:val="18"/>
          <w:szCs w:val="18"/>
        </w:rPr>
        <w:t> </w:t>
      </w:r>
      <w:r w:rsidRPr="00505846">
        <w:rPr>
          <w:b w:val="0"/>
          <w:bCs w:val="0"/>
          <w:sz w:val="18"/>
          <w:szCs w:val="18"/>
        </w:rPr>
        <w:t xml:space="preserve">(October 2023). The department's </w:t>
      </w:r>
      <w:hyperlink r:id="rId22" w:history="1">
        <w:r w:rsidR="000D12C0">
          <w:rPr>
            <w:rStyle w:val="Hyperlink"/>
            <w:b w:val="0"/>
            <w:bCs w:val="0"/>
            <w:sz w:val="18"/>
            <w:szCs w:val="18"/>
          </w:rPr>
          <w:t>Portfolio Entity Corporate Planning Guidelines</w:t>
        </w:r>
      </w:hyperlink>
      <w:r w:rsidR="000D12C0" w:rsidRPr="000D12C0">
        <w:rPr>
          <w:sz w:val="18"/>
          <w:szCs w:val="18"/>
        </w:rPr>
        <w:t xml:space="preserve"> </w:t>
      </w:r>
      <w:r w:rsidRPr="00505846">
        <w:rPr>
          <w:b w:val="0"/>
          <w:bCs w:val="0"/>
          <w:sz w:val="18"/>
          <w:szCs w:val="18"/>
        </w:rPr>
        <w:t>specifies which entities the DTF requirements pertain to, as well as providing a more detailed overview of the standards and process.</w:t>
      </w:r>
      <w:bookmarkEnd w:id="15"/>
      <w:bookmarkEnd w:id="16"/>
      <w:bookmarkEnd w:id="17"/>
    </w:p>
    <w:p w14:paraId="270420D9" w14:textId="02780EE9" w:rsidR="008277FE" w:rsidRPr="00822532" w:rsidRDefault="008277FE" w:rsidP="008277FE">
      <w:pPr>
        <w:pStyle w:val="Heading3"/>
      </w:pPr>
      <w:bookmarkStart w:id="18" w:name="_Toc194930367"/>
      <w:r>
        <w:t>5.1.2</w:t>
      </w:r>
      <w:r>
        <w:tab/>
      </w:r>
      <w:r w:rsidR="001727BD">
        <w:t>Resource Management Framework</w:t>
      </w:r>
      <w:bookmarkEnd w:id="18"/>
    </w:p>
    <w:p w14:paraId="10099176" w14:textId="08A97253" w:rsidR="00027336" w:rsidRDefault="00027336" w:rsidP="00027336">
      <w:r>
        <w:t xml:space="preserve">The Resource Management Framework (RMF) </w:t>
      </w:r>
      <w:r w:rsidR="009A7D0E">
        <w:t>was</w:t>
      </w:r>
      <w:r>
        <w:t xml:space="preserve"> effective from July 2019</w:t>
      </w:r>
      <w:r w:rsidR="00B755C0">
        <w:t xml:space="preserve"> and all d</w:t>
      </w:r>
      <w:r>
        <w:t xml:space="preserve">epartments are bound by the RMF in its entirety. </w:t>
      </w:r>
      <w:r w:rsidR="00BD474E">
        <w:t>Since</w:t>
      </w:r>
      <w:r w:rsidR="002B1C1F">
        <w:t xml:space="preserve"> 1 July 202</w:t>
      </w:r>
      <w:r w:rsidR="00B248AE">
        <w:t>4</w:t>
      </w:r>
      <w:r w:rsidR="002B1C1F">
        <w:t xml:space="preserve">, an updated version of the </w:t>
      </w:r>
      <w:r w:rsidR="00B248AE" w:rsidRPr="003B7772">
        <w:t>RMF</w:t>
      </w:r>
      <w:r w:rsidR="007F2D69">
        <w:t xml:space="preserve"> applies</w:t>
      </w:r>
      <w:r w:rsidR="00097D4F">
        <w:t xml:space="preserve">, incorporating </w:t>
      </w:r>
      <w:r w:rsidR="00B248AE" w:rsidRPr="00B94318">
        <w:t>changes to existing policies</w:t>
      </w:r>
      <w:r w:rsidR="00224656" w:rsidRPr="000603F0">
        <w:t xml:space="preserve"> </w:t>
      </w:r>
      <w:r w:rsidR="000603F0" w:rsidRPr="000603F0">
        <w:t xml:space="preserve">as directed by </w:t>
      </w:r>
      <w:r w:rsidR="00D71048">
        <w:t>g</w:t>
      </w:r>
      <w:r w:rsidR="000603F0" w:rsidRPr="000603F0">
        <w:t xml:space="preserve">overnment </w:t>
      </w:r>
      <w:r w:rsidR="00224656" w:rsidRPr="000603F0">
        <w:t xml:space="preserve">(see pg. </w:t>
      </w:r>
      <w:r w:rsidR="00771807" w:rsidRPr="000603F0">
        <w:t>5</w:t>
      </w:r>
      <w:r w:rsidR="000603F0">
        <w:t>,</w:t>
      </w:r>
      <w:r w:rsidR="00B248AE" w:rsidRPr="00B248AE">
        <w:t xml:space="preserve"> </w:t>
      </w:r>
      <w:hyperlink r:id="rId23" w:history="1">
        <w:r w:rsidR="00B248AE">
          <w:rPr>
            <w:rStyle w:val="Hyperlink"/>
          </w:rPr>
          <w:t>Changes to the RMF since the 2023-24 published version</w:t>
        </w:r>
      </w:hyperlink>
      <w:r w:rsidR="00771807" w:rsidRPr="000603F0">
        <w:t>).</w:t>
      </w:r>
      <w:r w:rsidR="00B248AE" w:rsidRPr="00B248AE">
        <w:rPr>
          <w:rFonts w:ascii="VIC" w:hAnsi="VIC"/>
          <w:color w:val="1A1A1A"/>
          <w:spacing w:val="5"/>
          <w:shd w:val="clear" w:color="auto" w:fill="FFFFFF"/>
        </w:rPr>
        <w:t xml:space="preserve"> </w:t>
      </w:r>
      <w:r w:rsidR="00B248AE" w:rsidRPr="00B248AE">
        <w:t>This version contains amendments made in June 2024.</w:t>
      </w:r>
    </w:p>
    <w:p w14:paraId="5A1E10D7" w14:textId="054E6FF1" w:rsidR="00027336" w:rsidRDefault="00027336" w:rsidP="00027336">
      <w:r>
        <w:t>The RMF helps Victorian Government departments understand and apply the legal and policy framework that underpins resource management, budgeting</w:t>
      </w:r>
      <w:r w:rsidR="0089612F">
        <w:t xml:space="preserve">, </w:t>
      </w:r>
      <w:r w:rsidR="00F61C0A">
        <w:t>service delivery, accountability</w:t>
      </w:r>
      <w:r>
        <w:t xml:space="preserve"> and reporting processes.</w:t>
      </w:r>
    </w:p>
    <w:p w14:paraId="64CFAFBB" w14:textId="497AA605" w:rsidR="00272936" w:rsidRDefault="00272936" w:rsidP="00027336">
      <w:r>
        <w:t>All Victorian</w:t>
      </w:r>
      <w:r w:rsidR="005C443B">
        <w:t xml:space="preserve"> </w:t>
      </w:r>
      <w:r w:rsidR="00C33677">
        <w:t>G</w:t>
      </w:r>
      <w:r w:rsidR="005C443B">
        <w:t xml:space="preserve">overnment departments and specified entities listed in the RMF are required to apply the RMF under the </w:t>
      </w:r>
      <w:hyperlink r:id="rId24" w:history="1">
        <w:r w:rsidR="005C443B" w:rsidRPr="005C443B">
          <w:rPr>
            <w:rStyle w:val="Hyperlink"/>
          </w:rPr>
          <w:t xml:space="preserve">Standing Directions 2018 under the </w:t>
        </w:r>
        <w:r w:rsidR="005C443B" w:rsidRPr="005C443B">
          <w:rPr>
            <w:rStyle w:val="Hyperlink"/>
            <w:i/>
            <w:iCs/>
          </w:rPr>
          <w:t>Financial Management Act 1994</w:t>
        </w:r>
      </w:hyperlink>
      <w:r w:rsidR="005C443B">
        <w:t>.</w:t>
      </w:r>
    </w:p>
    <w:p w14:paraId="46F28C1E" w14:textId="3B0E77EE" w:rsidR="00410311" w:rsidRDefault="00410311" w:rsidP="00410311">
      <w:pPr>
        <w:pStyle w:val="Heading3"/>
      </w:pPr>
      <w:bookmarkStart w:id="19" w:name="_Toc194930368"/>
      <w:r>
        <w:t>5.1.3</w:t>
      </w:r>
      <w:r>
        <w:tab/>
        <w:t>Budget</w:t>
      </w:r>
      <w:r w:rsidR="00DF0893">
        <w:t xml:space="preserve"> formulation</w:t>
      </w:r>
      <w:bookmarkEnd w:id="19"/>
    </w:p>
    <w:p w14:paraId="46616DF9" w14:textId="37CA1B35" w:rsidR="006539EB" w:rsidRDefault="00C81471" w:rsidP="006539EB">
      <w:r>
        <w:t>Entities</w:t>
      </w:r>
      <w:r w:rsidR="006539EB" w:rsidRPr="00086754">
        <w:t xml:space="preserve"> should prepare </w:t>
      </w:r>
      <w:r w:rsidR="004E07E3">
        <w:t>a</w:t>
      </w:r>
      <w:r w:rsidR="00BA2C9F">
        <w:t xml:space="preserve">n </w:t>
      </w:r>
      <w:r w:rsidR="009400AA">
        <w:t>annual</w:t>
      </w:r>
      <w:r w:rsidR="00E6457E">
        <w:t xml:space="preserve"> </w:t>
      </w:r>
      <w:r w:rsidR="006539EB" w:rsidRPr="00086754">
        <w:t>budget</w:t>
      </w:r>
      <w:r w:rsidR="006539EB">
        <w:t xml:space="preserve"> </w:t>
      </w:r>
      <w:r w:rsidR="004E07E3">
        <w:t xml:space="preserve">that comprises of </w:t>
      </w:r>
      <w:r w:rsidR="00A82CA9">
        <w:t xml:space="preserve">a </w:t>
      </w:r>
      <w:r w:rsidR="007E6132">
        <w:t>detailed</w:t>
      </w:r>
      <w:r w:rsidR="006539EB" w:rsidRPr="00086754">
        <w:t xml:space="preserve"> income statement, balance sheet and cash</w:t>
      </w:r>
      <w:r w:rsidR="006539EB">
        <w:t xml:space="preserve"> </w:t>
      </w:r>
      <w:r w:rsidR="006539EB" w:rsidRPr="00086754">
        <w:t xml:space="preserve">flow for the </w:t>
      </w:r>
      <w:r w:rsidR="00BA2C9F">
        <w:t>current financial year</w:t>
      </w:r>
      <w:r w:rsidR="009400AA">
        <w:t>. The current financial year budget can be broken down by months.</w:t>
      </w:r>
      <w:r w:rsidR="00EF4B1E">
        <w:t xml:space="preserve"> An annual b</w:t>
      </w:r>
      <w:r w:rsidR="009400AA">
        <w:t>udget</w:t>
      </w:r>
      <w:r w:rsidR="00EF4B1E">
        <w:t xml:space="preserve"> should</w:t>
      </w:r>
      <w:r w:rsidR="007E6132">
        <w:t xml:space="preserve"> also</w:t>
      </w:r>
      <w:r w:rsidR="00EF4B1E">
        <w:t xml:space="preserve"> be developed </w:t>
      </w:r>
      <w:r w:rsidR="00483A8A">
        <w:t>over</w:t>
      </w:r>
      <w:r w:rsidR="00C5647A">
        <w:t xml:space="preserve"> the</w:t>
      </w:r>
      <w:r w:rsidR="00483A8A">
        <w:t xml:space="preserve"> forecast period of the plan</w:t>
      </w:r>
      <w:r w:rsidR="00542EB2">
        <w:t xml:space="preserve"> (</w:t>
      </w:r>
      <w:r w:rsidR="003A60AE">
        <w:t>i.e.</w:t>
      </w:r>
      <w:r w:rsidR="00562B6F">
        <w:t xml:space="preserve"> years </w:t>
      </w:r>
      <w:r w:rsidR="009A3AC4">
        <w:t>2,</w:t>
      </w:r>
      <w:r w:rsidR="00562B6F">
        <w:t xml:space="preserve"> 3 and 4)</w:t>
      </w:r>
      <w:r w:rsidR="006050A6">
        <w:t>.</w:t>
      </w:r>
      <w:r w:rsidR="009400AA">
        <w:t xml:space="preserve"> </w:t>
      </w:r>
    </w:p>
    <w:p w14:paraId="22C4CA0B" w14:textId="782374B7" w:rsidR="006539EB" w:rsidRPr="00086754" w:rsidRDefault="006539EB" w:rsidP="006539EB">
      <w:r w:rsidRPr="00086754">
        <w:t xml:space="preserve">The </w:t>
      </w:r>
      <w:r>
        <w:t xml:space="preserve">annual budget should </w:t>
      </w:r>
      <w:r w:rsidRPr="00086754">
        <w:t xml:space="preserve">be consistent with the </w:t>
      </w:r>
      <w:r>
        <w:t>c</w:t>
      </w:r>
      <w:r w:rsidRPr="00086754">
        <w:t xml:space="preserve">orporate </w:t>
      </w:r>
      <w:r>
        <w:t>p</w:t>
      </w:r>
      <w:r w:rsidRPr="00086754">
        <w:t>lan</w:t>
      </w:r>
      <w:r>
        <w:t xml:space="preserve">. </w:t>
      </w:r>
      <w:r w:rsidR="00C81471">
        <w:t>Entities</w:t>
      </w:r>
      <w:r>
        <w:t>’</w:t>
      </w:r>
      <w:r w:rsidRPr="00086754">
        <w:t xml:space="preserve"> budget processes will include:</w:t>
      </w:r>
    </w:p>
    <w:p w14:paraId="7287C0A4" w14:textId="26F33D09" w:rsidR="006539EB" w:rsidRPr="00A85E9B" w:rsidRDefault="006539EB" w:rsidP="006539EB">
      <w:pPr>
        <w:pStyle w:val="ListBullet"/>
        <w:rPr>
          <w:color w:val="auto"/>
        </w:rPr>
      </w:pPr>
      <w:r w:rsidRPr="00A85E9B">
        <w:rPr>
          <w:color w:val="auto"/>
        </w:rPr>
        <w:t>the income and key assumptions underpinning the income stream</w:t>
      </w:r>
      <w:r w:rsidR="00CD591F">
        <w:rPr>
          <w:color w:val="auto"/>
        </w:rPr>
        <w:t>s</w:t>
      </w:r>
      <w:r w:rsidRPr="00A85E9B">
        <w:rPr>
          <w:color w:val="auto"/>
        </w:rPr>
        <w:t>. These assumptions need to be realistic and based on corporate knowledge and trend analysis of actual performance over previous years.</w:t>
      </w:r>
    </w:p>
    <w:p w14:paraId="5CF639B4" w14:textId="35D55B19" w:rsidR="006539EB" w:rsidRPr="00A85E9B" w:rsidRDefault="006539EB" w:rsidP="006539EB">
      <w:pPr>
        <w:pStyle w:val="ListBullet"/>
        <w:rPr>
          <w:color w:val="auto"/>
        </w:rPr>
      </w:pPr>
      <w:r w:rsidRPr="00A85E9B">
        <w:rPr>
          <w:color w:val="auto"/>
        </w:rPr>
        <w:t>the expenditure and key assumptions underpinning the expenditure stream. These assumptions need to be rigorous, justifiable, tightly controlled, aligned to the corporate plan and based on and informed by corporate knowledge and trend analysis of actual performance over previous years.</w:t>
      </w:r>
    </w:p>
    <w:p w14:paraId="6D109E68" w14:textId="3981248C" w:rsidR="006539EB" w:rsidRPr="00A85E9B" w:rsidRDefault="006539EB" w:rsidP="006539EB">
      <w:pPr>
        <w:pStyle w:val="ListBullet"/>
        <w:rPr>
          <w:color w:val="auto"/>
        </w:rPr>
      </w:pPr>
      <w:r w:rsidRPr="00A85E9B">
        <w:rPr>
          <w:color w:val="auto"/>
        </w:rPr>
        <w:t>the key balance sheet, cash flow figures and key assumptions underpinning these items. These assumptions need to be based on and informed by corporate knowledge and trend analysis of actual performance over previous years.</w:t>
      </w:r>
    </w:p>
    <w:p w14:paraId="3199EAD4" w14:textId="31FA1089" w:rsidR="006539EB" w:rsidRPr="00A85E9B" w:rsidRDefault="006539EB" w:rsidP="006539EB">
      <w:pPr>
        <w:pStyle w:val="ListBullet"/>
        <w:rPr>
          <w:color w:val="auto"/>
        </w:rPr>
      </w:pPr>
      <w:r w:rsidRPr="00A85E9B">
        <w:rPr>
          <w:color w:val="auto"/>
        </w:rPr>
        <w:t>compliance with the FMA and the Standing Directions of the Minister for Finance (if required).</w:t>
      </w:r>
    </w:p>
    <w:p w14:paraId="78D281FB" w14:textId="47A5C81A" w:rsidR="006539EB" w:rsidRPr="00A85E9B" w:rsidRDefault="00C81471" w:rsidP="006539EB">
      <w:pPr>
        <w:rPr>
          <w:color w:val="auto"/>
        </w:rPr>
      </w:pPr>
      <w:r w:rsidRPr="00A85E9B">
        <w:rPr>
          <w:color w:val="auto"/>
        </w:rPr>
        <w:t>Entities</w:t>
      </w:r>
      <w:r w:rsidR="006539EB" w:rsidRPr="00A85E9B">
        <w:rPr>
          <w:color w:val="auto"/>
        </w:rPr>
        <w:t xml:space="preserve"> will outline the following metrics in the corporate plan for the annual budget and following two forecast years (except for </w:t>
      </w:r>
      <w:r w:rsidRPr="00A85E9B">
        <w:rPr>
          <w:color w:val="auto"/>
        </w:rPr>
        <w:t>entities</w:t>
      </w:r>
      <w:r w:rsidR="006539EB" w:rsidRPr="00A85E9B">
        <w:rPr>
          <w:color w:val="auto"/>
        </w:rPr>
        <w:t xml:space="preserve"> defined as small</w:t>
      </w:r>
      <w:r w:rsidR="00B2381C">
        <w:rPr>
          <w:color w:val="auto"/>
        </w:rPr>
        <w:t>,</w:t>
      </w:r>
      <w:r w:rsidR="006539EB" w:rsidRPr="00A85E9B">
        <w:rPr>
          <w:color w:val="auto"/>
        </w:rPr>
        <w:t xml:space="preserve"> which would only need to calculate the metrics on the annual budget):</w:t>
      </w:r>
    </w:p>
    <w:p w14:paraId="3ED17883" w14:textId="55148E5F" w:rsidR="006539EB" w:rsidRPr="00A85E9B" w:rsidRDefault="006539EB" w:rsidP="006539EB">
      <w:pPr>
        <w:pStyle w:val="ListBullet"/>
        <w:rPr>
          <w:color w:val="auto"/>
        </w:rPr>
      </w:pPr>
      <w:bookmarkStart w:id="20" w:name="_Hlk517993292"/>
      <w:r w:rsidRPr="00A85E9B">
        <w:rPr>
          <w:color w:val="auto"/>
        </w:rPr>
        <w:t>working capital (current assets / current liabilities)</w:t>
      </w:r>
    </w:p>
    <w:p w14:paraId="05091D06" w14:textId="10A6A682" w:rsidR="006539EB" w:rsidRPr="00A85E9B" w:rsidRDefault="006539EB" w:rsidP="006539EB">
      <w:pPr>
        <w:pStyle w:val="ListBullet"/>
        <w:rPr>
          <w:color w:val="auto"/>
        </w:rPr>
      </w:pPr>
      <w:r w:rsidRPr="00A85E9B">
        <w:rPr>
          <w:color w:val="auto"/>
        </w:rPr>
        <w:t>capex replacement (cash outflow for property plant and equipment / depreciation)</w:t>
      </w:r>
    </w:p>
    <w:p w14:paraId="49AB2414" w14:textId="644E9474" w:rsidR="006539EB" w:rsidRPr="00A85E9B" w:rsidRDefault="006539EB" w:rsidP="006539EB">
      <w:pPr>
        <w:pStyle w:val="ListBullet"/>
        <w:rPr>
          <w:color w:val="auto"/>
        </w:rPr>
      </w:pPr>
      <w:r w:rsidRPr="00A85E9B">
        <w:rPr>
          <w:color w:val="auto"/>
        </w:rPr>
        <w:t>revenue growth (current year revenue less last year revenue) as a percentage of last year’s revenue</w:t>
      </w:r>
    </w:p>
    <w:p w14:paraId="4593F63F" w14:textId="77777777" w:rsidR="006539EB" w:rsidRPr="00A85E9B" w:rsidRDefault="006539EB" w:rsidP="006539EB">
      <w:pPr>
        <w:pStyle w:val="ListBullet"/>
        <w:rPr>
          <w:color w:val="auto"/>
        </w:rPr>
      </w:pPr>
      <w:r w:rsidRPr="00A85E9B">
        <w:rPr>
          <w:color w:val="auto"/>
        </w:rPr>
        <w:t>labour growth (current year employee expenses as a percentage of current year revenue less last year’s employee expenses as a percentage of last year’s revenue).</w:t>
      </w:r>
    </w:p>
    <w:bookmarkEnd w:id="20"/>
    <w:p w14:paraId="585AA6B4" w14:textId="56C2809A" w:rsidR="006539EB" w:rsidRPr="005E05B9" w:rsidRDefault="00C81471" w:rsidP="006539EB">
      <w:r>
        <w:t>Entities</w:t>
      </w:r>
      <w:r w:rsidR="006539EB" w:rsidRPr="005E05B9">
        <w:t xml:space="preserve"> will seek feedback from </w:t>
      </w:r>
      <w:r w:rsidR="006539EB">
        <w:t>the department</w:t>
      </w:r>
      <w:r w:rsidR="006539EB" w:rsidRPr="005E05B9">
        <w:t xml:space="preserve"> before finalising and obtaining </w:t>
      </w:r>
      <w:r w:rsidR="006539EB">
        <w:t>b</w:t>
      </w:r>
      <w:r w:rsidR="006539EB" w:rsidRPr="005E05B9">
        <w:t>oard approval.</w:t>
      </w:r>
    </w:p>
    <w:p w14:paraId="61B3D7C1" w14:textId="4417D646" w:rsidR="006539EB" w:rsidRDefault="006539EB" w:rsidP="006539EB">
      <w:pPr>
        <w:pStyle w:val="Heading3"/>
      </w:pPr>
      <w:bookmarkStart w:id="21" w:name="_Toc194930369"/>
      <w:r>
        <w:lastRenderedPageBreak/>
        <w:t>5.1.4</w:t>
      </w:r>
      <w:r>
        <w:tab/>
        <w:t>Policy proposals</w:t>
      </w:r>
      <w:bookmarkEnd w:id="21"/>
    </w:p>
    <w:p w14:paraId="50010ECE" w14:textId="7FA0CBBA" w:rsidR="00A86293" w:rsidRDefault="00A86293" w:rsidP="00A86293">
      <w:r w:rsidRPr="005E05B9">
        <w:t>The development of policy proposals should aim to leverage opportunities for collaboratio</w:t>
      </w:r>
      <w:r>
        <w:t>n across portfolios and sectors</w:t>
      </w:r>
      <w:r w:rsidRPr="005E05B9">
        <w:t xml:space="preserve"> and for knowledge sharing and capability transfer.</w:t>
      </w:r>
    </w:p>
    <w:p w14:paraId="53A1E035" w14:textId="3F6CA4D8" w:rsidR="00A86293" w:rsidRDefault="00A86293" w:rsidP="00A86293">
      <w:r>
        <w:t xml:space="preserve">The department </w:t>
      </w:r>
      <w:r w:rsidRPr="005E05B9">
        <w:t>will take the lead role in policy setting that</w:t>
      </w:r>
      <w:r>
        <w:t xml:space="preserve"> </w:t>
      </w:r>
      <w:r w:rsidRPr="005E05B9">
        <w:t xml:space="preserve">require approval from </w:t>
      </w:r>
      <w:r>
        <w:t>m</w:t>
      </w:r>
      <w:r w:rsidRPr="005E05B9">
        <w:t xml:space="preserve">inisters, </w:t>
      </w:r>
      <w:r w:rsidR="00DF5DB8">
        <w:t xml:space="preserve">while </w:t>
      </w:r>
      <w:r w:rsidRPr="005E05B9">
        <w:t xml:space="preserve">actively collaborating with relevant </w:t>
      </w:r>
      <w:r w:rsidR="00C81471">
        <w:t>entities</w:t>
      </w:r>
      <w:r w:rsidRPr="005E05B9">
        <w:t xml:space="preserve">. </w:t>
      </w:r>
    </w:p>
    <w:p w14:paraId="04233643" w14:textId="6DEBDA2A" w:rsidR="00A86293" w:rsidRDefault="00C81471" w:rsidP="00A86293">
      <w:r>
        <w:t>Entities</w:t>
      </w:r>
      <w:r w:rsidR="00A86293" w:rsidRPr="005E05B9">
        <w:t xml:space="preserve"> will contribute to policy discussions, bringing evidence-based and expert perspectives regarding the potential effectiveness of policy options and implementation issues.</w:t>
      </w:r>
    </w:p>
    <w:p w14:paraId="55E5561F" w14:textId="4C9DD893" w:rsidR="00A86293" w:rsidRPr="005E05B9" w:rsidRDefault="00A86293" w:rsidP="00A86293">
      <w:r>
        <w:t xml:space="preserve">The department </w:t>
      </w:r>
      <w:r w:rsidRPr="005E05B9">
        <w:t xml:space="preserve">will support </w:t>
      </w:r>
      <w:r w:rsidR="00C81471">
        <w:t>entities</w:t>
      </w:r>
      <w:r w:rsidRPr="005E05B9">
        <w:t xml:space="preserve"> seeking legislative amendments that enhance their efficiency and effectiveness, particularly where minor amendments will progress more rapidly as part of a larger portfolio-wide </w:t>
      </w:r>
      <w:r w:rsidR="00B95362">
        <w:t>b</w:t>
      </w:r>
      <w:r w:rsidRPr="005E05B9">
        <w:t>ill.</w:t>
      </w:r>
    </w:p>
    <w:p w14:paraId="1428DA87" w14:textId="4715FA69" w:rsidR="00A86293" w:rsidRDefault="00A86293" w:rsidP="00A86293">
      <w:pPr>
        <w:pStyle w:val="Heading3"/>
      </w:pPr>
      <w:bookmarkStart w:id="22" w:name="_Toc194930370"/>
      <w:r>
        <w:t>5.1.5</w:t>
      </w:r>
      <w:r>
        <w:tab/>
        <w:t>Budget</w:t>
      </w:r>
      <w:r w:rsidR="005057AE">
        <w:t xml:space="preserve"> and funding proposals</w:t>
      </w:r>
      <w:bookmarkEnd w:id="22"/>
    </w:p>
    <w:p w14:paraId="7023837F" w14:textId="5F52A0F4" w:rsidR="00DE46D0" w:rsidRDefault="00C81471" w:rsidP="00DE46D0">
      <w:r>
        <w:t>Entities</w:t>
      </w:r>
      <w:r w:rsidR="00DE46D0" w:rsidRPr="00874E95">
        <w:t xml:space="preserve"> are often at the </w:t>
      </w:r>
      <w:r w:rsidR="00DE46D0">
        <w:t>front-end</w:t>
      </w:r>
      <w:r w:rsidR="00DE46D0" w:rsidRPr="00874E95">
        <w:t xml:space="preserve"> of policy implementation and their operations can be directly impacted by funding and budget decisions. </w:t>
      </w:r>
      <w:r w:rsidR="00DE46D0">
        <w:t>T</w:t>
      </w:r>
      <w:r w:rsidR="00DE46D0" w:rsidRPr="00874E95">
        <w:t xml:space="preserve">he contribution of </w:t>
      </w:r>
      <w:r>
        <w:t>entities</w:t>
      </w:r>
      <w:r w:rsidR="00DE46D0" w:rsidRPr="00874E95">
        <w:t xml:space="preserve"> is </w:t>
      </w:r>
      <w:r w:rsidR="00DE46D0">
        <w:t xml:space="preserve">therefore </w:t>
      </w:r>
      <w:r w:rsidR="00DE46D0" w:rsidRPr="00874E95">
        <w:t>vital to generating the best policy and investment proposals and outcomes.</w:t>
      </w:r>
    </w:p>
    <w:p w14:paraId="1D789CB8" w14:textId="20EF118C" w:rsidR="00DE46D0" w:rsidRDefault="00C81471" w:rsidP="00DE46D0">
      <w:r>
        <w:t>Entity</w:t>
      </w:r>
      <w:r w:rsidR="00DE46D0" w:rsidRPr="00E37ACD">
        <w:t xml:space="preserve"> proposals seek</w:t>
      </w:r>
      <w:r w:rsidR="00DE46D0">
        <w:t>ing</w:t>
      </w:r>
      <w:r w:rsidR="00DE46D0" w:rsidRPr="00E37ACD">
        <w:t xml:space="preserve"> additional budget or other funding</w:t>
      </w:r>
      <w:r w:rsidR="00DE46D0">
        <w:t xml:space="preserve"> </w:t>
      </w:r>
      <w:r w:rsidR="00DE46D0" w:rsidRPr="00E37ACD">
        <w:t xml:space="preserve">need to be raised with </w:t>
      </w:r>
      <w:r w:rsidR="00DE46D0">
        <w:t xml:space="preserve">the department, </w:t>
      </w:r>
      <w:r w:rsidR="00DE46D0" w:rsidRPr="00E37ACD">
        <w:t>with as much advance notice as possible</w:t>
      </w:r>
      <w:r w:rsidR="00DE46D0">
        <w:t>,</w:t>
      </w:r>
      <w:r w:rsidR="00DE46D0" w:rsidRPr="00E37ACD">
        <w:t xml:space="preserve"> to allow a coordinated approach across portfolios.</w:t>
      </w:r>
      <w:r w:rsidR="00DE46D0">
        <w:t xml:space="preserve"> </w:t>
      </w:r>
      <w:r>
        <w:t>Entities</w:t>
      </w:r>
      <w:r w:rsidR="00DE46D0" w:rsidRPr="00E37ACD">
        <w:t xml:space="preserve"> </w:t>
      </w:r>
      <w:r w:rsidR="00DE46D0">
        <w:t xml:space="preserve">should </w:t>
      </w:r>
      <w:r w:rsidR="00DE46D0" w:rsidRPr="00E37ACD">
        <w:t xml:space="preserve">consult with </w:t>
      </w:r>
      <w:r w:rsidR="00DE46D0">
        <w:t xml:space="preserve">the department </w:t>
      </w:r>
      <w:r w:rsidR="00DE46D0" w:rsidRPr="00E37ACD">
        <w:t>regarding any proposals to raise fees or charges</w:t>
      </w:r>
      <w:r w:rsidR="00DE46D0">
        <w:t>,</w:t>
      </w:r>
      <w:r w:rsidR="00DE46D0" w:rsidRPr="00E37ACD">
        <w:t xml:space="preserve"> prior to submitting proposal</w:t>
      </w:r>
      <w:r w:rsidR="00DE46D0">
        <w:t>s</w:t>
      </w:r>
      <w:r w:rsidR="00DE46D0" w:rsidRPr="00E37ACD">
        <w:t xml:space="preserve"> </w:t>
      </w:r>
      <w:r w:rsidR="00DE46D0">
        <w:t>for</w:t>
      </w:r>
      <w:r w:rsidR="00DE46D0" w:rsidRPr="00E37ACD">
        <w:t xml:space="preserve"> </w:t>
      </w:r>
      <w:r w:rsidR="00D741B0">
        <w:t>ministerial/</w:t>
      </w:r>
      <w:r w:rsidR="00423B25">
        <w:t xml:space="preserve"> </w:t>
      </w:r>
      <w:r w:rsidR="00D741B0">
        <w:t>government</w:t>
      </w:r>
      <w:r w:rsidR="00DE46D0" w:rsidRPr="00E37ACD">
        <w:t xml:space="preserve"> approval.</w:t>
      </w:r>
    </w:p>
    <w:p w14:paraId="372102CE" w14:textId="145A63B0" w:rsidR="00DE46D0" w:rsidRDefault="00DE46D0" w:rsidP="00DE46D0">
      <w:r>
        <w:t xml:space="preserve">DTF </w:t>
      </w:r>
      <w:r w:rsidRPr="00E37ACD">
        <w:t xml:space="preserve">requires </w:t>
      </w:r>
      <w:r w:rsidRPr="00086754">
        <w:t>public non-financial corporation</w:t>
      </w:r>
      <w:r>
        <w:t>s</w:t>
      </w:r>
      <w:r w:rsidRPr="00086754">
        <w:t xml:space="preserve"> </w:t>
      </w:r>
      <w:r>
        <w:t>(</w:t>
      </w:r>
      <w:r w:rsidRPr="00E37ACD">
        <w:t>PNFCs</w:t>
      </w:r>
      <w:r>
        <w:t>)</w:t>
      </w:r>
      <w:r w:rsidRPr="00E37ACD">
        <w:t xml:space="preserve"> to provide business cases for capital expenditure for the </w:t>
      </w:r>
      <w:r w:rsidR="00461673">
        <w:t>T</w:t>
      </w:r>
      <w:r w:rsidRPr="00E37ACD">
        <w:t xml:space="preserve">reasurer's (and therefore implicitly the </w:t>
      </w:r>
      <w:r w:rsidR="00A603AE">
        <w:t>m</w:t>
      </w:r>
      <w:r w:rsidRPr="00E37ACD">
        <w:t>inister's) approval before the project commences</w:t>
      </w:r>
      <w:r>
        <w:t xml:space="preserve">, as </w:t>
      </w:r>
      <w:r w:rsidR="005F6E38">
        <w:t>stipulated</w:t>
      </w:r>
      <w:r>
        <w:t xml:space="preserve"> in DTF’s</w:t>
      </w:r>
      <w:r w:rsidRPr="00473670">
        <w:t xml:space="preserve"> </w:t>
      </w:r>
      <w:r w:rsidRPr="009006C2">
        <w:rPr>
          <w:i/>
        </w:rPr>
        <w:t>Cor</w:t>
      </w:r>
      <w:r w:rsidRPr="00C43730">
        <w:rPr>
          <w:i/>
        </w:rPr>
        <w:t>p</w:t>
      </w:r>
      <w:r w:rsidRPr="00473670">
        <w:rPr>
          <w:i/>
        </w:rPr>
        <w:t>orate planning and performance reporting requirements</w:t>
      </w:r>
      <w:r w:rsidRPr="00E37ACD">
        <w:t xml:space="preserve">. </w:t>
      </w:r>
    </w:p>
    <w:p w14:paraId="08756903" w14:textId="104CFEB9" w:rsidR="00DE46D0" w:rsidRDefault="00C81471" w:rsidP="00DE46D0">
      <w:r>
        <w:t>Entities</w:t>
      </w:r>
      <w:r w:rsidR="00DE46D0" w:rsidRPr="00E37ACD">
        <w:t xml:space="preserve"> should engage with </w:t>
      </w:r>
      <w:r w:rsidR="00DE46D0">
        <w:t xml:space="preserve">the </w:t>
      </w:r>
      <w:r w:rsidR="0091352E">
        <w:t xml:space="preserve">department </w:t>
      </w:r>
      <w:r w:rsidR="0091352E" w:rsidRPr="00E37ACD">
        <w:t>when</w:t>
      </w:r>
      <w:r w:rsidR="00DE46D0">
        <w:t xml:space="preserve"> developing</w:t>
      </w:r>
      <w:r w:rsidR="00DE46D0" w:rsidRPr="00E37ACD">
        <w:t xml:space="preserve"> budget and funding proposals </w:t>
      </w:r>
      <w:r w:rsidR="00FF14D5">
        <w:t xml:space="preserve">(including </w:t>
      </w:r>
      <w:r w:rsidR="00C31BE3">
        <w:t xml:space="preserve">requests for Treasurer’s Advance) </w:t>
      </w:r>
      <w:r w:rsidR="00DE46D0">
        <w:t xml:space="preserve">that </w:t>
      </w:r>
      <w:r w:rsidR="00DE46D0" w:rsidRPr="00E37ACD">
        <w:t>requir</w:t>
      </w:r>
      <w:r w:rsidR="00DE46D0">
        <w:t xml:space="preserve">e </w:t>
      </w:r>
      <w:r w:rsidR="00DE46D0" w:rsidRPr="00E37ACD">
        <w:t>DTF input and</w:t>
      </w:r>
      <w:r w:rsidR="00DE46D0">
        <w:t>/or</w:t>
      </w:r>
      <w:r w:rsidR="00DE46D0" w:rsidRPr="00E37ACD">
        <w:t xml:space="preserve"> </w:t>
      </w:r>
      <w:r w:rsidR="002B6952">
        <w:t>c</w:t>
      </w:r>
      <w:r w:rsidR="00DE46D0" w:rsidRPr="00E37ACD">
        <w:t>abinet</w:t>
      </w:r>
      <w:r w:rsidR="00DE46D0">
        <w:t xml:space="preserve"> approval.</w:t>
      </w:r>
      <w:r w:rsidR="00DE46D0" w:rsidRPr="00E37ACD">
        <w:t xml:space="preserve"> </w:t>
      </w:r>
      <w:r w:rsidR="00DE46D0">
        <w:t>The department will</w:t>
      </w:r>
      <w:r w:rsidR="00DE46D0" w:rsidRPr="00E37ACD">
        <w:t xml:space="preserve"> provide </w:t>
      </w:r>
      <w:r w:rsidR="00E21A25" w:rsidRPr="00E37ACD">
        <w:t>advice</w:t>
      </w:r>
      <w:r w:rsidR="00E21A25">
        <w:t>, support and coordinate</w:t>
      </w:r>
      <w:r w:rsidR="00DE46D0" w:rsidRPr="00E37ACD">
        <w:t xml:space="preserve"> the </w:t>
      </w:r>
      <w:r w:rsidR="00E21A25" w:rsidRPr="00E37ACD">
        <w:t xml:space="preserve">submission </w:t>
      </w:r>
      <w:r w:rsidR="00E21A25">
        <w:t>of</w:t>
      </w:r>
      <w:r w:rsidR="00E21A25" w:rsidRPr="00E37ACD">
        <w:t xml:space="preserve"> </w:t>
      </w:r>
      <w:r w:rsidR="00DE46D0" w:rsidRPr="00E37ACD">
        <w:t xml:space="preserve">proposals </w:t>
      </w:r>
      <w:r w:rsidR="00E21A25">
        <w:t xml:space="preserve">to </w:t>
      </w:r>
      <w:r w:rsidR="00DE46D0">
        <w:t xml:space="preserve">DTF for </w:t>
      </w:r>
      <w:r w:rsidR="002B6952">
        <w:t>c</w:t>
      </w:r>
      <w:r w:rsidR="00DE46D0">
        <w:t xml:space="preserve">abinet consideration </w:t>
      </w:r>
      <w:r w:rsidR="00024741">
        <w:t>as</w:t>
      </w:r>
      <w:r w:rsidR="00DE46D0">
        <w:t xml:space="preserve"> and when required</w:t>
      </w:r>
      <w:r w:rsidR="00DE46D0" w:rsidRPr="00E37ACD">
        <w:t>.</w:t>
      </w:r>
    </w:p>
    <w:p w14:paraId="1B4A5935" w14:textId="571EC9AE" w:rsidR="00DE46D0" w:rsidRDefault="00C81471" w:rsidP="00DE46D0">
      <w:r>
        <w:t>Entities</w:t>
      </w:r>
      <w:r w:rsidR="00DE46D0" w:rsidRPr="00E37ACD">
        <w:t xml:space="preserve"> will provide </w:t>
      </w:r>
      <w:r w:rsidR="00DE46D0">
        <w:t>the department</w:t>
      </w:r>
      <w:r w:rsidR="00DE46D0" w:rsidRPr="00E37ACD">
        <w:t xml:space="preserve"> with the</w:t>
      </w:r>
      <w:r w:rsidR="00DE46D0">
        <w:t xml:space="preserve"> necessary information </w:t>
      </w:r>
      <w:r w:rsidR="00EF5B85">
        <w:t>to acquit</w:t>
      </w:r>
      <w:r w:rsidR="00DE46D0">
        <w:t xml:space="preserve"> DTF</w:t>
      </w:r>
      <w:r w:rsidR="00DE46D0" w:rsidRPr="00E37ACD">
        <w:t xml:space="preserve"> </w:t>
      </w:r>
      <w:r w:rsidR="00DE46D0">
        <w:t>requirements</w:t>
      </w:r>
      <w:r w:rsidR="00DE46D0" w:rsidRPr="00E37ACD">
        <w:t xml:space="preserve"> on invest</w:t>
      </w:r>
      <w:r w:rsidR="00DE46D0">
        <w:t xml:space="preserve">ment </w:t>
      </w:r>
      <w:r w:rsidR="00DE46D0" w:rsidRPr="00E37ACD">
        <w:t>management standard</w:t>
      </w:r>
      <w:r w:rsidR="001A617A">
        <w:t>s</w:t>
      </w:r>
      <w:r w:rsidR="00DE46D0">
        <w:t xml:space="preserve"> and</w:t>
      </w:r>
      <w:r w:rsidR="00DE46D0" w:rsidRPr="00E37ACD">
        <w:t xml:space="preserve"> investment lifecycle </w:t>
      </w:r>
      <w:r w:rsidR="001A617A">
        <w:t xml:space="preserve">management </w:t>
      </w:r>
      <w:r w:rsidR="00DE46D0" w:rsidRPr="00E37ACD">
        <w:t xml:space="preserve">(to </w:t>
      </w:r>
      <w:r w:rsidR="009A5565" w:rsidRPr="00E37ACD">
        <w:t>conceptuali</w:t>
      </w:r>
      <w:r w:rsidR="00B80150">
        <w:t>s</w:t>
      </w:r>
      <w:r w:rsidR="009A5565" w:rsidRPr="00E37ACD">
        <w:t>e</w:t>
      </w:r>
      <w:r w:rsidR="00DE46D0" w:rsidRPr="00E37ACD">
        <w:t>, prove, procure, implement and realise).</w:t>
      </w:r>
    </w:p>
    <w:p w14:paraId="0E4CF3D0" w14:textId="30EEEE67" w:rsidR="00DE46D0" w:rsidRDefault="00DE46D0" w:rsidP="00DE46D0">
      <w:r w:rsidRPr="007B2B14">
        <w:t xml:space="preserve">DTF’s </w:t>
      </w:r>
      <w:hyperlink r:id="rId25" w:history="1">
        <w:r w:rsidRPr="00E319C6">
          <w:rPr>
            <w:rStyle w:val="Hyperlink"/>
            <w:i/>
          </w:rPr>
          <w:t xml:space="preserve">High Value High Risk </w:t>
        </w:r>
        <w:r w:rsidR="00E319C6" w:rsidRPr="00E319C6">
          <w:rPr>
            <w:rStyle w:val="Hyperlink"/>
            <w:i/>
          </w:rPr>
          <w:t>Framework</w:t>
        </w:r>
      </w:hyperlink>
      <w:r w:rsidR="00E319C6">
        <w:t xml:space="preserve"> </w:t>
      </w:r>
      <w:r>
        <w:t>need</w:t>
      </w:r>
      <w:r w:rsidR="000B40B4">
        <w:t>s</w:t>
      </w:r>
      <w:r>
        <w:t xml:space="preserve"> to</w:t>
      </w:r>
      <w:r w:rsidRPr="00E37ACD">
        <w:t xml:space="preserve"> be followed for </w:t>
      </w:r>
      <w:r>
        <w:t>budget-funded projects t</w:t>
      </w:r>
      <w:r w:rsidRPr="00E37ACD">
        <w:t>hat are:</w:t>
      </w:r>
    </w:p>
    <w:p w14:paraId="393236D3" w14:textId="0C5C0DF7" w:rsidR="00DE46D0" w:rsidRPr="00DE46D0" w:rsidRDefault="00DE46D0" w:rsidP="007B76F0">
      <w:pPr>
        <w:pStyle w:val="ListBullet"/>
        <w:numPr>
          <w:ilvl w:val="0"/>
          <w:numId w:val="11"/>
        </w:numPr>
        <w:rPr>
          <w:color w:val="auto"/>
        </w:rPr>
      </w:pPr>
      <w:r w:rsidRPr="00DE46D0">
        <w:rPr>
          <w:color w:val="auto"/>
        </w:rPr>
        <w:t>considered high risk using DTF’s risk</w:t>
      </w:r>
      <w:r w:rsidR="0033596D">
        <w:rPr>
          <w:color w:val="auto"/>
        </w:rPr>
        <w:t>-based</w:t>
      </w:r>
      <w:r w:rsidRPr="00DE46D0">
        <w:rPr>
          <w:color w:val="auto"/>
        </w:rPr>
        <w:t xml:space="preserve"> assessment tool</w:t>
      </w:r>
      <w:r w:rsidR="00CF633C">
        <w:rPr>
          <w:color w:val="auto"/>
        </w:rPr>
        <w:t>,</w:t>
      </w:r>
      <w:r w:rsidRPr="00DE46D0">
        <w:rPr>
          <w:color w:val="auto"/>
        </w:rPr>
        <w:t xml:space="preserve"> the Project Profile Model (PPM)</w:t>
      </w:r>
      <w:r w:rsidR="0033596D">
        <w:rPr>
          <w:color w:val="auto"/>
        </w:rPr>
        <w:t xml:space="preserve">. </w:t>
      </w:r>
      <w:r w:rsidR="0033596D" w:rsidRPr="0033596D">
        <w:rPr>
          <w:color w:val="auto"/>
          <w:lang w:val="en-US"/>
        </w:rPr>
        <w:t xml:space="preserve">PPM is DTF's risk-based assessment tool used to determine whether a project should be subject to the </w:t>
      </w:r>
      <w:r w:rsidR="00A631A0">
        <w:rPr>
          <w:color w:val="auto"/>
          <w:lang w:val="en-US"/>
        </w:rPr>
        <w:t xml:space="preserve">high value </w:t>
      </w:r>
      <w:r w:rsidR="0059082C">
        <w:rPr>
          <w:color w:val="auto"/>
          <w:lang w:val="en-US"/>
        </w:rPr>
        <w:t>high risk (</w:t>
      </w:r>
      <w:r w:rsidR="0033596D" w:rsidRPr="0033596D">
        <w:rPr>
          <w:color w:val="auto"/>
          <w:lang w:val="en-US"/>
        </w:rPr>
        <w:t>HVHR</w:t>
      </w:r>
      <w:r w:rsidR="0059082C">
        <w:rPr>
          <w:color w:val="auto"/>
          <w:lang w:val="en-US"/>
        </w:rPr>
        <w:t>)</w:t>
      </w:r>
      <w:r w:rsidR="0033596D" w:rsidRPr="0033596D">
        <w:rPr>
          <w:color w:val="auto"/>
          <w:lang w:val="en-US"/>
        </w:rPr>
        <w:t xml:space="preserve"> project assurance framework. </w:t>
      </w:r>
    </w:p>
    <w:p w14:paraId="566E0256" w14:textId="6793878F" w:rsidR="00DE46D0" w:rsidRPr="00DE46D0" w:rsidRDefault="00DE46D0" w:rsidP="007B76F0">
      <w:pPr>
        <w:pStyle w:val="ListBullet"/>
        <w:numPr>
          <w:ilvl w:val="0"/>
          <w:numId w:val="11"/>
        </w:numPr>
        <w:rPr>
          <w:color w:val="auto"/>
        </w:rPr>
      </w:pPr>
      <w:r w:rsidRPr="00DE46D0">
        <w:rPr>
          <w:color w:val="auto"/>
        </w:rPr>
        <w:t>considered medium risk using the PPM and ha</w:t>
      </w:r>
      <w:r w:rsidR="005F5783">
        <w:rPr>
          <w:color w:val="auto"/>
        </w:rPr>
        <w:t>ve</w:t>
      </w:r>
      <w:r w:rsidRPr="00DE46D0">
        <w:rPr>
          <w:color w:val="auto"/>
        </w:rPr>
        <w:t xml:space="preserve"> a total estimated investment (TEI) of between $100 million and $250 million</w:t>
      </w:r>
    </w:p>
    <w:p w14:paraId="555C743C" w14:textId="21C455A3" w:rsidR="00DE46D0" w:rsidRPr="00DE46D0" w:rsidRDefault="00213CDB" w:rsidP="007B76F0">
      <w:pPr>
        <w:pStyle w:val="ListBullet"/>
        <w:numPr>
          <w:ilvl w:val="0"/>
          <w:numId w:val="11"/>
        </w:numPr>
        <w:rPr>
          <w:color w:val="auto"/>
        </w:rPr>
      </w:pPr>
      <w:r>
        <w:rPr>
          <w:color w:val="auto"/>
        </w:rPr>
        <w:t>considered low ris</w:t>
      </w:r>
      <w:r w:rsidR="007E7D08">
        <w:rPr>
          <w:color w:val="auto"/>
        </w:rPr>
        <w:t>k</w:t>
      </w:r>
      <w:r>
        <w:rPr>
          <w:color w:val="auto"/>
        </w:rPr>
        <w:t xml:space="preserve"> using the PPM but </w:t>
      </w:r>
      <w:r w:rsidR="00DE46D0" w:rsidRPr="00DE46D0">
        <w:rPr>
          <w:color w:val="auto"/>
        </w:rPr>
        <w:t>ha</w:t>
      </w:r>
      <w:r w:rsidR="005F5783">
        <w:rPr>
          <w:color w:val="auto"/>
        </w:rPr>
        <w:t>ve</w:t>
      </w:r>
      <w:r w:rsidR="00DE46D0" w:rsidRPr="00DE46D0">
        <w:rPr>
          <w:color w:val="auto"/>
        </w:rPr>
        <w:t xml:space="preserve"> a TEI over $250 million</w:t>
      </w:r>
    </w:p>
    <w:p w14:paraId="56E3F737" w14:textId="5F426752" w:rsidR="00DE46D0" w:rsidRPr="00DE46D0" w:rsidRDefault="00DE46D0" w:rsidP="007B76F0">
      <w:pPr>
        <w:pStyle w:val="ListBullet"/>
        <w:numPr>
          <w:ilvl w:val="0"/>
          <w:numId w:val="11"/>
        </w:numPr>
        <w:rPr>
          <w:color w:val="auto"/>
        </w:rPr>
      </w:pPr>
      <w:r w:rsidRPr="00DE46D0">
        <w:rPr>
          <w:color w:val="auto"/>
        </w:rPr>
        <w:t xml:space="preserve">identified by </w:t>
      </w:r>
      <w:r w:rsidR="009232B6">
        <w:rPr>
          <w:color w:val="auto"/>
        </w:rPr>
        <w:t>the g</w:t>
      </w:r>
      <w:r w:rsidRPr="00DE46D0">
        <w:rPr>
          <w:color w:val="auto"/>
        </w:rPr>
        <w:t>overnment as warranting the rigour applied to HVHR investments.</w:t>
      </w:r>
    </w:p>
    <w:p w14:paraId="363FBFB0" w14:textId="2DB4FBB9" w:rsidR="00E07564" w:rsidRDefault="00E07564" w:rsidP="00E07564">
      <w:pPr>
        <w:pStyle w:val="Heading3"/>
      </w:pPr>
      <w:bookmarkStart w:id="23" w:name="_Toc194930371"/>
      <w:r>
        <w:t>5.1.6</w:t>
      </w:r>
      <w:r>
        <w:tab/>
        <w:t>Procurement</w:t>
      </w:r>
      <w:bookmarkEnd w:id="23"/>
    </w:p>
    <w:p w14:paraId="41DF0518" w14:textId="590B23A2" w:rsidR="00AE0097" w:rsidRPr="00A13D3F" w:rsidRDefault="00AE0097" w:rsidP="00AE0097">
      <w:r w:rsidRPr="00A13D3F">
        <w:t xml:space="preserve">The </w:t>
      </w:r>
      <w:hyperlink r:id="rId26" w:history="1">
        <w:r w:rsidR="00273A6C">
          <w:rPr>
            <w:rStyle w:val="Hyperlink"/>
          </w:rPr>
          <w:t xml:space="preserve">Victorian Government Purchasing Board </w:t>
        </w:r>
      </w:hyperlink>
      <w:r w:rsidRPr="00A13D3F">
        <w:t>(VGPB)</w:t>
      </w:r>
      <w:r w:rsidR="00A547DA">
        <w:t>,</w:t>
      </w:r>
      <w:r w:rsidRPr="00A13D3F">
        <w:t xml:space="preserve"> established under the FMA</w:t>
      </w:r>
      <w:r w:rsidR="00094202">
        <w:t>,</w:t>
      </w:r>
      <w:r>
        <w:t xml:space="preserve"> </w:t>
      </w:r>
      <w:r w:rsidRPr="00A13D3F">
        <w:t xml:space="preserve">covers end-to-end procurement activity </w:t>
      </w:r>
      <w:r>
        <w:t xml:space="preserve">for </w:t>
      </w:r>
      <w:r w:rsidRPr="00063569">
        <w:t>non-construction goods and services</w:t>
      </w:r>
      <w:r w:rsidRPr="00A13D3F">
        <w:t xml:space="preserve"> from identifying needs, forward planning and market research through to contract management. The VGPB procurement policy framework recognises procurement as a core business function, using a complexity and risk</w:t>
      </w:r>
      <w:r>
        <w:t>-</w:t>
      </w:r>
      <w:r w:rsidRPr="00A13D3F">
        <w:t>based model.</w:t>
      </w:r>
    </w:p>
    <w:p w14:paraId="23D33BD8" w14:textId="0B6ADCE5" w:rsidR="00AE0097" w:rsidRPr="00A13D3F" w:rsidRDefault="00AE0097" w:rsidP="00AE0097">
      <w:r w:rsidRPr="00A13D3F">
        <w:t xml:space="preserve">Adherence to the VGPB procurement policy framework ensures that the procurement process is undertaken with integrity, accountability and in the interests of achieving value for money. There are four broad directives or principles which underpin the VGPB procurement policy framework and form the basis on which </w:t>
      </w:r>
      <w:r w:rsidR="00C81471">
        <w:t>entities</w:t>
      </w:r>
      <w:r w:rsidRPr="00A13D3F">
        <w:t xml:space="preserve"> should undertake procurement: </w:t>
      </w:r>
    </w:p>
    <w:p w14:paraId="79AB8F67" w14:textId="77777777" w:rsidR="00AE0097" w:rsidRPr="00ED3AEE" w:rsidRDefault="00AE0097" w:rsidP="007B76F0">
      <w:pPr>
        <w:pStyle w:val="ListBullet"/>
        <w:numPr>
          <w:ilvl w:val="0"/>
          <w:numId w:val="10"/>
        </w:numPr>
        <w:rPr>
          <w:b/>
          <w:color w:val="auto"/>
        </w:rPr>
      </w:pPr>
      <w:r w:rsidRPr="00ED3AEE">
        <w:rPr>
          <w:b/>
          <w:color w:val="auto"/>
        </w:rPr>
        <w:t>Value for Money:</w:t>
      </w:r>
      <w:r w:rsidRPr="00ED3AEE">
        <w:rPr>
          <w:color w:val="auto"/>
        </w:rPr>
        <w:t xml:space="preserve"> The achievement of a desired procurement outcome at the best possible price, based on a balanced judgement of both financial and non-financial factors.</w:t>
      </w:r>
    </w:p>
    <w:p w14:paraId="45A95CA0" w14:textId="77777777" w:rsidR="00AE0097" w:rsidRPr="00ED3AEE" w:rsidRDefault="00AE0097" w:rsidP="007B76F0">
      <w:pPr>
        <w:pStyle w:val="ListBullet"/>
        <w:numPr>
          <w:ilvl w:val="0"/>
          <w:numId w:val="10"/>
        </w:numPr>
        <w:rPr>
          <w:b/>
          <w:color w:val="auto"/>
        </w:rPr>
      </w:pPr>
      <w:r w:rsidRPr="00ED3AEE">
        <w:rPr>
          <w:b/>
          <w:color w:val="auto"/>
        </w:rPr>
        <w:lastRenderedPageBreak/>
        <w:t>Probity</w:t>
      </w:r>
      <w:r w:rsidRPr="00ED3AEE">
        <w:rPr>
          <w:color w:val="auto"/>
        </w:rPr>
        <w:t>: Probity requires high standards of behaviour and actions in the conduct of the procurement process. Key elements of probity include equity, confidentiality, avoiding conflicts of interest, and ensuring confidence in the integrity of government procurement processes. </w:t>
      </w:r>
    </w:p>
    <w:p w14:paraId="0D5349DC" w14:textId="052F88CF" w:rsidR="00AE0097" w:rsidRPr="00ED3AEE" w:rsidRDefault="00AE0097" w:rsidP="007B76F0">
      <w:pPr>
        <w:pStyle w:val="ListBullet"/>
        <w:numPr>
          <w:ilvl w:val="0"/>
          <w:numId w:val="10"/>
        </w:numPr>
        <w:rPr>
          <w:color w:val="auto"/>
        </w:rPr>
      </w:pPr>
      <w:r w:rsidRPr="00ED3AEE">
        <w:rPr>
          <w:b/>
          <w:color w:val="auto"/>
        </w:rPr>
        <w:t>Accountability:</w:t>
      </w:r>
      <w:r w:rsidRPr="00ED3AEE">
        <w:rPr>
          <w:color w:val="auto"/>
        </w:rPr>
        <w:t xml:space="preserve"> The VGPB framework requires that </w:t>
      </w:r>
      <w:r w:rsidR="00C81471">
        <w:rPr>
          <w:color w:val="auto"/>
        </w:rPr>
        <w:t>entities</w:t>
      </w:r>
      <w:r w:rsidRPr="00ED3AEE">
        <w:rPr>
          <w:color w:val="auto"/>
        </w:rPr>
        <w:t xml:space="preserve"> have an </w:t>
      </w:r>
      <w:r w:rsidR="004A2B66">
        <w:rPr>
          <w:color w:val="auto"/>
        </w:rPr>
        <w:t>a</w:t>
      </w:r>
      <w:r w:rsidRPr="00ED3AEE">
        <w:rPr>
          <w:color w:val="auto"/>
        </w:rPr>
        <w:t xml:space="preserve">ccountable </w:t>
      </w:r>
      <w:r w:rsidR="004A2B66">
        <w:rPr>
          <w:color w:val="auto"/>
        </w:rPr>
        <w:t>o</w:t>
      </w:r>
      <w:r w:rsidRPr="00ED3AEE">
        <w:rPr>
          <w:color w:val="auto"/>
        </w:rPr>
        <w:t xml:space="preserve">fficer capable of conducting procurement activities using appropriate capability to provide value for money outcomes. The </w:t>
      </w:r>
      <w:r w:rsidR="004A2B66">
        <w:rPr>
          <w:color w:val="auto"/>
        </w:rPr>
        <w:t>a</w:t>
      </w:r>
      <w:r w:rsidRPr="00ED3AEE">
        <w:rPr>
          <w:color w:val="auto"/>
        </w:rPr>
        <w:t xml:space="preserve">ccountable </w:t>
      </w:r>
      <w:r w:rsidR="004A2B66">
        <w:rPr>
          <w:color w:val="auto"/>
        </w:rPr>
        <w:t>o</w:t>
      </w:r>
      <w:r w:rsidRPr="00ED3AEE">
        <w:rPr>
          <w:color w:val="auto"/>
        </w:rPr>
        <w:t xml:space="preserve">fficer will establish the broader procurement governance framework and is accountable for implementation. An </w:t>
      </w:r>
      <w:r w:rsidR="004A2B66">
        <w:rPr>
          <w:color w:val="auto"/>
        </w:rPr>
        <w:t>a</w:t>
      </w:r>
      <w:r w:rsidRPr="00ED3AEE">
        <w:rPr>
          <w:color w:val="auto"/>
        </w:rPr>
        <w:t xml:space="preserve">ccountable </w:t>
      </w:r>
      <w:r w:rsidR="004A2B66">
        <w:rPr>
          <w:color w:val="auto"/>
        </w:rPr>
        <w:t>o</w:t>
      </w:r>
      <w:r w:rsidRPr="00ED3AEE">
        <w:rPr>
          <w:color w:val="auto"/>
        </w:rPr>
        <w:t xml:space="preserve">fficer will establish a </w:t>
      </w:r>
      <w:r w:rsidR="004A2B66">
        <w:rPr>
          <w:color w:val="auto"/>
        </w:rPr>
        <w:t>c</w:t>
      </w:r>
      <w:r w:rsidRPr="00ED3AEE">
        <w:rPr>
          <w:color w:val="auto"/>
        </w:rPr>
        <w:t xml:space="preserve">hief </w:t>
      </w:r>
      <w:r w:rsidR="004A2B66">
        <w:rPr>
          <w:color w:val="auto"/>
        </w:rPr>
        <w:t>p</w:t>
      </w:r>
      <w:r w:rsidRPr="00ED3AEE">
        <w:rPr>
          <w:color w:val="auto"/>
        </w:rPr>
        <w:t xml:space="preserve">rocurement </w:t>
      </w:r>
      <w:r w:rsidR="004A2B66">
        <w:rPr>
          <w:color w:val="auto"/>
        </w:rPr>
        <w:t>o</w:t>
      </w:r>
      <w:r w:rsidRPr="00ED3AEE">
        <w:rPr>
          <w:color w:val="auto"/>
        </w:rPr>
        <w:t>fficer and an internal procurement unit where necessary.</w:t>
      </w:r>
    </w:p>
    <w:p w14:paraId="1866C1E5" w14:textId="73B2D279" w:rsidR="009B11C6" w:rsidRPr="00654B1B" w:rsidRDefault="009B11C6" w:rsidP="007B76F0">
      <w:pPr>
        <w:pStyle w:val="ListBullet"/>
        <w:numPr>
          <w:ilvl w:val="0"/>
          <w:numId w:val="10"/>
        </w:numPr>
        <w:rPr>
          <w:color w:val="auto"/>
        </w:rPr>
      </w:pPr>
      <w:r w:rsidRPr="00ED3AEE">
        <w:rPr>
          <w:b/>
          <w:color w:val="auto"/>
        </w:rPr>
        <w:t xml:space="preserve">Scalability: </w:t>
      </w:r>
      <w:r w:rsidRPr="00ED3AEE">
        <w:rPr>
          <w:color w:val="auto"/>
          <w:lang w:val="en"/>
        </w:rPr>
        <w:t xml:space="preserve">Scalability is the relationship between the complexity of a procurement project and the capability of the </w:t>
      </w:r>
      <w:r w:rsidR="00C81471">
        <w:rPr>
          <w:color w:val="auto"/>
          <w:lang w:val="en"/>
        </w:rPr>
        <w:t>entity</w:t>
      </w:r>
      <w:r w:rsidRPr="00ED3AEE">
        <w:rPr>
          <w:color w:val="auto"/>
          <w:lang w:val="en"/>
        </w:rPr>
        <w:t xml:space="preserve"> to conduct it to achieve a good procurement outcome. </w:t>
      </w:r>
    </w:p>
    <w:p w14:paraId="75FD5453" w14:textId="77777777" w:rsidR="005D7EAB" w:rsidRPr="00ED3AEE" w:rsidRDefault="005D7EAB" w:rsidP="003B7772">
      <w:pPr>
        <w:pStyle w:val="ListBullet"/>
        <w:numPr>
          <w:ilvl w:val="0"/>
          <w:numId w:val="0"/>
        </w:numPr>
        <w:ind w:left="720"/>
        <w:rPr>
          <w:color w:val="auto"/>
        </w:rPr>
      </w:pPr>
    </w:p>
    <w:p w14:paraId="17D41649" w14:textId="7DA93A03" w:rsidR="00174DAE" w:rsidRDefault="00174DAE" w:rsidP="009B11C6">
      <w:r w:rsidRPr="009C7641">
        <w:t>Specifi</w:t>
      </w:r>
      <w:r w:rsidR="00F21732" w:rsidRPr="009C7641">
        <w:t>ed</w:t>
      </w:r>
      <w:r w:rsidRPr="009C7641">
        <w:t xml:space="preserve"> </w:t>
      </w:r>
      <w:r w:rsidR="000F100E">
        <w:t>department</w:t>
      </w:r>
      <w:r w:rsidRPr="009C7641">
        <w:t xml:space="preserve"> entities are required to comply with the VGPB framework</w:t>
      </w:r>
      <w:r w:rsidR="00277A4C">
        <w:t>;</w:t>
      </w:r>
      <w:r w:rsidRPr="009C7641">
        <w:t xml:space="preserve"> however, all</w:t>
      </w:r>
      <w:r w:rsidR="009B11C6" w:rsidRPr="00F21732">
        <w:t xml:space="preserve"> </w:t>
      </w:r>
      <w:r w:rsidR="00C81471" w:rsidRPr="00F21732">
        <w:t>entities</w:t>
      </w:r>
      <w:r w:rsidR="009B11C6" w:rsidRPr="00F21732">
        <w:t xml:space="preserve"> are encouraged to align with the framework as a matter of best practice</w:t>
      </w:r>
      <w:r w:rsidRPr="009C7641">
        <w:t>.</w:t>
      </w:r>
    </w:p>
    <w:p w14:paraId="2C3BA066" w14:textId="616B22BA" w:rsidR="009B11C6" w:rsidRPr="003E5A5F" w:rsidRDefault="00C81471" w:rsidP="009B11C6">
      <w:r>
        <w:t>Entities</w:t>
      </w:r>
      <w:r w:rsidR="009B11C6" w:rsidRPr="003E5A5F">
        <w:t xml:space="preserve"> should </w:t>
      </w:r>
      <w:r w:rsidR="009B11C6">
        <w:t xml:space="preserve">also </w:t>
      </w:r>
      <w:r w:rsidR="009B11C6" w:rsidRPr="003E5A5F">
        <w:t xml:space="preserve">consider procurement requirements that exist beyond the VGPB, such as relevant Australian Standards and requirements for public construction under the </w:t>
      </w:r>
      <w:r w:rsidR="009B11C6" w:rsidRPr="003E5A5F">
        <w:rPr>
          <w:i/>
        </w:rPr>
        <w:t>Project Development and Construction Management Act 1994</w:t>
      </w:r>
      <w:r w:rsidR="009B11C6" w:rsidRPr="003E5A5F">
        <w:t>.</w:t>
      </w:r>
      <w:r w:rsidR="00CC7AFE">
        <w:t xml:space="preserve"> </w:t>
      </w:r>
      <w:r w:rsidR="009B11C6">
        <w:t xml:space="preserve">For further information and advice, contact your nominated department relationship manager. </w:t>
      </w:r>
    </w:p>
    <w:p w14:paraId="37C6456C" w14:textId="12E22832" w:rsidR="009B11C6" w:rsidRDefault="009B11C6" w:rsidP="009B11C6">
      <w:pPr>
        <w:pStyle w:val="Heading3"/>
      </w:pPr>
      <w:bookmarkStart w:id="24" w:name="_Toc194930372"/>
      <w:r>
        <w:t>5.1.7</w:t>
      </w:r>
      <w:r>
        <w:tab/>
      </w:r>
      <w:r w:rsidR="004948A9">
        <w:t>Service Level Agreements (SLA)</w:t>
      </w:r>
      <w:bookmarkEnd w:id="24"/>
    </w:p>
    <w:p w14:paraId="1A5DBDDB" w14:textId="5CE85F0B" w:rsidR="000B46A5" w:rsidRDefault="000B46A5" w:rsidP="000B46A5">
      <w:r>
        <w:t>Service Level A</w:t>
      </w:r>
      <w:r w:rsidRPr="00B37EA9">
        <w:t>greement</w:t>
      </w:r>
      <w:r>
        <w:t>s</w:t>
      </w:r>
      <w:r w:rsidRPr="00B37EA9">
        <w:t xml:space="preserve"> (SLA)</w:t>
      </w:r>
      <w:r>
        <w:t xml:space="preserve"> may be </w:t>
      </w:r>
      <w:r w:rsidRPr="00B37EA9">
        <w:t xml:space="preserve">required </w:t>
      </w:r>
      <w:r>
        <w:t>where the department</w:t>
      </w:r>
      <w:r w:rsidRPr="00B37EA9">
        <w:t xml:space="preserve"> </w:t>
      </w:r>
      <w:r>
        <w:t xml:space="preserve">provides </w:t>
      </w:r>
      <w:r w:rsidRPr="00B37EA9">
        <w:t xml:space="preserve">services (i.e. legal support, finance, </w:t>
      </w:r>
      <w:r>
        <w:t xml:space="preserve">training, travel, </w:t>
      </w:r>
      <w:r w:rsidRPr="00B37EA9">
        <w:t xml:space="preserve">or </w:t>
      </w:r>
      <w:r>
        <w:t>payroll</w:t>
      </w:r>
      <w:r w:rsidRPr="00B37EA9">
        <w:t>)</w:t>
      </w:r>
      <w:r>
        <w:t xml:space="preserve"> to </w:t>
      </w:r>
      <w:r w:rsidR="00C81471">
        <w:t>entities</w:t>
      </w:r>
      <w:r>
        <w:t>.</w:t>
      </w:r>
    </w:p>
    <w:p w14:paraId="19494903" w14:textId="77777777" w:rsidR="000B46A5" w:rsidRDefault="000B46A5" w:rsidP="000B46A5">
      <w:r>
        <w:t>SLAs formalise the agreement between the two parties and set out a minimum level of service along with service standards, targets, costings and terms of payment for those services.</w:t>
      </w:r>
    </w:p>
    <w:p w14:paraId="2B82B263" w14:textId="61B4070D" w:rsidR="000B46A5" w:rsidRDefault="000B46A5" w:rsidP="000B46A5">
      <w:r w:rsidRPr="000845EB">
        <w:t>SLAs</w:t>
      </w:r>
      <w:r>
        <w:t xml:space="preserve"> </w:t>
      </w:r>
      <w:r w:rsidRPr="000845EB">
        <w:t>assist corporate services managers in improving their service relationships and establishing shared arrangements</w:t>
      </w:r>
      <w:r w:rsidR="000410AA">
        <w:t>, providing</w:t>
      </w:r>
      <w:r w:rsidRPr="000845EB">
        <w:t xml:space="preserve"> transparency</w:t>
      </w:r>
      <w:r>
        <w:t xml:space="preserve"> and</w:t>
      </w:r>
      <w:r w:rsidRPr="000845EB">
        <w:t xml:space="preserve"> </w:t>
      </w:r>
      <w:r>
        <w:t>giv</w:t>
      </w:r>
      <w:r w:rsidR="00733223">
        <w:t>ing</w:t>
      </w:r>
      <w:r w:rsidRPr="000845EB">
        <w:t xml:space="preserve"> the</w:t>
      </w:r>
      <w:r>
        <w:t xml:space="preserve"> </w:t>
      </w:r>
      <w:r w:rsidRPr="000845EB">
        <w:t>service provider an oppo</w:t>
      </w:r>
      <w:r>
        <w:t xml:space="preserve">rtunity to improve performance, </w:t>
      </w:r>
      <w:r w:rsidRPr="000845EB">
        <w:t>and</w:t>
      </w:r>
      <w:r>
        <w:t xml:space="preserve"> the </w:t>
      </w:r>
      <w:r w:rsidRPr="000845EB">
        <w:t>customer an opportunity to review priorities</w:t>
      </w:r>
      <w:r>
        <w:t>.</w:t>
      </w:r>
      <w:r w:rsidR="002917B3">
        <w:t xml:space="preserve"> With this in mind, SLAs should incorporate a clear framework for introducing revisions or </w:t>
      </w:r>
      <w:r w:rsidR="00626D4B">
        <w:t>modifications during the course of the contract.</w:t>
      </w:r>
    </w:p>
    <w:p w14:paraId="2D3F900A" w14:textId="356FC996" w:rsidR="000B46A5" w:rsidRDefault="000B46A5" w:rsidP="000B46A5">
      <w:pPr>
        <w:pStyle w:val="Heading3"/>
      </w:pPr>
      <w:bookmarkStart w:id="25" w:name="_Toc194930373"/>
      <w:r>
        <w:t>5.1.8</w:t>
      </w:r>
      <w:r>
        <w:tab/>
        <w:t>S</w:t>
      </w:r>
      <w:r w:rsidR="001D05B2">
        <w:t>tatement of Expectations</w:t>
      </w:r>
      <w:r w:rsidR="00733223">
        <w:t xml:space="preserve"> (SOE)</w:t>
      </w:r>
      <w:bookmarkEnd w:id="25"/>
    </w:p>
    <w:p w14:paraId="7724E8EB" w14:textId="0A438FEB" w:rsidR="007F61E6" w:rsidRDefault="007F61E6" w:rsidP="007F61E6">
      <w:r w:rsidRPr="007719A8">
        <w:t>The purpose of a Statement of Expectations</w:t>
      </w:r>
      <w:r>
        <w:t xml:space="preserve"> (SOE)</w:t>
      </w:r>
      <w:r w:rsidRPr="007719A8">
        <w:t xml:space="preserve"> is to establish clear expectations of </w:t>
      </w:r>
      <w:r w:rsidR="00C81471">
        <w:t>entity</w:t>
      </w:r>
      <w:r w:rsidRPr="007719A8">
        <w:t xml:space="preserve"> performance and improvement between responsible </w:t>
      </w:r>
      <w:r>
        <w:t>m</w:t>
      </w:r>
      <w:r w:rsidRPr="007719A8">
        <w:t xml:space="preserve">inisters and </w:t>
      </w:r>
      <w:r>
        <w:t xml:space="preserve">their </w:t>
      </w:r>
      <w:r w:rsidR="00C81471">
        <w:t>entities</w:t>
      </w:r>
      <w:r>
        <w:t>.</w:t>
      </w:r>
    </w:p>
    <w:p w14:paraId="5E087E73" w14:textId="5CF4E902" w:rsidR="007F61E6" w:rsidRDefault="007F61E6" w:rsidP="007F61E6">
      <w:r>
        <w:t>SOEs are not a mandatory requirement. However, a well-developed SOE is</w:t>
      </w:r>
      <w:r w:rsidRPr="007719A8">
        <w:t xml:space="preserve"> an opportunity for </w:t>
      </w:r>
      <w:r>
        <w:t>m</w:t>
      </w:r>
      <w:r w:rsidRPr="007719A8">
        <w:t xml:space="preserve">inisters to provide greater clarity about government directions and objectives relevant to an </w:t>
      </w:r>
      <w:r w:rsidR="00C81471">
        <w:t>entity</w:t>
      </w:r>
      <w:r w:rsidRPr="007719A8">
        <w:t xml:space="preserve">, policies it is expected to observe in conducting its operations and performance </w:t>
      </w:r>
      <w:r>
        <w:t xml:space="preserve">targets it is expected to meet. </w:t>
      </w:r>
    </w:p>
    <w:p w14:paraId="06E7DE05" w14:textId="6239B70C" w:rsidR="007F61E6" w:rsidRDefault="007F61E6" w:rsidP="007F61E6">
      <w:r w:rsidRPr="00B37EA9">
        <w:t xml:space="preserve">Where appropriate, </w:t>
      </w:r>
      <w:r>
        <w:t>the department</w:t>
      </w:r>
      <w:r w:rsidRPr="00B37EA9">
        <w:t xml:space="preserve"> will prepare a draft S</w:t>
      </w:r>
      <w:r>
        <w:t>O</w:t>
      </w:r>
      <w:r w:rsidRPr="00B37EA9">
        <w:t>E</w:t>
      </w:r>
      <w:r>
        <w:t>,</w:t>
      </w:r>
      <w:r w:rsidRPr="00B37EA9">
        <w:t xml:space="preserve"> in consultation with </w:t>
      </w:r>
      <w:r>
        <w:t xml:space="preserve">the </w:t>
      </w:r>
      <w:r w:rsidR="00C81471">
        <w:t>entity</w:t>
      </w:r>
      <w:r w:rsidRPr="00B37EA9">
        <w:t xml:space="preserve">, for </w:t>
      </w:r>
      <w:r>
        <w:t>m</w:t>
      </w:r>
      <w:r w:rsidRPr="00B37EA9">
        <w:t>inisterial approval.</w:t>
      </w:r>
      <w:r>
        <w:t xml:space="preserve"> </w:t>
      </w:r>
      <w:r w:rsidR="00C81471">
        <w:t>Entities</w:t>
      </w:r>
      <w:r>
        <w:t xml:space="preserve"> should have systems in place to ensure </w:t>
      </w:r>
      <w:r w:rsidR="008A5CA5">
        <w:t xml:space="preserve">a </w:t>
      </w:r>
      <w:r>
        <w:t>periodic review of obligations under their SOEs or equivalent governing documents.</w:t>
      </w:r>
    </w:p>
    <w:p w14:paraId="083D09F0" w14:textId="1B3588D5" w:rsidR="007F61E6" w:rsidRDefault="007F61E6" w:rsidP="007F61E6">
      <w:r>
        <w:t xml:space="preserve">Regulatory </w:t>
      </w:r>
      <w:r w:rsidR="00C81471">
        <w:t>entities</w:t>
      </w:r>
      <w:r>
        <w:t xml:space="preserve"> are required to meet DTF’s SOE Framework, and it is expected that only one SOE will be required. The requirements for regulatory </w:t>
      </w:r>
      <w:r w:rsidR="00C81471">
        <w:t>entities</w:t>
      </w:r>
      <w:r>
        <w:t xml:space="preserve"> are on the DTF website including the </w:t>
      </w:r>
      <w:hyperlink r:id="rId27" w:history="1">
        <w:r w:rsidRPr="00C139AC">
          <w:rPr>
            <w:rStyle w:val="Hyperlink"/>
            <w:i/>
          </w:rPr>
          <w:t>Statement of Expectations Framework for Regulators</w:t>
        </w:r>
      </w:hyperlink>
      <w:r w:rsidR="009E7CC3">
        <w:t xml:space="preserve"> and</w:t>
      </w:r>
      <w:r>
        <w:t xml:space="preserve"> </w:t>
      </w:r>
      <w:hyperlink r:id="rId28" w:history="1">
        <w:r w:rsidR="00E74A53" w:rsidRPr="00C47F1B">
          <w:rPr>
            <w:rStyle w:val="Hyperlink"/>
          </w:rPr>
          <w:t>Towards</w:t>
        </w:r>
        <w:r w:rsidR="00550E13" w:rsidRPr="00C47F1B">
          <w:rPr>
            <w:rStyle w:val="Hyperlink"/>
          </w:rPr>
          <w:t xml:space="preserve"> </w:t>
        </w:r>
        <w:r w:rsidR="008F25FF" w:rsidRPr="00C47F1B">
          <w:rPr>
            <w:rStyle w:val="Hyperlink"/>
          </w:rPr>
          <w:t>Best Practice – a guide for regulators</w:t>
        </w:r>
      </w:hyperlink>
      <w:r w:rsidR="00D14B47">
        <w:t>.</w:t>
      </w:r>
    </w:p>
    <w:p w14:paraId="0669B4B7" w14:textId="42A2D20C" w:rsidR="00E540BB" w:rsidRPr="00891813" w:rsidRDefault="00E540BB" w:rsidP="00E540BB">
      <w:pPr>
        <w:pStyle w:val="Heading2"/>
      </w:pPr>
      <w:bookmarkStart w:id="26" w:name="_Toc194930374"/>
      <w:r>
        <w:t>5.2</w:t>
      </w:r>
      <w:r>
        <w:tab/>
        <w:t>Analyse and Monitor</w:t>
      </w:r>
      <w:bookmarkEnd w:id="26"/>
    </w:p>
    <w:p w14:paraId="42323454" w14:textId="1E07A04F" w:rsidR="00941F80" w:rsidRPr="000F100E" w:rsidRDefault="00941F80" w:rsidP="00941F80">
      <w:pPr>
        <w:pStyle w:val="bodycopy"/>
        <w:rPr>
          <w:color w:val="auto"/>
          <w:sz w:val="18"/>
          <w:szCs w:val="18"/>
        </w:rPr>
      </w:pPr>
      <w:r w:rsidRPr="000F100E">
        <w:rPr>
          <w:color w:val="auto"/>
          <w:sz w:val="18"/>
          <w:szCs w:val="18"/>
        </w:rPr>
        <w:t xml:space="preserve">In line with the principles of good public administration and governance, the governance framework aims to ensure effective oversight of ‘arm’s-length’ </w:t>
      </w:r>
      <w:r w:rsidR="00C81471" w:rsidRPr="000F100E">
        <w:rPr>
          <w:color w:val="auto"/>
          <w:sz w:val="18"/>
          <w:szCs w:val="18"/>
        </w:rPr>
        <w:t>entities</w:t>
      </w:r>
      <w:r w:rsidRPr="000F100E">
        <w:rPr>
          <w:color w:val="auto"/>
          <w:sz w:val="18"/>
          <w:szCs w:val="18"/>
        </w:rPr>
        <w:t>’ activities and outcomes.</w:t>
      </w:r>
    </w:p>
    <w:p w14:paraId="3800C648" w14:textId="1445B710" w:rsidR="00941F80" w:rsidRDefault="00941F80" w:rsidP="00941F80">
      <w:pPr>
        <w:pStyle w:val="Heading3"/>
      </w:pPr>
      <w:bookmarkStart w:id="27" w:name="_Toc194930375"/>
      <w:r>
        <w:t>5.</w:t>
      </w:r>
      <w:r w:rsidR="007C180C">
        <w:t>2.1</w:t>
      </w:r>
      <w:r>
        <w:tab/>
      </w:r>
      <w:r w:rsidR="00C81471">
        <w:t>Entity</w:t>
      </w:r>
      <w:r w:rsidR="007C180C">
        <w:t xml:space="preserve"> review</w:t>
      </w:r>
      <w:bookmarkEnd w:id="27"/>
    </w:p>
    <w:p w14:paraId="609B3ED1" w14:textId="3F401868" w:rsidR="00E01849" w:rsidRPr="00F36316" w:rsidRDefault="00E01849" w:rsidP="00E01849">
      <w:r>
        <w:t xml:space="preserve">Consideration needs to </w:t>
      </w:r>
      <w:r w:rsidRPr="00F36316">
        <w:t xml:space="preserve">be given to when and how </w:t>
      </w:r>
      <w:r w:rsidR="00C81471">
        <w:t>entities</w:t>
      </w:r>
      <w:r w:rsidRPr="00F36316">
        <w:t xml:space="preserve"> are reviewed</w:t>
      </w:r>
      <w:r>
        <w:t>,</w:t>
      </w:r>
      <w:r w:rsidRPr="00F36316">
        <w:t xml:space="preserve"> to ensure</w:t>
      </w:r>
      <w:r>
        <w:t xml:space="preserve"> that</w:t>
      </w:r>
      <w:r w:rsidRPr="00F36316">
        <w:t xml:space="preserve"> they run efficiently</w:t>
      </w:r>
      <w:r>
        <w:t xml:space="preserve"> and effectively and</w:t>
      </w:r>
      <w:r w:rsidRPr="00F36316">
        <w:t xml:space="preserve"> </w:t>
      </w:r>
      <w:r>
        <w:t xml:space="preserve">that </w:t>
      </w:r>
      <w:r w:rsidRPr="00F36316">
        <w:t>they remain relevant and appropriate.</w:t>
      </w:r>
    </w:p>
    <w:p w14:paraId="3EC5B4C3" w14:textId="15527393" w:rsidR="00E01849" w:rsidRDefault="00E01849" w:rsidP="00E01849">
      <w:r w:rsidRPr="00F36316">
        <w:lastRenderedPageBreak/>
        <w:t xml:space="preserve">The minimum expectations for </w:t>
      </w:r>
      <w:r w:rsidR="00C81471">
        <w:t>entity</w:t>
      </w:r>
      <w:r w:rsidRPr="00F36316">
        <w:t xml:space="preserve"> review</w:t>
      </w:r>
      <w:r>
        <w:t>s</w:t>
      </w:r>
      <w:r w:rsidRPr="00F36316">
        <w:t xml:space="preserve"> are </w:t>
      </w:r>
      <w:r w:rsidR="00085328">
        <w:t>outlined</w:t>
      </w:r>
      <w:r>
        <w:t xml:space="preserve"> in</w:t>
      </w:r>
      <w:r w:rsidRPr="002540C9">
        <w:t xml:space="preserve"> the </w:t>
      </w:r>
      <w:hyperlink r:id="rId29" w:history="1">
        <w:r w:rsidRPr="00216235">
          <w:rPr>
            <w:rStyle w:val="Hyperlink"/>
            <w:i/>
          </w:rPr>
          <w:t>Premier’s Circular No. 2013/2: Creation and Review of Non-Departmental Entities</w:t>
        </w:r>
      </w:hyperlink>
      <w:r>
        <w:t xml:space="preserve">. Under the requirements of the Circular, </w:t>
      </w:r>
      <w:r w:rsidR="00C81471">
        <w:t>entities</w:t>
      </w:r>
      <w:r>
        <w:t xml:space="preserve"> need to </w:t>
      </w:r>
      <w:r w:rsidRPr="00F36316">
        <w:t>be reviewed within three years of their creation and every six years thereafter.</w:t>
      </w:r>
    </w:p>
    <w:p w14:paraId="41B478B4" w14:textId="3B81016F" w:rsidR="00E01849" w:rsidRPr="00F36316" w:rsidRDefault="00E01849" w:rsidP="00E01849">
      <w:r w:rsidRPr="00F36316">
        <w:t xml:space="preserve">Reviews of </w:t>
      </w:r>
      <w:r w:rsidR="00C81471">
        <w:t>entities</w:t>
      </w:r>
      <w:r w:rsidRPr="00F36316">
        <w:t xml:space="preserve"> will</w:t>
      </w:r>
      <w:r>
        <w:t xml:space="preserve"> include the following four </w:t>
      </w:r>
      <w:r w:rsidRPr="00F36316">
        <w:t>assessment factors</w:t>
      </w:r>
      <w:r>
        <w:t xml:space="preserve"> at a minimum</w:t>
      </w:r>
      <w:r w:rsidRPr="00F36316">
        <w:t>:</w:t>
      </w:r>
    </w:p>
    <w:p w14:paraId="43875F64" w14:textId="77777777" w:rsidR="00E01849" w:rsidRPr="00ED3AEE" w:rsidRDefault="00E01849" w:rsidP="007B76F0">
      <w:pPr>
        <w:pStyle w:val="ListBullet"/>
        <w:numPr>
          <w:ilvl w:val="0"/>
          <w:numId w:val="12"/>
        </w:numPr>
        <w:rPr>
          <w:color w:val="auto"/>
        </w:rPr>
      </w:pPr>
      <w:r w:rsidRPr="00ED3AEE">
        <w:rPr>
          <w:color w:val="auto"/>
        </w:rPr>
        <w:t>Is there a role for government?</w:t>
      </w:r>
    </w:p>
    <w:p w14:paraId="2678517C" w14:textId="6950F052" w:rsidR="002F55CF" w:rsidRPr="00ED3AEE" w:rsidRDefault="00E01849" w:rsidP="007B76F0">
      <w:pPr>
        <w:pStyle w:val="ListBullet"/>
        <w:numPr>
          <w:ilvl w:val="0"/>
          <w:numId w:val="12"/>
        </w:numPr>
        <w:rPr>
          <w:color w:val="auto"/>
        </w:rPr>
      </w:pPr>
      <w:r w:rsidRPr="00ED3AEE">
        <w:rPr>
          <w:color w:val="auto"/>
        </w:rPr>
        <w:t xml:space="preserve">What degree of autonomy from government or </w:t>
      </w:r>
      <w:r w:rsidR="000F100E">
        <w:rPr>
          <w:color w:val="auto"/>
        </w:rPr>
        <w:t>m</w:t>
      </w:r>
      <w:r w:rsidRPr="00ED3AEE">
        <w:rPr>
          <w:color w:val="auto"/>
        </w:rPr>
        <w:t>inisters is required?</w:t>
      </w:r>
      <w:r w:rsidR="002F55CF" w:rsidRPr="00ED3AEE">
        <w:rPr>
          <w:color w:val="auto"/>
        </w:rPr>
        <w:t xml:space="preserve"> </w:t>
      </w:r>
    </w:p>
    <w:p w14:paraId="0CABC36E" w14:textId="30F0F1C8" w:rsidR="002F55CF" w:rsidRPr="00ED3AEE" w:rsidRDefault="002F55CF" w:rsidP="007B76F0">
      <w:pPr>
        <w:pStyle w:val="ListBullet"/>
        <w:numPr>
          <w:ilvl w:val="0"/>
          <w:numId w:val="12"/>
        </w:numPr>
        <w:rPr>
          <w:color w:val="auto"/>
        </w:rPr>
      </w:pPr>
      <w:r w:rsidRPr="00ED3AEE">
        <w:rPr>
          <w:color w:val="auto"/>
        </w:rPr>
        <w:t>What is the appropriate form of the entity?</w:t>
      </w:r>
    </w:p>
    <w:p w14:paraId="347517BF" w14:textId="77777777" w:rsidR="002F55CF" w:rsidRPr="00ED3AEE" w:rsidRDefault="002F55CF" w:rsidP="007B76F0">
      <w:pPr>
        <w:pStyle w:val="ListBullet"/>
        <w:numPr>
          <w:ilvl w:val="0"/>
          <w:numId w:val="12"/>
        </w:numPr>
        <w:rPr>
          <w:color w:val="auto"/>
        </w:rPr>
      </w:pPr>
      <w:r w:rsidRPr="00ED3AEE">
        <w:rPr>
          <w:color w:val="auto"/>
        </w:rPr>
        <w:t>Can the functions be performed by an existing entity?</w:t>
      </w:r>
    </w:p>
    <w:p w14:paraId="3B635C8A" w14:textId="68C418ED" w:rsidR="00E01849" w:rsidRDefault="002F55CF" w:rsidP="007F490C">
      <w:r w:rsidRPr="00F36316">
        <w:t xml:space="preserve">Where appropriate, an external reviewer may be appointed to conduct an independent </w:t>
      </w:r>
      <w:r w:rsidR="00C81471">
        <w:t>entity</w:t>
      </w:r>
      <w:r w:rsidRPr="00F36316">
        <w:t xml:space="preserve"> review.</w:t>
      </w:r>
      <w:r>
        <w:t xml:space="preserve"> </w:t>
      </w:r>
      <w:r w:rsidR="00C81471">
        <w:t>Entities</w:t>
      </w:r>
      <w:r w:rsidRPr="00F36316">
        <w:t xml:space="preserve"> should </w:t>
      </w:r>
      <w:r w:rsidR="002E7D13">
        <w:t>consult</w:t>
      </w:r>
      <w:r w:rsidR="002E7D13" w:rsidRPr="00F36316">
        <w:t xml:space="preserve"> </w:t>
      </w:r>
      <w:r w:rsidRPr="00F36316">
        <w:t xml:space="preserve">with their </w:t>
      </w:r>
      <w:r>
        <w:t>d</w:t>
      </w:r>
      <w:r w:rsidRPr="00F36316">
        <w:t xml:space="preserve">eputy </w:t>
      </w:r>
      <w:r>
        <w:t>s</w:t>
      </w:r>
      <w:r w:rsidRPr="00F36316">
        <w:t xml:space="preserve">ecretary and the </w:t>
      </w:r>
      <w:r>
        <w:t xml:space="preserve">department’s </w:t>
      </w:r>
      <w:r w:rsidRPr="00F36316">
        <w:t>Corporate Services Group for advice in this regard.</w:t>
      </w:r>
    </w:p>
    <w:p w14:paraId="29FC3880" w14:textId="6FCF1C82" w:rsidR="009341B0" w:rsidRPr="00B1621A" w:rsidRDefault="009341B0" w:rsidP="007F490C">
      <w:r>
        <w:t>In addition, the department may choose t</w:t>
      </w:r>
      <w:r w:rsidR="00764034">
        <w:t xml:space="preserve">o conduct </w:t>
      </w:r>
      <w:r w:rsidR="004A0577">
        <w:t>e</w:t>
      </w:r>
      <w:r w:rsidR="00764034">
        <w:t>ntity health assessments</w:t>
      </w:r>
      <w:r w:rsidR="006A71B3">
        <w:t xml:space="preserve"> (if necessary) to assist entities facing challenges</w:t>
      </w:r>
      <w:r w:rsidR="00ED05E6">
        <w:t>,</w:t>
      </w:r>
      <w:r w:rsidR="006A71B3">
        <w:t xml:space="preserve"> </w:t>
      </w:r>
      <w:r w:rsidR="00402778">
        <w:t>with a tai</w:t>
      </w:r>
      <w:r w:rsidR="00EE6D31">
        <w:t>lored treatment plan that could provide</w:t>
      </w:r>
      <w:r w:rsidR="00402778">
        <w:t xml:space="preserve"> additional support or have additional oversight and reporting arrangements. </w:t>
      </w:r>
    </w:p>
    <w:p w14:paraId="2F93395B" w14:textId="070B29C6" w:rsidR="001239F3" w:rsidRDefault="001239F3" w:rsidP="001239F3">
      <w:pPr>
        <w:pStyle w:val="Heading3"/>
      </w:pPr>
      <w:bookmarkStart w:id="28" w:name="_Toc39481517"/>
      <w:bookmarkStart w:id="29" w:name="_Toc194930376"/>
      <w:r>
        <w:t>5.2.</w:t>
      </w:r>
      <w:r w:rsidR="00551B75">
        <w:t>2</w:t>
      </w:r>
      <w:r>
        <w:tab/>
        <w:t>Program evaluations</w:t>
      </w:r>
      <w:bookmarkEnd w:id="28"/>
      <w:bookmarkEnd w:id="29"/>
    </w:p>
    <w:p w14:paraId="3E0C30B3" w14:textId="4CDF7228" w:rsidR="001239F3" w:rsidRDefault="00C81471" w:rsidP="001239F3">
      <w:r>
        <w:t>Entities</w:t>
      </w:r>
      <w:r w:rsidR="001239F3" w:rsidRPr="00B46CBD">
        <w:t xml:space="preserve"> </w:t>
      </w:r>
      <w:r w:rsidR="001239F3">
        <w:t xml:space="preserve">are responsible for </w:t>
      </w:r>
      <w:r w:rsidR="001239F3" w:rsidRPr="00B46CBD">
        <w:t>monitor</w:t>
      </w:r>
      <w:r w:rsidR="001239F3">
        <w:t>ing</w:t>
      </w:r>
      <w:r w:rsidR="001239F3" w:rsidRPr="00B46CBD">
        <w:t xml:space="preserve"> and evalua</w:t>
      </w:r>
      <w:r w:rsidR="001239F3">
        <w:t>ting</w:t>
      </w:r>
      <w:r w:rsidR="001239F3" w:rsidRPr="00B46CBD">
        <w:t xml:space="preserve"> programs and activities to generate evidence of effectiveness and contribute to continuous improvement in program design and implementation.</w:t>
      </w:r>
      <w:r w:rsidR="001239F3">
        <w:t xml:space="preserve"> </w:t>
      </w:r>
      <w:r w:rsidR="001239F3" w:rsidRPr="004A66F7">
        <w:t xml:space="preserve">The </w:t>
      </w:r>
      <w:r w:rsidR="000A21D9" w:rsidRPr="000A21D9">
        <w:rPr>
          <w:iCs/>
        </w:rPr>
        <w:t>department’s</w:t>
      </w:r>
      <w:r w:rsidR="00EE641A">
        <w:rPr>
          <w:i/>
        </w:rPr>
        <w:t xml:space="preserve"> </w:t>
      </w:r>
      <w:hyperlink r:id="rId30" w:history="1">
        <w:r w:rsidR="001239F3" w:rsidRPr="009C414B">
          <w:rPr>
            <w:rStyle w:val="Hyperlink"/>
            <w:i/>
          </w:rPr>
          <w:t>Monitoring and Evaluation Policy and Standards</w:t>
        </w:r>
      </w:hyperlink>
      <w:r w:rsidR="001239F3" w:rsidRPr="004A66F7">
        <w:t xml:space="preserve"> outlines the consistent minimum approach and expectations </w:t>
      </w:r>
      <w:r w:rsidR="001239F3">
        <w:t xml:space="preserve">encouraged by </w:t>
      </w:r>
      <w:r>
        <w:t>entities</w:t>
      </w:r>
      <w:r w:rsidR="001239F3">
        <w:t>.</w:t>
      </w:r>
      <w:r w:rsidR="001239F3" w:rsidRPr="004A66F7">
        <w:rPr>
          <w:i/>
        </w:rPr>
        <w:t xml:space="preserve"> </w:t>
      </w:r>
    </w:p>
    <w:p w14:paraId="74B5184B" w14:textId="256E9D17" w:rsidR="001239F3" w:rsidRDefault="000A21D9" w:rsidP="001239F3">
      <w:r w:rsidRPr="004A66F7">
        <w:t xml:space="preserve">The </w:t>
      </w:r>
      <w:r w:rsidRPr="000A21D9">
        <w:rPr>
          <w:iCs/>
        </w:rPr>
        <w:t>department’s</w:t>
      </w:r>
      <w:r>
        <w:rPr>
          <w:i/>
        </w:rPr>
        <w:t xml:space="preserve"> </w:t>
      </w:r>
      <w:r w:rsidR="001239F3" w:rsidRPr="004A66F7">
        <w:rPr>
          <w:i/>
        </w:rPr>
        <w:t>Monitoring and Evaluation Policy and Standards</w:t>
      </w:r>
      <w:r w:rsidR="001239F3">
        <w:t xml:space="preserve"> are in line with the </w:t>
      </w:r>
      <w:r w:rsidR="001239F3" w:rsidRPr="00A669D3">
        <w:t>DTF’s</w:t>
      </w:r>
      <w:r w:rsidR="001239F3">
        <w:t xml:space="preserve"> </w:t>
      </w:r>
      <w:hyperlink r:id="rId31" w:history="1">
        <w:r w:rsidR="001239F3" w:rsidRPr="007B48AB">
          <w:rPr>
            <w:rStyle w:val="Hyperlink"/>
          </w:rPr>
          <w:t>Resource Management Framework</w:t>
        </w:r>
      </w:hyperlink>
      <w:r w:rsidR="001239F3">
        <w:rPr>
          <w:i/>
        </w:rPr>
        <w:t xml:space="preserve">. </w:t>
      </w:r>
      <w:r w:rsidR="001239F3" w:rsidRPr="004A66F7">
        <w:t xml:space="preserve">DTF </w:t>
      </w:r>
      <w:r w:rsidR="001239F3" w:rsidRPr="00B46CBD">
        <w:t xml:space="preserve">requires that </w:t>
      </w:r>
      <w:r w:rsidR="001239F3">
        <w:t xml:space="preserve">all departments or </w:t>
      </w:r>
      <w:r w:rsidR="00C81471">
        <w:t>entities</w:t>
      </w:r>
      <w:r w:rsidR="001239F3">
        <w:t xml:space="preserve"> seeking</w:t>
      </w:r>
      <w:r w:rsidR="001239F3" w:rsidRPr="00B46CBD">
        <w:t xml:space="preserve"> fur</w:t>
      </w:r>
      <w:r w:rsidR="001239F3">
        <w:t>ther funding for activities need to</w:t>
      </w:r>
      <w:r w:rsidR="001239F3" w:rsidRPr="00B46CBD">
        <w:t xml:space="preserve"> undertake a program evaluation.</w:t>
      </w:r>
      <w:r w:rsidR="003F5885" w:rsidRPr="00323C4F">
        <w:t xml:space="preserve"> </w:t>
      </w:r>
    </w:p>
    <w:p w14:paraId="49C680BA" w14:textId="2DD3E9EF" w:rsidR="00AB107B" w:rsidRPr="00891813" w:rsidRDefault="00AB107B" w:rsidP="00AB107B">
      <w:pPr>
        <w:pStyle w:val="Heading2"/>
      </w:pPr>
      <w:bookmarkStart w:id="30" w:name="_Toc194930377"/>
      <w:r>
        <w:t>5.</w:t>
      </w:r>
      <w:r w:rsidR="009540DA" w:rsidRPr="00E27A2A">
        <w:t>3</w:t>
      </w:r>
      <w:r>
        <w:tab/>
        <w:t>Report</w:t>
      </w:r>
      <w:bookmarkEnd w:id="30"/>
    </w:p>
    <w:p w14:paraId="7BEE2AEF" w14:textId="14ADA901" w:rsidR="00E9309E" w:rsidRPr="00BE4254" w:rsidRDefault="00E9309E" w:rsidP="00E9309E">
      <w:r w:rsidRPr="00BE4254">
        <w:t xml:space="preserve">Robust performance management and reporting </w:t>
      </w:r>
      <w:r w:rsidR="00494B00">
        <w:t>are</w:t>
      </w:r>
      <w:r w:rsidR="00494B00" w:rsidRPr="00BE4254">
        <w:t xml:space="preserve"> </w:t>
      </w:r>
      <w:r w:rsidRPr="00BE4254">
        <w:t>critical to effectively measur</w:t>
      </w:r>
      <w:r>
        <w:t>e</w:t>
      </w:r>
      <w:r w:rsidRPr="00BE4254">
        <w:t xml:space="preserve"> the extent to which objectives are being achieved</w:t>
      </w:r>
      <w:r>
        <w:t xml:space="preserve"> and</w:t>
      </w:r>
      <w:r w:rsidRPr="00BE4254">
        <w:t xml:space="preserve"> services are effectively and ef</w:t>
      </w:r>
      <w:r>
        <w:t>ficiently delivered. This is necessary to ensure</w:t>
      </w:r>
      <w:r w:rsidRPr="00BE4254">
        <w:t xml:space="preserve"> that public sector accountability requirements for </w:t>
      </w:r>
      <w:r w:rsidR="00C81471">
        <w:t>entities</w:t>
      </w:r>
      <w:r>
        <w:t xml:space="preserve"> are met.</w:t>
      </w:r>
    </w:p>
    <w:p w14:paraId="7AF210A0" w14:textId="18A224BB" w:rsidR="00E9309E" w:rsidRPr="00BE4254" w:rsidRDefault="00E9309E" w:rsidP="00E9309E">
      <w:r w:rsidRPr="00BE4254">
        <w:t xml:space="preserve">Under section 13A of the </w:t>
      </w:r>
      <w:r w:rsidR="00A76224" w:rsidRPr="00B63E39">
        <w:rPr>
          <w:i/>
          <w:iCs/>
        </w:rPr>
        <w:t>Public Administration Act</w:t>
      </w:r>
      <w:r w:rsidR="00B63E39" w:rsidRPr="00B63E39">
        <w:rPr>
          <w:i/>
          <w:iCs/>
        </w:rPr>
        <w:t xml:space="preserve"> </w:t>
      </w:r>
      <w:r w:rsidR="007C4C1C" w:rsidRPr="00B63E39">
        <w:rPr>
          <w:i/>
          <w:iCs/>
        </w:rPr>
        <w:t>2004</w:t>
      </w:r>
      <w:r w:rsidR="007C4C1C">
        <w:t>,</w:t>
      </w:r>
      <w:r w:rsidRPr="00BE4254">
        <w:t xml:space="preserve"> </w:t>
      </w:r>
      <w:r>
        <w:t xml:space="preserve">department </w:t>
      </w:r>
      <w:r w:rsidR="00DB0F18">
        <w:t>s</w:t>
      </w:r>
      <w:r>
        <w:t>ecretaries need to advise</w:t>
      </w:r>
      <w:r w:rsidRPr="00BE4254">
        <w:t xml:space="preserve"> </w:t>
      </w:r>
      <w:r>
        <w:t>m</w:t>
      </w:r>
      <w:r w:rsidRPr="00BE4254">
        <w:t>inister</w:t>
      </w:r>
      <w:r>
        <w:t>s</w:t>
      </w:r>
      <w:r w:rsidRPr="00BE4254">
        <w:t xml:space="preserve"> on matters relating to relevant portfolio </w:t>
      </w:r>
      <w:r w:rsidR="00C81471">
        <w:t>entities</w:t>
      </w:r>
      <w:r w:rsidRPr="00BE4254">
        <w:t xml:space="preserve">, including in relation to </w:t>
      </w:r>
      <w:r>
        <w:t>an</w:t>
      </w:r>
      <w:r w:rsidRPr="00BE4254">
        <w:t xml:space="preserve"> </w:t>
      </w:r>
      <w:r w:rsidR="00C81471">
        <w:t>entity</w:t>
      </w:r>
      <w:r w:rsidRPr="00BE4254">
        <w:t>’s performance (financial and non-financial, including ris</w:t>
      </w:r>
      <w:r>
        <w:t>k).</w:t>
      </w:r>
      <w:r w:rsidRPr="00744293">
        <w:t xml:space="preserve"> </w:t>
      </w:r>
      <w:r>
        <w:t xml:space="preserve">At the same time, the department </w:t>
      </w:r>
      <w:r w:rsidRPr="00BE4254">
        <w:t xml:space="preserve">is required to provide advice and support to </w:t>
      </w:r>
      <w:r w:rsidR="00C81471">
        <w:t>entities</w:t>
      </w:r>
      <w:r w:rsidRPr="00BE4254">
        <w:t xml:space="preserve"> on the discharge of their responsibilities. </w:t>
      </w:r>
    </w:p>
    <w:p w14:paraId="3374C96E" w14:textId="416BC97A" w:rsidR="00E9309E" w:rsidRDefault="00E9309E" w:rsidP="00E9309E">
      <w:r w:rsidRPr="00BE4254">
        <w:t>The k</w:t>
      </w:r>
      <w:r>
        <w:t xml:space="preserve">ey to both </w:t>
      </w:r>
      <w:r w:rsidR="00C81471">
        <w:t>entities</w:t>
      </w:r>
      <w:r>
        <w:t xml:space="preserve"> and the d</w:t>
      </w:r>
      <w:r w:rsidRPr="00BE4254">
        <w:t>epartment effectively fulfilling these responsibilities is clear and</w:t>
      </w:r>
      <w:r>
        <w:t xml:space="preserve"> consists of</w:t>
      </w:r>
      <w:r w:rsidRPr="00BE4254">
        <w:t xml:space="preserve"> streamlined performance management and reporting requirements between </w:t>
      </w:r>
      <w:r w:rsidR="000064F6">
        <w:t>p</w:t>
      </w:r>
      <w:r w:rsidRPr="00BE4254">
        <w:t xml:space="preserve">arliament, </w:t>
      </w:r>
      <w:r>
        <w:t>m</w:t>
      </w:r>
      <w:r w:rsidRPr="00BE4254">
        <w:t xml:space="preserve">inisters, </w:t>
      </w:r>
      <w:r>
        <w:t xml:space="preserve">the department </w:t>
      </w:r>
      <w:r w:rsidRPr="00BE4254">
        <w:t xml:space="preserve">and </w:t>
      </w:r>
      <w:r w:rsidR="00C81471">
        <w:t>entities</w:t>
      </w:r>
      <w:r>
        <w:t>.</w:t>
      </w:r>
    </w:p>
    <w:p w14:paraId="5A9F409C" w14:textId="6C023975" w:rsidR="00F91460" w:rsidRPr="00DB0A1B" w:rsidRDefault="00F91460" w:rsidP="00F91460">
      <w:pPr>
        <w:pStyle w:val="Heading3"/>
      </w:pPr>
      <w:bookmarkStart w:id="31" w:name="_Toc39481519"/>
      <w:bookmarkStart w:id="32" w:name="_Toc194930378"/>
      <w:r w:rsidRPr="00F91460">
        <w:rPr>
          <w:iCs/>
        </w:rPr>
        <w:t>5.3.1</w:t>
      </w:r>
      <w:r>
        <w:rPr>
          <w:i/>
        </w:rPr>
        <w:tab/>
      </w:r>
      <w:r w:rsidRPr="00DB0A1B">
        <w:rPr>
          <w:i/>
        </w:rPr>
        <w:t xml:space="preserve">Financial Management Act </w:t>
      </w:r>
      <w:r>
        <w:rPr>
          <w:i/>
        </w:rPr>
        <w:t>1994</w:t>
      </w:r>
      <w:r w:rsidRPr="00DB0A1B">
        <w:t xml:space="preserve"> and Standing Directions </w:t>
      </w:r>
      <w:r>
        <w:t>2018</w:t>
      </w:r>
      <w:bookmarkEnd w:id="31"/>
      <w:bookmarkEnd w:id="32"/>
    </w:p>
    <w:p w14:paraId="18A4E355" w14:textId="5953284C" w:rsidR="00FB408A" w:rsidRPr="006D4E9A" w:rsidRDefault="00F91460" w:rsidP="00FB408A">
      <w:r w:rsidRPr="006D4E9A">
        <w:t xml:space="preserve">Relevant portfolio </w:t>
      </w:r>
      <w:r w:rsidR="00C81471">
        <w:t>entities</w:t>
      </w:r>
      <w:r w:rsidRPr="006D4E9A">
        <w:t xml:space="preserve"> must comply with the </w:t>
      </w:r>
      <w:r w:rsidR="00917A65" w:rsidRPr="00DB0A1B">
        <w:rPr>
          <w:i/>
        </w:rPr>
        <w:t xml:space="preserve">Financial Management Act </w:t>
      </w:r>
      <w:r w:rsidR="00917A65">
        <w:rPr>
          <w:i/>
        </w:rPr>
        <w:t>1994</w:t>
      </w:r>
      <w:r w:rsidR="00917A65" w:rsidRPr="00DB0A1B">
        <w:t xml:space="preserve"> </w:t>
      </w:r>
      <w:r w:rsidRPr="006D4E9A">
        <w:t xml:space="preserve">and the </w:t>
      </w:r>
      <w:hyperlink r:id="rId32" w:history="1">
        <w:r w:rsidRPr="00DA6001">
          <w:rPr>
            <w:rStyle w:val="Hyperlink"/>
          </w:rPr>
          <w:t>Standing Directions 2018 under the FMA</w:t>
        </w:r>
      </w:hyperlink>
      <w:r>
        <w:t xml:space="preserve">. DTF provides guidance to assist </w:t>
      </w:r>
      <w:r w:rsidR="00C81471">
        <w:t>entities</w:t>
      </w:r>
      <w:r>
        <w:t xml:space="preserve"> to determine whether they are subject to the Standing Directions.</w:t>
      </w:r>
      <w:r>
        <w:rPr>
          <w:rStyle w:val="FootnoteReference"/>
          <w:color w:val="1F4E79"/>
          <w:sz w:val="22"/>
        </w:rPr>
        <w:footnoteReference w:id="3"/>
      </w:r>
      <w:r>
        <w:t xml:space="preserve"> </w:t>
      </w:r>
      <w:r w:rsidRPr="00AA0143">
        <w:t>Other</w:t>
      </w:r>
      <w:r w:rsidR="00FB408A">
        <w:t xml:space="preserve"> </w:t>
      </w:r>
      <w:r w:rsidR="00C81471">
        <w:t>entities</w:t>
      </w:r>
      <w:r w:rsidR="00FB408A" w:rsidRPr="00AA0143">
        <w:t xml:space="preserve"> are encouraged to apply the</w:t>
      </w:r>
      <w:r w:rsidR="00FB408A">
        <w:t xml:space="preserve"> Standing Directions</w:t>
      </w:r>
      <w:r w:rsidR="00FB408A" w:rsidRPr="00AA0143">
        <w:t xml:space="preserve"> where this would enhance their</w:t>
      </w:r>
      <w:r w:rsidR="00FB408A">
        <w:t xml:space="preserve"> </w:t>
      </w:r>
      <w:r w:rsidR="00FB408A" w:rsidRPr="00AA0143">
        <w:t>financial accountability and control frameworks.</w:t>
      </w:r>
    </w:p>
    <w:p w14:paraId="08B1F7C5" w14:textId="6F1ADBC6" w:rsidR="00FB408A" w:rsidRPr="006D4E9A" w:rsidRDefault="00FB408A" w:rsidP="00FB408A">
      <w:r w:rsidRPr="006D4E9A">
        <w:t xml:space="preserve">The Standing Directions support the FMA by specifying matters that need to be complied with by departments and </w:t>
      </w:r>
      <w:r w:rsidR="00C81471">
        <w:t>entities</w:t>
      </w:r>
      <w:r w:rsidRPr="006D4E9A">
        <w:t xml:space="preserve"> to:</w:t>
      </w:r>
    </w:p>
    <w:p w14:paraId="2E7AE369" w14:textId="77777777" w:rsidR="00FB408A" w:rsidRPr="009540DA" w:rsidRDefault="00FB408A" w:rsidP="007B76F0">
      <w:pPr>
        <w:pStyle w:val="ListBullet"/>
        <w:numPr>
          <w:ilvl w:val="0"/>
          <w:numId w:val="13"/>
        </w:numPr>
        <w:rPr>
          <w:color w:val="auto"/>
        </w:rPr>
      </w:pPr>
      <w:r w:rsidRPr="009540DA">
        <w:rPr>
          <w:color w:val="auto"/>
        </w:rPr>
        <w:t>implement and maintain appropriate financial management practices</w:t>
      </w:r>
    </w:p>
    <w:p w14:paraId="3B72F861" w14:textId="77777777" w:rsidR="00FB408A" w:rsidRPr="009540DA" w:rsidRDefault="00FB408A" w:rsidP="007B76F0">
      <w:pPr>
        <w:pStyle w:val="ListBullet"/>
        <w:numPr>
          <w:ilvl w:val="0"/>
          <w:numId w:val="13"/>
        </w:numPr>
        <w:rPr>
          <w:color w:val="auto"/>
        </w:rPr>
      </w:pPr>
      <w:r w:rsidRPr="009540DA">
        <w:rPr>
          <w:color w:val="auto"/>
        </w:rPr>
        <w:t>achieve a consistent standard of accountability and financial reporting</w:t>
      </w:r>
    </w:p>
    <w:p w14:paraId="44AF74C9" w14:textId="7728169C" w:rsidR="00FB408A" w:rsidRPr="006D4E9A" w:rsidRDefault="00C81471" w:rsidP="00FB408A">
      <w:r>
        <w:lastRenderedPageBreak/>
        <w:t>Entities</w:t>
      </w:r>
      <w:r w:rsidR="00FB408A" w:rsidRPr="006D4E9A">
        <w:t xml:space="preserve"> must report compliance with the FMA through DTF’s</w:t>
      </w:r>
      <w:r w:rsidR="00FB408A">
        <w:t xml:space="preserve"> </w:t>
      </w:r>
      <w:r w:rsidR="00FB408A" w:rsidRPr="005B0DB6">
        <w:t>Standing Directions 2018</w:t>
      </w:r>
      <w:r w:rsidR="00FB408A">
        <w:rPr>
          <w:i/>
        </w:rPr>
        <w:t>,</w:t>
      </w:r>
      <w:r w:rsidR="00FB408A" w:rsidRPr="006D4E9A">
        <w:t xml:space="preserve"> </w:t>
      </w:r>
      <w:r w:rsidR="00FB408A">
        <w:t xml:space="preserve">in </w:t>
      </w:r>
      <w:r w:rsidR="00FB408A" w:rsidRPr="006D4E9A">
        <w:t xml:space="preserve">their </w:t>
      </w:r>
      <w:r w:rsidR="00FB408A">
        <w:t>a</w:t>
      </w:r>
      <w:r w:rsidR="00FB408A" w:rsidRPr="006D4E9A">
        <w:t xml:space="preserve">nnual report and to the </w:t>
      </w:r>
      <w:r w:rsidR="0030418C">
        <w:t>m</w:t>
      </w:r>
      <w:r w:rsidR="00FB408A" w:rsidRPr="006D4E9A">
        <w:t>inister and department</w:t>
      </w:r>
      <w:r w:rsidR="00FB408A">
        <w:t xml:space="preserve"> in line with the Directions (see</w:t>
      </w:r>
      <w:r w:rsidR="002F0952">
        <w:t xml:space="preserve"> </w:t>
      </w:r>
      <w:r w:rsidR="00FB408A">
        <w:t>Direction 5.1, 5.2 and 5.3 for details)</w:t>
      </w:r>
      <w:r w:rsidR="00FB408A" w:rsidRPr="006D4E9A">
        <w:t>.</w:t>
      </w:r>
      <w:r w:rsidR="006E60B5">
        <w:t xml:space="preserve"> A copy of annual attestation </w:t>
      </w:r>
      <w:r w:rsidR="0096506C">
        <w:t>should be provided to the department.</w:t>
      </w:r>
    </w:p>
    <w:p w14:paraId="1A200ACE" w14:textId="51F73BA0" w:rsidR="00FB408A" w:rsidRPr="006D4E9A" w:rsidRDefault="00FB408A" w:rsidP="00FB408A">
      <w:r>
        <w:t>The</w:t>
      </w:r>
      <w:r w:rsidRPr="006D4E9A">
        <w:t xml:space="preserve"> Standing Direction 4.2.3 </w:t>
      </w:r>
      <w:r>
        <w:t xml:space="preserve">on </w:t>
      </w:r>
      <w:r w:rsidRPr="00AE4CD4">
        <w:rPr>
          <w:i/>
        </w:rPr>
        <w:t xml:space="preserve">Asset </w:t>
      </w:r>
      <w:r w:rsidR="006D5A96">
        <w:rPr>
          <w:i/>
        </w:rPr>
        <w:t>M</w:t>
      </w:r>
      <w:r w:rsidRPr="00AE4CD4">
        <w:rPr>
          <w:i/>
        </w:rPr>
        <w:t xml:space="preserve">anagement </w:t>
      </w:r>
      <w:r w:rsidR="006D5A96">
        <w:rPr>
          <w:i/>
        </w:rPr>
        <w:t>A</w:t>
      </w:r>
      <w:r w:rsidRPr="00AE4CD4">
        <w:rPr>
          <w:i/>
        </w:rPr>
        <w:t>ccountability</w:t>
      </w:r>
      <w:r w:rsidR="006D5A96">
        <w:rPr>
          <w:i/>
        </w:rPr>
        <w:t xml:space="preserve"> Framework</w:t>
      </w:r>
      <w:r w:rsidRPr="006D4E9A">
        <w:t xml:space="preserve"> and Standing Direction 3.7</w:t>
      </w:r>
      <w:r>
        <w:t xml:space="preserve"> on</w:t>
      </w:r>
      <w:r w:rsidRPr="006D4E9A">
        <w:t xml:space="preserve"> </w:t>
      </w:r>
      <w:r w:rsidRPr="00AE4CD4">
        <w:rPr>
          <w:i/>
        </w:rPr>
        <w:t>Managing risk</w:t>
      </w:r>
      <w:r w:rsidRPr="006D4E9A">
        <w:t xml:space="preserve"> are further detailed </w:t>
      </w:r>
      <w:r w:rsidRPr="00412A16">
        <w:t xml:space="preserve">in </w:t>
      </w:r>
      <w:r w:rsidRPr="006D4E9A">
        <w:t>sections</w:t>
      </w:r>
      <w:r>
        <w:t xml:space="preserve"> 5.3.4 and 5.4</w:t>
      </w:r>
      <w:r w:rsidRPr="006D4E9A">
        <w:t xml:space="preserve"> below.</w:t>
      </w:r>
    </w:p>
    <w:p w14:paraId="14C95150" w14:textId="1D635FED" w:rsidR="00C154A3" w:rsidRPr="006D4E9A" w:rsidRDefault="00C154A3" w:rsidP="00C154A3">
      <w:pPr>
        <w:pStyle w:val="Heading3"/>
      </w:pPr>
      <w:bookmarkStart w:id="33" w:name="_Toc39481520"/>
      <w:bookmarkStart w:id="34" w:name="_Toc194930379"/>
      <w:r>
        <w:t>5.3.2</w:t>
      </w:r>
      <w:r>
        <w:tab/>
        <w:t>Performance reports</w:t>
      </w:r>
      <w:bookmarkEnd w:id="33"/>
      <w:bookmarkEnd w:id="34"/>
    </w:p>
    <w:p w14:paraId="0A411886" w14:textId="29FBC2E8" w:rsidR="00C154A3" w:rsidRPr="00BE4254" w:rsidRDefault="00C81471" w:rsidP="00C154A3">
      <w:r>
        <w:t>Entities</w:t>
      </w:r>
      <w:r w:rsidR="00C154A3" w:rsidRPr="00BE4254">
        <w:t xml:space="preserve"> </w:t>
      </w:r>
      <w:r w:rsidR="00C154A3">
        <w:t>will</w:t>
      </w:r>
      <w:r w:rsidR="00C154A3" w:rsidRPr="00BE4254">
        <w:t xml:space="preserve"> report on their performance </w:t>
      </w:r>
      <w:r w:rsidR="00C154A3">
        <w:t xml:space="preserve">to the department </w:t>
      </w:r>
      <w:r w:rsidR="00C154A3" w:rsidRPr="00BE4254">
        <w:t>at least</w:t>
      </w:r>
      <w:r w:rsidR="00C154A3">
        <w:t xml:space="preserve"> annually, having</w:t>
      </w:r>
      <w:r w:rsidR="00C154A3" w:rsidRPr="00BE4254">
        <w:t xml:space="preserve"> regard to factors including:</w:t>
      </w:r>
    </w:p>
    <w:p w14:paraId="7E567177" w14:textId="77777777" w:rsidR="00C154A3" w:rsidRPr="00306ABB" w:rsidRDefault="00C154A3" w:rsidP="007B76F0">
      <w:pPr>
        <w:pStyle w:val="ListBullet"/>
        <w:numPr>
          <w:ilvl w:val="0"/>
          <w:numId w:val="14"/>
        </w:numPr>
        <w:rPr>
          <w:color w:val="auto"/>
        </w:rPr>
      </w:pPr>
      <w:r w:rsidRPr="00306ABB">
        <w:rPr>
          <w:color w:val="auto"/>
        </w:rPr>
        <w:t>description of key achievements over the reporting period</w:t>
      </w:r>
    </w:p>
    <w:p w14:paraId="554BE98D" w14:textId="70CE4B7A" w:rsidR="00C154A3" w:rsidRPr="00306ABB" w:rsidRDefault="00C154A3" w:rsidP="007B76F0">
      <w:pPr>
        <w:pStyle w:val="ListBullet"/>
        <w:numPr>
          <w:ilvl w:val="0"/>
          <w:numId w:val="14"/>
        </w:numPr>
        <w:rPr>
          <w:color w:val="auto"/>
        </w:rPr>
      </w:pPr>
      <w:r w:rsidRPr="00306ABB">
        <w:rPr>
          <w:color w:val="auto"/>
        </w:rPr>
        <w:t xml:space="preserve">description of any current and emerging </w:t>
      </w:r>
      <w:r w:rsidR="005E52A3">
        <w:rPr>
          <w:color w:val="auto"/>
        </w:rPr>
        <w:t>financial and operational</w:t>
      </w:r>
      <w:r w:rsidRPr="00306ABB">
        <w:rPr>
          <w:color w:val="auto"/>
        </w:rPr>
        <w:t xml:space="preserve"> risks and responses</w:t>
      </w:r>
    </w:p>
    <w:p w14:paraId="5C4BA1DC" w14:textId="3A710CE2" w:rsidR="00C154A3" w:rsidRPr="00306ABB" w:rsidRDefault="00C154A3" w:rsidP="007B76F0">
      <w:pPr>
        <w:pStyle w:val="ListBullet"/>
        <w:numPr>
          <w:ilvl w:val="0"/>
          <w:numId w:val="14"/>
        </w:numPr>
        <w:rPr>
          <w:color w:val="auto"/>
        </w:rPr>
      </w:pPr>
      <w:r w:rsidRPr="00306ABB">
        <w:rPr>
          <w:color w:val="auto"/>
        </w:rPr>
        <w:t xml:space="preserve">performance information showing the extent to which performance objectives are being met, based on evidence from </w:t>
      </w:r>
      <w:r w:rsidR="00C81471">
        <w:rPr>
          <w:color w:val="auto"/>
        </w:rPr>
        <w:t>entity</w:t>
      </w:r>
      <w:r w:rsidRPr="00306ABB">
        <w:rPr>
          <w:color w:val="auto"/>
        </w:rPr>
        <w:t xml:space="preserve"> indicators</w:t>
      </w:r>
    </w:p>
    <w:p w14:paraId="5C8D5461" w14:textId="1E080256" w:rsidR="00C154A3" w:rsidRPr="00306ABB" w:rsidRDefault="00C154A3" w:rsidP="007B76F0">
      <w:pPr>
        <w:pStyle w:val="ListBullet"/>
        <w:numPr>
          <w:ilvl w:val="0"/>
          <w:numId w:val="14"/>
        </w:numPr>
        <w:rPr>
          <w:color w:val="auto"/>
        </w:rPr>
      </w:pPr>
      <w:r w:rsidRPr="00306ABB">
        <w:rPr>
          <w:color w:val="auto"/>
        </w:rPr>
        <w:t xml:space="preserve">performance information showing the extent to which outputs are being met, based on evidence from </w:t>
      </w:r>
      <w:r w:rsidR="00C81471">
        <w:rPr>
          <w:color w:val="auto"/>
        </w:rPr>
        <w:t>entity</w:t>
      </w:r>
      <w:r w:rsidRPr="00306ABB">
        <w:rPr>
          <w:color w:val="auto"/>
        </w:rPr>
        <w:t xml:space="preserve"> output performance measures</w:t>
      </w:r>
    </w:p>
    <w:p w14:paraId="34EAF6D0" w14:textId="77777777" w:rsidR="00C154A3" w:rsidRPr="00306ABB" w:rsidRDefault="00C154A3" w:rsidP="007B76F0">
      <w:pPr>
        <w:pStyle w:val="ListBullet"/>
        <w:numPr>
          <w:ilvl w:val="0"/>
          <w:numId w:val="14"/>
        </w:numPr>
        <w:rPr>
          <w:color w:val="auto"/>
        </w:rPr>
      </w:pPr>
      <w:r w:rsidRPr="00306ABB">
        <w:rPr>
          <w:color w:val="auto"/>
        </w:rPr>
        <w:t>commentary explaining the key drivers behind any significant variation from targets</w:t>
      </w:r>
    </w:p>
    <w:p w14:paraId="350B60C8" w14:textId="707F47A8" w:rsidR="00C154A3" w:rsidRPr="00BE4254" w:rsidRDefault="00C154A3" w:rsidP="00C154A3">
      <w:r>
        <w:t xml:space="preserve">The department </w:t>
      </w:r>
      <w:r w:rsidRPr="00BE4254">
        <w:t xml:space="preserve">will work with </w:t>
      </w:r>
      <w:r w:rsidR="00C81471">
        <w:t>entities</w:t>
      </w:r>
      <w:r w:rsidRPr="00BE4254">
        <w:t xml:space="preserve"> to ensure performance reports provide sufficient content</w:t>
      </w:r>
      <w:r>
        <w:t xml:space="preserve">, </w:t>
      </w:r>
      <w:r w:rsidRPr="00BE4254">
        <w:t xml:space="preserve">detail and feedback to the </w:t>
      </w:r>
      <w:r w:rsidR="00C81471">
        <w:t>entity</w:t>
      </w:r>
      <w:r w:rsidRPr="00BE4254">
        <w:t xml:space="preserve"> on</w:t>
      </w:r>
      <w:r>
        <w:t xml:space="preserve"> the use and contribution of performance reporting data towards the department’s objectives.</w:t>
      </w:r>
    </w:p>
    <w:p w14:paraId="108C9C9F" w14:textId="699723A9" w:rsidR="00C154A3" w:rsidRDefault="00C154A3" w:rsidP="00C154A3">
      <w:pPr>
        <w:pStyle w:val="Heading3"/>
      </w:pPr>
      <w:bookmarkStart w:id="35" w:name="_Toc39481521"/>
      <w:bookmarkStart w:id="36" w:name="_Toc194930380"/>
      <w:r>
        <w:t>5.3.3</w:t>
      </w:r>
      <w:r>
        <w:tab/>
        <w:t>Financial reports</w:t>
      </w:r>
      <w:bookmarkEnd w:id="35"/>
      <w:bookmarkEnd w:id="36"/>
    </w:p>
    <w:p w14:paraId="7D612991" w14:textId="004D3FBD" w:rsidR="00C154A3" w:rsidRDefault="00C81471" w:rsidP="00C154A3">
      <w:r>
        <w:t>Entities</w:t>
      </w:r>
      <w:r w:rsidR="00C154A3" w:rsidRPr="00086754">
        <w:t xml:space="preserve"> </w:t>
      </w:r>
      <w:r w:rsidR="00C154A3">
        <w:t xml:space="preserve">in the </w:t>
      </w:r>
      <w:r w:rsidR="00C154A3" w:rsidRPr="00086754">
        <w:t xml:space="preserve">general government </w:t>
      </w:r>
      <w:r w:rsidR="00C154A3">
        <w:t>sector</w:t>
      </w:r>
      <w:r w:rsidR="00C154A3" w:rsidRPr="00086754">
        <w:t xml:space="preserve"> </w:t>
      </w:r>
      <w:r w:rsidR="00C154A3">
        <w:t>are required to</w:t>
      </w:r>
      <w:r w:rsidR="00C154A3" w:rsidRPr="00086754">
        <w:t xml:space="preserve"> provide monthly data feeds </w:t>
      </w:r>
      <w:r w:rsidR="00E261F7">
        <w:t xml:space="preserve">and </w:t>
      </w:r>
      <w:r w:rsidR="008A12B9">
        <w:t>comme</w:t>
      </w:r>
      <w:r w:rsidR="00D90212">
        <w:t xml:space="preserve">ntary on </w:t>
      </w:r>
      <w:r w:rsidR="00632FBA">
        <w:t>variances</w:t>
      </w:r>
      <w:r w:rsidR="00D90212">
        <w:t xml:space="preserve"> between budget and </w:t>
      </w:r>
      <w:r w:rsidR="007E2861">
        <w:t>actuals</w:t>
      </w:r>
      <w:r w:rsidR="00C154A3" w:rsidRPr="00086754">
        <w:t xml:space="preserve"> to </w:t>
      </w:r>
      <w:r w:rsidR="00021C23">
        <w:t>the department’s</w:t>
      </w:r>
      <w:r w:rsidR="00E41C84">
        <w:t xml:space="preserve"> </w:t>
      </w:r>
      <w:r w:rsidR="007756A5">
        <w:t xml:space="preserve">Finance, </w:t>
      </w:r>
      <w:r w:rsidR="009A33D5">
        <w:t>Investment</w:t>
      </w:r>
      <w:r w:rsidR="00C154A3">
        <w:t xml:space="preserve"> and Procurement </w:t>
      </w:r>
      <w:r w:rsidR="00025AC3">
        <w:t xml:space="preserve">branch </w:t>
      </w:r>
      <w:r w:rsidR="00465DDD">
        <w:t>with</w:t>
      </w:r>
      <w:r w:rsidR="00C154A3">
        <w:t xml:space="preserve">in </w:t>
      </w:r>
      <w:r w:rsidR="003614B2">
        <w:t xml:space="preserve">the </w:t>
      </w:r>
      <w:r w:rsidR="00C154A3" w:rsidRPr="00086754">
        <w:t>Corporate Services Group</w:t>
      </w:r>
      <w:r w:rsidR="00C154A3">
        <w:t>,</w:t>
      </w:r>
      <w:r w:rsidR="00C154A3" w:rsidRPr="0083061A">
        <w:t xml:space="preserve"> i</w:t>
      </w:r>
      <w:r w:rsidR="00C154A3">
        <w:t>n line with current department</w:t>
      </w:r>
      <w:r w:rsidR="00C154A3" w:rsidRPr="0083061A">
        <w:t xml:space="preserve"> timeframes.</w:t>
      </w:r>
    </w:p>
    <w:p w14:paraId="1384AD85" w14:textId="004E141E" w:rsidR="00C154A3" w:rsidRDefault="00C81471" w:rsidP="00C154A3">
      <w:r>
        <w:t>Entities</w:t>
      </w:r>
      <w:r w:rsidR="00E3514B">
        <w:t xml:space="preserve">, including </w:t>
      </w:r>
      <w:r w:rsidR="00C154A3" w:rsidRPr="00086754">
        <w:t xml:space="preserve">both general government and </w:t>
      </w:r>
      <w:r w:rsidR="00C154A3">
        <w:t>PNFC</w:t>
      </w:r>
      <w:r w:rsidR="0056670F">
        <w:t>s</w:t>
      </w:r>
      <w:r w:rsidR="00E3514B">
        <w:t>,</w:t>
      </w:r>
      <w:r w:rsidR="00C154A3" w:rsidRPr="00086754">
        <w:t xml:space="preserve"> will </w:t>
      </w:r>
      <w:r w:rsidR="00C154A3">
        <w:t xml:space="preserve">submit periodic </w:t>
      </w:r>
      <w:r w:rsidR="00C154A3" w:rsidRPr="00086754">
        <w:t>report</w:t>
      </w:r>
      <w:r w:rsidR="00C154A3">
        <w:t>s to their relationship manager</w:t>
      </w:r>
      <w:r w:rsidR="00CF68C0">
        <w:t>s</w:t>
      </w:r>
      <w:r w:rsidR="00C154A3">
        <w:t xml:space="preserve"> and relevant finance contacts in </w:t>
      </w:r>
      <w:r w:rsidR="00021C23">
        <w:t xml:space="preserve">the department’s Finance, Investment and Procurement branch </w:t>
      </w:r>
      <w:r w:rsidR="00C154A3">
        <w:t>on a periodic basis.</w:t>
      </w:r>
      <w:r w:rsidR="00C154A3" w:rsidRPr="00557D97" w:rsidDel="0020678C">
        <w:rPr>
          <w:highlight w:val="yellow"/>
        </w:rPr>
        <w:t xml:space="preserve"> </w:t>
      </w:r>
      <w:r w:rsidR="00C154A3">
        <w:t xml:space="preserve"> </w:t>
      </w:r>
    </w:p>
    <w:p w14:paraId="640174F2" w14:textId="77777777" w:rsidR="00C154A3" w:rsidRPr="00086754" w:rsidRDefault="00C154A3" w:rsidP="00C154A3">
      <w:pPr>
        <w:keepNext/>
      </w:pPr>
      <w:r>
        <w:t>Financial reports should include:</w:t>
      </w:r>
      <w:r w:rsidRPr="00086754">
        <w:t xml:space="preserve"> </w:t>
      </w:r>
    </w:p>
    <w:p w14:paraId="26F05982" w14:textId="1E83C0F6" w:rsidR="00C154A3" w:rsidRPr="00306ABB" w:rsidRDefault="00C154A3" w:rsidP="007B76F0">
      <w:pPr>
        <w:pStyle w:val="ListBullet"/>
        <w:numPr>
          <w:ilvl w:val="0"/>
          <w:numId w:val="15"/>
        </w:numPr>
        <w:rPr>
          <w:color w:val="auto"/>
        </w:rPr>
      </w:pPr>
      <w:r w:rsidRPr="00306ABB">
        <w:rPr>
          <w:color w:val="auto"/>
        </w:rPr>
        <w:t xml:space="preserve">year-to-date financial performance against </w:t>
      </w:r>
      <w:r w:rsidR="000E13EF">
        <w:rPr>
          <w:color w:val="auto"/>
        </w:rPr>
        <w:t xml:space="preserve">the </w:t>
      </w:r>
      <w:r w:rsidRPr="00306ABB">
        <w:rPr>
          <w:color w:val="auto"/>
        </w:rPr>
        <w:t>approved budget, revised budget (where applicable) and estimated full year forecasts (including profit and loss statement, balance sheet and cash flow statements)</w:t>
      </w:r>
      <w:r w:rsidRPr="00306ABB">
        <w:rPr>
          <w:rStyle w:val="FootnoteReference"/>
          <w:rFonts w:cs="Arial"/>
          <w:color w:val="auto"/>
          <w:sz w:val="22"/>
        </w:rPr>
        <w:footnoteReference w:id="4"/>
      </w:r>
    </w:p>
    <w:p w14:paraId="6DA691C9" w14:textId="2DBA818A" w:rsidR="00C154A3" w:rsidRPr="00306ABB" w:rsidRDefault="00C154A3" w:rsidP="007B76F0">
      <w:pPr>
        <w:pStyle w:val="ListBullet"/>
        <w:numPr>
          <w:ilvl w:val="0"/>
          <w:numId w:val="15"/>
        </w:numPr>
        <w:rPr>
          <w:color w:val="auto"/>
        </w:rPr>
      </w:pPr>
      <w:r w:rsidRPr="00306ABB">
        <w:rPr>
          <w:color w:val="auto"/>
        </w:rPr>
        <w:t>underlying assumptions</w:t>
      </w:r>
      <w:r w:rsidR="002C6BD2">
        <w:rPr>
          <w:color w:val="auto"/>
        </w:rPr>
        <w:t xml:space="preserve"> that underpin the forecasts</w:t>
      </w:r>
      <w:r w:rsidRPr="00306ABB">
        <w:rPr>
          <w:color w:val="auto"/>
        </w:rPr>
        <w:t xml:space="preserve"> and details in relation to key factors affecting the financial performance (year-to-date and full year forecasts)</w:t>
      </w:r>
    </w:p>
    <w:p w14:paraId="2A33C9C0" w14:textId="66CB7561" w:rsidR="00C154A3" w:rsidRPr="00306ABB" w:rsidRDefault="00C154A3" w:rsidP="007B76F0">
      <w:pPr>
        <w:pStyle w:val="ListBullet"/>
        <w:numPr>
          <w:ilvl w:val="0"/>
          <w:numId w:val="15"/>
        </w:numPr>
        <w:rPr>
          <w:color w:val="auto"/>
        </w:rPr>
      </w:pPr>
      <w:r w:rsidRPr="00306ABB">
        <w:rPr>
          <w:color w:val="auto"/>
        </w:rPr>
        <w:t xml:space="preserve">description of any current and emerging risks that </w:t>
      </w:r>
      <w:r w:rsidR="002C6BD2">
        <w:rPr>
          <w:color w:val="auto"/>
        </w:rPr>
        <w:t xml:space="preserve">may </w:t>
      </w:r>
      <w:r w:rsidRPr="00306ABB">
        <w:rPr>
          <w:color w:val="auto"/>
        </w:rPr>
        <w:t xml:space="preserve">have financial implications and responses (covering at least </w:t>
      </w:r>
      <w:r w:rsidR="003578CA">
        <w:rPr>
          <w:color w:val="auto"/>
        </w:rPr>
        <w:t xml:space="preserve">the </w:t>
      </w:r>
      <w:r w:rsidRPr="00306ABB">
        <w:rPr>
          <w:color w:val="auto"/>
        </w:rPr>
        <w:t>next 12 months as a rolling forecast)</w:t>
      </w:r>
    </w:p>
    <w:p w14:paraId="1FCF9CCC" w14:textId="77777777" w:rsidR="00C154A3" w:rsidRPr="00306ABB" w:rsidRDefault="00C154A3" w:rsidP="007B76F0">
      <w:pPr>
        <w:pStyle w:val="ListBullet"/>
        <w:numPr>
          <w:ilvl w:val="0"/>
          <w:numId w:val="15"/>
        </w:numPr>
        <w:rPr>
          <w:color w:val="auto"/>
        </w:rPr>
      </w:pPr>
      <w:r w:rsidRPr="00306ABB">
        <w:rPr>
          <w:color w:val="auto"/>
        </w:rPr>
        <w:t>explanations for any significant variations between budget and actuals</w:t>
      </w:r>
    </w:p>
    <w:p w14:paraId="7ABF13F9" w14:textId="2662F5B0" w:rsidR="00C154A3" w:rsidRPr="00306ABB" w:rsidRDefault="00C154A3" w:rsidP="007B76F0">
      <w:pPr>
        <w:pStyle w:val="ListBullet"/>
        <w:numPr>
          <w:ilvl w:val="0"/>
          <w:numId w:val="15"/>
        </w:numPr>
        <w:rPr>
          <w:color w:val="auto"/>
        </w:rPr>
      </w:pPr>
      <w:r w:rsidRPr="00306ABB">
        <w:rPr>
          <w:color w:val="auto"/>
        </w:rPr>
        <w:t>strategies planned and implemented to address any significant variations</w:t>
      </w:r>
    </w:p>
    <w:p w14:paraId="0F6E3DCF" w14:textId="77777777" w:rsidR="00C154A3" w:rsidRPr="00306ABB" w:rsidRDefault="00C154A3" w:rsidP="007B76F0">
      <w:pPr>
        <w:pStyle w:val="ListBullet"/>
        <w:numPr>
          <w:ilvl w:val="0"/>
          <w:numId w:val="15"/>
        </w:numPr>
        <w:rPr>
          <w:color w:val="auto"/>
        </w:rPr>
      </w:pPr>
      <w:r w:rsidRPr="00306ABB">
        <w:rPr>
          <w:color w:val="auto"/>
        </w:rPr>
        <w:t>performance information on any financial indicators (KPIs) and financial ratios, as appropriate against targets</w:t>
      </w:r>
    </w:p>
    <w:p w14:paraId="268EA78F" w14:textId="7A0C95E4" w:rsidR="00094154" w:rsidRPr="00306ABB" w:rsidRDefault="00094154" w:rsidP="007B76F0">
      <w:pPr>
        <w:pStyle w:val="ListBullet"/>
        <w:numPr>
          <w:ilvl w:val="0"/>
          <w:numId w:val="15"/>
        </w:numPr>
        <w:rPr>
          <w:color w:val="auto"/>
        </w:rPr>
      </w:pPr>
      <w:r w:rsidRPr="00306ABB">
        <w:rPr>
          <w:color w:val="auto"/>
        </w:rPr>
        <w:t xml:space="preserve">sign-off from the </w:t>
      </w:r>
      <w:r w:rsidR="00C81471">
        <w:rPr>
          <w:color w:val="auto"/>
        </w:rPr>
        <w:t>entity</w:t>
      </w:r>
      <w:r w:rsidRPr="00306ABB">
        <w:rPr>
          <w:color w:val="auto"/>
        </w:rPr>
        <w:t xml:space="preserve">’s accountable officer (usually the </w:t>
      </w:r>
      <w:r w:rsidR="0060055D">
        <w:rPr>
          <w:color w:val="auto"/>
        </w:rPr>
        <w:t>c</w:t>
      </w:r>
      <w:r w:rsidRPr="00306ABB">
        <w:rPr>
          <w:color w:val="auto"/>
        </w:rPr>
        <w:t xml:space="preserve">hief </w:t>
      </w:r>
      <w:r w:rsidR="0060055D">
        <w:rPr>
          <w:color w:val="auto"/>
        </w:rPr>
        <w:t>e</w:t>
      </w:r>
      <w:r w:rsidRPr="00306ABB">
        <w:rPr>
          <w:color w:val="auto"/>
        </w:rPr>
        <w:t xml:space="preserve">xecutive </w:t>
      </w:r>
      <w:r w:rsidR="0060055D">
        <w:rPr>
          <w:color w:val="auto"/>
        </w:rPr>
        <w:t>o</w:t>
      </w:r>
      <w:r w:rsidRPr="00306ABB">
        <w:rPr>
          <w:color w:val="auto"/>
        </w:rPr>
        <w:t xml:space="preserve">fficer </w:t>
      </w:r>
      <w:r w:rsidR="00C10F18">
        <w:rPr>
          <w:color w:val="auto"/>
        </w:rPr>
        <w:t xml:space="preserve">(CEO) </w:t>
      </w:r>
      <w:r w:rsidRPr="00306ABB">
        <w:rPr>
          <w:color w:val="auto"/>
        </w:rPr>
        <w:t>or equivalent</w:t>
      </w:r>
      <w:r w:rsidR="00E6253D">
        <w:rPr>
          <w:color w:val="auto"/>
        </w:rPr>
        <w:t>,</w:t>
      </w:r>
      <w:r w:rsidRPr="00306ABB">
        <w:rPr>
          <w:color w:val="auto"/>
        </w:rPr>
        <w:t xml:space="preserve"> or the board if the </w:t>
      </w:r>
      <w:r w:rsidR="00C81471">
        <w:rPr>
          <w:color w:val="auto"/>
        </w:rPr>
        <w:t>entity</w:t>
      </w:r>
      <w:r w:rsidRPr="00306ABB">
        <w:rPr>
          <w:color w:val="auto"/>
        </w:rPr>
        <w:t xml:space="preserve"> is a PNFC)</w:t>
      </w:r>
      <w:r w:rsidR="000E13EF">
        <w:rPr>
          <w:color w:val="auto"/>
        </w:rPr>
        <w:t>.</w:t>
      </w:r>
    </w:p>
    <w:p w14:paraId="727B91BB" w14:textId="299FC7EB" w:rsidR="00094154" w:rsidRPr="00CE69F3" w:rsidRDefault="00C81471" w:rsidP="00094154">
      <w:r>
        <w:t>Entities</w:t>
      </w:r>
      <w:r w:rsidR="00094154" w:rsidRPr="00CE69F3">
        <w:t xml:space="preserve"> are </w:t>
      </w:r>
      <w:r w:rsidR="00094154" w:rsidRPr="00086754">
        <w:t>required</w:t>
      </w:r>
      <w:r w:rsidR="00094154" w:rsidRPr="00CE69F3">
        <w:t xml:space="preserve"> to provide the</w:t>
      </w:r>
      <w:r w:rsidR="00094154">
        <w:t xml:space="preserve"> department with the </w:t>
      </w:r>
      <w:r w:rsidR="00094154" w:rsidRPr="00CE69F3">
        <w:t xml:space="preserve">following </w:t>
      </w:r>
      <w:r w:rsidR="00094154">
        <w:t xml:space="preserve">on </w:t>
      </w:r>
      <w:r w:rsidR="00094154" w:rsidRPr="00CE69F3">
        <w:t>an annual basis:</w:t>
      </w:r>
    </w:p>
    <w:p w14:paraId="09929ADD" w14:textId="3D78268C" w:rsidR="00094154" w:rsidRPr="007D22A1" w:rsidRDefault="00094154" w:rsidP="00094154">
      <w:r>
        <w:t xml:space="preserve">a) </w:t>
      </w:r>
      <w:r w:rsidR="006F6864">
        <w:t>A</w:t>
      </w:r>
      <w:r>
        <w:t>n a</w:t>
      </w:r>
      <w:r w:rsidRPr="007D22A1">
        <w:t xml:space="preserve">udited </w:t>
      </w:r>
      <w:r>
        <w:t>a</w:t>
      </w:r>
      <w:r w:rsidRPr="007D22A1">
        <w:t xml:space="preserve">nnual </w:t>
      </w:r>
      <w:r>
        <w:t>r</w:t>
      </w:r>
      <w:r w:rsidRPr="007D22A1">
        <w:t>eport which comprises the financial statements and review of operations:</w:t>
      </w:r>
    </w:p>
    <w:p w14:paraId="584BC15D" w14:textId="2A344E04" w:rsidR="00094154" w:rsidRPr="00306ABB" w:rsidRDefault="00094154" w:rsidP="007B76F0">
      <w:pPr>
        <w:pStyle w:val="ListBullet"/>
        <w:numPr>
          <w:ilvl w:val="0"/>
          <w:numId w:val="16"/>
        </w:numPr>
        <w:rPr>
          <w:color w:val="auto"/>
        </w:rPr>
      </w:pPr>
      <w:r w:rsidRPr="00306ABB">
        <w:rPr>
          <w:color w:val="auto"/>
        </w:rPr>
        <w:t xml:space="preserve">if required under the FMA or enabling legislation, </w:t>
      </w:r>
      <w:r w:rsidR="00C81471">
        <w:rPr>
          <w:color w:val="auto"/>
        </w:rPr>
        <w:t>entities</w:t>
      </w:r>
      <w:r w:rsidRPr="00306ABB">
        <w:rPr>
          <w:color w:val="auto"/>
        </w:rPr>
        <w:t xml:space="preserve"> need to submit their final annual report to the department </w:t>
      </w:r>
      <w:r w:rsidR="00F21E3D">
        <w:rPr>
          <w:color w:val="auto"/>
        </w:rPr>
        <w:t>for</w:t>
      </w:r>
      <w:r w:rsidRPr="00306ABB">
        <w:rPr>
          <w:color w:val="auto"/>
        </w:rPr>
        <w:t xml:space="preserve"> tabling in Parliament through the relevant minister. Prior to finalising the annual report, the </w:t>
      </w:r>
      <w:r w:rsidR="00C81471">
        <w:rPr>
          <w:color w:val="auto"/>
        </w:rPr>
        <w:t>entity</w:t>
      </w:r>
      <w:r w:rsidRPr="00306ABB">
        <w:rPr>
          <w:color w:val="auto"/>
        </w:rPr>
        <w:t xml:space="preserve"> needs to provide the department with the financial statements and draft report of operations for review and consultation</w:t>
      </w:r>
    </w:p>
    <w:p w14:paraId="6D45E5A6" w14:textId="14C6F41F" w:rsidR="00094154" w:rsidRPr="00306ABB" w:rsidRDefault="00094154" w:rsidP="007B76F0">
      <w:pPr>
        <w:pStyle w:val="ListBullet"/>
        <w:numPr>
          <w:ilvl w:val="0"/>
          <w:numId w:val="16"/>
        </w:numPr>
        <w:rPr>
          <w:color w:val="auto"/>
        </w:rPr>
      </w:pPr>
      <w:r w:rsidRPr="00306ABB">
        <w:rPr>
          <w:color w:val="auto"/>
        </w:rPr>
        <w:lastRenderedPageBreak/>
        <w:t xml:space="preserve">the annual report needs to comply with the annual reporting requirements </w:t>
      </w:r>
      <w:r w:rsidR="002A5B7A">
        <w:rPr>
          <w:color w:val="auto"/>
        </w:rPr>
        <w:t>outlined</w:t>
      </w:r>
      <w:r w:rsidRPr="00306ABB">
        <w:rPr>
          <w:color w:val="auto"/>
        </w:rPr>
        <w:t xml:space="preserve"> in Section 45 of the FMA, subordinate reporting directions and other statutory reporting provisions</w:t>
      </w:r>
      <w:r w:rsidR="006F6864">
        <w:rPr>
          <w:color w:val="auto"/>
        </w:rPr>
        <w:t>.</w:t>
      </w:r>
    </w:p>
    <w:p w14:paraId="2D87FB7B" w14:textId="456B98E2" w:rsidR="00094154" w:rsidRPr="00A21259" w:rsidRDefault="00094154" w:rsidP="00094154">
      <w:r>
        <w:t xml:space="preserve">b) </w:t>
      </w:r>
      <w:r w:rsidR="006F6864">
        <w:t>E</w:t>
      </w:r>
      <w:r w:rsidRPr="00A21259">
        <w:t>nd</w:t>
      </w:r>
      <w:r>
        <w:t>-</w:t>
      </w:r>
      <w:r w:rsidRPr="00A21259">
        <w:t>of</w:t>
      </w:r>
      <w:r>
        <w:t>-y</w:t>
      </w:r>
      <w:r w:rsidRPr="00A21259">
        <w:t xml:space="preserve">ear </w:t>
      </w:r>
      <w:r>
        <w:t>r</w:t>
      </w:r>
      <w:r w:rsidRPr="00A21259">
        <w:t xml:space="preserve">eport which comprises: </w:t>
      </w:r>
    </w:p>
    <w:p w14:paraId="54C75FFF" w14:textId="77777777" w:rsidR="00094154" w:rsidRPr="00B25B4A" w:rsidRDefault="00094154" w:rsidP="007B76F0">
      <w:pPr>
        <w:pStyle w:val="ListBullet"/>
        <w:numPr>
          <w:ilvl w:val="0"/>
          <w:numId w:val="17"/>
        </w:numPr>
        <w:rPr>
          <w:color w:val="auto"/>
        </w:rPr>
      </w:pPr>
      <w:r w:rsidRPr="00B25B4A">
        <w:rPr>
          <w:color w:val="auto"/>
        </w:rPr>
        <w:t>periodic financial reporting during the year</w:t>
      </w:r>
    </w:p>
    <w:p w14:paraId="7FBA89F5" w14:textId="3DDCEC53" w:rsidR="00094154" w:rsidRPr="00B25B4A" w:rsidRDefault="00C81471" w:rsidP="007B76F0">
      <w:pPr>
        <w:pStyle w:val="ListBullet"/>
        <w:numPr>
          <w:ilvl w:val="0"/>
          <w:numId w:val="17"/>
        </w:numPr>
        <w:rPr>
          <w:color w:val="auto"/>
        </w:rPr>
      </w:pPr>
      <w:r>
        <w:rPr>
          <w:color w:val="auto"/>
        </w:rPr>
        <w:t>entity</w:t>
      </w:r>
      <w:r w:rsidR="00094154" w:rsidRPr="00B25B4A">
        <w:rPr>
          <w:color w:val="auto"/>
        </w:rPr>
        <w:t>’s achievements against budget and the previous year</w:t>
      </w:r>
    </w:p>
    <w:p w14:paraId="324B716B" w14:textId="3A607926" w:rsidR="00094154" w:rsidRPr="00B25B4A" w:rsidRDefault="00094154" w:rsidP="007B76F0">
      <w:pPr>
        <w:pStyle w:val="ListBullet"/>
        <w:numPr>
          <w:ilvl w:val="0"/>
          <w:numId w:val="17"/>
        </w:numPr>
        <w:rPr>
          <w:color w:val="auto"/>
        </w:rPr>
      </w:pPr>
      <w:r w:rsidRPr="00B25B4A">
        <w:rPr>
          <w:color w:val="auto"/>
        </w:rPr>
        <w:t>the calculation of the following five metrics:</w:t>
      </w:r>
    </w:p>
    <w:p w14:paraId="59EAB29D" w14:textId="6780C9CB" w:rsidR="00A40351" w:rsidRDefault="00A40351" w:rsidP="002B4645">
      <w:pPr>
        <w:pStyle w:val="ListBullet"/>
        <w:numPr>
          <w:ilvl w:val="0"/>
          <w:numId w:val="17"/>
        </w:numPr>
        <w:ind w:left="1080"/>
        <w:rPr>
          <w:color w:val="auto"/>
        </w:rPr>
      </w:pPr>
      <w:r>
        <w:rPr>
          <w:color w:val="auto"/>
        </w:rPr>
        <w:t>liquidity</w:t>
      </w:r>
    </w:p>
    <w:p w14:paraId="134AE1A0" w14:textId="57EA7DD8" w:rsidR="00094154" w:rsidRPr="00B25B4A" w:rsidRDefault="00094154" w:rsidP="002B4645">
      <w:pPr>
        <w:pStyle w:val="ListBullet"/>
        <w:numPr>
          <w:ilvl w:val="0"/>
          <w:numId w:val="17"/>
        </w:numPr>
        <w:ind w:left="1080"/>
        <w:rPr>
          <w:color w:val="auto"/>
        </w:rPr>
      </w:pPr>
      <w:r w:rsidRPr="00B25B4A">
        <w:rPr>
          <w:color w:val="auto"/>
        </w:rPr>
        <w:t>working capital</w:t>
      </w:r>
    </w:p>
    <w:p w14:paraId="3ABE831A" w14:textId="77777777" w:rsidR="00094154" w:rsidRPr="00B25B4A" w:rsidRDefault="00094154" w:rsidP="002B4645">
      <w:pPr>
        <w:pStyle w:val="ListBullet"/>
        <w:numPr>
          <w:ilvl w:val="0"/>
          <w:numId w:val="17"/>
        </w:numPr>
        <w:ind w:left="1080"/>
        <w:rPr>
          <w:color w:val="auto"/>
        </w:rPr>
      </w:pPr>
      <w:r w:rsidRPr="00B25B4A">
        <w:rPr>
          <w:color w:val="auto"/>
        </w:rPr>
        <w:t>capex replacement</w:t>
      </w:r>
    </w:p>
    <w:p w14:paraId="39B85D54" w14:textId="77777777" w:rsidR="00094154" w:rsidRPr="00B25B4A" w:rsidRDefault="00094154" w:rsidP="002B4645">
      <w:pPr>
        <w:pStyle w:val="ListBullet"/>
        <w:numPr>
          <w:ilvl w:val="0"/>
          <w:numId w:val="17"/>
        </w:numPr>
        <w:ind w:left="1080"/>
        <w:rPr>
          <w:color w:val="auto"/>
        </w:rPr>
      </w:pPr>
      <w:r w:rsidRPr="00B25B4A">
        <w:rPr>
          <w:color w:val="auto"/>
        </w:rPr>
        <w:t>revenue growth</w:t>
      </w:r>
    </w:p>
    <w:p w14:paraId="70E13408" w14:textId="5EE450C5" w:rsidR="00094154" w:rsidRPr="00B25B4A" w:rsidRDefault="00094154" w:rsidP="002B4645">
      <w:pPr>
        <w:pStyle w:val="ListBullet"/>
        <w:numPr>
          <w:ilvl w:val="0"/>
          <w:numId w:val="18"/>
        </w:numPr>
        <w:ind w:left="1080"/>
        <w:rPr>
          <w:color w:val="auto"/>
        </w:rPr>
      </w:pPr>
      <w:r w:rsidRPr="00B25B4A">
        <w:rPr>
          <w:color w:val="auto"/>
        </w:rPr>
        <w:t>labour growth</w:t>
      </w:r>
      <w:r w:rsidR="006F6864">
        <w:rPr>
          <w:color w:val="auto"/>
        </w:rPr>
        <w:t>.</w:t>
      </w:r>
    </w:p>
    <w:p w14:paraId="0A9612EB" w14:textId="77777777" w:rsidR="00094154" w:rsidRDefault="00094154" w:rsidP="00094154">
      <w:r w:rsidRPr="00A21259">
        <w:t xml:space="preserve">Periodical financial reporting will </w:t>
      </w:r>
      <w:r>
        <w:t xml:space="preserve">include </w:t>
      </w:r>
      <w:r w:rsidRPr="00A21259">
        <w:t xml:space="preserve">capital expenditure (both at an aggregate </w:t>
      </w:r>
      <w:r>
        <w:t xml:space="preserve">level </w:t>
      </w:r>
      <w:r w:rsidRPr="00A21259">
        <w:t>and for key initiatives) and key financial and non-financial risks (current and emerging).</w:t>
      </w:r>
    </w:p>
    <w:p w14:paraId="3A606629" w14:textId="5F6305EA" w:rsidR="00094154" w:rsidRPr="00B25B4A" w:rsidRDefault="00C81471" w:rsidP="00193AD9">
      <w:pPr>
        <w:pStyle w:val="ListBullet"/>
        <w:numPr>
          <w:ilvl w:val="0"/>
          <w:numId w:val="0"/>
        </w:numPr>
        <w:rPr>
          <w:color w:val="auto"/>
        </w:rPr>
      </w:pPr>
      <w:r>
        <w:rPr>
          <w:color w:val="auto"/>
        </w:rPr>
        <w:t>Entities</w:t>
      </w:r>
      <w:r w:rsidR="00094154" w:rsidRPr="00B25B4A">
        <w:rPr>
          <w:color w:val="auto"/>
        </w:rPr>
        <w:t xml:space="preserve"> need to submit periodic reporting by the following dates after period end:</w:t>
      </w:r>
    </w:p>
    <w:p w14:paraId="1F3C13DB" w14:textId="77777777" w:rsidR="00094154" w:rsidRPr="00B25B4A" w:rsidRDefault="00094154" w:rsidP="007B76F0">
      <w:pPr>
        <w:pStyle w:val="ListBullet"/>
        <w:numPr>
          <w:ilvl w:val="0"/>
          <w:numId w:val="19"/>
        </w:numPr>
        <w:rPr>
          <w:color w:val="auto"/>
        </w:rPr>
      </w:pPr>
      <w:r w:rsidRPr="00B25B4A">
        <w:rPr>
          <w:color w:val="auto"/>
        </w:rPr>
        <w:t>If monthly reporting – in line with current departmental timeframes after month end</w:t>
      </w:r>
    </w:p>
    <w:p w14:paraId="5ED26DAE" w14:textId="77777777" w:rsidR="00094154" w:rsidRPr="00B25B4A" w:rsidRDefault="00094154" w:rsidP="007B76F0">
      <w:pPr>
        <w:pStyle w:val="ListBullet"/>
        <w:numPr>
          <w:ilvl w:val="0"/>
          <w:numId w:val="19"/>
        </w:numPr>
        <w:rPr>
          <w:color w:val="auto"/>
        </w:rPr>
      </w:pPr>
      <w:r w:rsidRPr="00B25B4A">
        <w:rPr>
          <w:color w:val="auto"/>
        </w:rPr>
        <w:t>If quarterly reporting – in line with current departmental timeframes after quarter end</w:t>
      </w:r>
    </w:p>
    <w:p w14:paraId="49C6A419" w14:textId="77777777" w:rsidR="00094154" w:rsidRPr="00B25B4A" w:rsidRDefault="00094154" w:rsidP="007B76F0">
      <w:pPr>
        <w:pStyle w:val="ListBullet"/>
        <w:numPr>
          <w:ilvl w:val="0"/>
          <w:numId w:val="19"/>
        </w:numPr>
        <w:rPr>
          <w:color w:val="auto"/>
        </w:rPr>
      </w:pPr>
      <w:r w:rsidRPr="00B25B4A">
        <w:rPr>
          <w:color w:val="auto"/>
        </w:rPr>
        <w:t>If bi-annual reporting – in line with current departmental timeframes after the half year end</w:t>
      </w:r>
    </w:p>
    <w:p w14:paraId="64921E88" w14:textId="45372D3D" w:rsidR="00094154" w:rsidRPr="00B25B4A" w:rsidRDefault="00094154" w:rsidP="007B76F0">
      <w:pPr>
        <w:pStyle w:val="ListBullet"/>
        <w:numPr>
          <w:ilvl w:val="0"/>
          <w:numId w:val="19"/>
        </w:numPr>
        <w:rPr>
          <w:color w:val="auto"/>
        </w:rPr>
      </w:pPr>
      <w:r w:rsidRPr="00B25B4A">
        <w:rPr>
          <w:color w:val="auto"/>
        </w:rPr>
        <w:t>If annual reporting – in line with current department timeframes after year end</w:t>
      </w:r>
      <w:r w:rsidR="00520BC0">
        <w:rPr>
          <w:color w:val="auto"/>
        </w:rPr>
        <w:t>.</w:t>
      </w:r>
    </w:p>
    <w:p w14:paraId="54AC240D" w14:textId="4E90C1BB" w:rsidR="00094154" w:rsidRPr="007D22A1" w:rsidRDefault="00094154" w:rsidP="00C12EE7">
      <w:r w:rsidRPr="00A21259">
        <w:t xml:space="preserve">The last periodic report for a financial year will be replaced with an </w:t>
      </w:r>
      <w:r>
        <w:t>e</w:t>
      </w:r>
      <w:r w:rsidRPr="00A21259">
        <w:t>nd</w:t>
      </w:r>
      <w:r w:rsidR="00F66335" w:rsidRPr="00A21259">
        <w:t>-</w:t>
      </w:r>
      <w:r w:rsidRPr="00A21259">
        <w:t>of</w:t>
      </w:r>
      <w:r w:rsidR="00F66335" w:rsidRPr="00A21259">
        <w:t>-</w:t>
      </w:r>
      <w:r>
        <w:t>y</w:t>
      </w:r>
      <w:r w:rsidRPr="00A21259">
        <w:t>ear report</w:t>
      </w:r>
      <w:r w:rsidR="2BEDAD1D">
        <w:t xml:space="preserve"> including a copy of </w:t>
      </w:r>
      <w:r w:rsidR="00C52B3B">
        <w:t xml:space="preserve">the </w:t>
      </w:r>
      <w:r w:rsidR="2BEDAD1D">
        <w:t>signed annual attestation statement against the requirements of the</w:t>
      </w:r>
      <w:r w:rsidR="00E637AA">
        <w:t xml:space="preserve"> FMA</w:t>
      </w:r>
      <w:r w:rsidR="00CA7BF0">
        <w:t>.</w:t>
      </w:r>
    </w:p>
    <w:p w14:paraId="5D51B5B6" w14:textId="6E43E876" w:rsidR="00B23C3B" w:rsidRPr="001D3EEC" w:rsidRDefault="00B23C3B" w:rsidP="001767E2">
      <w:pPr>
        <w:pStyle w:val="Heading3"/>
        <w:ind w:left="567" w:hanging="567"/>
      </w:pPr>
      <w:bookmarkStart w:id="37" w:name="_Toc39481522"/>
      <w:bookmarkStart w:id="38" w:name="_Toc194930381"/>
      <w:r>
        <w:t>5.3.4</w:t>
      </w:r>
      <w:r>
        <w:tab/>
      </w:r>
      <w:r w:rsidRPr="00DB0A1B">
        <w:t>Compliance with DTF’s Asset Management and Accountability Framework</w:t>
      </w:r>
      <w:r>
        <w:t xml:space="preserve"> (AMAF)</w:t>
      </w:r>
      <w:r w:rsidRPr="00DB0A1B">
        <w:t xml:space="preserve"> and related attestation requirements</w:t>
      </w:r>
      <w:bookmarkEnd w:id="37"/>
      <w:bookmarkEnd w:id="38"/>
    </w:p>
    <w:p w14:paraId="6780BDCC" w14:textId="4CAF8C19" w:rsidR="00DE0601" w:rsidRDefault="0096539F" w:rsidP="00A708DA">
      <w:r>
        <w:t>Entities utili</w:t>
      </w:r>
      <w:r w:rsidR="009A5870">
        <w:t>s</w:t>
      </w:r>
      <w:r>
        <w:t>e assets to deliver services to Victorians.</w:t>
      </w:r>
      <w:r w:rsidR="00921E70" w:rsidRPr="00921E70">
        <w:t xml:space="preserve"> The </w:t>
      </w:r>
      <w:hyperlink r:id="rId33" w:history="1">
        <w:r w:rsidR="00921E70" w:rsidRPr="003E31AE">
          <w:rPr>
            <w:rStyle w:val="Hyperlink"/>
          </w:rPr>
          <w:t>AMAF</w:t>
        </w:r>
      </w:hyperlink>
      <w:r w:rsidR="00921E70" w:rsidRPr="00921E70">
        <w:t xml:space="preserve"> has a strong focus on continuously improving asset management</w:t>
      </w:r>
      <w:r w:rsidRPr="00940DEA">
        <w:t xml:space="preserve"> </w:t>
      </w:r>
      <w:r w:rsidR="00E36343">
        <w:t>and</w:t>
      </w:r>
      <w:r w:rsidR="00E36343" w:rsidRPr="00E36343">
        <w:t xml:space="preserve"> aims to support </w:t>
      </w:r>
      <w:r w:rsidR="00E36343">
        <w:t>entities</w:t>
      </w:r>
      <w:r w:rsidR="00E36343" w:rsidRPr="00E36343">
        <w:t xml:space="preserve"> to implement effective asset management systems</w:t>
      </w:r>
      <w:r w:rsidR="001B5295">
        <w:t>, processes</w:t>
      </w:r>
      <w:r w:rsidR="00E36343" w:rsidRPr="00E36343">
        <w:t xml:space="preserve"> and be accountable for their assets. </w:t>
      </w:r>
    </w:p>
    <w:p w14:paraId="3FB14870" w14:textId="4548A5C6" w:rsidR="001B5295" w:rsidRDefault="001B5295" w:rsidP="00A708DA">
      <w:r w:rsidRPr="001B5295">
        <w:t xml:space="preserve">The AMAF details mandatory asset management requirements as well as general guidance for </w:t>
      </w:r>
      <w:r w:rsidR="00AE4A21">
        <w:t>entities</w:t>
      </w:r>
      <w:r w:rsidRPr="001B5295">
        <w:t xml:space="preserve"> responsible for managing </w:t>
      </w:r>
      <w:r w:rsidR="00A804B6">
        <w:t xml:space="preserve">and overseeing </w:t>
      </w:r>
      <w:r w:rsidR="003529DC">
        <w:t xml:space="preserve">assets </w:t>
      </w:r>
      <w:r w:rsidR="00170D4B">
        <w:t>(through</w:t>
      </w:r>
      <w:r w:rsidR="00A804B6">
        <w:t xml:space="preserve"> devolved accountability)</w:t>
      </w:r>
      <w:r w:rsidRPr="001B5295">
        <w:t xml:space="preserve">. Mandatory requirements include developing asset management strategies, governance frameworks, performance standards and processes to regularly monitor </w:t>
      </w:r>
      <w:r w:rsidR="00170D4B">
        <w:t>asset performance</w:t>
      </w:r>
      <w:r w:rsidRPr="001B5295">
        <w:t xml:space="preserve"> and improve asset management. The requirements also include establishing systems and processes for identifying and addressing performance failures.</w:t>
      </w:r>
      <w:r w:rsidR="0066598D">
        <w:t xml:space="preserve"> Leadership and accountability </w:t>
      </w:r>
      <w:r w:rsidR="001A3681">
        <w:t>form</w:t>
      </w:r>
      <w:r w:rsidR="0066598D">
        <w:t xml:space="preserve"> an integral part of AMAF.</w:t>
      </w:r>
    </w:p>
    <w:p w14:paraId="658AAE99" w14:textId="5C2D25E9" w:rsidR="00FB5019" w:rsidRDefault="009962CD" w:rsidP="00EC3FD6">
      <w:r>
        <w:t>AMAF is mandated through Standing</w:t>
      </w:r>
      <w:r w:rsidR="00102797">
        <w:t xml:space="preserve"> </w:t>
      </w:r>
      <w:r w:rsidR="005B677E">
        <w:t>D</w:t>
      </w:r>
      <w:r w:rsidR="00FC2ED2">
        <w:t>irections</w:t>
      </w:r>
      <w:r w:rsidR="00AA17FC">
        <w:t>, requiring</w:t>
      </w:r>
      <w:r w:rsidRPr="004B3A46">
        <w:t xml:space="preserve"> </w:t>
      </w:r>
      <w:r>
        <w:t>entities</w:t>
      </w:r>
      <w:r w:rsidRPr="004B3A46">
        <w:t xml:space="preserve"> to </w:t>
      </w:r>
      <w:r>
        <w:t>assess</w:t>
      </w:r>
      <w:r w:rsidR="00FB5019">
        <w:t xml:space="preserve"> annual</w:t>
      </w:r>
      <w:r w:rsidRPr="004B3A46">
        <w:t xml:space="preserve"> compliance against the mandatory requirements</w:t>
      </w:r>
      <w:r>
        <w:t>.</w:t>
      </w:r>
    </w:p>
    <w:p w14:paraId="02048A21" w14:textId="0CAC010A" w:rsidR="00EC3FD6" w:rsidRDefault="00055583" w:rsidP="00EC3FD6">
      <w:r>
        <w:t xml:space="preserve">For entities with their own board, the </w:t>
      </w:r>
      <w:r w:rsidR="003A134D">
        <w:t>a</w:t>
      </w:r>
      <w:r>
        <w:t xml:space="preserve">ccountable </w:t>
      </w:r>
      <w:r w:rsidR="003A134D">
        <w:t>o</w:t>
      </w:r>
      <w:r>
        <w:t xml:space="preserve">fficer (usually the </w:t>
      </w:r>
      <w:r w:rsidR="006F29FB">
        <w:t>e</w:t>
      </w:r>
      <w:r>
        <w:t xml:space="preserve">ntity CEO) is required to provide assurance to the </w:t>
      </w:r>
      <w:r w:rsidR="00C10F18">
        <w:t>c</w:t>
      </w:r>
      <w:r>
        <w:t xml:space="preserve">hair of that board (the </w:t>
      </w:r>
      <w:r w:rsidR="00C10F18">
        <w:t>r</w:t>
      </w:r>
      <w:r>
        <w:t xml:space="preserve">esponsible </w:t>
      </w:r>
      <w:r w:rsidR="00C10F18">
        <w:t>b</w:t>
      </w:r>
      <w:r>
        <w:t xml:space="preserve">ody) that the entity complies with the requirements of the AMAF. </w:t>
      </w:r>
      <w:r w:rsidR="00EC3FD6">
        <w:t xml:space="preserve">The </w:t>
      </w:r>
      <w:r w:rsidR="00C10F18">
        <w:t>r</w:t>
      </w:r>
      <w:r w:rsidR="00EC3FD6" w:rsidRPr="00741155">
        <w:t xml:space="preserve">esponsible </w:t>
      </w:r>
      <w:r w:rsidR="00C10F18">
        <w:t>b</w:t>
      </w:r>
      <w:r w:rsidR="00EC3FD6" w:rsidRPr="00741155">
        <w:t>odies</w:t>
      </w:r>
      <w:r w:rsidR="00EC3FD6">
        <w:t xml:space="preserve"> </w:t>
      </w:r>
      <w:r w:rsidR="00EC3FD6" w:rsidRPr="00741155">
        <w:t>must, at least every three years</w:t>
      </w:r>
      <w:r w:rsidR="00EC3FD6">
        <w:t xml:space="preserve"> from 2020-21</w:t>
      </w:r>
      <w:r w:rsidR="00EC3FD6" w:rsidRPr="00741155">
        <w:t xml:space="preserve">, conduct a self-assessment of the level of asset management maturity within their </w:t>
      </w:r>
      <w:r w:rsidR="00EC3FD6">
        <w:t xml:space="preserve">entity </w:t>
      </w:r>
      <w:r w:rsidR="00EC3FD6" w:rsidRPr="00741155">
        <w:t>and state this in their annual repor</w:t>
      </w:r>
      <w:r w:rsidR="00EC3FD6">
        <w:t>t.</w:t>
      </w:r>
    </w:p>
    <w:p w14:paraId="49D6F283" w14:textId="0405BC61" w:rsidR="00E115C5" w:rsidRPr="00A21259" w:rsidRDefault="00E115C5" w:rsidP="00E115C5">
      <w:pPr>
        <w:pStyle w:val="Heading2"/>
      </w:pPr>
      <w:bookmarkStart w:id="39" w:name="_Toc39481523"/>
      <w:bookmarkStart w:id="40" w:name="_Toc194930382"/>
      <w:r>
        <w:t>5.4</w:t>
      </w:r>
      <w:r>
        <w:tab/>
        <w:t xml:space="preserve">Risk </w:t>
      </w:r>
      <w:r w:rsidR="004F0627">
        <w:t>M</w:t>
      </w:r>
      <w:r>
        <w:t>anagement</w:t>
      </w:r>
      <w:bookmarkEnd w:id="39"/>
      <w:r>
        <w:t xml:space="preserve"> </w:t>
      </w:r>
      <w:r w:rsidR="002B396D">
        <w:t xml:space="preserve">and </w:t>
      </w:r>
      <w:r w:rsidR="004F0627">
        <w:t>A</w:t>
      </w:r>
      <w:r w:rsidR="002B396D">
        <w:t>ssurance</w:t>
      </w:r>
      <w:bookmarkEnd w:id="40"/>
    </w:p>
    <w:p w14:paraId="4FC9314A" w14:textId="19CDDC1A" w:rsidR="00917C7A" w:rsidRPr="00193AD9" w:rsidRDefault="00917C7A" w:rsidP="00917C7A">
      <w:pPr>
        <w:spacing w:after="120" w:line="240" w:lineRule="auto"/>
        <w:rPr>
          <w:rFonts w:asciiTheme="minorHAnsi" w:hAnsiTheme="minorHAnsi" w:cstheme="minorHAnsi"/>
        </w:rPr>
      </w:pPr>
      <w:r w:rsidRPr="00193AD9">
        <w:rPr>
          <w:rFonts w:asciiTheme="minorHAnsi" w:hAnsiTheme="minorHAnsi" w:cstheme="minorHAnsi"/>
        </w:rPr>
        <w:t xml:space="preserve">Risk management and assurance activities are essential components of good corporate governance for all </w:t>
      </w:r>
      <w:r w:rsidR="0029253F" w:rsidRPr="00193AD9">
        <w:rPr>
          <w:rFonts w:asciiTheme="minorHAnsi" w:hAnsiTheme="minorHAnsi" w:cstheme="minorHAnsi"/>
        </w:rPr>
        <w:t>p</w:t>
      </w:r>
      <w:r w:rsidRPr="00193AD9">
        <w:rPr>
          <w:rFonts w:asciiTheme="minorHAnsi" w:hAnsiTheme="minorHAnsi" w:cstheme="minorHAnsi"/>
        </w:rPr>
        <w:t>ortfolio entities.</w:t>
      </w:r>
    </w:p>
    <w:p w14:paraId="4A6FB668" w14:textId="3496BC3A" w:rsidR="003F5369" w:rsidRDefault="003F5369" w:rsidP="003F5369">
      <w:pPr>
        <w:pStyle w:val="Heading3"/>
      </w:pPr>
      <w:bookmarkStart w:id="41" w:name="_Toc194930383"/>
      <w:bookmarkStart w:id="42" w:name="_Toc39481524"/>
      <w:r>
        <w:t>5.4.1</w:t>
      </w:r>
      <w:r w:rsidR="00EA0DD7">
        <w:tab/>
      </w:r>
      <w:r>
        <w:t>Risk management</w:t>
      </w:r>
      <w:bookmarkEnd w:id="41"/>
      <w:r>
        <w:t xml:space="preserve"> </w:t>
      </w:r>
      <w:bookmarkEnd w:id="42"/>
    </w:p>
    <w:p w14:paraId="560A4F78" w14:textId="5B52DFB4" w:rsidR="002B750E" w:rsidRPr="00193AD9" w:rsidRDefault="002B750E" w:rsidP="002B750E">
      <w:pPr>
        <w:spacing w:after="120" w:line="240" w:lineRule="auto"/>
        <w:rPr>
          <w:rFonts w:asciiTheme="minorHAnsi" w:hAnsiTheme="minorHAnsi" w:cstheme="minorHAnsi"/>
        </w:rPr>
      </w:pPr>
      <w:r w:rsidRPr="00193AD9">
        <w:rPr>
          <w:rFonts w:asciiTheme="minorHAnsi" w:hAnsiTheme="minorHAnsi" w:cstheme="minorHAnsi"/>
        </w:rPr>
        <w:t>The</w:t>
      </w:r>
      <w:r w:rsidR="00103E11">
        <w:rPr>
          <w:rFonts w:asciiTheme="minorHAnsi" w:hAnsiTheme="minorHAnsi" w:cstheme="minorHAnsi"/>
        </w:rPr>
        <w:t xml:space="preserve"> PAA and FMA</w:t>
      </w:r>
      <w:r w:rsidRPr="00193AD9">
        <w:rPr>
          <w:rFonts w:asciiTheme="minorHAnsi" w:hAnsiTheme="minorHAnsi" w:cstheme="minorHAnsi"/>
        </w:rPr>
        <w:t xml:space="preserve"> require portfolio entities to have effective and accountable risk management systems and strategies in place.</w:t>
      </w:r>
    </w:p>
    <w:p w14:paraId="64979D69" w14:textId="155CD7E2" w:rsidR="002B750E" w:rsidRPr="00193AD9" w:rsidRDefault="002B750E" w:rsidP="002B750E">
      <w:pPr>
        <w:spacing w:after="120" w:line="240" w:lineRule="auto"/>
        <w:rPr>
          <w:rFonts w:asciiTheme="minorHAnsi" w:hAnsiTheme="minorHAnsi" w:cstheme="minorHAnsi"/>
        </w:rPr>
      </w:pPr>
      <w:r w:rsidRPr="00193AD9">
        <w:rPr>
          <w:rFonts w:asciiTheme="minorHAnsi" w:hAnsiTheme="minorHAnsi" w:cstheme="minorHAnsi"/>
        </w:rPr>
        <w:t xml:space="preserve">Management and the board are responsible for their organisation’s governance, risk management and control processes. Internal auditors assist both management and </w:t>
      </w:r>
      <w:r w:rsidR="00847401" w:rsidRPr="00193AD9">
        <w:rPr>
          <w:rFonts w:asciiTheme="minorHAnsi" w:hAnsiTheme="minorHAnsi" w:cstheme="minorHAnsi"/>
        </w:rPr>
        <w:t xml:space="preserve">the </w:t>
      </w:r>
      <w:r w:rsidRPr="00193AD9">
        <w:rPr>
          <w:rFonts w:asciiTheme="minorHAnsi" w:hAnsiTheme="minorHAnsi" w:cstheme="minorHAnsi"/>
        </w:rPr>
        <w:t xml:space="preserve">risk/audit committee by examining, evaluating, reporting, and recommending improvements on the adequacy, </w:t>
      </w:r>
      <w:r w:rsidR="006F7ACD" w:rsidRPr="00193AD9">
        <w:rPr>
          <w:rFonts w:asciiTheme="minorHAnsi" w:hAnsiTheme="minorHAnsi" w:cstheme="minorHAnsi"/>
        </w:rPr>
        <w:t>efficiency</w:t>
      </w:r>
      <w:r w:rsidRPr="00193AD9">
        <w:rPr>
          <w:rFonts w:asciiTheme="minorHAnsi" w:hAnsiTheme="minorHAnsi" w:cstheme="minorHAnsi"/>
        </w:rPr>
        <w:t>, and effectiveness of these processes.</w:t>
      </w:r>
    </w:p>
    <w:p w14:paraId="277EB7C9" w14:textId="1CF469CC" w:rsidR="002B750E" w:rsidRPr="00193AD9" w:rsidRDefault="002B750E" w:rsidP="002B750E">
      <w:pPr>
        <w:spacing w:after="120" w:line="240" w:lineRule="auto"/>
        <w:rPr>
          <w:rFonts w:asciiTheme="minorHAnsi" w:hAnsiTheme="minorHAnsi" w:cstheme="minorHAnsi"/>
        </w:rPr>
      </w:pPr>
      <w:r w:rsidRPr="00193AD9">
        <w:rPr>
          <w:rFonts w:asciiTheme="minorHAnsi" w:hAnsiTheme="minorHAnsi" w:cstheme="minorHAnsi"/>
        </w:rPr>
        <w:t xml:space="preserve">All </w:t>
      </w:r>
      <w:r w:rsidR="006F7ACD" w:rsidRPr="00193AD9">
        <w:rPr>
          <w:rFonts w:asciiTheme="minorHAnsi" w:hAnsiTheme="minorHAnsi" w:cstheme="minorHAnsi"/>
        </w:rPr>
        <w:t>p</w:t>
      </w:r>
      <w:r w:rsidRPr="00193AD9">
        <w:rPr>
          <w:rFonts w:asciiTheme="minorHAnsi" w:hAnsiTheme="minorHAnsi" w:cstheme="minorHAnsi"/>
        </w:rPr>
        <w:t xml:space="preserve">ortfolio </w:t>
      </w:r>
      <w:r w:rsidR="006F7ACD" w:rsidRPr="00193AD9">
        <w:rPr>
          <w:rFonts w:asciiTheme="minorHAnsi" w:hAnsiTheme="minorHAnsi" w:cstheme="minorHAnsi"/>
        </w:rPr>
        <w:t>entities</w:t>
      </w:r>
      <w:r w:rsidRPr="00193AD9">
        <w:rPr>
          <w:rFonts w:asciiTheme="minorHAnsi" w:hAnsiTheme="minorHAnsi" w:cstheme="minorHAnsi"/>
        </w:rPr>
        <w:t xml:space="preserve"> must have risk management frameworks that are consistent with </w:t>
      </w:r>
      <w:r w:rsidRPr="00193AD9">
        <w:rPr>
          <w:rFonts w:asciiTheme="minorHAnsi" w:hAnsiTheme="minorHAnsi" w:cstheme="minorHAnsi"/>
          <w:i/>
          <w:iCs/>
        </w:rPr>
        <w:t>AS ISO 31000:2018 Risk Management – Guidelines</w:t>
      </w:r>
      <w:r w:rsidR="001B1BE3" w:rsidRPr="00193AD9">
        <w:rPr>
          <w:rFonts w:asciiTheme="minorHAnsi" w:hAnsiTheme="minorHAnsi" w:cstheme="minorHAnsi"/>
          <w:i/>
          <w:iCs/>
        </w:rPr>
        <w:t>.</w:t>
      </w:r>
      <w:r w:rsidR="000158E8" w:rsidRPr="00193AD9">
        <w:rPr>
          <w:rFonts w:asciiTheme="minorHAnsi" w:hAnsiTheme="minorHAnsi" w:cstheme="minorHAnsi"/>
          <w:i/>
          <w:iCs/>
        </w:rPr>
        <w:t xml:space="preserve"> </w:t>
      </w:r>
      <w:r w:rsidRPr="00193AD9">
        <w:rPr>
          <w:rFonts w:asciiTheme="minorHAnsi" w:hAnsiTheme="minorHAnsi" w:cstheme="minorHAnsi"/>
        </w:rPr>
        <w:t>They can consist of the following components:</w:t>
      </w:r>
    </w:p>
    <w:p w14:paraId="435D7069" w14:textId="663DE06C" w:rsidR="002B750E" w:rsidRPr="00193AD9" w:rsidRDefault="002B750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A risk management policy and plan that integrates with corporate planning</w:t>
      </w:r>
    </w:p>
    <w:p w14:paraId="72AE568A" w14:textId="6ED76FE4" w:rsidR="002B750E" w:rsidRPr="00193AD9" w:rsidRDefault="002B750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eastAsia="Arial" w:hAnsiTheme="minorHAnsi" w:cstheme="minorHAnsi"/>
          <w:color w:val="000000"/>
          <w:sz w:val="18"/>
          <w:szCs w:val="18"/>
        </w:rPr>
        <w:t>R</w:t>
      </w:r>
      <w:r w:rsidRPr="00193AD9">
        <w:rPr>
          <w:rFonts w:asciiTheme="minorHAnsi" w:hAnsiTheme="minorHAnsi" w:cstheme="minorHAnsi"/>
          <w:color w:val="000000"/>
          <w:sz w:val="18"/>
          <w:szCs w:val="18"/>
        </w:rPr>
        <w:t>isk registers and profiles</w:t>
      </w:r>
    </w:p>
    <w:p w14:paraId="563DBEA8" w14:textId="061EC066" w:rsidR="003D2E2D" w:rsidRPr="003F2C41" w:rsidRDefault="002B750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eastAsia="Arial" w:hAnsiTheme="minorHAnsi" w:cstheme="minorHAnsi"/>
          <w:color w:val="000000"/>
          <w:sz w:val="18"/>
          <w:szCs w:val="18"/>
        </w:rPr>
        <w:t>B</w:t>
      </w:r>
      <w:r w:rsidRPr="00193AD9">
        <w:rPr>
          <w:rFonts w:asciiTheme="minorHAnsi" w:hAnsiTheme="minorHAnsi" w:cstheme="minorHAnsi"/>
          <w:color w:val="000000"/>
          <w:sz w:val="18"/>
          <w:szCs w:val="18"/>
        </w:rPr>
        <w:t>usiness continuity and emergency management plans</w:t>
      </w:r>
      <w:r w:rsidR="00972601">
        <w:rPr>
          <w:rFonts w:asciiTheme="minorHAnsi" w:hAnsiTheme="minorHAnsi" w:cstheme="minorHAnsi"/>
          <w:color w:val="000000"/>
          <w:sz w:val="18"/>
          <w:szCs w:val="18"/>
        </w:rPr>
        <w:t xml:space="preserve">, which should include </w:t>
      </w:r>
      <w:r w:rsidR="00F969B5">
        <w:rPr>
          <w:rFonts w:asciiTheme="minorHAnsi" w:hAnsiTheme="minorHAnsi" w:cstheme="minorHAnsi"/>
          <w:color w:val="000000"/>
          <w:sz w:val="18"/>
          <w:szCs w:val="18"/>
        </w:rPr>
        <w:t>i</w:t>
      </w:r>
      <w:r w:rsidR="003D2E2D" w:rsidRPr="00CA0071">
        <w:rPr>
          <w:rFonts w:asciiTheme="minorHAnsi" w:hAnsiTheme="minorHAnsi" w:cstheme="minorHAnsi"/>
          <w:color w:val="000000"/>
          <w:sz w:val="18"/>
          <w:szCs w:val="18"/>
        </w:rPr>
        <w:t>ncident response, notification and escalation plans</w:t>
      </w:r>
    </w:p>
    <w:p w14:paraId="6021F5A5" w14:textId="64C7CDC3" w:rsidR="002B750E" w:rsidRPr="00193AD9" w:rsidRDefault="002B750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Information security and cybersecurity plans</w:t>
      </w:r>
    </w:p>
    <w:p w14:paraId="11D99635" w14:textId="602DA155" w:rsidR="002B750E" w:rsidRPr="00193AD9" w:rsidRDefault="002B750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eastAsia="Arial" w:hAnsiTheme="minorHAnsi" w:cstheme="minorHAnsi"/>
          <w:color w:val="000000"/>
          <w:sz w:val="18"/>
          <w:szCs w:val="18"/>
        </w:rPr>
        <w:t>C</w:t>
      </w:r>
      <w:r w:rsidRPr="00193AD9">
        <w:rPr>
          <w:rFonts w:asciiTheme="minorHAnsi" w:hAnsiTheme="minorHAnsi" w:cstheme="minorHAnsi"/>
          <w:color w:val="000000"/>
          <w:sz w:val="18"/>
          <w:szCs w:val="18"/>
        </w:rPr>
        <w:t>ompliance and quality systems</w:t>
      </w:r>
    </w:p>
    <w:p w14:paraId="63642BDE" w14:textId="51931E82" w:rsidR="002B750E" w:rsidRPr="00193AD9" w:rsidRDefault="002B750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eastAsia="Arial" w:hAnsiTheme="minorHAnsi" w:cstheme="minorHAnsi"/>
          <w:color w:val="000000"/>
          <w:sz w:val="18"/>
          <w:szCs w:val="18"/>
        </w:rPr>
        <w:t>A</w:t>
      </w:r>
      <w:r w:rsidRPr="00193AD9">
        <w:rPr>
          <w:rFonts w:asciiTheme="minorHAnsi" w:hAnsiTheme="minorHAnsi" w:cstheme="minorHAnsi"/>
          <w:color w:val="000000"/>
          <w:sz w:val="18"/>
          <w:szCs w:val="18"/>
        </w:rPr>
        <w:t xml:space="preserve"> fraud and corruption control plan</w:t>
      </w:r>
    </w:p>
    <w:p w14:paraId="14F3E1D5" w14:textId="140638E5" w:rsidR="002B750E" w:rsidRPr="00193AD9" w:rsidRDefault="002B750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Tools, templates, and training</w:t>
      </w:r>
    </w:p>
    <w:p w14:paraId="6B2B575B" w14:textId="678B6736" w:rsidR="002B750E" w:rsidRPr="00193AD9" w:rsidRDefault="002B750E" w:rsidP="002B750E">
      <w:pPr>
        <w:spacing w:after="120" w:line="240" w:lineRule="auto"/>
        <w:rPr>
          <w:rFonts w:asciiTheme="minorHAnsi" w:hAnsiTheme="minorHAnsi" w:cstheme="minorHAnsi"/>
        </w:rPr>
      </w:pPr>
      <w:r w:rsidRPr="00193AD9">
        <w:rPr>
          <w:rFonts w:asciiTheme="minorHAnsi" w:hAnsiTheme="minorHAnsi" w:cstheme="minorHAnsi"/>
        </w:rPr>
        <w:t xml:space="preserve">To ensure risks are being managed in a consistent way, some </w:t>
      </w:r>
      <w:r w:rsidR="00CE7028" w:rsidRPr="00193AD9">
        <w:rPr>
          <w:rFonts w:asciiTheme="minorHAnsi" w:hAnsiTheme="minorHAnsi" w:cstheme="minorHAnsi"/>
        </w:rPr>
        <w:t>p</w:t>
      </w:r>
      <w:r w:rsidRPr="00193AD9">
        <w:rPr>
          <w:rFonts w:asciiTheme="minorHAnsi" w:hAnsiTheme="minorHAnsi" w:cstheme="minorHAnsi"/>
        </w:rPr>
        <w:t xml:space="preserve">ortfolio entities are required to comply with the mandatory requirements of the </w:t>
      </w:r>
      <w:hyperlink r:id="rId34" w:history="1">
        <w:r w:rsidRPr="0062524C">
          <w:rPr>
            <w:rStyle w:val="Hyperlink"/>
            <w:rFonts w:asciiTheme="minorHAnsi" w:hAnsiTheme="minorHAnsi" w:cstheme="minorHAnsi"/>
            <w:i/>
            <w:iCs/>
          </w:rPr>
          <w:t>Victorian Government Risk Management Framework</w:t>
        </w:r>
      </w:hyperlink>
      <w:r w:rsidR="00CE7028" w:rsidRPr="00193AD9">
        <w:rPr>
          <w:rFonts w:asciiTheme="minorHAnsi" w:hAnsiTheme="minorHAnsi" w:cstheme="minorHAnsi"/>
          <w:i/>
          <w:iCs/>
        </w:rPr>
        <w:t xml:space="preserve"> </w:t>
      </w:r>
      <w:r w:rsidR="00CE7028" w:rsidRPr="00C10F18">
        <w:rPr>
          <w:rFonts w:asciiTheme="minorHAnsi" w:hAnsiTheme="minorHAnsi" w:cstheme="minorHAnsi"/>
        </w:rPr>
        <w:t>(VGRMF)</w:t>
      </w:r>
      <w:r w:rsidRPr="00C10F18">
        <w:rPr>
          <w:rFonts w:asciiTheme="minorHAnsi" w:hAnsiTheme="minorHAnsi" w:cstheme="minorHAnsi"/>
        </w:rPr>
        <w:t>.</w:t>
      </w:r>
    </w:p>
    <w:p w14:paraId="78C339FD" w14:textId="6A0373FB" w:rsidR="002B750E" w:rsidRPr="00193AD9" w:rsidRDefault="00666A7B" w:rsidP="002B750E">
      <w:pPr>
        <w:keepNext/>
        <w:keepLines/>
        <w:rPr>
          <w:rFonts w:asciiTheme="minorHAnsi" w:hAnsiTheme="minorHAnsi" w:cstheme="minorHAnsi"/>
        </w:rPr>
      </w:pPr>
      <w:r w:rsidRPr="00193AD9">
        <w:rPr>
          <w:rFonts w:asciiTheme="minorHAnsi" w:hAnsiTheme="minorHAnsi" w:cstheme="minorHAnsi"/>
        </w:rPr>
        <w:t>According to</w:t>
      </w:r>
      <w:r w:rsidR="002B750E" w:rsidRPr="00193AD9">
        <w:rPr>
          <w:rFonts w:asciiTheme="minorHAnsi" w:hAnsiTheme="minorHAnsi" w:cstheme="minorHAnsi"/>
        </w:rPr>
        <w:t xml:space="preserve"> the VGRMF, entities must:</w:t>
      </w:r>
    </w:p>
    <w:p w14:paraId="74948988" w14:textId="21855D92" w:rsidR="002B750E" w:rsidRPr="00193AD9" w:rsidRDefault="002B750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maintain a risk register that records risks aligned to the delivery of their corporate plan (or strategic plan) and operations</w:t>
      </w:r>
    </w:p>
    <w:p w14:paraId="016D1288" w14:textId="14636769" w:rsidR="002B750E" w:rsidRPr="00193AD9" w:rsidRDefault="002B750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ensure that risks are reviewed in a timely and regular manner</w:t>
      </w:r>
    </w:p>
    <w:p w14:paraId="506CA314" w14:textId="4482D18E" w:rsidR="002B750E" w:rsidRPr="00193AD9" w:rsidRDefault="002B750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continually assess and manage the most significant risks in order to protect against loss and achieve objectives</w:t>
      </w:r>
    </w:p>
    <w:p w14:paraId="72B90E88" w14:textId="69AE0714" w:rsidR="002B750E" w:rsidRPr="00193AD9" w:rsidRDefault="002B750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establish the context and identify; analyse; evaluate; treat; communicate and consult; and monitor and review their strategic and operational risks</w:t>
      </w:r>
    </w:p>
    <w:p w14:paraId="406F5BA9" w14:textId="545289F1" w:rsidR="002B750E" w:rsidRDefault="002B750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escalate strategic and operational risks to the department, as appropriate and as part of periodic reporting.</w:t>
      </w:r>
    </w:p>
    <w:p w14:paraId="4B9585D5" w14:textId="028938EC" w:rsidR="00586C7B" w:rsidRPr="00B54DAE" w:rsidRDefault="00586C7B" w:rsidP="00B54DAE">
      <w:pPr>
        <w:spacing w:after="120"/>
        <w:rPr>
          <w:rFonts w:asciiTheme="minorHAnsi" w:hAnsiTheme="minorHAnsi" w:cstheme="minorHAnsi"/>
        </w:rPr>
      </w:pPr>
      <w:r w:rsidRPr="00586C7B">
        <w:rPr>
          <w:rFonts w:asciiTheme="minorHAnsi" w:hAnsiTheme="minorHAnsi" w:cstheme="minorHAnsi"/>
        </w:rPr>
        <w:t>In the event of a significant risk or critical incident, all portfolios should inform the department through their relationship manager or at the relevant level within the department.</w:t>
      </w:r>
    </w:p>
    <w:p w14:paraId="6C81C6D0" w14:textId="36E5FCD6" w:rsidR="00977D11" w:rsidRPr="00826993" w:rsidRDefault="00977D11" w:rsidP="00977D11">
      <w:pPr>
        <w:pStyle w:val="Heading3"/>
      </w:pPr>
      <w:bookmarkStart w:id="43" w:name="_Toc194930384"/>
      <w:r>
        <w:t>5.4.2</w:t>
      </w:r>
      <w:r>
        <w:tab/>
        <w:t>Entity risk escalation criteria</w:t>
      </w:r>
      <w:bookmarkEnd w:id="43"/>
    </w:p>
    <w:p w14:paraId="49B5041D" w14:textId="11097B65" w:rsidR="00977D11" w:rsidRDefault="00977D11" w:rsidP="00977D11">
      <w:r>
        <w:t xml:space="preserve">The department </w:t>
      </w:r>
      <w:r w:rsidRPr="00D77451">
        <w:t xml:space="preserve">and </w:t>
      </w:r>
      <w:r>
        <w:t>entities</w:t>
      </w:r>
      <w:r w:rsidRPr="00D77451">
        <w:t xml:space="preserve"> should adopt a </w:t>
      </w:r>
      <w:r w:rsidRPr="00D77451">
        <w:rPr>
          <w:i/>
        </w:rPr>
        <w:t>no surprises</w:t>
      </w:r>
      <w:r w:rsidRPr="00D77451">
        <w:t xml:space="preserve"> approach to</w:t>
      </w:r>
      <w:r>
        <w:t xml:space="preserve"> risk</w:t>
      </w:r>
      <w:r w:rsidR="00075B80">
        <w:t xml:space="preserve">, </w:t>
      </w:r>
      <w:r w:rsidRPr="00D77451">
        <w:t xml:space="preserve">issues </w:t>
      </w:r>
      <w:r w:rsidR="008646A1">
        <w:t xml:space="preserve">or incident </w:t>
      </w:r>
      <w:r w:rsidRPr="00D77451">
        <w:t>management.</w:t>
      </w:r>
    </w:p>
    <w:p w14:paraId="406BA254" w14:textId="41B9C2D3" w:rsidR="00977D11" w:rsidRPr="00193AD9" w:rsidRDefault="00977D11" w:rsidP="00977D11">
      <w:pPr>
        <w:rPr>
          <w:rFonts w:asciiTheme="minorHAnsi" w:hAnsiTheme="minorHAnsi" w:cstheme="minorHAnsi"/>
        </w:rPr>
      </w:pPr>
      <w:r w:rsidRPr="00193AD9">
        <w:rPr>
          <w:rFonts w:asciiTheme="minorHAnsi" w:hAnsiTheme="minorHAnsi" w:cstheme="minorHAnsi"/>
        </w:rPr>
        <w:t xml:space="preserve">This includes </w:t>
      </w:r>
      <w:r w:rsidR="00AC36D4" w:rsidRPr="00AC36D4">
        <w:rPr>
          <w:rFonts w:asciiTheme="minorHAnsi" w:hAnsiTheme="minorHAnsi" w:cstheme="minorHAnsi"/>
        </w:rPr>
        <w:t>informing of incidents that may have significant impact on the operations of the business</w:t>
      </w:r>
      <w:r w:rsidR="00AF21B7">
        <w:rPr>
          <w:rFonts w:asciiTheme="minorHAnsi" w:hAnsiTheme="minorHAnsi" w:cstheme="minorHAnsi"/>
        </w:rPr>
        <w:t xml:space="preserve">, </w:t>
      </w:r>
      <w:r w:rsidRPr="00193AD9">
        <w:rPr>
          <w:rFonts w:asciiTheme="minorHAnsi" w:hAnsiTheme="minorHAnsi" w:cstheme="minorHAnsi"/>
        </w:rPr>
        <w:t>substantive risks or issues raised through regular meetings, ongoing dialogue with the relationship manager, submission of annual business/corporate plans, letters to the minister, stakeholder consultations, parliamentary questions, media inquiries or governance committees.</w:t>
      </w:r>
    </w:p>
    <w:p w14:paraId="7C3F4987" w14:textId="77777777" w:rsidR="00977D11" w:rsidRDefault="00977D11" w:rsidP="00977D11">
      <w:r>
        <w:t>Escalation criteria includes:</w:t>
      </w:r>
    </w:p>
    <w:p w14:paraId="22F4B828" w14:textId="77777777" w:rsidR="00977D11" w:rsidRPr="00741197" w:rsidRDefault="00977D11" w:rsidP="00735900">
      <w:pPr>
        <w:pStyle w:val="ListBullet"/>
        <w:numPr>
          <w:ilvl w:val="0"/>
          <w:numId w:val="20"/>
        </w:numPr>
        <w:rPr>
          <w:color w:val="auto"/>
        </w:rPr>
      </w:pPr>
      <w:r w:rsidRPr="00741197">
        <w:rPr>
          <w:color w:val="auto"/>
        </w:rPr>
        <w:t>where the risk</w:t>
      </w:r>
      <w:r>
        <w:rPr>
          <w:color w:val="auto"/>
        </w:rPr>
        <w:t xml:space="preserve"> or issue</w:t>
      </w:r>
      <w:r w:rsidRPr="00741197">
        <w:rPr>
          <w:color w:val="auto"/>
        </w:rPr>
        <w:t xml:space="preserve"> may require oversight or management at the department level or outside the </w:t>
      </w:r>
      <w:r>
        <w:rPr>
          <w:color w:val="auto"/>
        </w:rPr>
        <w:t>entity</w:t>
      </w:r>
      <w:r w:rsidRPr="00741197">
        <w:rPr>
          <w:color w:val="auto"/>
        </w:rPr>
        <w:t>’s remit (e.g. some inter</w:t>
      </w:r>
      <w:r>
        <w:rPr>
          <w:color w:val="auto"/>
        </w:rPr>
        <w:t>-entity</w:t>
      </w:r>
      <w:r w:rsidRPr="00741197">
        <w:rPr>
          <w:color w:val="auto"/>
        </w:rPr>
        <w:t xml:space="preserve"> </w:t>
      </w:r>
      <w:r>
        <w:rPr>
          <w:color w:val="auto"/>
        </w:rPr>
        <w:t>and</w:t>
      </w:r>
      <w:r w:rsidRPr="00741197">
        <w:rPr>
          <w:color w:val="auto"/>
        </w:rPr>
        <w:t xml:space="preserve"> portfolio risk</w:t>
      </w:r>
      <w:r>
        <w:rPr>
          <w:color w:val="auto"/>
        </w:rPr>
        <w:t>s or issues</w:t>
      </w:r>
      <w:r w:rsidRPr="00741197">
        <w:rPr>
          <w:color w:val="auto"/>
        </w:rPr>
        <w:t>)</w:t>
      </w:r>
    </w:p>
    <w:p w14:paraId="2149909A" w14:textId="7C85212A" w:rsidR="00977D11" w:rsidRDefault="00977D11" w:rsidP="00735900">
      <w:pPr>
        <w:pStyle w:val="ListBullet"/>
        <w:numPr>
          <w:ilvl w:val="0"/>
          <w:numId w:val="20"/>
        </w:numPr>
        <w:rPr>
          <w:color w:val="auto"/>
        </w:rPr>
      </w:pPr>
      <w:r w:rsidRPr="00741197">
        <w:rPr>
          <w:color w:val="auto"/>
        </w:rPr>
        <w:t xml:space="preserve">if the risk were to eventuate, it would materially impact on the department, portfolio </w:t>
      </w:r>
      <w:r w:rsidR="00A0640F">
        <w:rPr>
          <w:color w:val="auto"/>
        </w:rPr>
        <w:t>m</w:t>
      </w:r>
      <w:r w:rsidRPr="00741197">
        <w:rPr>
          <w:color w:val="auto"/>
        </w:rPr>
        <w:t xml:space="preserve">inister, or </w:t>
      </w:r>
      <w:r w:rsidR="00980257">
        <w:rPr>
          <w:color w:val="auto"/>
        </w:rPr>
        <w:t>s</w:t>
      </w:r>
      <w:r w:rsidRPr="00741197">
        <w:rPr>
          <w:color w:val="auto"/>
        </w:rPr>
        <w:t>tate’s reputation or financial position</w:t>
      </w:r>
    </w:p>
    <w:p w14:paraId="1E3D3505" w14:textId="00D8BCC8" w:rsidR="00977D11" w:rsidRPr="00741197" w:rsidRDefault="00977D11" w:rsidP="00735900">
      <w:pPr>
        <w:pStyle w:val="ListBullet"/>
        <w:numPr>
          <w:ilvl w:val="0"/>
          <w:numId w:val="20"/>
        </w:numPr>
        <w:rPr>
          <w:color w:val="auto"/>
        </w:rPr>
      </w:pPr>
      <w:r>
        <w:rPr>
          <w:color w:val="auto"/>
        </w:rPr>
        <w:t xml:space="preserve">if the issue has had, or is having a material impact on the department, portfolio </w:t>
      </w:r>
      <w:r w:rsidR="00A0640F">
        <w:rPr>
          <w:color w:val="auto"/>
        </w:rPr>
        <w:t>m</w:t>
      </w:r>
      <w:r>
        <w:rPr>
          <w:color w:val="auto"/>
        </w:rPr>
        <w:t xml:space="preserve">inister, or </w:t>
      </w:r>
      <w:r w:rsidR="00980257">
        <w:rPr>
          <w:color w:val="auto"/>
        </w:rPr>
        <w:t>s</w:t>
      </w:r>
      <w:r>
        <w:rPr>
          <w:color w:val="auto"/>
        </w:rPr>
        <w:t xml:space="preserve">tate’s reputation or financial position </w:t>
      </w:r>
    </w:p>
    <w:p w14:paraId="2D27C8D3" w14:textId="77777777" w:rsidR="00977D11" w:rsidRPr="00741197" w:rsidRDefault="00977D11" w:rsidP="00735900">
      <w:pPr>
        <w:pStyle w:val="ListBullet"/>
        <w:numPr>
          <w:ilvl w:val="0"/>
          <w:numId w:val="20"/>
        </w:numPr>
        <w:rPr>
          <w:color w:val="auto"/>
        </w:rPr>
      </w:pPr>
      <w:r>
        <w:rPr>
          <w:color w:val="auto"/>
        </w:rPr>
        <w:t>a</w:t>
      </w:r>
      <w:r w:rsidRPr="00741197">
        <w:rPr>
          <w:color w:val="auto"/>
        </w:rPr>
        <w:t>n emerging risk that may become a key risk or could inform the department’s forward planning.</w:t>
      </w:r>
    </w:p>
    <w:p w14:paraId="6A500F7B" w14:textId="77777777" w:rsidR="00977D11" w:rsidRDefault="00977D11" w:rsidP="00977D11"/>
    <w:p w14:paraId="1C6ED0CE" w14:textId="77777777" w:rsidR="00977D11" w:rsidRPr="007107BD" w:rsidRDefault="00977D11" w:rsidP="00977D11">
      <w:r w:rsidRPr="007107BD">
        <w:t xml:space="preserve">Portfolio </w:t>
      </w:r>
      <w:r>
        <w:t>entities</w:t>
      </w:r>
      <w:r w:rsidRPr="007107BD">
        <w:t xml:space="preserve"> should </w:t>
      </w:r>
      <w:r>
        <w:t xml:space="preserve">provide </w:t>
      </w:r>
      <w:r w:rsidRPr="007107BD">
        <w:t xml:space="preserve">continuous disclosure </w:t>
      </w:r>
      <w:r>
        <w:t xml:space="preserve">and </w:t>
      </w:r>
      <w:r w:rsidRPr="007107BD">
        <w:t xml:space="preserve">inform the </w:t>
      </w:r>
      <w:r>
        <w:t>d</w:t>
      </w:r>
      <w:r w:rsidRPr="007107BD">
        <w:t>epartment as soon as they become aware of:</w:t>
      </w:r>
    </w:p>
    <w:p w14:paraId="624D309F" w14:textId="77777777" w:rsidR="00977D11" w:rsidRPr="00741197" w:rsidRDefault="00977D11" w:rsidP="00735900">
      <w:pPr>
        <w:pStyle w:val="ListBullet"/>
        <w:numPr>
          <w:ilvl w:val="0"/>
          <w:numId w:val="21"/>
        </w:numPr>
        <w:rPr>
          <w:color w:val="auto"/>
        </w:rPr>
      </w:pPr>
      <w:r w:rsidRPr="00741197">
        <w:rPr>
          <w:color w:val="auto"/>
        </w:rPr>
        <w:t>significant variations to planned strategies and plans</w:t>
      </w:r>
    </w:p>
    <w:p w14:paraId="464F3008" w14:textId="2F737880" w:rsidR="00977D11" w:rsidRPr="00741197" w:rsidRDefault="00977D11" w:rsidP="00735900">
      <w:pPr>
        <w:pStyle w:val="ListBullet"/>
        <w:numPr>
          <w:ilvl w:val="0"/>
          <w:numId w:val="21"/>
        </w:numPr>
        <w:rPr>
          <w:color w:val="auto"/>
        </w:rPr>
      </w:pPr>
      <w:r w:rsidRPr="00741197">
        <w:rPr>
          <w:color w:val="auto"/>
        </w:rPr>
        <w:t>significant variations to the total estimated investment or timing of capital investments compared to plan</w:t>
      </w:r>
      <w:r w:rsidR="00191A23">
        <w:rPr>
          <w:color w:val="auto"/>
        </w:rPr>
        <w:t>s</w:t>
      </w:r>
    </w:p>
    <w:p w14:paraId="66F28ECD" w14:textId="77777777" w:rsidR="00977D11" w:rsidRPr="00741197" w:rsidRDefault="00977D11" w:rsidP="00735900">
      <w:pPr>
        <w:pStyle w:val="ListBullet"/>
        <w:numPr>
          <w:ilvl w:val="0"/>
          <w:numId w:val="21"/>
        </w:numPr>
        <w:rPr>
          <w:color w:val="auto"/>
        </w:rPr>
      </w:pPr>
      <w:r w:rsidRPr="00741197">
        <w:rPr>
          <w:color w:val="auto"/>
        </w:rPr>
        <w:t>a material variation (+/</w:t>
      </w:r>
      <w:r w:rsidRPr="00741197">
        <w:rPr>
          <w:rFonts w:ascii="Cambria Math" w:hAnsi="Cambria Math" w:cs="Cambria Math"/>
          <w:color w:val="auto"/>
        </w:rPr>
        <w:t>‐</w:t>
      </w:r>
      <w:r w:rsidRPr="00741197">
        <w:rPr>
          <w:color w:val="auto"/>
        </w:rPr>
        <w:t> 15 per cent or more) in forecast full year profit or cash flow from operating activities compared to plans</w:t>
      </w:r>
    </w:p>
    <w:p w14:paraId="025D3DE5" w14:textId="77777777" w:rsidR="00977D11" w:rsidRPr="00741197" w:rsidRDefault="00977D11" w:rsidP="00735900">
      <w:pPr>
        <w:pStyle w:val="ListBullet"/>
        <w:numPr>
          <w:ilvl w:val="0"/>
          <w:numId w:val="21"/>
        </w:numPr>
        <w:rPr>
          <w:color w:val="auto"/>
        </w:rPr>
      </w:pPr>
      <w:r w:rsidRPr="00741197">
        <w:rPr>
          <w:color w:val="auto"/>
        </w:rPr>
        <w:t xml:space="preserve">significant variations in KPIs compared to plans, and/or </w:t>
      </w:r>
    </w:p>
    <w:p w14:paraId="4E1C317D" w14:textId="1B448572" w:rsidR="00977D11" w:rsidRPr="00741197" w:rsidRDefault="00977D11" w:rsidP="00735900">
      <w:pPr>
        <w:pStyle w:val="ListBullet"/>
        <w:numPr>
          <w:ilvl w:val="0"/>
          <w:numId w:val="21"/>
        </w:numPr>
        <w:rPr>
          <w:color w:val="auto"/>
        </w:rPr>
      </w:pPr>
      <w:r w:rsidRPr="00741197">
        <w:rPr>
          <w:color w:val="auto"/>
        </w:rPr>
        <w:t>any financial or non</w:t>
      </w:r>
      <w:r w:rsidRPr="00741197">
        <w:rPr>
          <w:rFonts w:ascii="Cambria Math" w:hAnsi="Cambria Math" w:cs="Cambria Math"/>
          <w:color w:val="auto"/>
        </w:rPr>
        <w:t>‐</w:t>
      </w:r>
      <w:r w:rsidRPr="00741197">
        <w:rPr>
          <w:color w:val="auto"/>
        </w:rPr>
        <w:t xml:space="preserve">financial (including reputational) developments which may materially impact the portfolio </w:t>
      </w:r>
      <w:r>
        <w:rPr>
          <w:color w:val="auto"/>
        </w:rPr>
        <w:t>entity</w:t>
      </w:r>
      <w:r w:rsidRPr="00741197">
        <w:rPr>
          <w:color w:val="auto"/>
        </w:rPr>
        <w:t xml:space="preserve"> or the </w:t>
      </w:r>
      <w:r w:rsidR="003F024D">
        <w:rPr>
          <w:color w:val="auto"/>
        </w:rPr>
        <w:t>g</w:t>
      </w:r>
      <w:r w:rsidRPr="00741197">
        <w:rPr>
          <w:color w:val="auto"/>
        </w:rPr>
        <w:t xml:space="preserve">overnment. </w:t>
      </w:r>
    </w:p>
    <w:p w14:paraId="4FF782FE" w14:textId="77777777" w:rsidR="004431A6" w:rsidRPr="00741197" w:rsidRDefault="004431A6" w:rsidP="003B7772">
      <w:pPr>
        <w:pStyle w:val="ListBullet"/>
        <w:numPr>
          <w:ilvl w:val="0"/>
          <w:numId w:val="0"/>
        </w:numPr>
        <w:ind w:left="720"/>
        <w:rPr>
          <w:color w:val="auto"/>
        </w:rPr>
      </w:pPr>
    </w:p>
    <w:p w14:paraId="2AA36434" w14:textId="77777777" w:rsidR="00977D11" w:rsidRPr="007107BD" w:rsidRDefault="00977D11" w:rsidP="00977D11">
      <w:r w:rsidRPr="007107BD">
        <w:t xml:space="preserve">Further, portfolio </w:t>
      </w:r>
      <w:r>
        <w:t>entities</w:t>
      </w:r>
      <w:r w:rsidRPr="007107BD">
        <w:t xml:space="preserve"> are required to inform the relevant </w:t>
      </w:r>
      <w:r>
        <w:t>m</w:t>
      </w:r>
      <w:r w:rsidRPr="007107BD">
        <w:t>inister as soon as they become aware of a material variation (+/</w:t>
      </w:r>
      <w:r w:rsidRPr="007107BD">
        <w:rPr>
          <w:rFonts w:ascii="Cambria Math" w:hAnsi="Cambria Math" w:cs="Cambria Math"/>
        </w:rPr>
        <w:t>‐</w:t>
      </w:r>
      <w:r w:rsidRPr="007107BD">
        <w:t xml:space="preserve"> 15 per cent or more) to the total estimated investment of a major project approved by the </w:t>
      </w:r>
      <w:r>
        <w:t>m</w:t>
      </w:r>
      <w:r w:rsidRPr="007107BD">
        <w:t>inister.</w:t>
      </w:r>
    </w:p>
    <w:p w14:paraId="5947D690" w14:textId="17224C05" w:rsidR="00977D11" w:rsidRDefault="00977D11" w:rsidP="00977D11">
      <w:r w:rsidRPr="00D77451">
        <w:t xml:space="preserve">Protocols for reporting and communicating risks and issues (including media protocols) to the </w:t>
      </w:r>
      <w:r>
        <w:t>d</w:t>
      </w:r>
      <w:r w:rsidRPr="00D77451">
        <w:t xml:space="preserve">epartment and </w:t>
      </w:r>
      <w:r>
        <w:t>m</w:t>
      </w:r>
      <w:r w:rsidRPr="00D77451">
        <w:t xml:space="preserve">inister will be documented and referenced in </w:t>
      </w:r>
      <w:r>
        <w:t>SOEs</w:t>
      </w:r>
      <w:r w:rsidRPr="00D77451">
        <w:t xml:space="preserve"> and other governing documents</w:t>
      </w:r>
      <w:r>
        <w:t xml:space="preserve"> such as </w:t>
      </w:r>
      <w:r w:rsidR="00225A26">
        <w:t>Service Agreements (</w:t>
      </w:r>
      <w:r>
        <w:t>S</w:t>
      </w:r>
      <w:r w:rsidR="00AD0FD1">
        <w:t>A</w:t>
      </w:r>
      <w:r>
        <w:t>s</w:t>
      </w:r>
      <w:r w:rsidR="00225A26">
        <w:t>)</w:t>
      </w:r>
      <w:r w:rsidRPr="00D77451">
        <w:t xml:space="preserve">. Where an </w:t>
      </w:r>
      <w:r>
        <w:t>entity</w:t>
      </w:r>
      <w:r w:rsidRPr="00D77451">
        <w:t xml:space="preserve"> i</w:t>
      </w:r>
      <w:r>
        <w:t xml:space="preserve">dentifies a significant service or </w:t>
      </w:r>
      <w:r w:rsidRPr="00D77451">
        <w:t>financial risk or issue (not already noted in their strategic risk regis</w:t>
      </w:r>
      <w:r>
        <w:t>ter), they will communicate the</w:t>
      </w:r>
      <w:r w:rsidRPr="00D77451">
        <w:t xml:space="preserve"> risk to the relevant </w:t>
      </w:r>
      <w:r>
        <w:t>department</w:t>
      </w:r>
      <w:r w:rsidRPr="00D77451">
        <w:t xml:space="preserve"> contact and outline the mitigation strategy to </w:t>
      </w:r>
      <w:r>
        <w:t>the department</w:t>
      </w:r>
      <w:r w:rsidRPr="00D77451">
        <w:t xml:space="preserve"> as soon as practicable. Issues include trends, concerns </w:t>
      </w:r>
      <w:r>
        <w:t>or</w:t>
      </w:r>
      <w:r w:rsidRPr="00D77451">
        <w:t xml:space="preserve"> events which are known </w:t>
      </w:r>
      <w:r>
        <w:t xml:space="preserve">or are emerging </w:t>
      </w:r>
      <w:r w:rsidRPr="00D77451">
        <w:t xml:space="preserve">major risks to the effective operation of the </w:t>
      </w:r>
      <w:r>
        <w:t>entity</w:t>
      </w:r>
      <w:r w:rsidRPr="00D77451">
        <w:t xml:space="preserve"> and of the risk management systems that it has in place to address those risks.</w:t>
      </w:r>
    </w:p>
    <w:p w14:paraId="795F091D" w14:textId="3B4634AB" w:rsidR="000E7937" w:rsidRDefault="000E7937" w:rsidP="00977D11">
      <w:pPr>
        <w:rPr>
          <w:b/>
          <w:bCs/>
          <w:sz w:val="20"/>
          <w:szCs w:val="20"/>
        </w:rPr>
      </w:pPr>
      <w:r w:rsidRPr="0097156A">
        <w:rPr>
          <w:b/>
          <w:bCs/>
          <w:sz w:val="20"/>
          <w:szCs w:val="20"/>
        </w:rPr>
        <w:t xml:space="preserve">5.4.3 </w:t>
      </w:r>
      <w:r w:rsidR="00823E94" w:rsidRPr="00823E94">
        <w:rPr>
          <w:b/>
          <w:bCs/>
          <w:sz w:val="20"/>
          <w:szCs w:val="20"/>
        </w:rPr>
        <w:t>Reporting cybersecurity incidents to the department</w:t>
      </w:r>
    </w:p>
    <w:p w14:paraId="3E65F986" w14:textId="4051ABB4" w:rsidR="0097156A" w:rsidRPr="00B6418D" w:rsidRDefault="0097156A" w:rsidP="0097156A">
      <w:pPr>
        <w:rPr>
          <w:rFonts w:asciiTheme="minorHAnsi" w:hAnsiTheme="minorHAnsi" w:cstheme="minorHAnsi"/>
        </w:rPr>
      </w:pPr>
      <w:r w:rsidRPr="00B6418D">
        <w:rPr>
          <w:rFonts w:asciiTheme="minorHAnsi" w:hAnsiTheme="minorHAnsi" w:cstheme="minorHAnsi"/>
        </w:rPr>
        <w:t xml:space="preserve">Cyber threats and data breaches are increasing in frequency and complexity, posing significant risks to government operations and public trust. Under the Victorian Government's </w:t>
      </w:r>
      <w:hyperlink r:id="rId35" w:history="1">
        <w:r w:rsidR="00C260E4">
          <w:rPr>
            <w:rStyle w:val="Hyperlink"/>
          </w:rPr>
          <w:t xml:space="preserve">Cyber Security Incident Management Plan </w:t>
        </w:r>
      </w:hyperlink>
      <w:r w:rsidRPr="00B6418D">
        <w:rPr>
          <w:rFonts w:asciiTheme="minorHAnsi" w:hAnsiTheme="minorHAnsi" w:cstheme="minorHAnsi"/>
        </w:rPr>
        <w:t>(CIMP), all impacted portfolio entities are required to promptly notify their relevant portfolio department of any cybersecurity incidents (see section 6.2.3.2 of the CIMP). To meet this requirement, any entity within the department’s portfolio that experiences a cybersecurity incident should email information.security@ecodev.vic.gov.au. Prompt notification supports a coordinated response, helps limit potential damage, and ensures compliance with whole-of-government cybersecurity obligations.</w:t>
      </w:r>
    </w:p>
    <w:p w14:paraId="4E33B295" w14:textId="65E68748" w:rsidR="0097156A" w:rsidRPr="00B6418D" w:rsidRDefault="0097156A" w:rsidP="0097156A">
      <w:pPr>
        <w:rPr>
          <w:rFonts w:asciiTheme="minorHAnsi" w:hAnsiTheme="minorHAnsi" w:cstheme="minorHAnsi"/>
        </w:rPr>
      </w:pPr>
      <w:r w:rsidRPr="00B6418D">
        <w:rPr>
          <w:rFonts w:asciiTheme="minorHAnsi" w:hAnsiTheme="minorHAnsi" w:cstheme="minorHAnsi"/>
        </w:rPr>
        <w:t>The Cyber Incident Management Arrangements for Australian Governments (CIMA) define a cybersecurity incident as “a single or series of unwanted or unexpected events that impact the confidentiality, integrity or availability of a network or system or the information that it stores, processes or communicates”. These incidents may involve unauthorised access, data breaches, malware attacks, denial-of-service attacks, phishing, or other activities that can disrupt the department’s operations, damage its IT infrastructure, or result in data theft or loss.</w:t>
      </w:r>
    </w:p>
    <w:p w14:paraId="11685688" w14:textId="4ABE816A" w:rsidR="002B750E" w:rsidRPr="001C355C" w:rsidRDefault="00EA0DD7" w:rsidP="003F5369">
      <w:pPr>
        <w:pStyle w:val="Heading3"/>
      </w:pPr>
      <w:bookmarkStart w:id="44" w:name="_Toc194930385"/>
      <w:bookmarkStart w:id="45" w:name="_Toc39481525"/>
      <w:r w:rsidRPr="001C355C">
        <w:t>5.4.</w:t>
      </w:r>
      <w:r w:rsidR="00823E94">
        <w:t>4</w:t>
      </w:r>
      <w:r w:rsidRPr="001C355C">
        <w:tab/>
      </w:r>
      <w:r w:rsidR="002B750E" w:rsidRPr="001C355C">
        <w:t>Assurance activities</w:t>
      </w:r>
      <w:bookmarkEnd w:id="44"/>
    </w:p>
    <w:p w14:paraId="5E3E2E0F" w14:textId="77777777" w:rsidR="00A700BE" w:rsidRPr="00193AD9" w:rsidRDefault="00A700BE" w:rsidP="00A700BE">
      <w:pPr>
        <w:spacing w:after="120" w:line="240" w:lineRule="auto"/>
        <w:rPr>
          <w:rFonts w:asciiTheme="minorHAnsi" w:hAnsiTheme="minorHAnsi" w:cstheme="minorHAnsi"/>
        </w:rPr>
      </w:pPr>
      <w:r w:rsidRPr="00193AD9">
        <w:rPr>
          <w:rFonts w:asciiTheme="minorHAnsi" w:hAnsiTheme="minorHAnsi" w:cstheme="minorHAnsi"/>
        </w:rPr>
        <w:t xml:space="preserve">Assurance activities are designed to provide independent conclusions and a degree of confidence regarding the outcome of the evaluation or measurement of the subject matter against predetermined criteria. </w:t>
      </w:r>
    </w:p>
    <w:p w14:paraId="1279DA9B" w14:textId="77777777" w:rsidR="00A700BE" w:rsidRPr="00193AD9" w:rsidRDefault="00A700BE" w:rsidP="00A700BE">
      <w:pPr>
        <w:spacing w:after="120" w:line="240" w:lineRule="auto"/>
        <w:rPr>
          <w:rFonts w:asciiTheme="minorHAnsi" w:hAnsiTheme="minorHAnsi" w:cstheme="minorHAnsi"/>
        </w:rPr>
      </w:pPr>
      <w:r w:rsidRPr="00193AD9">
        <w:rPr>
          <w:rFonts w:asciiTheme="minorHAnsi" w:hAnsiTheme="minorHAnsi" w:cstheme="minorHAnsi"/>
        </w:rPr>
        <w:t>The subject matter can take many forms such as:</w:t>
      </w:r>
    </w:p>
    <w:p w14:paraId="67C42806" w14:textId="77777777" w:rsidR="00A700BE" w:rsidRPr="00193AD9" w:rsidRDefault="00A700B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Corporate governance practices.</w:t>
      </w:r>
    </w:p>
    <w:p w14:paraId="6B406577" w14:textId="77777777" w:rsidR="00A700BE" w:rsidRPr="00193AD9" w:rsidRDefault="00A700B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Effectiveness and efficiency of operations.</w:t>
      </w:r>
    </w:p>
    <w:p w14:paraId="208166AA" w14:textId="77777777" w:rsidR="00A700BE" w:rsidRPr="00193AD9" w:rsidRDefault="00A700B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Systems, processes, people, and performance.</w:t>
      </w:r>
    </w:p>
    <w:p w14:paraId="1F4C58E8" w14:textId="77777777" w:rsidR="00A700BE" w:rsidRPr="00193AD9" w:rsidRDefault="00A700B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Data reliability, completeness, integrity, and availability.</w:t>
      </w:r>
    </w:p>
    <w:p w14:paraId="4EFB8B41" w14:textId="77777777" w:rsidR="00A700BE" w:rsidRPr="00193AD9" w:rsidRDefault="00A700B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Accreditation and certifications.</w:t>
      </w:r>
    </w:p>
    <w:p w14:paraId="231A27B0" w14:textId="77777777" w:rsidR="00A700BE" w:rsidRPr="00193AD9" w:rsidRDefault="00A700B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Compliance with laws, regulations, and contracts.</w:t>
      </w:r>
    </w:p>
    <w:p w14:paraId="3D715411" w14:textId="5FF2C0B1" w:rsidR="00A700BE" w:rsidRPr="00193AD9" w:rsidRDefault="00A700BE" w:rsidP="00A700BE">
      <w:pPr>
        <w:spacing w:after="120" w:line="240" w:lineRule="auto"/>
        <w:rPr>
          <w:rFonts w:asciiTheme="minorHAnsi" w:hAnsiTheme="minorHAnsi" w:cstheme="minorHAnsi"/>
        </w:rPr>
      </w:pPr>
      <w:r w:rsidRPr="00193AD9">
        <w:rPr>
          <w:rFonts w:asciiTheme="minorHAnsi" w:hAnsiTheme="minorHAnsi" w:cstheme="minorHAnsi"/>
        </w:rPr>
        <w:t>Attestations, internal/external audits, accreditations, and surveys are some categories of assurance activities that entities may use to provide independent and reasonable assurance to their board, risk/audit committee and/or management that they are on track to achieve their objectives.</w:t>
      </w:r>
    </w:p>
    <w:p w14:paraId="3FB2F4CE" w14:textId="3F4FF0B8" w:rsidR="00A700BE" w:rsidRPr="00193AD9" w:rsidRDefault="00A700BE" w:rsidP="00A700BE">
      <w:pPr>
        <w:spacing w:after="120" w:line="240" w:lineRule="auto"/>
        <w:rPr>
          <w:rFonts w:asciiTheme="minorHAnsi" w:hAnsiTheme="minorHAnsi" w:cstheme="minorHAnsi"/>
        </w:rPr>
      </w:pPr>
      <w:r w:rsidRPr="00193AD9">
        <w:rPr>
          <w:rFonts w:asciiTheme="minorHAnsi" w:hAnsiTheme="minorHAnsi" w:cstheme="minorHAnsi"/>
        </w:rPr>
        <w:t xml:space="preserve">The </w:t>
      </w:r>
      <w:r w:rsidR="00143F41" w:rsidRPr="00193AD9">
        <w:rPr>
          <w:rFonts w:asciiTheme="minorHAnsi" w:hAnsiTheme="minorHAnsi" w:cstheme="minorHAnsi"/>
        </w:rPr>
        <w:t>entity</w:t>
      </w:r>
      <w:r w:rsidRPr="00193AD9">
        <w:rPr>
          <w:rFonts w:asciiTheme="minorHAnsi" w:hAnsiTheme="minorHAnsi" w:cstheme="minorHAnsi"/>
        </w:rPr>
        <w:t xml:space="preserve">’s assurance framework </w:t>
      </w:r>
      <w:r w:rsidR="003D3CB5" w:rsidRPr="00193AD9">
        <w:rPr>
          <w:rFonts w:asciiTheme="minorHAnsi" w:hAnsiTheme="minorHAnsi" w:cstheme="minorHAnsi"/>
        </w:rPr>
        <w:t>may</w:t>
      </w:r>
      <w:r w:rsidRPr="00193AD9">
        <w:rPr>
          <w:rFonts w:asciiTheme="minorHAnsi" w:hAnsiTheme="minorHAnsi" w:cstheme="minorHAnsi"/>
        </w:rPr>
        <w:t xml:space="preserve"> consist of:</w:t>
      </w:r>
    </w:p>
    <w:p w14:paraId="4F665A80" w14:textId="27BBC612" w:rsidR="00A700BE" w:rsidRPr="00193AD9" w:rsidRDefault="00A700B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An assurance strategy and internal audit charter linked to organisational objectives.</w:t>
      </w:r>
    </w:p>
    <w:p w14:paraId="24AACE46" w14:textId="77777777" w:rsidR="00A700BE" w:rsidRPr="00193AD9" w:rsidRDefault="00A700B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An assurance map detailing sources of all assurance activities.</w:t>
      </w:r>
    </w:p>
    <w:p w14:paraId="47B80AE0" w14:textId="77777777" w:rsidR="00A700BE" w:rsidRPr="00193AD9" w:rsidRDefault="00A700B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A risk-based assurance/audit plan outlining planned activities.</w:t>
      </w:r>
    </w:p>
    <w:p w14:paraId="7A861D18" w14:textId="77777777" w:rsidR="00A700BE" w:rsidRPr="00193AD9" w:rsidRDefault="00A700B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Registers and reports to track implementation progress of recommendations.</w:t>
      </w:r>
    </w:p>
    <w:p w14:paraId="47AB1C7C" w14:textId="5568938E" w:rsidR="002B750E" w:rsidRPr="00193AD9" w:rsidRDefault="00A700BE" w:rsidP="00735900">
      <w:pPr>
        <w:pStyle w:val="ListParagraph"/>
        <w:numPr>
          <w:ilvl w:val="0"/>
          <w:numId w:val="40"/>
        </w:numPr>
        <w:autoSpaceDE w:val="0"/>
        <w:autoSpaceDN w:val="0"/>
        <w:adjustRightInd w:val="0"/>
        <w:spacing w:after="120"/>
        <w:rPr>
          <w:rFonts w:asciiTheme="minorHAnsi" w:hAnsiTheme="minorHAnsi" w:cstheme="minorHAnsi"/>
          <w:color w:val="000000"/>
          <w:sz w:val="18"/>
          <w:szCs w:val="18"/>
        </w:rPr>
      </w:pPr>
      <w:r w:rsidRPr="00193AD9">
        <w:rPr>
          <w:rFonts w:asciiTheme="minorHAnsi" w:hAnsiTheme="minorHAnsi" w:cstheme="minorHAnsi"/>
          <w:color w:val="000000"/>
          <w:sz w:val="18"/>
          <w:szCs w:val="18"/>
        </w:rPr>
        <w:t>Key performance indicators of assurance activities.</w:t>
      </w:r>
    </w:p>
    <w:p w14:paraId="383C95C4" w14:textId="6C7E22AF" w:rsidR="003F5369" w:rsidRPr="001C355C" w:rsidRDefault="00A700BE" w:rsidP="003F5369">
      <w:pPr>
        <w:pStyle w:val="Heading3"/>
      </w:pPr>
      <w:bookmarkStart w:id="46" w:name="_Toc194930386"/>
      <w:r w:rsidRPr="001C355C">
        <w:t>5.4.</w:t>
      </w:r>
      <w:r w:rsidR="00823E94">
        <w:t>5</w:t>
      </w:r>
      <w:r w:rsidRPr="001C355C">
        <w:tab/>
      </w:r>
      <w:r w:rsidR="003F5369" w:rsidRPr="001C355C">
        <w:t>Insurance</w:t>
      </w:r>
      <w:bookmarkEnd w:id="45"/>
      <w:bookmarkEnd w:id="46"/>
    </w:p>
    <w:p w14:paraId="074A630A" w14:textId="60408E54" w:rsidR="003F5369" w:rsidRDefault="003F5369" w:rsidP="003F5369">
      <w:r>
        <w:t xml:space="preserve">As required by Ministerial Standing Direction 3.7.1, </w:t>
      </w:r>
      <w:r w:rsidR="00C81471">
        <w:t>entities</w:t>
      </w:r>
      <w:r w:rsidRPr="004A6A03">
        <w:t xml:space="preserve"> need to ensure that they have appropriate insurances in place</w:t>
      </w:r>
      <w:r>
        <w:t xml:space="preserve"> through the Victorian Managed Insurance Authority (VMIA) unless exempted by the responsible minister, or where the VMIA cannot offer insurance for a specific risk. </w:t>
      </w:r>
    </w:p>
    <w:p w14:paraId="4BC61A26" w14:textId="6C8288EB" w:rsidR="003F5369" w:rsidRDefault="003F5369" w:rsidP="003F5369">
      <w:r>
        <w:t xml:space="preserve">As part of the </w:t>
      </w:r>
      <w:r w:rsidR="00C81471">
        <w:t>entities</w:t>
      </w:r>
      <w:r>
        <w:t>’ compliance with the VGRMF, t</w:t>
      </w:r>
      <w:r w:rsidRPr="004A6A03">
        <w:t xml:space="preserve">he level of insurance should be based on the </w:t>
      </w:r>
      <w:r w:rsidR="00C81471">
        <w:t>entity</w:t>
      </w:r>
      <w:r w:rsidRPr="004A6A03">
        <w:t>’s risk profile and tolerance, past claim</w:t>
      </w:r>
      <w:r>
        <w:t>s a</w:t>
      </w:r>
      <w:r w:rsidRPr="004A6A03">
        <w:t>nd the availability and cost of insurance.</w:t>
      </w:r>
      <w:r>
        <w:t xml:space="preserve"> </w:t>
      </w:r>
    </w:p>
    <w:p w14:paraId="09E60165" w14:textId="472A4A02" w:rsidR="003F5369" w:rsidRPr="004A6A03" w:rsidRDefault="003F5369" w:rsidP="003F5369">
      <w:r>
        <w:t xml:space="preserve">It is important </w:t>
      </w:r>
      <w:r w:rsidR="00712F0B">
        <w:t xml:space="preserve">that </w:t>
      </w:r>
      <w:r w:rsidR="00C81471">
        <w:t>entities</w:t>
      </w:r>
      <w:r>
        <w:t xml:space="preserve"> understand their insurable risk and consult with VMIA to determine an appropriate level of self-insurance or deductibles. </w:t>
      </w:r>
      <w:r w:rsidR="00C81471">
        <w:t>Entities</w:t>
      </w:r>
      <w:r w:rsidRPr="004A6A03">
        <w:t xml:space="preserve"> are responsible for managing and funding any self-insured and under-deductible losses.</w:t>
      </w:r>
    </w:p>
    <w:p w14:paraId="39D55604" w14:textId="53747D63" w:rsidR="00F0582E" w:rsidRDefault="00217E54" w:rsidP="00F0582E">
      <w:pPr>
        <w:pStyle w:val="Heading2"/>
      </w:pPr>
      <w:bookmarkStart w:id="47" w:name="_Toc39481528"/>
      <w:bookmarkStart w:id="48" w:name="_Toc194930387"/>
      <w:r>
        <w:t>5.5</w:t>
      </w:r>
      <w:r>
        <w:tab/>
      </w:r>
      <w:r w:rsidR="00F0582E">
        <w:t xml:space="preserve">Communication and </w:t>
      </w:r>
      <w:bookmarkEnd w:id="47"/>
      <w:r w:rsidR="001A60E2">
        <w:t>E</w:t>
      </w:r>
      <w:r w:rsidR="00F0582E">
        <w:t>ngagement</w:t>
      </w:r>
      <w:bookmarkEnd w:id="48"/>
    </w:p>
    <w:p w14:paraId="4851A0E2" w14:textId="33CF950E" w:rsidR="00F0582E" w:rsidRPr="00726A38" w:rsidRDefault="00F0582E" w:rsidP="00F0582E">
      <w:pPr>
        <w:pStyle w:val="bodycopy"/>
        <w:rPr>
          <w:color w:val="auto"/>
          <w:sz w:val="18"/>
          <w:szCs w:val="18"/>
        </w:rPr>
      </w:pPr>
      <w:bookmarkStart w:id="49" w:name="_Toc448391510"/>
      <w:r w:rsidRPr="00B051BC">
        <w:rPr>
          <w:color w:val="auto"/>
          <w:sz w:val="18"/>
        </w:rPr>
        <w:t xml:space="preserve">An essential element of good public administration and governance is a framework to facilitate effective </w:t>
      </w:r>
      <w:r w:rsidR="00795D42">
        <w:rPr>
          <w:color w:val="auto"/>
          <w:sz w:val="18"/>
        </w:rPr>
        <w:t xml:space="preserve">communication and </w:t>
      </w:r>
      <w:r w:rsidRPr="00B051BC">
        <w:rPr>
          <w:color w:val="auto"/>
          <w:sz w:val="18"/>
        </w:rPr>
        <w:t xml:space="preserve">engagement between ministers, </w:t>
      </w:r>
      <w:r w:rsidR="00C81471">
        <w:rPr>
          <w:color w:val="auto"/>
          <w:sz w:val="18"/>
        </w:rPr>
        <w:t>entities</w:t>
      </w:r>
      <w:r w:rsidRPr="00B051BC">
        <w:rPr>
          <w:color w:val="auto"/>
          <w:sz w:val="18"/>
        </w:rPr>
        <w:t xml:space="preserve"> and departments.</w:t>
      </w:r>
      <w:bookmarkEnd w:id="49"/>
      <w:r w:rsidRPr="00B051BC">
        <w:rPr>
          <w:color w:val="auto"/>
          <w:sz w:val="18"/>
        </w:rPr>
        <w:t xml:space="preserve"> </w:t>
      </w:r>
      <w:r w:rsidR="00816C73" w:rsidRPr="00816C73">
        <w:rPr>
          <w:color w:val="0E101A"/>
          <w:sz w:val="18"/>
          <w:szCs w:val="18"/>
        </w:rPr>
        <w:t xml:space="preserve">The Victorian Public Sector Commission </w:t>
      </w:r>
      <w:r w:rsidR="00B158F0">
        <w:rPr>
          <w:color w:val="auto"/>
          <w:sz w:val="18"/>
        </w:rPr>
        <w:t>(</w:t>
      </w:r>
      <w:r w:rsidR="00DE1E4C">
        <w:rPr>
          <w:color w:val="auto"/>
          <w:sz w:val="18"/>
        </w:rPr>
        <w:t>VPSC</w:t>
      </w:r>
      <w:r w:rsidR="00B158F0">
        <w:rPr>
          <w:color w:val="auto"/>
          <w:sz w:val="18"/>
        </w:rPr>
        <w:t>)</w:t>
      </w:r>
      <w:r w:rsidR="00DE1E4C">
        <w:rPr>
          <w:color w:val="auto"/>
          <w:sz w:val="18"/>
        </w:rPr>
        <w:t xml:space="preserve"> </w:t>
      </w:r>
      <w:r w:rsidR="00262F2E" w:rsidRPr="00262F2E">
        <w:rPr>
          <w:color w:val="0E101A"/>
          <w:sz w:val="18"/>
          <w:szCs w:val="18"/>
        </w:rPr>
        <w:t xml:space="preserve">released new guidance on </w:t>
      </w:r>
      <w:hyperlink r:id="rId36" w:tgtFrame="_blank" w:history="1">
        <w:r w:rsidR="00262F2E" w:rsidRPr="00262F2E">
          <w:rPr>
            <w:rStyle w:val="Hyperlink"/>
            <w:color w:val="4A6EE0"/>
            <w:sz w:val="18"/>
            <w:szCs w:val="18"/>
          </w:rPr>
          <w:t>Establishing portfolio governance arrangements</w:t>
        </w:r>
      </w:hyperlink>
      <w:r w:rsidR="004C08A5">
        <w:rPr>
          <w:sz w:val="18"/>
          <w:szCs w:val="18"/>
        </w:rPr>
        <w:t xml:space="preserve"> </w:t>
      </w:r>
      <w:r w:rsidR="004C08A5" w:rsidRPr="00041660">
        <w:rPr>
          <w:color w:val="auto"/>
          <w:sz w:val="18"/>
          <w:szCs w:val="18"/>
        </w:rPr>
        <w:t>to assist  department</w:t>
      </w:r>
      <w:r w:rsidR="00E823E7">
        <w:rPr>
          <w:color w:val="auto"/>
          <w:sz w:val="18"/>
          <w:szCs w:val="18"/>
        </w:rPr>
        <w:t>s</w:t>
      </w:r>
      <w:r w:rsidR="004C08A5" w:rsidRPr="00041660">
        <w:rPr>
          <w:color w:val="auto"/>
          <w:sz w:val="18"/>
          <w:szCs w:val="18"/>
        </w:rPr>
        <w:t xml:space="preserve"> and </w:t>
      </w:r>
      <w:r w:rsidR="00A80FA3" w:rsidRPr="00041660">
        <w:rPr>
          <w:color w:val="auto"/>
          <w:sz w:val="18"/>
          <w:szCs w:val="18"/>
        </w:rPr>
        <w:t>portfolio entities build effective working relationships</w:t>
      </w:r>
      <w:r w:rsidR="00262F2E" w:rsidRPr="00041660">
        <w:rPr>
          <w:color w:val="auto"/>
          <w:sz w:val="18"/>
          <w:szCs w:val="18"/>
        </w:rPr>
        <w:t>.</w:t>
      </w:r>
    </w:p>
    <w:p w14:paraId="7E95D83D" w14:textId="79C0C8B2" w:rsidR="00F0582E" w:rsidRDefault="00217E54" w:rsidP="00F0582E">
      <w:pPr>
        <w:pStyle w:val="Heading3"/>
      </w:pPr>
      <w:bookmarkStart w:id="50" w:name="_Toc39481529"/>
      <w:bookmarkStart w:id="51" w:name="_Toc194930388"/>
      <w:r>
        <w:t>5.5.1</w:t>
      </w:r>
      <w:r>
        <w:tab/>
      </w:r>
      <w:r w:rsidR="00F0582E">
        <w:t>Roles and responsibilities of relationship managers</w:t>
      </w:r>
      <w:bookmarkEnd w:id="50"/>
      <w:bookmarkEnd w:id="51"/>
    </w:p>
    <w:p w14:paraId="64D0ADCF" w14:textId="077FAAFC" w:rsidR="00F0582E" w:rsidRDefault="00F0582E" w:rsidP="00F0582E">
      <w:r>
        <w:t xml:space="preserve">The department </w:t>
      </w:r>
      <w:r w:rsidRPr="00636096">
        <w:t xml:space="preserve">and </w:t>
      </w:r>
      <w:r w:rsidR="00992A7D">
        <w:t xml:space="preserve">its </w:t>
      </w:r>
      <w:r w:rsidR="00C81471">
        <w:t>entit</w:t>
      </w:r>
      <w:r w:rsidR="00AE7188">
        <w:t>ies</w:t>
      </w:r>
      <w:r w:rsidRPr="00636096">
        <w:t xml:space="preserve"> will nominate </w:t>
      </w:r>
      <w:r>
        <w:t>responsible contact officer</w:t>
      </w:r>
      <w:r w:rsidR="00AE7188">
        <w:t xml:space="preserve">s </w:t>
      </w:r>
      <w:r>
        <w:t>to act as relationship manager</w:t>
      </w:r>
      <w:r w:rsidR="00AE7188">
        <w:t>s</w:t>
      </w:r>
      <w:r w:rsidR="00C06D98">
        <w:t xml:space="preserve"> (RM)</w:t>
      </w:r>
      <w:r>
        <w:t xml:space="preserve"> and </w:t>
      </w:r>
      <w:r w:rsidRPr="00636096">
        <w:t xml:space="preserve">to provide a </w:t>
      </w:r>
      <w:r>
        <w:t>key</w:t>
      </w:r>
      <w:r w:rsidRPr="00636096">
        <w:t xml:space="preserve"> point of contact to facilitate engagement and communications.</w:t>
      </w:r>
      <w:r w:rsidR="009E274A">
        <w:t xml:space="preserve"> </w:t>
      </w:r>
      <w:r>
        <w:t xml:space="preserve">Noting that there may be multiple points of contact between the </w:t>
      </w:r>
      <w:r w:rsidR="00C81471">
        <w:t>entit</w:t>
      </w:r>
      <w:r w:rsidR="00F978CA">
        <w:t>ies</w:t>
      </w:r>
      <w:r>
        <w:t xml:space="preserve"> and department, </w:t>
      </w:r>
      <w:r w:rsidRPr="00636096">
        <w:t xml:space="preserve">relationship managers </w:t>
      </w:r>
      <w:r>
        <w:t xml:space="preserve">should </w:t>
      </w:r>
      <w:r w:rsidRPr="00636096">
        <w:t xml:space="preserve">be kept informed of all dealings </w:t>
      </w:r>
      <w:r>
        <w:t xml:space="preserve">of a material nature </w:t>
      </w:r>
      <w:r w:rsidRPr="00636096">
        <w:t xml:space="preserve">between the </w:t>
      </w:r>
      <w:r>
        <w:t xml:space="preserve">department and </w:t>
      </w:r>
      <w:r w:rsidR="0040259C">
        <w:t>entities</w:t>
      </w:r>
      <w:r w:rsidR="00462539">
        <w:t>.</w:t>
      </w:r>
    </w:p>
    <w:p w14:paraId="10585A31" w14:textId="7E2E377E" w:rsidR="008B51DC" w:rsidRDefault="008B51DC" w:rsidP="00F0582E">
      <w:r>
        <w:t xml:space="preserve">Key functions of </w:t>
      </w:r>
      <w:r w:rsidR="00EF72B9">
        <w:t xml:space="preserve">relationship managers: </w:t>
      </w:r>
    </w:p>
    <w:p w14:paraId="03470FAF" w14:textId="47CF3CFE" w:rsidR="00B6560C" w:rsidRPr="00B6560C" w:rsidRDefault="008C15A7" w:rsidP="00735900">
      <w:pPr>
        <w:numPr>
          <w:ilvl w:val="0"/>
          <w:numId w:val="51"/>
        </w:numPr>
        <w:rPr>
          <w:lang w:val="en-AU"/>
        </w:rPr>
      </w:pPr>
      <w:r w:rsidRPr="008C15A7">
        <w:t xml:space="preserve">Departmental </w:t>
      </w:r>
      <w:r w:rsidR="0034238D">
        <w:t>l</w:t>
      </w:r>
      <w:r w:rsidRPr="008C15A7">
        <w:t xml:space="preserve">iaison and </w:t>
      </w:r>
      <w:r w:rsidR="0034238D">
        <w:t>o</w:t>
      </w:r>
      <w:r w:rsidRPr="008C15A7">
        <w:t xml:space="preserve">versight of </w:t>
      </w:r>
      <w:r w:rsidR="0034238D">
        <w:t>g</w:t>
      </w:r>
      <w:r w:rsidRPr="008C15A7">
        <w:t xml:space="preserve">overnance </w:t>
      </w:r>
      <w:r w:rsidR="0034238D">
        <w:t>m</w:t>
      </w:r>
      <w:r w:rsidRPr="008C15A7">
        <w:t>atters</w:t>
      </w:r>
      <w:r w:rsidR="0034238D">
        <w:t xml:space="preserve">: </w:t>
      </w:r>
      <w:r w:rsidR="00B86525">
        <w:rPr>
          <w:lang w:val="en-AU"/>
        </w:rPr>
        <w:t xml:space="preserve">Act as </w:t>
      </w:r>
      <w:r w:rsidR="0034238D">
        <w:rPr>
          <w:lang w:val="en-AU"/>
        </w:rPr>
        <w:t>the primary</w:t>
      </w:r>
      <w:r w:rsidR="00835A00">
        <w:rPr>
          <w:lang w:val="en-AU"/>
        </w:rPr>
        <w:t xml:space="preserve"> </w:t>
      </w:r>
      <w:r w:rsidR="00B86525">
        <w:rPr>
          <w:lang w:val="en-AU"/>
        </w:rPr>
        <w:t>l</w:t>
      </w:r>
      <w:r w:rsidR="00B86525" w:rsidRPr="00EF72B9">
        <w:rPr>
          <w:lang w:val="en-AU"/>
        </w:rPr>
        <w:t xml:space="preserve">iaison </w:t>
      </w:r>
      <w:r w:rsidR="0034238D">
        <w:rPr>
          <w:lang w:val="en-AU"/>
        </w:rPr>
        <w:t>between the department and po</w:t>
      </w:r>
      <w:r w:rsidR="00B42FC1">
        <w:rPr>
          <w:lang w:val="en-AU"/>
        </w:rPr>
        <w:t>r</w:t>
      </w:r>
      <w:r w:rsidR="0034238D">
        <w:rPr>
          <w:lang w:val="en-AU"/>
        </w:rPr>
        <w:t xml:space="preserve">tfolio entities, </w:t>
      </w:r>
      <w:r w:rsidR="00B42FC1">
        <w:rPr>
          <w:lang w:val="en-AU"/>
        </w:rPr>
        <w:t>p</w:t>
      </w:r>
      <w:r w:rsidR="00B86525" w:rsidRPr="00EF72B9">
        <w:rPr>
          <w:lang w:val="en-AU"/>
        </w:rPr>
        <w:t>rovid</w:t>
      </w:r>
      <w:r w:rsidR="00B42FC1">
        <w:rPr>
          <w:lang w:val="en-AU"/>
        </w:rPr>
        <w:t>ing ongoing</w:t>
      </w:r>
      <w:r w:rsidR="00B6560C" w:rsidRPr="00B6560C">
        <w:rPr>
          <w:lang w:val="en-AU"/>
        </w:rPr>
        <w:t xml:space="preserve"> oversight and support on governance, finance, performance and integrity matters</w:t>
      </w:r>
      <w:r w:rsidR="00DB7076">
        <w:rPr>
          <w:lang w:val="en-AU"/>
        </w:rPr>
        <w:t xml:space="preserve">. This includes ensuring </w:t>
      </w:r>
      <w:r w:rsidR="00B42FC1">
        <w:rPr>
          <w:lang w:val="en-AU"/>
        </w:rPr>
        <w:t xml:space="preserve">entities’ </w:t>
      </w:r>
      <w:r w:rsidR="00DB7076">
        <w:rPr>
          <w:lang w:val="en-AU"/>
        </w:rPr>
        <w:t xml:space="preserve">compliance with </w:t>
      </w:r>
      <w:r w:rsidR="007B4F89">
        <w:rPr>
          <w:lang w:val="en-AU"/>
        </w:rPr>
        <w:t xml:space="preserve">Victorian Government and DJSIR </w:t>
      </w:r>
      <w:r w:rsidR="00DB7076">
        <w:rPr>
          <w:lang w:val="en-AU"/>
        </w:rPr>
        <w:t>governance requirements</w:t>
      </w:r>
      <w:r w:rsidR="007B4F89">
        <w:rPr>
          <w:lang w:val="en-AU"/>
        </w:rPr>
        <w:t xml:space="preserve"> as </w:t>
      </w:r>
      <w:r w:rsidR="00BF1CE5">
        <w:rPr>
          <w:lang w:val="en-AU"/>
        </w:rPr>
        <w:t xml:space="preserve">listed in this guide and other relevant </w:t>
      </w:r>
      <w:r w:rsidR="00867DB4">
        <w:rPr>
          <w:lang w:val="en-AU"/>
        </w:rPr>
        <w:t xml:space="preserve">legislation, regulations, </w:t>
      </w:r>
      <w:r w:rsidR="00BF1CE5">
        <w:rPr>
          <w:lang w:val="en-AU"/>
        </w:rPr>
        <w:t xml:space="preserve">policies and </w:t>
      </w:r>
      <w:r w:rsidR="00867DB4">
        <w:rPr>
          <w:lang w:val="en-AU"/>
        </w:rPr>
        <w:t>procedures</w:t>
      </w:r>
      <w:r w:rsidR="00FE62C3">
        <w:rPr>
          <w:lang w:val="en-AU"/>
        </w:rPr>
        <w:t xml:space="preserve">. Additionally, </w:t>
      </w:r>
      <w:r w:rsidR="00100EE5">
        <w:rPr>
          <w:lang w:val="en-AU"/>
        </w:rPr>
        <w:t xml:space="preserve">actively influence entities and boards to adopt best practice in governance and encourage </w:t>
      </w:r>
      <w:r w:rsidR="008910B0">
        <w:rPr>
          <w:lang w:val="en-AU"/>
        </w:rPr>
        <w:t>adherence to high standards of accountability and transparency.</w:t>
      </w:r>
    </w:p>
    <w:p w14:paraId="583161D9" w14:textId="1884A39E" w:rsidR="00B6560C" w:rsidRPr="00B6560C" w:rsidRDefault="00B6560C" w:rsidP="00735900">
      <w:pPr>
        <w:numPr>
          <w:ilvl w:val="0"/>
          <w:numId w:val="51"/>
        </w:numPr>
        <w:rPr>
          <w:lang w:val="en-AU"/>
        </w:rPr>
      </w:pPr>
      <w:r w:rsidRPr="00B6560C">
        <w:rPr>
          <w:lang w:val="en-AU"/>
        </w:rPr>
        <w:t>Collaborat</w:t>
      </w:r>
      <w:r w:rsidR="008910B0">
        <w:rPr>
          <w:lang w:val="en-AU"/>
        </w:rPr>
        <w:t xml:space="preserve">ion on key governance processes: Work in close collaboration </w:t>
      </w:r>
      <w:r w:rsidRPr="00B6560C">
        <w:rPr>
          <w:lang w:val="en-AU"/>
        </w:rPr>
        <w:t xml:space="preserve">with Corporate Services on key governance processes including development </w:t>
      </w:r>
      <w:r w:rsidR="003E4319">
        <w:rPr>
          <w:lang w:val="en-AU"/>
        </w:rPr>
        <w:t xml:space="preserve">and maintenance </w:t>
      </w:r>
      <w:r w:rsidRPr="00B6560C">
        <w:rPr>
          <w:lang w:val="en-AU"/>
        </w:rPr>
        <w:t>of entity profiles</w:t>
      </w:r>
      <w:r w:rsidR="00462FD8">
        <w:rPr>
          <w:lang w:val="en-AU"/>
        </w:rPr>
        <w:t xml:space="preserve"> </w:t>
      </w:r>
      <w:r w:rsidR="00C41125">
        <w:rPr>
          <w:lang w:val="en-AU"/>
        </w:rPr>
        <w:t xml:space="preserve">which </w:t>
      </w:r>
      <w:r w:rsidR="002873B7">
        <w:rPr>
          <w:lang w:val="en-AU"/>
        </w:rPr>
        <w:t>may</w:t>
      </w:r>
      <w:r w:rsidR="00DD0B05">
        <w:rPr>
          <w:lang w:val="en-AU"/>
        </w:rPr>
        <w:t xml:space="preserve"> </w:t>
      </w:r>
      <w:r w:rsidR="00C41125">
        <w:rPr>
          <w:lang w:val="en-AU"/>
        </w:rPr>
        <w:t>involve</w:t>
      </w:r>
      <w:r w:rsidR="00DD0B05">
        <w:rPr>
          <w:lang w:val="en-AU"/>
        </w:rPr>
        <w:t xml:space="preserve"> </w:t>
      </w:r>
      <w:r w:rsidR="00462FD8">
        <w:rPr>
          <w:lang w:val="en-AU"/>
        </w:rPr>
        <w:t>supporting the establishment of Terms of Reference, Statement of Expectations</w:t>
      </w:r>
      <w:r w:rsidR="006249CA">
        <w:rPr>
          <w:lang w:val="en-AU"/>
        </w:rPr>
        <w:t xml:space="preserve"> and Advisory Committee</w:t>
      </w:r>
      <w:r w:rsidR="00E86B6F">
        <w:rPr>
          <w:lang w:val="en-AU"/>
        </w:rPr>
        <w:t>s</w:t>
      </w:r>
      <w:r w:rsidR="006465BB">
        <w:rPr>
          <w:lang w:val="en-AU"/>
        </w:rPr>
        <w:t>.</w:t>
      </w:r>
      <w:r w:rsidRPr="00B6560C">
        <w:rPr>
          <w:lang w:val="en-AU"/>
        </w:rPr>
        <w:t xml:space="preserve"> </w:t>
      </w:r>
      <w:r w:rsidR="003E4319">
        <w:rPr>
          <w:lang w:val="en-AU"/>
        </w:rPr>
        <w:t>Ensure timely u</w:t>
      </w:r>
      <w:r w:rsidRPr="00B6560C">
        <w:rPr>
          <w:lang w:val="en-AU"/>
        </w:rPr>
        <w:t>pdate</w:t>
      </w:r>
      <w:r w:rsidR="003E4319">
        <w:rPr>
          <w:lang w:val="en-AU"/>
        </w:rPr>
        <w:t>s to</w:t>
      </w:r>
      <w:r w:rsidRPr="00B6560C">
        <w:rPr>
          <w:lang w:val="en-AU"/>
        </w:rPr>
        <w:t xml:space="preserve"> </w:t>
      </w:r>
      <w:r w:rsidR="00052039">
        <w:rPr>
          <w:lang w:val="en-AU"/>
        </w:rPr>
        <w:t xml:space="preserve">Corporate Services </w:t>
      </w:r>
      <w:r w:rsidRPr="00B6560C">
        <w:rPr>
          <w:lang w:val="en-AU"/>
        </w:rPr>
        <w:t xml:space="preserve">on any </w:t>
      </w:r>
      <w:r w:rsidRPr="00B6560C">
        <w:t>significant change</w:t>
      </w:r>
      <w:r w:rsidR="003E4319">
        <w:t>s</w:t>
      </w:r>
      <w:r w:rsidRPr="00B6560C">
        <w:t xml:space="preserve"> in portfolio composition, operations and</w:t>
      </w:r>
      <w:r w:rsidR="009B5FA0">
        <w:t xml:space="preserve"> any</w:t>
      </w:r>
      <w:r w:rsidRPr="00B6560C">
        <w:t xml:space="preserve"> breach</w:t>
      </w:r>
      <w:r w:rsidR="009B5FA0">
        <w:t>es</w:t>
      </w:r>
      <w:r w:rsidRPr="00B6560C">
        <w:t xml:space="preserve"> of </w:t>
      </w:r>
      <w:r w:rsidR="009B5FA0">
        <w:t>governance</w:t>
      </w:r>
      <w:r w:rsidRPr="00B6560C">
        <w:t xml:space="preserve"> obligations</w:t>
      </w:r>
      <w:r w:rsidR="009B5FA0">
        <w:t>, facilitating corrective actions where necessary</w:t>
      </w:r>
      <w:r w:rsidRPr="00B6560C">
        <w:t xml:space="preserve">. </w:t>
      </w:r>
    </w:p>
    <w:p w14:paraId="7983A14A" w14:textId="27E0D562" w:rsidR="00B6560C" w:rsidRPr="00B6560C" w:rsidRDefault="009B5FA0" w:rsidP="00735900">
      <w:pPr>
        <w:numPr>
          <w:ilvl w:val="0"/>
          <w:numId w:val="51"/>
        </w:numPr>
        <w:rPr>
          <w:lang w:val="en-AU"/>
        </w:rPr>
      </w:pPr>
      <w:r>
        <w:t xml:space="preserve">Board recruitment and compliance: Serve as the </w:t>
      </w:r>
      <w:r w:rsidRPr="0031392F">
        <w:t>l</w:t>
      </w:r>
      <w:r w:rsidR="00B6560C" w:rsidRPr="0031392F">
        <w:t xml:space="preserve">iaison for </w:t>
      </w:r>
      <w:r w:rsidRPr="00BC11A7">
        <w:t>portfolio entities regarding their</w:t>
      </w:r>
      <w:r w:rsidR="00B6560C" w:rsidRPr="00B6560C">
        <w:t xml:space="preserve"> board recruitment process</w:t>
      </w:r>
      <w:r>
        <w:t>es</w:t>
      </w:r>
      <w:r w:rsidR="008C2438">
        <w:t>.</w:t>
      </w:r>
      <w:r w:rsidR="00B6560C" w:rsidRPr="00B6560C">
        <w:t xml:space="preserve"> </w:t>
      </w:r>
      <w:r w:rsidR="008C2438">
        <w:t xml:space="preserve">This </w:t>
      </w:r>
      <w:r w:rsidR="00B6560C" w:rsidRPr="00B6560C">
        <w:t>includ</w:t>
      </w:r>
      <w:r w:rsidR="008C2438">
        <w:t>es</w:t>
      </w:r>
      <w:r w:rsidR="00B6560C" w:rsidRPr="00B6560C">
        <w:t xml:space="preserve"> consultation with </w:t>
      </w:r>
      <w:r w:rsidR="000341D1">
        <w:t>c</w:t>
      </w:r>
      <w:r w:rsidR="00B6560C" w:rsidRPr="00B6560C">
        <w:t xml:space="preserve">hairs and </w:t>
      </w:r>
      <w:r w:rsidR="007F3195">
        <w:t>the r</w:t>
      </w:r>
      <w:r w:rsidR="00B6560C" w:rsidRPr="00B6560C">
        <w:t xml:space="preserve">esponsible </w:t>
      </w:r>
      <w:r w:rsidR="00A932D2">
        <w:t>m</w:t>
      </w:r>
      <w:r w:rsidR="00B6560C" w:rsidRPr="00B6560C">
        <w:t>inister</w:t>
      </w:r>
      <w:r w:rsidR="007F3195">
        <w:t>s</w:t>
      </w:r>
      <w:r w:rsidR="008C2438">
        <w:t xml:space="preserve"> </w:t>
      </w:r>
      <w:r w:rsidR="008C2438" w:rsidRPr="008C2438">
        <w:t xml:space="preserve">to ensure the recruitment process complies with legislative, </w:t>
      </w:r>
      <w:r w:rsidR="00D70545">
        <w:t xml:space="preserve">Victorian </w:t>
      </w:r>
      <w:r w:rsidR="008C2438" w:rsidRPr="008C2438">
        <w:t>Government, and departmental requirements, thereby promoting good governance practices at the board level</w:t>
      </w:r>
      <w:r w:rsidR="00B6560C" w:rsidRPr="00B6560C">
        <w:t>.</w:t>
      </w:r>
    </w:p>
    <w:p w14:paraId="49CF9476" w14:textId="0600F59F" w:rsidR="00B6560C" w:rsidRDefault="00D70545" w:rsidP="00735900">
      <w:pPr>
        <w:numPr>
          <w:ilvl w:val="0"/>
          <w:numId w:val="51"/>
        </w:numPr>
        <w:rPr>
          <w:lang w:val="en-AU"/>
        </w:rPr>
      </w:pPr>
      <w:r w:rsidRPr="00BC11A7">
        <w:t>Risk Management and Monitoring:</w:t>
      </w:r>
      <w:r w:rsidRPr="00D70545">
        <w:t xml:space="preserve"> Lead the development, implementation, and monitoring of treatment actions for identified governance and operational risks, ensuring entities proactively address issues and mitigate risks to maintain good governance and performance</w:t>
      </w:r>
      <w:r w:rsidR="00B6560C" w:rsidRPr="00B6560C">
        <w:rPr>
          <w:lang w:val="en-AU"/>
        </w:rPr>
        <w:t>.</w:t>
      </w:r>
    </w:p>
    <w:p w14:paraId="6A57B63E" w14:textId="7766E26C" w:rsidR="009D3B78" w:rsidRDefault="009D3B78" w:rsidP="00735900">
      <w:pPr>
        <w:numPr>
          <w:ilvl w:val="0"/>
          <w:numId w:val="51"/>
        </w:numPr>
        <w:rPr>
          <w:lang w:val="en-AU"/>
        </w:rPr>
      </w:pPr>
      <w:r>
        <w:rPr>
          <w:lang w:val="en-AU"/>
        </w:rPr>
        <w:t xml:space="preserve">Preparation of high-level submissions and briefings: </w:t>
      </w:r>
      <w:r w:rsidR="0031392F" w:rsidRPr="0031392F">
        <w:t xml:space="preserve">Prepare ministerial briefs, Cabinet submissions, and Governor in Council submissions on matters related to the portfolio entities and their boards, ensuring all information is aligned with </w:t>
      </w:r>
      <w:r w:rsidR="00E16FA0">
        <w:t>g</w:t>
      </w:r>
      <w:r w:rsidR="0031392F" w:rsidRPr="0031392F">
        <w:t>overnment priorities, governance best practices, and reporting obligations.</w:t>
      </w:r>
    </w:p>
    <w:p w14:paraId="73CBF8E3" w14:textId="7C3CE28D" w:rsidR="005D5091" w:rsidRDefault="00EE253C" w:rsidP="00BC11A7">
      <w:pPr>
        <w:pStyle w:val="Heading4"/>
      </w:pPr>
      <w:bookmarkStart w:id="52" w:name="_Toc194930389"/>
      <w:r>
        <w:t xml:space="preserve">5.5.1.1 </w:t>
      </w:r>
      <w:r w:rsidR="00F65844">
        <w:t>Roles and responsibilities of Corporate Services</w:t>
      </w:r>
      <w:bookmarkEnd w:id="52"/>
    </w:p>
    <w:p w14:paraId="565D886A" w14:textId="3A6B163A" w:rsidR="004349DB" w:rsidRDefault="00C724B1" w:rsidP="0051166B">
      <w:r>
        <w:t>The</w:t>
      </w:r>
      <w:r w:rsidR="00462539">
        <w:t xml:space="preserve"> </w:t>
      </w:r>
      <w:r w:rsidR="00F0582E" w:rsidDel="00597C3E">
        <w:t>Financial</w:t>
      </w:r>
      <w:r w:rsidR="00F407DD">
        <w:t xml:space="preserve">, </w:t>
      </w:r>
      <w:r w:rsidR="00597C3E">
        <w:t>Investment</w:t>
      </w:r>
      <w:r w:rsidR="00F0582E">
        <w:t xml:space="preserve"> and Procurement </w:t>
      </w:r>
      <w:r>
        <w:t xml:space="preserve">branch </w:t>
      </w:r>
      <w:r w:rsidR="00D95F27">
        <w:t xml:space="preserve">within </w:t>
      </w:r>
      <w:r w:rsidR="00665F13">
        <w:t>C</w:t>
      </w:r>
      <w:r w:rsidR="00D95F27">
        <w:t xml:space="preserve">orporate </w:t>
      </w:r>
      <w:r w:rsidR="00665F13">
        <w:t>S</w:t>
      </w:r>
      <w:r w:rsidR="00D95F27">
        <w:t xml:space="preserve">ervices </w:t>
      </w:r>
      <w:r w:rsidR="00F0582E">
        <w:t>will support relationship managers on matters of fiscal risk and cost pressures</w:t>
      </w:r>
      <w:r w:rsidR="003B2C6D">
        <w:t>.</w:t>
      </w:r>
      <w:r w:rsidR="00861510">
        <w:t xml:space="preserve"> </w:t>
      </w:r>
    </w:p>
    <w:p w14:paraId="3E24A8BB" w14:textId="3432525F" w:rsidR="0051166B" w:rsidRPr="0051166B" w:rsidRDefault="00861510" w:rsidP="0051166B">
      <w:pPr>
        <w:rPr>
          <w:lang w:val="en-AU"/>
        </w:rPr>
      </w:pPr>
      <w:r>
        <w:t>T</w:t>
      </w:r>
      <w:r w:rsidR="00D54E65">
        <w:t xml:space="preserve">he </w:t>
      </w:r>
      <w:r w:rsidR="00E313CB">
        <w:t xml:space="preserve">Strategy, </w:t>
      </w:r>
      <w:r w:rsidR="00D54E65">
        <w:t>P</w:t>
      </w:r>
      <w:r w:rsidR="00F0165B">
        <w:t xml:space="preserve">erformance and </w:t>
      </w:r>
      <w:r w:rsidR="00D54E65">
        <w:t>G</w:t>
      </w:r>
      <w:r w:rsidR="00F0165B">
        <w:t xml:space="preserve">overnance </w:t>
      </w:r>
      <w:r w:rsidR="00E159D9">
        <w:t xml:space="preserve">branch </w:t>
      </w:r>
      <w:r w:rsidR="00D95F27">
        <w:t xml:space="preserve">within </w:t>
      </w:r>
      <w:r w:rsidR="00F367CA">
        <w:t>C</w:t>
      </w:r>
      <w:r w:rsidR="00D95F27">
        <w:t xml:space="preserve">orporate </w:t>
      </w:r>
      <w:r w:rsidR="00F367CA">
        <w:t>S</w:t>
      </w:r>
      <w:r w:rsidR="00D95F27">
        <w:t>ervices</w:t>
      </w:r>
      <w:r w:rsidR="00E159D9">
        <w:t xml:space="preserve"> </w:t>
      </w:r>
      <w:r w:rsidR="001F3C72">
        <w:t>(including the Busines</w:t>
      </w:r>
      <w:r w:rsidR="00554DA9">
        <w:t xml:space="preserve">s Planning and Governance team and Government and Parliamentary Services team) </w:t>
      </w:r>
      <w:r w:rsidR="00F0165B">
        <w:t>will provide centrali</w:t>
      </w:r>
      <w:r w:rsidR="00D54E65">
        <w:t>s</w:t>
      </w:r>
      <w:r w:rsidR="00F0165B">
        <w:t xml:space="preserve">ed support on matters related to portfolio governance for </w:t>
      </w:r>
      <w:r w:rsidR="00D54E65">
        <w:t>entities</w:t>
      </w:r>
      <w:r w:rsidR="001A6EEA">
        <w:t>. T</w:t>
      </w:r>
      <w:r w:rsidR="00734DFC">
        <w:t>h</w:t>
      </w:r>
      <w:r w:rsidR="001A6EEA">
        <w:t>is</w:t>
      </w:r>
      <w:r w:rsidR="005A781A">
        <w:t xml:space="preserve"> include</w:t>
      </w:r>
      <w:r w:rsidR="001A6EEA">
        <w:t>s</w:t>
      </w:r>
      <w:r w:rsidR="005A781A">
        <w:t>:</w:t>
      </w:r>
      <w:r w:rsidR="004C6630">
        <w:t xml:space="preserve"> </w:t>
      </w:r>
    </w:p>
    <w:p w14:paraId="139A20AF" w14:textId="2E84EBCE" w:rsidR="00734DFC" w:rsidRPr="00734DFC" w:rsidRDefault="00F8686A" w:rsidP="00735900">
      <w:pPr>
        <w:numPr>
          <w:ilvl w:val="0"/>
          <w:numId w:val="52"/>
        </w:numPr>
        <w:rPr>
          <w:lang w:val="en-AU"/>
        </w:rPr>
      </w:pPr>
      <w:r>
        <w:rPr>
          <w:lang w:val="en-AU"/>
        </w:rPr>
        <w:t>Providing g</w:t>
      </w:r>
      <w:r w:rsidR="00C3583F">
        <w:rPr>
          <w:lang w:val="en-AU"/>
        </w:rPr>
        <w:t>uidance o</w:t>
      </w:r>
      <w:r w:rsidR="006F0EB7">
        <w:rPr>
          <w:lang w:val="en-AU"/>
        </w:rPr>
        <w:t>n legislative</w:t>
      </w:r>
      <w:r w:rsidR="00FA5148">
        <w:rPr>
          <w:lang w:val="en-AU"/>
        </w:rPr>
        <w:t xml:space="preserve">, </w:t>
      </w:r>
      <w:r w:rsidR="006F0EB7">
        <w:rPr>
          <w:lang w:val="en-AU"/>
        </w:rPr>
        <w:t>framework</w:t>
      </w:r>
      <w:r w:rsidR="00FA5148">
        <w:rPr>
          <w:lang w:val="en-AU"/>
        </w:rPr>
        <w:t xml:space="preserve"> and policy</w:t>
      </w:r>
      <w:r w:rsidR="006F0EB7">
        <w:rPr>
          <w:lang w:val="en-AU"/>
        </w:rPr>
        <w:t xml:space="preserve"> compliance</w:t>
      </w:r>
      <w:r w:rsidR="008C6128">
        <w:rPr>
          <w:lang w:val="en-AU"/>
        </w:rPr>
        <w:t>: Assist</w:t>
      </w:r>
      <w:r w:rsidR="00DF719D">
        <w:rPr>
          <w:lang w:val="en-AU"/>
        </w:rPr>
        <w:t>ing</w:t>
      </w:r>
      <w:r w:rsidR="008C6128">
        <w:rPr>
          <w:lang w:val="en-AU"/>
        </w:rPr>
        <w:t xml:space="preserve"> in the interpretation and</w:t>
      </w:r>
      <w:r w:rsidR="00E53BB5">
        <w:rPr>
          <w:lang w:val="en-AU"/>
        </w:rPr>
        <w:t>/or</w:t>
      </w:r>
      <w:r w:rsidR="008C6128">
        <w:rPr>
          <w:lang w:val="en-AU"/>
        </w:rPr>
        <w:t xml:space="preserve"> application of</w:t>
      </w:r>
      <w:r w:rsidR="00734DFC" w:rsidRPr="00734DFC">
        <w:rPr>
          <w:lang w:val="en-AU"/>
        </w:rPr>
        <w:t xml:space="preserve"> entities’ obligations under the PAA, FMA,</w:t>
      </w:r>
      <w:r w:rsidR="003B6BFB">
        <w:rPr>
          <w:lang w:val="en-AU"/>
        </w:rPr>
        <w:t xml:space="preserve"> </w:t>
      </w:r>
      <w:r w:rsidR="00734DFC" w:rsidRPr="00734DFC">
        <w:rPr>
          <w:lang w:val="en-AU"/>
        </w:rPr>
        <w:t>the Resource Management Framework (RMF)</w:t>
      </w:r>
      <w:r w:rsidR="00FA5148">
        <w:rPr>
          <w:lang w:val="en-AU"/>
        </w:rPr>
        <w:t>, Premier’s Appointment and Remuneration Guidelines and Diversity on Victorian Boards Guidelines</w:t>
      </w:r>
      <w:r w:rsidR="00E53BB5">
        <w:rPr>
          <w:lang w:val="en-AU"/>
        </w:rPr>
        <w:t xml:space="preserve"> among others</w:t>
      </w:r>
      <w:r w:rsidR="00734DFC" w:rsidRPr="00734DFC">
        <w:rPr>
          <w:lang w:val="en-AU"/>
        </w:rPr>
        <w:t xml:space="preserve">. </w:t>
      </w:r>
    </w:p>
    <w:p w14:paraId="1AE492D2" w14:textId="7BF644FC" w:rsidR="00734DFC" w:rsidRPr="00734DFC" w:rsidRDefault="00734DFC" w:rsidP="00735900">
      <w:pPr>
        <w:numPr>
          <w:ilvl w:val="0"/>
          <w:numId w:val="52"/>
        </w:numPr>
        <w:rPr>
          <w:lang w:val="en-AU"/>
        </w:rPr>
      </w:pPr>
      <w:r w:rsidRPr="00734DFC">
        <w:rPr>
          <w:lang w:val="en-AU"/>
        </w:rPr>
        <w:t xml:space="preserve">Development and </w:t>
      </w:r>
      <w:r w:rsidR="000455F4">
        <w:rPr>
          <w:lang w:val="en-AU"/>
        </w:rPr>
        <w:t xml:space="preserve">dissemination of resources: </w:t>
      </w:r>
      <w:r w:rsidR="00DF719D">
        <w:rPr>
          <w:lang w:val="en-AU"/>
        </w:rPr>
        <w:t xml:space="preserve">developing and distributing </w:t>
      </w:r>
      <w:r w:rsidRPr="00734DFC">
        <w:rPr>
          <w:lang w:val="en-AU"/>
        </w:rPr>
        <w:t>guidance</w:t>
      </w:r>
      <w:r w:rsidR="00113625">
        <w:rPr>
          <w:lang w:val="en-AU"/>
        </w:rPr>
        <w:t xml:space="preserve"> materials</w:t>
      </w:r>
      <w:r w:rsidRPr="00734DFC">
        <w:rPr>
          <w:lang w:val="en-AU"/>
        </w:rPr>
        <w:t xml:space="preserve">, tools and templates to </w:t>
      </w:r>
      <w:r w:rsidR="00113625">
        <w:rPr>
          <w:lang w:val="en-AU"/>
        </w:rPr>
        <w:t xml:space="preserve">support </w:t>
      </w:r>
      <w:r w:rsidRPr="00734DFC">
        <w:rPr>
          <w:lang w:val="en-AU"/>
        </w:rPr>
        <w:t xml:space="preserve">entities </w:t>
      </w:r>
      <w:r w:rsidR="00113625">
        <w:rPr>
          <w:lang w:val="en-AU"/>
        </w:rPr>
        <w:t xml:space="preserve">in </w:t>
      </w:r>
      <w:r w:rsidRPr="00734DFC">
        <w:rPr>
          <w:lang w:val="en-AU"/>
        </w:rPr>
        <w:t>meet</w:t>
      </w:r>
      <w:r w:rsidR="00113625">
        <w:rPr>
          <w:lang w:val="en-AU"/>
        </w:rPr>
        <w:t>ing</w:t>
      </w:r>
      <w:r w:rsidRPr="00734DFC">
        <w:rPr>
          <w:lang w:val="en-AU"/>
        </w:rPr>
        <w:t xml:space="preserve"> their obligations (e.g. </w:t>
      </w:r>
      <w:r w:rsidR="005A781A">
        <w:rPr>
          <w:lang w:val="en-AU"/>
        </w:rPr>
        <w:t xml:space="preserve">this </w:t>
      </w:r>
      <w:r w:rsidR="00CC375E">
        <w:rPr>
          <w:lang w:val="en-AU"/>
        </w:rPr>
        <w:t>g</w:t>
      </w:r>
      <w:r w:rsidRPr="00734DFC">
        <w:rPr>
          <w:lang w:val="en-AU"/>
        </w:rPr>
        <w:t xml:space="preserve">uide to good governance, </w:t>
      </w:r>
      <w:r w:rsidR="00F24D2C">
        <w:rPr>
          <w:lang w:val="en-AU"/>
        </w:rPr>
        <w:t>e</w:t>
      </w:r>
      <w:r w:rsidR="00113625">
        <w:rPr>
          <w:lang w:val="en-AU"/>
        </w:rPr>
        <w:t>ntity c</w:t>
      </w:r>
      <w:r w:rsidRPr="00734DFC">
        <w:rPr>
          <w:lang w:val="en-AU"/>
        </w:rPr>
        <w:t>orporate planning guidelines).</w:t>
      </w:r>
    </w:p>
    <w:p w14:paraId="4DE15370" w14:textId="31C1646B" w:rsidR="00734DFC" w:rsidRPr="00734DFC" w:rsidRDefault="00A20F53" w:rsidP="00735900">
      <w:pPr>
        <w:numPr>
          <w:ilvl w:val="0"/>
          <w:numId w:val="52"/>
        </w:numPr>
        <w:rPr>
          <w:lang w:val="en-AU"/>
        </w:rPr>
      </w:pPr>
      <w:r>
        <w:t>Serving as</w:t>
      </w:r>
      <w:r w:rsidR="00FE31CF">
        <w:t xml:space="preserve"> the c</w:t>
      </w:r>
      <w:r w:rsidR="00A35CEF" w:rsidRPr="00A35CEF">
        <w:t xml:space="preserve">entral </w:t>
      </w:r>
      <w:r w:rsidR="00A35CEF">
        <w:t>p</w:t>
      </w:r>
      <w:r w:rsidR="00A35CEF" w:rsidRPr="00A35CEF">
        <w:t xml:space="preserve">oint of </w:t>
      </w:r>
      <w:r w:rsidR="00A35CEF">
        <w:t>c</w:t>
      </w:r>
      <w:r w:rsidR="00A35CEF" w:rsidRPr="00A35CEF">
        <w:t xml:space="preserve">ontact </w:t>
      </w:r>
      <w:r w:rsidR="00AB5EE4">
        <w:t xml:space="preserve">and advisory support </w:t>
      </w:r>
      <w:r w:rsidR="00A35CEF" w:rsidRPr="00A35CEF">
        <w:t xml:space="preserve">for </w:t>
      </w:r>
      <w:r w:rsidR="00A35CEF">
        <w:t>g</w:t>
      </w:r>
      <w:r w:rsidR="00A35CEF" w:rsidRPr="00A35CEF">
        <w:t xml:space="preserve">overnance </w:t>
      </w:r>
      <w:r w:rsidR="00A35CEF">
        <w:t>i</w:t>
      </w:r>
      <w:r w:rsidR="00A35CEF" w:rsidRPr="00A35CEF">
        <w:t>ssues</w:t>
      </w:r>
      <w:r w:rsidR="007A3674">
        <w:rPr>
          <w:lang w:val="en-AU"/>
        </w:rPr>
        <w:t xml:space="preserve">: </w:t>
      </w:r>
      <w:r w:rsidR="002C7E29">
        <w:rPr>
          <w:lang w:val="en-AU"/>
        </w:rPr>
        <w:t>Act</w:t>
      </w:r>
      <w:r w:rsidR="0052453A">
        <w:rPr>
          <w:lang w:val="en-AU"/>
        </w:rPr>
        <w:t>ing</w:t>
      </w:r>
      <w:r w:rsidR="00A35CEF">
        <w:rPr>
          <w:lang w:val="en-AU"/>
        </w:rPr>
        <w:t xml:space="preserve"> as the </w:t>
      </w:r>
      <w:r w:rsidR="00A61815">
        <w:rPr>
          <w:lang w:val="en-AU"/>
        </w:rPr>
        <w:t>primary</w:t>
      </w:r>
      <w:r w:rsidR="00734DFC" w:rsidRPr="00734DFC">
        <w:rPr>
          <w:lang w:val="en-AU"/>
        </w:rPr>
        <w:t xml:space="preserve"> contact for relationship managers on </w:t>
      </w:r>
      <w:r w:rsidR="00A61815">
        <w:rPr>
          <w:lang w:val="en-AU"/>
        </w:rPr>
        <w:t xml:space="preserve">complex </w:t>
      </w:r>
      <w:r w:rsidR="00734DFC" w:rsidRPr="00734DFC">
        <w:rPr>
          <w:lang w:val="en-AU"/>
        </w:rPr>
        <w:t xml:space="preserve">portfolio governance </w:t>
      </w:r>
      <w:r w:rsidR="00A61815">
        <w:rPr>
          <w:lang w:val="en-AU"/>
        </w:rPr>
        <w:t>matters requiring</w:t>
      </w:r>
      <w:r w:rsidR="00734DFC" w:rsidRPr="00734DFC">
        <w:rPr>
          <w:lang w:val="en-AU"/>
        </w:rPr>
        <w:t xml:space="preserve"> department</w:t>
      </w:r>
      <w:r w:rsidR="00783C43">
        <w:rPr>
          <w:lang w:val="en-AU"/>
        </w:rPr>
        <w:t>al</w:t>
      </w:r>
      <w:r w:rsidR="00734DFC" w:rsidRPr="00734DFC">
        <w:rPr>
          <w:lang w:val="en-AU"/>
        </w:rPr>
        <w:t xml:space="preserve"> impact analysis</w:t>
      </w:r>
      <w:r w:rsidR="005679CF">
        <w:rPr>
          <w:lang w:val="en-AU"/>
        </w:rPr>
        <w:t xml:space="preserve"> (</w:t>
      </w:r>
      <w:r w:rsidR="004431A6">
        <w:rPr>
          <w:lang w:val="en-AU"/>
        </w:rPr>
        <w:t>e.g.</w:t>
      </w:r>
      <w:r w:rsidR="005679CF">
        <w:rPr>
          <w:lang w:val="en-AU"/>
        </w:rPr>
        <w:t xml:space="preserve"> establishment of new entities and relevant personnel appointments)</w:t>
      </w:r>
      <w:r w:rsidR="00025B66">
        <w:rPr>
          <w:lang w:val="en-AU"/>
        </w:rPr>
        <w:t xml:space="preserve">, while also providing advice on regular inquiries from the department and entities </w:t>
      </w:r>
      <w:r w:rsidR="00213F2D">
        <w:rPr>
          <w:lang w:val="en-AU"/>
        </w:rPr>
        <w:t>related to governance and compliance matters</w:t>
      </w:r>
      <w:r w:rsidR="00734DFC" w:rsidRPr="00734DFC">
        <w:rPr>
          <w:lang w:val="en-AU"/>
        </w:rPr>
        <w:t xml:space="preserve">. </w:t>
      </w:r>
    </w:p>
    <w:p w14:paraId="46814478" w14:textId="432027ED" w:rsidR="00734DFC" w:rsidRPr="00734DFC" w:rsidRDefault="00056F02" w:rsidP="00735900">
      <w:pPr>
        <w:numPr>
          <w:ilvl w:val="0"/>
          <w:numId w:val="52"/>
        </w:numPr>
        <w:rPr>
          <w:lang w:val="en-AU"/>
        </w:rPr>
      </w:pPr>
      <w:r>
        <w:rPr>
          <w:lang w:val="en-AU"/>
        </w:rPr>
        <w:t>Acting as a</w:t>
      </w:r>
      <w:r w:rsidR="00B936A7">
        <w:rPr>
          <w:lang w:val="en-AU"/>
        </w:rPr>
        <w:t>n a</w:t>
      </w:r>
      <w:r w:rsidR="00BA527B">
        <w:rPr>
          <w:lang w:val="en-AU"/>
        </w:rPr>
        <w:t>dvoca</w:t>
      </w:r>
      <w:r w:rsidR="00B936A7">
        <w:rPr>
          <w:lang w:val="en-AU"/>
        </w:rPr>
        <w:t>te</w:t>
      </w:r>
      <w:r w:rsidR="00BA527B">
        <w:rPr>
          <w:lang w:val="en-AU"/>
        </w:rPr>
        <w:t xml:space="preserve"> and </w:t>
      </w:r>
      <w:r w:rsidR="00696533">
        <w:rPr>
          <w:lang w:val="en-AU"/>
        </w:rPr>
        <w:t>liaison</w:t>
      </w:r>
      <w:r w:rsidR="00560BC3">
        <w:rPr>
          <w:lang w:val="en-AU"/>
        </w:rPr>
        <w:t xml:space="preserve"> </w:t>
      </w:r>
      <w:r w:rsidR="00696533">
        <w:rPr>
          <w:lang w:val="en-AU"/>
        </w:rPr>
        <w:t>for governance matters and initiatives:</w:t>
      </w:r>
      <w:r w:rsidR="00B50092">
        <w:rPr>
          <w:lang w:val="en-AU"/>
        </w:rPr>
        <w:t xml:space="preserve"> </w:t>
      </w:r>
      <w:r w:rsidR="00B50092" w:rsidRPr="00B50092">
        <w:t>Advocat</w:t>
      </w:r>
      <w:r w:rsidR="0052453A">
        <w:t>ing</w:t>
      </w:r>
      <w:r w:rsidR="00B50092" w:rsidRPr="00B50092">
        <w:t xml:space="preserve"> for portfolio entities’ interests to ensure their representation on consultation forums, act</w:t>
      </w:r>
      <w:r w:rsidR="0058679B">
        <w:t>ing</w:t>
      </w:r>
      <w:r w:rsidR="00B50092" w:rsidRPr="00B50092">
        <w:t xml:space="preserve"> as the liaison for central agency requests, and facilitat</w:t>
      </w:r>
      <w:r w:rsidR="0058679B">
        <w:t>ing</w:t>
      </w:r>
      <w:r w:rsidR="00B50092" w:rsidRPr="00B50092">
        <w:t xml:space="preserve"> the implementation of </w:t>
      </w:r>
      <w:r w:rsidR="00734DFC" w:rsidRPr="00734DFC">
        <w:rPr>
          <w:lang w:val="en-AU"/>
        </w:rPr>
        <w:t>Whole of Victorian Government initiatives (e.g. Diversity on Boards).</w:t>
      </w:r>
    </w:p>
    <w:p w14:paraId="0D2035D7" w14:textId="4E4A219B" w:rsidR="00734DFC" w:rsidRPr="00734DFC" w:rsidRDefault="00065C06" w:rsidP="00735900">
      <w:pPr>
        <w:numPr>
          <w:ilvl w:val="0"/>
          <w:numId w:val="52"/>
        </w:numPr>
        <w:rPr>
          <w:lang w:val="en-AU"/>
        </w:rPr>
      </w:pPr>
      <w:r>
        <w:rPr>
          <w:lang w:val="en-AU"/>
        </w:rPr>
        <w:t>Deliver</w:t>
      </w:r>
      <w:r w:rsidR="00AF0AD7">
        <w:rPr>
          <w:lang w:val="en-AU"/>
        </w:rPr>
        <w:t>ing</w:t>
      </w:r>
      <w:r>
        <w:rPr>
          <w:lang w:val="en-AU"/>
        </w:rPr>
        <w:t xml:space="preserve"> g</w:t>
      </w:r>
      <w:r w:rsidR="00E82005">
        <w:rPr>
          <w:lang w:val="en-AU"/>
        </w:rPr>
        <w:t xml:space="preserve">overnance insights and performance review: </w:t>
      </w:r>
      <w:r w:rsidR="000D111F">
        <w:t>Producing</w:t>
      </w:r>
      <w:r w:rsidR="00154052" w:rsidRPr="00154052">
        <w:t xml:space="preserve"> insights on portfolio entities’ governance matters as requested by the Executive Board</w:t>
      </w:r>
      <w:r w:rsidR="000D111F">
        <w:t xml:space="preserve">, delivering </w:t>
      </w:r>
      <w:r w:rsidR="00154052" w:rsidRPr="00154052">
        <w:t xml:space="preserve">the Annual </w:t>
      </w:r>
      <w:r w:rsidR="000D111F">
        <w:t>CEO</w:t>
      </w:r>
      <w:r w:rsidR="00154052" w:rsidRPr="00154052">
        <w:t xml:space="preserve"> Forum and cyclical performance reviews of entities</w:t>
      </w:r>
      <w:r w:rsidR="00633D89">
        <w:rPr>
          <w:lang w:val="en-AU"/>
        </w:rPr>
        <w:t>.</w:t>
      </w:r>
    </w:p>
    <w:p w14:paraId="7157283E" w14:textId="357A3B43" w:rsidR="00A736DB" w:rsidRPr="00A736DB" w:rsidRDefault="002E77BF" w:rsidP="00735900">
      <w:pPr>
        <w:numPr>
          <w:ilvl w:val="0"/>
          <w:numId w:val="52"/>
        </w:numPr>
        <w:rPr>
          <w:lang w:val="en-AU"/>
        </w:rPr>
      </w:pPr>
      <w:r>
        <w:rPr>
          <w:lang w:val="en-AU"/>
        </w:rPr>
        <w:t xml:space="preserve">Imparting </w:t>
      </w:r>
      <w:r w:rsidR="001E1EAE">
        <w:rPr>
          <w:lang w:val="en-AU"/>
        </w:rPr>
        <w:t>guidance on g</w:t>
      </w:r>
      <w:r w:rsidR="00307346">
        <w:rPr>
          <w:lang w:val="en-AU"/>
        </w:rPr>
        <w:t xml:space="preserve">overnance </w:t>
      </w:r>
      <w:r w:rsidR="004431A6">
        <w:rPr>
          <w:lang w:val="en-AU"/>
        </w:rPr>
        <w:t>process and</w:t>
      </w:r>
      <w:r w:rsidR="00307346">
        <w:rPr>
          <w:lang w:val="en-AU"/>
        </w:rPr>
        <w:t xml:space="preserve"> administration</w:t>
      </w:r>
      <w:r w:rsidR="00056253">
        <w:rPr>
          <w:lang w:val="en-AU"/>
        </w:rPr>
        <w:t xml:space="preserve"> of board appointment</w:t>
      </w:r>
      <w:r w:rsidR="00307346">
        <w:rPr>
          <w:lang w:val="en-AU"/>
        </w:rPr>
        <w:t xml:space="preserve">: </w:t>
      </w:r>
      <w:r w:rsidR="00A736DB" w:rsidRPr="00A736DB">
        <w:rPr>
          <w:lang w:val="en-AU"/>
        </w:rPr>
        <w:t>Provi</w:t>
      </w:r>
      <w:r w:rsidR="007D11A7">
        <w:rPr>
          <w:lang w:val="en-AU"/>
        </w:rPr>
        <w:t>sion of</w:t>
      </w:r>
      <w:r w:rsidR="00A736DB" w:rsidRPr="00A736DB">
        <w:rPr>
          <w:lang w:val="en-AU"/>
        </w:rPr>
        <w:t xml:space="preserve"> guidance on </w:t>
      </w:r>
      <w:r w:rsidR="007D11A7">
        <w:rPr>
          <w:lang w:val="en-AU"/>
        </w:rPr>
        <w:t xml:space="preserve">formal governance processes, including board appointments, </w:t>
      </w:r>
      <w:r w:rsidR="00231D95">
        <w:rPr>
          <w:lang w:val="en-AU"/>
        </w:rPr>
        <w:t>managing</w:t>
      </w:r>
      <w:r w:rsidR="008B6B44">
        <w:rPr>
          <w:lang w:val="en-AU"/>
        </w:rPr>
        <w:t xml:space="preserve"> </w:t>
      </w:r>
      <w:r w:rsidR="007D11A7">
        <w:rPr>
          <w:lang w:val="en-AU"/>
        </w:rPr>
        <w:t>candidate verificatio</w:t>
      </w:r>
      <w:r w:rsidR="00CE7B93">
        <w:rPr>
          <w:lang w:val="en-AU"/>
        </w:rPr>
        <w:t>ns</w:t>
      </w:r>
      <w:r w:rsidR="008B6B44">
        <w:rPr>
          <w:lang w:val="en-AU"/>
        </w:rPr>
        <w:t xml:space="preserve"> and submissions for Cabinet and Governor in Council appointments</w:t>
      </w:r>
      <w:r w:rsidR="00CE7B93">
        <w:rPr>
          <w:lang w:val="en-AU"/>
        </w:rPr>
        <w:t>,</w:t>
      </w:r>
      <w:r w:rsidR="00E53BB5">
        <w:rPr>
          <w:lang w:val="en-AU"/>
        </w:rPr>
        <w:t xml:space="preserve"> and </w:t>
      </w:r>
      <w:r w:rsidR="008B6B44">
        <w:rPr>
          <w:lang w:val="en-AU"/>
        </w:rPr>
        <w:t>oversight</w:t>
      </w:r>
      <w:r w:rsidR="00F174D9">
        <w:rPr>
          <w:lang w:val="en-AU"/>
        </w:rPr>
        <w:t xml:space="preserve"> of</w:t>
      </w:r>
      <w:r w:rsidR="00CE7B93">
        <w:rPr>
          <w:lang w:val="en-AU"/>
        </w:rPr>
        <w:t xml:space="preserve"> third-party probity checks</w:t>
      </w:r>
      <w:r w:rsidR="00F174D9">
        <w:rPr>
          <w:lang w:val="en-AU"/>
        </w:rPr>
        <w:t xml:space="preserve">, including engagement with applicants on </w:t>
      </w:r>
      <w:r w:rsidR="00F174D9" w:rsidRPr="00A736DB">
        <w:rPr>
          <w:lang w:val="en-AU"/>
        </w:rPr>
        <w:t>declarations of private interest and diversity requirements</w:t>
      </w:r>
      <w:r w:rsidR="00CE7B93">
        <w:rPr>
          <w:lang w:val="en-AU"/>
        </w:rPr>
        <w:t>.</w:t>
      </w:r>
    </w:p>
    <w:p w14:paraId="62386A87" w14:textId="3357B5CC" w:rsidR="00A736DB" w:rsidRPr="00A736DB" w:rsidRDefault="007B3C0A" w:rsidP="00735900">
      <w:pPr>
        <w:numPr>
          <w:ilvl w:val="0"/>
          <w:numId w:val="52"/>
        </w:numPr>
        <w:rPr>
          <w:lang w:val="en-AU"/>
        </w:rPr>
      </w:pPr>
      <w:r>
        <w:rPr>
          <w:lang w:val="en-AU"/>
        </w:rPr>
        <w:t xml:space="preserve">Management of systems and database obligations: </w:t>
      </w:r>
      <w:r w:rsidR="00A736DB" w:rsidRPr="00A736DB">
        <w:rPr>
          <w:lang w:val="en-AU"/>
        </w:rPr>
        <w:t>Administer</w:t>
      </w:r>
      <w:r w:rsidR="00AE2C1E">
        <w:rPr>
          <w:lang w:val="en-AU"/>
        </w:rPr>
        <w:t>ing</w:t>
      </w:r>
      <w:r w:rsidR="00A736DB" w:rsidRPr="00A736DB">
        <w:rPr>
          <w:lang w:val="en-AU"/>
        </w:rPr>
        <w:t xml:space="preserve"> eCabinet and eBriefings systems </w:t>
      </w:r>
      <w:r>
        <w:rPr>
          <w:lang w:val="en-AU"/>
        </w:rPr>
        <w:t>and en</w:t>
      </w:r>
      <w:r w:rsidR="00C67803">
        <w:rPr>
          <w:lang w:val="en-AU"/>
        </w:rPr>
        <w:t>sur</w:t>
      </w:r>
      <w:r w:rsidR="00AE2C1E">
        <w:rPr>
          <w:lang w:val="en-AU"/>
        </w:rPr>
        <w:t>ing</w:t>
      </w:r>
      <w:r w:rsidR="00C67803">
        <w:rPr>
          <w:lang w:val="en-AU"/>
        </w:rPr>
        <w:t xml:space="preserve"> the department meets its </w:t>
      </w:r>
      <w:r w:rsidR="00C67803" w:rsidRPr="00A736DB">
        <w:rPr>
          <w:lang w:val="en-AU"/>
        </w:rPr>
        <w:t xml:space="preserve">obligations </w:t>
      </w:r>
      <w:r w:rsidR="001A2C0D">
        <w:rPr>
          <w:lang w:val="en-AU"/>
        </w:rPr>
        <w:t xml:space="preserve">in </w:t>
      </w:r>
      <w:r w:rsidR="00C67803" w:rsidRPr="00A736DB">
        <w:rPr>
          <w:lang w:val="en-AU"/>
        </w:rPr>
        <w:t>maintain</w:t>
      </w:r>
      <w:r w:rsidR="00C67803">
        <w:rPr>
          <w:lang w:val="en-AU"/>
        </w:rPr>
        <w:t>ing</w:t>
      </w:r>
      <w:r w:rsidR="00C67803" w:rsidRPr="00A736DB">
        <w:rPr>
          <w:lang w:val="en-AU"/>
        </w:rPr>
        <w:t xml:space="preserve"> the GAPED database for entities</w:t>
      </w:r>
    </w:p>
    <w:p w14:paraId="615AECFC" w14:textId="180BBA27" w:rsidR="00DA2AFB" w:rsidRPr="00DA2AFB" w:rsidRDefault="00DA2AFB" w:rsidP="00B421BA">
      <w:r>
        <w:t>SPG</w:t>
      </w:r>
      <w:r w:rsidRPr="00DA2AFB">
        <w:t xml:space="preserve"> will</w:t>
      </w:r>
      <w:r w:rsidR="00CD7D0D">
        <w:t xml:space="preserve"> also</w:t>
      </w:r>
      <w:r w:rsidRPr="00DA2AFB">
        <w:t xml:space="preserve"> </w:t>
      </w:r>
      <w:r w:rsidR="007006F0">
        <w:t>facilitate</w:t>
      </w:r>
      <w:r w:rsidRPr="00DA2AFB">
        <w:t xml:space="preserve"> regular RM forums to </w:t>
      </w:r>
      <w:r w:rsidR="007006F0">
        <w:t>exchange</w:t>
      </w:r>
      <w:r w:rsidRPr="00DA2AFB">
        <w:t xml:space="preserve"> experiences, </w:t>
      </w:r>
      <w:r w:rsidR="007006F0">
        <w:t xml:space="preserve">share </w:t>
      </w:r>
      <w:r w:rsidRPr="00DA2AFB">
        <w:t>lessons learn</w:t>
      </w:r>
      <w:r w:rsidR="007006F0">
        <w:t>ed</w:t>
      </w:r>
      <w:r w:rsidRPr="00DA2AFB">
        <w:t xml:space="preserve">, </w:t>
      </w:r>
      <w:r w:rsidR="007006F0">
        <w:t xml:space="preserve">identify </w:t>
      </w:r>
      <w:r w:rsidRPr="00DA2AFB">
        <w:t xml:space="preserve">key risks and issues, and </w:t>
      </w:r>
      <w:r w:rsidR="007006F0">
        <w:t xml:space="preserve">address </w:t>
      </w:r>
      <w:r w:rsidRPr="00DA2AFB">
        <w:t>governance</w:t>
      </w:r>
      <w:r w:rsidR="007006F0">
        <w:t>-</w:t>
      </w:r>
      <w:r w:rsidRPr="00DA2AFB">
        <w:t>related matters, t</w:t>
      </w:r>
      <w:r w:rsidR="000009F2">
        <w:t>hereby</w:t>
      </w:r>
      <w:r w:rsidRPr="00DA2AFB">
        <w:t xml:space="preserve"> support</w:t>
      </w:r>
      <w:r w:rsidR="000009F2">
        <w:t>ing</w:t>
      </w:r>
      <w:r w:rsidRPr="00DA2AFB">
        <w:t xml:space="preserve"> continuous improvement, information sharing and networking.</w:t>
      </w:r>
    </w:p>
    <w:p w14:paraId="483BC2B5" w14:textId="22AAFD83" w:rsidR="00F0582E" w:rsidRDefault="00F0582E" w:rsidP="00F0582E">
      <w:r>
        <w:t xml:space="preserve">Regular and transparent engagement between </w:t>
      </w:r>
      <w:r w:rsidR="00C81471">
        <w:t>entities</w:t>
      </w:r>
      <w:r>
        <w:t xml:space="preserve"> and the relevant relationship managers in the department is required. The relevant departmental contact should visit the </w:t>
      </w:r>
      <w:r w:rsidR="00C81471">
        <w:t>entity</w:t>
      </w:r>
      <w:r>
        <w:t xml:space="preserve"> at least annually and where circumstances require it. </w:t>
      </w:r>
    </w:p>
    <w:p w14:paraId="37A98726" w14:textId="61B439EA" w:rsidR="00F0582E" w:rsidRDefault="00C81471" w:rsidP="00F0582E">
      <w:r>
        <w:t>Entity</w:t>
      </w:r>
      <w:r w:rsidR="00F0582E">
        <w:t>-specific SAs</w:t>
      </w:r>
      <w:r w:rsidR="00410BE8">
        <w:t>, SLAs</w:t>
      </w:r>
      <w:r w:rsidR="00F0582E">
        <w:t xml:space="preserve"> and</w:t>
      </w:r>
      <w:r w:rsidR="00410BE8">
        <w:t xml:space="preserve"> ministerial</w:t>
      </w:r>
      <w:r w:rsidR="00F0582E">
        <w:t xml:space="preserve"> SOEs may also prescribe the frequency and purpose of meetings. </w:t>
      </w:r>
    </w:p>
    <w:p w14:paraId="7DB29E22" w14:textId="77777777" w:rsidR="00F0582E" w:rsidRPr="00CA34CC" w:rsidRDefault="00F0582E" w:rsidP="00F0582E">
      <w:r>
        <w:t>As a minimum, s</w:t>
      </w:r>
      <w:r w:rsidRPr="00CA34CC">
        <w:t>uch engagements should:</w:t>
      </w:r>
    </w:p>
    <w:p w14:paraId="48697CAE" w14:textId="594F411D" w:rsidR="00F0582E" w:rsidRPr="00FC63CA" w:rsidRDefault="00F0582E" w:rsidP="00735900">
      <w:pPr>
        <w:pStyle w:val="ListBullet"/>
        <w:numPr>
          <w:ilvl w:val="0"/>
          <w:numId w:val="22"/>
        </w:numPr>
        <w:rPr>
          <w:color w:val="auto"/>
        </w:rPr>
      </w:pPr>
      <w:bookmarkStart w:id="53" w:name="_Toc448391512"/>
      <w:r w:rsidRPr="00FC63CA">
        <w:rPr>
          <w:color w:val="auto"/>
        </w:rPr>
        <w:t xml:space="preserve">ensure clarity of the respective roles and responsibilities of ministers, the department and </w:t>
      </w:r>
      <w:bookmarkEnd w:id="53"/>
      <w:r w:rsidR="00C81471">
        <w:rPr>
          <w:color w:val="auto"/>
        </w:rPr>
        <w:t>entities</w:t>
      </w:r>
    </w:p>
    <w:p w14:paraId="11E102A5" w14:textId="1DFD453A" w:rsidR="00F0582E" w:rsidRPr="00FC63CA" w:rsidRDefault="00F0582E" w:rsidP="00735900">
      <w:pPr>
        <w:pStyle w:val="ListBullet"/>
        <w:numPr>
          <w:ilvl w:val="0"/>
          <w:numId w:val="22"/>
        </w:numPr>
        <w:rPr>
          <w:color w:val="auto"/>
        </w:rPr>
      </w:pPr>
      <w:r w:rsidRPr="00FC63CA">
        <w:rPr>
          <w:color w:val="auto"/>
        </w:rPr>
        <w:t xml:space="preserve">discuss periodic reports submitted by </w:t>
      </w:r>
      <w:r w:rsidR="00C81471">
        <w:rPr>
          <w:color w:val="auto"/>
        </w:rPr>
        <w:t>entities</w:t>
      </w:r>
      <w:r w:rsidRPr="00FC63CA">
        <w:rPr>
          <w:color w:val="auto"/>
        </w:rPr>
        <w:t>, risks and issues under management, commercial transactions or ministerial submissions (amongst other things as deemed appropriate)</w:t>
      </w:r>
    </w:p>
    <w:p w14:paraId="002F28D8" w14:textId="380D522B" w:rsidR="00F0582E" w:rsidRPr="00FC63CA" w:rsidRDefault="00F0582E" w:rsidP="00735900">
      <w:pPr>
        <w:pStyle w:val="ListBullet"/>
        <w:numPr>
          <w:ilvl w:val="0"/>
          <w:numId w:val="22"/>
        </w:numPr>
        <w:rPr>
          <w:color w:val="auto"/>
        </w:rPr>
      </w:pPr>
      <w:bookmarkStart w:id="54" w:name="_Toc448391493"/>
      <w:bookmarkStart w:id="55" w:name="_Toc448391514"/>
      <w:r w:rsidRPr="00FC63CA">
        <w:rPr>
          <w:color w:val="auto"/>
        </w:rPr>
        <w:t>be characterised by positive relationships, and manage escalation where different views exist</w:t>
      </w:r>
      <w:bookmarkEnd w:id="54"/>
    </w:p>
    <w:p w14:paraId="2C3EA316" w14:textId="19D61171" w:rsidR="00F0582E" w:rsidRPr="00FC63CA" w:rsidRDefault="00F0582E" w:rsidP="00735900">
      <w:pPr>
        <w:pStyle w:val="ListBullet"/>
        <w:numPr>
          <w:ilvl w:val="0"/>
          <w:numId w:val="22"/>
        </w:numPr>
        <w:rPr>
          <w:color w:val="auto"/>
        </w:rPr>
      </w:pPr>
      <w:r w:rsidRPr="00FC63CA">
        <w:rPr>
          <w:color w:val="auto"/>
        </w:rPr>
        <w:t xml:space="preserve">agree </w:t>
      </w:r>
      <w:bookmarkStart w:id="56" w:name="_Toc448391490"/>
      <w:bookmarkStart w:id="57" w:name="_Toc448391515"/>
      <w:bookmarkEnd w:id="55"/>
      <w:r w:rsidRPr="00FC63CA">
        <w:rPr>
          <w:color w:val="auto"/>
        </w:rPr>
        <w:t xml:space="preserve">clear guidelines and protocols about meetings between ministers, the department and </w:t>
      </w:r>
      <w:r w:rsidR="00C81471">
        <w:rPr>
          <w:color w:val="auto"/>
        </w:rPr>
        <w:t>entity</w:t>
      </w:r>
      <w:r w:rsidRPr="00FC63CA">
        <w:rPr>
          <w:color w:val="auto"/>
        </w:rPr>
        <w:t xml:space="preserve"> representatives</w:t>
      </w:r>
    </w:p>
    <w:bookmarkEnd w:id="56"/>
    <w:p w14:paraId="7A035ACE" w14:textId="5FAAB9E2" w:rsidR="00F0582E" w:rsidRPr="00FC63CA" w:rsidRDefault="00F0582E" w:rsidP="00735900">
      <w:pPr>
        <w:pStyle w:val="ListBullet"/>
        <w:numPr>
          <w:ilvl w:val="0"/>
          <w:numId w:val="22"/>
        </w:numPr>
        <w:rPr>
          <w:color w:val="auto"/>
        </w:rPr>
      </w:pPr>
      <w:r w:rsidRPr="00FC63CA">
        <w:rPr>
          <w:color w:val="auto"/>
        </w:rPr>
        <w:t xml:space="preserve">account for both </w:t>
      </w:r>
      <w:r w:rsidR="00C81471">
        <w:rPr>
          <w:color w:val="auto"/>
        </w:rPr>
        <w:t>entity</w:t>
      </w:r>
      <w:r w:rsidRPr="00FC63CA">
        <w:rPr>
          <w:color w:val="auto"/>
        </w:rPr>
        <w:t xml:space="preserve"> independence and the need for department input and oversight</w:t>
      </w:r>
      <w:bookmarkEnd w:id="57"/>
    </w:p>
    <w:p w14:paraId="584FCBF7" w14:textId="354757E2" w:rsidR="004318E7" w:rsidRDefault="00F0582E" w:rsidP="00735900">
      <w:pPr>
        <w:pStyle w:val="ListBullet"/>
        <w:numPr>
          <w:ilvl w:val="0"/>
          <w:numId w:val="22"/>
        </w:numPr>
      </w:pPr>
      <w:r w:rsidRPr="00FC63CA">
        <w:rPr>
          <w:color w:val="auto"/>
        </w:rPr>
        <w:t>be supported by timely and effective feedback with an intention to improve communication and transparency.</w:t>
      </w:r>
    </w:p>
    <w:p w14:paraId="37A0ED6F" w14:textId="11B51EFE" w:rsidR="001C7C57" w:rsidRPr="001C7C57" w:rsidRDefault="00217E54" w:rsidP="001C7C57">
      <w:pPr>
        <w:pStyle w:val="Heading3"/>
      </w:pPr>
      <w:bookmarkStart w:id="58" w:name="_Toc39481530"/>
      <w:bookmarkStart w:id="59" w:name="_Toc194930390"/>
      <w:r>
        <w:t>5.5.</w:t>
      </w:r>
      <w:r w:rsidR="00CF6F91">
        <w:t>2</w:t>
      </w:r>
      <w:r>
        <w:tab/>
      </w:r>
      <w:r w:rsidR="00F0582E" w:rsidRPr="000603F0">
        <w:t>Consultation on ministerial briefs</w:t>
      </w:r>
      <w:bookmarkEnd w:id="58"/>
      <w:bookmarkEnd w:id="59"/>
    </w:p>
    <w:p w14:paraId="5528679E" w14:textId="4047395B" w:rsidR="00684A7F" w:rsidRDefault="00684A7F" w:rsidP="001447ED">
      <w:r w:rsidRPr="00817A81">
        <w:t xml:space="preserve">The </w:t>
      </w:r>
      <w:r w:rsidR="00521A4E">
        <w:t>d</w:t>
      </w:r>
      <w:r w:rsidRPr="00817A81">
        <w:t xml:space="preserve">epartment and entities will collaborate </w:t>
      </w:r>
      <w:r w:rsidR="00256648" w:rsidRPr="00530788">
        <w:t>with</w:t>
      </w:r>
      <w:r w:rsidRPr="00817A81">
        <w:t xml:space="preserve"> </w:t>
      </w:r>
      <w:r w:rsidR="00225518" w:rsidRPr="00530788">
        <w:t xml:space="preserve">the </w:t>
      </w:r>
      <w:r w:rsidRPr="0099160C">
        <w:t>designate</w:t>
      </w:r>
      <w:r w:rsidR="00571F88" w:rsidRPr="00530788">
        <w:t>d</w:t>
      </w:r>
      <w:r w:rsidRPr="0099160C">
        <w:t xml:space="preserve"> </w:t>
      </w:r>
      <w:r w:rsidRPr="00817A81">
        <w:t xml:space="preserve">relationship </w:t>
      </w:r>
      <w:r w:rsidR="00571F88" w:rsidRPr="00530788">
        <w:t>manager</w:t>
      </w:r>
      <w:r w:rsidRPr="00530788">
        <w:t>,</w:t>
      </w:r>
      <w:r w:rsidRPr="0099160C">
        <w:t xml:space="preserve"> ensuring comprehensive information for minist</w:t>
      </w:r>
      <w:r w:rsidRPr="00817A81">
        <w:t xml:space="preserve">erial briefings </w:t>
      </w:r>
      <w:r w:rsidRPr="00530788">
        <w:t xml:space="preserve">is </w:t>
      </w:r>
      <w:r w:rsidRPr="0099160C">
        <w:t xml:space="preserve">communicated, along with associated materials and </w:t>
      </w:r>
      <w:r w:rsidRPr="00817A81">
        <w:t>event details.</w:t>
      </w:r>
      <w:r>
        <w:t xml:space="preserve"> </w:t>
      </w:r>
    </w:p>
    <w:p w14:paraId="11DBE2BA" w14:textId="45696B76" w:rsidR="001447ED" w:rsidRDefault="00C364A5" w:rsidP="001447ED">
      <w:r>
        <w:t>The department will engage with e</w:t>
      </w:r>
      <w:r w:rsidR="001447ED">
        <w:t xml:space="preserve">ntities during the initial drafting </w:t>
      </w:r>
      <w:r w:rsidR="007C4C1C">
        <w:t>process, to</w:t>
      </w:r>
      <w:r w:rsidR="00606CFA">
        <w:t xml:space="preserve"> seek </w:t>
      </w:r>
      <w:r w:rsidR="001447ED">
        <w:t>relevant</w:t>
      </w:r>
      <w:r w:rsidR="00606CFA">
        <w:t xml:space="preserve"> </w:t>
      </w:r>
      <w:r w:rsidR="00103153">
        <w:t xml:space="preserve">information or </w:t>
      </w:r>
      <w:r w:rsidR="00606CFA">
        <w:t>advice</w:t>
      </w:r>
      <w:r w:rsidR="00CC78C7">
        <w:t xml:space="preserve"> </w:t>
      </w:r>
      <w:r w:rsidR="00AB3483">
        <w:t>before</w:t>
      </w:r>
      <w:r w:rsidR="001447ED">
        <w:t xml:space="preserve"> </w:t>
      </w:r>
      <w:r w:rsidR="00FB2362">
        <w:t>providing</w:t>
      </w:r>
      <w:r w:rsidR="001447ED">
        <w:t xml:space="preserve"> an independent opinion/advice on the subject of the brief.</w:t>
      </w:r>
    </w:p>
    <w:p w14:paraId="09702F37" w14:textId="51D2A893" w:rsidR="008873EA" w:rsidRDefault="008873EA" w:rsidP="001447ED">
      <w:r>
        <w:t>In relation to events,</w:t>
      </w:r>
      <w:r w:rsidR="00AB444F">
        <w:t xml:space="preserve"> the entity may send an invitation directly to the minister</w:t>
      </w:r>
      <w:r w:rsidR="006B5ECA">
        <w:t>,</w:t>
      </w:r>
      <w:r w:rsidR="00AB444F">
        <w:t xml:space="preserve"> </w:t>
      </w:r>
      <w:r w:rsidR="00571E2C">
        <w:t>the m</w:t>
      </w:r>
      <w:r w:rsidR="00571E2C" w:rsidRPr="00FD6323">
        <w:t xml:space="preserve">inister’s </w:t>
      </w:r>
      <w:r w:rsidR="00571E2C">
        <w:t>c</w:t>
      </w:r>
      <w:r w:rsidR="00571E2C" w:rsidRPr="00FD6323">
        <w:t xml:space="preserve">hief of </w:t>
      </w:r>
      <w:r w:rsidR="00571E2C">
        <w:t>s</w:t>
      </w:r>
      <w:r w:rsidR="00571E2C" w:rsidRPr="00FD6323">
        <w:t>taff and</w:t>
      </w:r>
      <w:r w:rsidR="00E67A37">
        <w:t>/or</w:t>
      </w:r>
      <w:r w:rsidR="00571E2C" w:rsidRPr="00FD6323">
        <w:t xml:space="preserve"> other ministerial staff</w:t>
      </w:r>
      <w:r w:rsidR="00571E2C">
        <w:t xml:space="preserve">, for their consideration </w:t>
      </w:r>
      <w:r w:rsidR="00E67A37">
        <w:t>to attend</w:t>
      </w:r>
      <w:r w:rsidR="00EB30B8">
        <w:t>.</w:t>
      </w:r>
      <w:r w:rsidR="00E67A37">
        <w:t xml:space="preserve"> However, </w:t>
      </w:r>
      <w:r w:rsidR="00155802">
        <w:t xml:space="preserve">in the organisation of these events, they are generally undertaken by </w:t>
      </w:r>
      <w:r w:rsidR="00BE0992">
        <w:t xml:space="preserve">the </w:t>
      </w:r>
      <w:r w:rsidR="00155802">
        <w:t xml:space="preserve">Strategic Communications </w:t>
      </w:r>
      <w:r w:rsidR="00BE0992">
        <w:t xml:space="preserve">team </w:t>
      </w:r>
      <w:r w:rsidR="00A129DA">
        <w:t>within</w:t>
      </w:r>
      <w:r w:rsidR="006B3FD6">
        <w:t xml:space="preserve"> </w:t>
      </w:r>
      <w:r w:rsidR="00B66269">
        <w:t>the department</w:t>
      </w:r>
      <w:r w:rsidR="006B3FD6">
        <w:t>.</w:t>
      </w:r>
      <w:r w:rsidR="00EB30B8">
        <w:t xml:space="preserve"> </w:t>
      </w:r>
      <w:r w:rsidR="00AC564B" w:rsidRPr="0099160C">
        <w:t>Typically, relationship managers re</w:t>
      </w:r>
      <w:r w:rsidR="00AC564B" w:rsidRPr="00EB7D1A">
        <w:t xml:space="preserve">ceive requests from the minister’s office to prepare event briefs, including details such as the event’s purpose, timeline, budget, attendee information, running sheet, </w:t>
      </w:r>
      <w:r w:rsidR="00EB7D1A" w:rsidRPr="00530788">
        <w:t>etc.</w:t>
      </w:r>
      <w:r w:rsidR="0082531F" w:rsidRPr="00530788">
        <w:t xml:space="preserve"> </w:t>
      </w:r>
      <w:r w:rsidR="00AC564B" w:rsidRPr="0099160C">
        <w:t>Concurrently, the Strategic Communications team may</w:t>
      </w:r>
      <w:r w:rsidR="00AC564B" w:rsidRPr="00EB7D1A">
        <w:t xml:space="preserve"> ask relationship managers to review the potential media opportunities, which require Executive Director approval.</w:t>
      </w:r>
    </w:p>
    <w:p w14:paraId="491B8552" w14:textId="3E0E29BC" w:rsidR="00F0582E" w:rsidRDefault="003456AF" w:rsidP="00F0582E">
      <w:r w:rsidRPr="00F623C7">
        <w:t>The department</w:t>
      </w:r>
      <w:r w:rsidR="00F0582E" w:rsidRPr="00F623C7">
        <w:t xml:space="preserve"> will provide a written briefing to an incoming minister</w:t>
      </w:r>
      <w:r w:rsidR="00604A22">
        <w:t>, a</w:t>
      </w:r>
      <w:r w:rsidR="008E016A">
        <w:t>t</w:t>
      </w:r>
      <w:r w:rsidR="00604A22">
        <w:t xml:space="preserve"> the m</w:t>
      </w:r>
      <w:r w:rsidR="008E016A">
        <w:t>inister’s request,</w:t>
      </w:r>
      <w:r w:rsidR="00F0582E" w:rsidRPr="00F623C7">
        <w:t xml:space="preserve"> on the </w:t>
      </w:r>
      <w:r w:rsidR="00C81471" w:rsidRPr="00F623C7">
        <w:t>entity</w:t>
      </w:r>
      <w:r w:rsidR="00F0582E" w:rsidRPr="00F623C7">
        <w:t>’s functions, operations and current issues soon after taking office.</w:t>
      </w:r>
      <w:r w:rsidR="00F0582E" w:rsidRPr="00775552">
        <w:t xml:space="preserve"> </w:t>
      </w:r>
    </w:p>
    <w:p w14:paraId="03F5C0F6" w14:textId="3E9D629A" w:rsidR="00056A88" w:rsidRDefault="00E117B6" w:rsidP="00F0582E">
      <w:r w:rsidRPr="00420085">
        <w:t xml:space="preserve">In line with the department’s responsibility to provide advice to the minister on entity operations and administration, the department may prepare a separate brief to the </w:t>
      </w:r>
      <w:r w:rsidR="002C5174">
        <w:t>m</w:t>
      </w:r>
      <w:r w:rsidRPr="00420085">
        <w:t>inister in connection with th</w:t>
      </w:r>
      <w:r w:rsidR="004D2888">
        <w:t>at</w:t>
      </w:r>
      <w:r w:rsidRPr="00420085">
        <w:t xml:space="preserve"> meeting. Where appropriate, the department will provide a copy of the brief, or parts of it, to the entity, subject to the minister’s approval</w:t>
      </w:r>
      <w:r w:rsidR="00420085" w:rsidRPr="00420085">
        <w:t>.</w:t>
      </w:r>
    </w:p>
    <w:p w14:paraId="214C80E3" w14:textId="12E7AFD7" w:rsidR="00F0582E" w:rsidRPr="00775552" w:rsidRDefault="00217E54" w:rsidP="00F0582E">
      <w:pPr>
        <w:pStyle w:val="Heading3"/>
      </w:pPr>
      <w:bookmarkStart w:id="60" w:name="_Toc39481531"/>
      <w:bookmarkStart w:id="61" w:name="_Toc194930391"/>
      <w:r>
        <w:t>5.5.</w:t>
      </w:r>
      <w:r w:rsidR="00CF6F91">
        <w:t>3</w:t>
      </w:r>
      <w:r>
        <w:tab/>
      </w:r>
      <w:r w:rsidR="00F0582E">
        <w:t xml:space="preserve">Corresponding with the </w:t>
      </w:r>
      <w:r w:rsidR="00524F3A">
        <w:t>m</w:t>
      </w:r>
      <w:r w:rsidR="00F0582E">
        <w:t>inister</w:t>
      </w:r>
      <w:bookmarkEnd w:id="60"/>
      <w:bookmarkEnd w:id="61"/>
    </w:p>
    <w:p w14:paraId="0EF95624" w14:textId="36DC8D8E" w:rsidR="00F0582E" w:rsidRDefault="00F0582E" w:rsidP="00F0582E">
      <w:r w:rsidRPr="00370B6C">
        <w:t xml:space="preserve">Formal letters sent to </w:t>
      </w:r>
      <w:r>
        <w:t xml:space="preserve">the minister by </w:t>
      </w:r>
      <w:r w:rsidR="00C81471">
        <w:t>entities</w:t>
      </w:r>
      <w:r>
        <w:t xml:space="preserve"> (i.e. seeking approval of a corporate plan</w:t>
      </w:r>
      <w:r w:rsidRPr="00370B6C">
        <w:t xml:space="preserve"> or business plan) should be sent by the</w:t>
      </w:r>
      <w:r>
        <w:t xml:space="preserve"> </w:t>
      </w:r>
      <w:r w:rsidR="00C81471">
        <w:t>entity</w:t>
      </w:r>
      <w:r w:rsidRPr="00370B6C">
        <w:t xml:space="preserve"> </w:t>
      </w:r>
      <w:r>
        <w:t>c</w:t>
      </w:r>
      <w:r w:rsidRPr="00370B6C">
        <w:t>hair</w:t>
      </w:r>
      <w:r>
        <w:t xml:space="preserve"> or </w:t>
      </w:r>
      <w:r w:rsidRPr="00370B6C">
        <w:t>CEO.</w:t>
      </w:r>
      <w:r>
        <w:t xml:space="preserve"> </w:t>
      </w:r>
      <w:r w:rsidRPr="00370B6C">
        <w:t xml:space="preserve">A copy of the letter </w:t>
      </w:r>
      <w:r>
        <w:t xml:space="preserve">should also be sent to the relevant </w:t>
      </w:r>
      <w:r w:rsidR="00E75680">
        <w:t>department</w:t>
      </w:r>
      <w:r w:rsidR="007E2709">
        <w:t xml:space="preserve"> </w:t>
      </w:r>
      <w:r>
        <w:t>group head or deputy secretary.</w:t>
      </w:r>
    </w:p>
    <w:p w14:paraId="17341288" w14:textId="0632C8F6" w:rsidR="00502978" w:rsidRPr="0040039F" w:rsidRDefault="00502978" w:rsidP="00502978">
      <w:pPr>
        <w:pStyle w:val="Heading3"/>
      </w:pPr>
      <w:bookmarkStart w:id="62" w:name="_Toc39481532"/>
      <w:bookmarkStart w:id="63" w:name="_Toc194930392"/>
      <w:r>
        <w:t>5.5.</w:t>
      </w:r>
      <w:r w:rsidR="00CF6F91">
        <w:t>4</w:t>
      </w:r>
      <w:r>
        <w:tab/>
      </w:r>
      <w:r w:rsidRPr="0040039F">
        <w:t xml:space="preserve">Meetings with the </w:t>
      </w:r>
      <w:r>
        <w:t>m</w:t>
      </w:r>
      <w:r w:rsidRPr="0040039F">
        <w:t xml:space="preserve">inister </w:t>
      </w:r>
      <w:r>
        <w:t>and ministerial staff</w:t>
      </w:r>
      <w:bookmarkEnd w:id="62"/>
      <w:bookmarkEnd w:id="63"/>
    </w:p>
    <w:p w14:paraId="43B79750" w14:textId="0F244465" w:rsidR="00502978" w:rsidRDefault="00C81471" w:rsidP="00502978">
      <w:r>
        <w:t>Entities</w:t>
      </w:r>
      <w:r w:rsidR="00502978">
        <w:t xml:space="preserve"> will invite the department’s </w:t>
      </w:r>
      <w:r w:rsidR="00502978" w:rsidRPr="00B37EA9">
        <w:t>relevant senior executive</w:t>
      </w:r>
      <w:r w:rsidR="00502978" w:rsidRPr="00FD6323">
        <w:t xml:space="preserve"> to scheduled meetings with the </w:t>
      </w:r>
      <w:r w:rsidR="00E75680">
        <w:t>m</w:t>
      </w:r>
      <w:r w:rsidR="00502978" w:rsidRPr="00FD6323">
        <w:t xml:space="preserve">inister, </w:t>
      </w:r>
      <w:r w:rsidR="00502978">
        <w:t xml:space="preserve">the </w:t>
      </w:r>
      <w:r w:rsidR="00E75680">
        <w:t>m</w:t>
      </w:r>
      <w:r w:rsidR="00502978" w:rsidRPr="00FD6323">
        <w:t xml:space="preserve">inister’s </w:t>
      </w:r>
      <w:r w:rsidR="00502978">
        <w:t>c</w:t>
      </w:r>
      <w:r w:rsidR="00502978" w:rsidRPr="00FD6323">
        <w:t xml:space="preserve">hief of </w:t>
      </w:r>
      <w:r w:rsidR="00502978">
        <w:t>s</w:t>
      </w:r>
      <w:r w:rsidR="00502978" w:rsidRPr="00FD6323">
        <w:t>taff and other ministerial staff, except where the meeting directly relates to regu</w:t>
      </w:r>
      <w:r w:rsidR="00502978">
        <w:t>latory decision-making</w:t>
      </w:r>
      <w:r w:rsidR="00502978" w:rsidRPr="00FD6323">
        <w:t xml:space="preserve"> and the </w:t>
      </w:r>
      <w:r>
        <w:t>entity</w:t>
      </w:r>
      <w:r w:rsidR="00502978" w:rsidRPr="00FD6323">
        <w:t xml:space="preserve"> considers there are issues of confidentiality or potential conflict of interest involved.</w:t>
      </w:r>
      <w:r w:rsidR="00502978">
        <w:t xml:space="preserve"> </w:t>
      </w:r>
      <w:r w:rsidR="00502978" w:rsidRPr="00FD6323">
        <w:t xml:space="preserve">In particular, the </w:t>
      </w:r>
      <w:r w:rsidR="00E75680">
        <w:t>s</w:t>
      </w:r>
      <w:r w:rsidR="00502978" w:rsidRPr="00FD6323">
        <w:t xml:space="preserve">ecretary, </w:t>
      </w:r>
      <w:r w:rsidR="00502978">
        <w:t xml:space="preserve">group head, </w:t>
      </w:r>
      <w:r w:rsidR="000C22EE">
        <w:t xml:space="preserve">or </w:t>
      </w:r>
      <w:r w:rsidR="00502978" w:rsidRPr="00FD6323">
        <w:t xml:space="preserve">relevant </w:t>
      </w:r>
      <w:r w:rsidR="00E75680">
        <w:t>d</w:t>
      </w:r>
      <w:r w:rsidR="00502978" w:rsidRPr="00FD6323">
        <w:t xml:space="preserve">eputy </w:t>
      </w:r>
      <w:r w:rsidR="00E75680">
        <w:t>s</w:t>
      </w:r>
      <w:r w:rsidR="00502978" w:rsidRPr="00FD6323">
        <w:t xml:space="preserve">ecretary should be invited to meetings between the </w:t>
      </w:r>
      <w:r w:rsidR="000C22EE">
        <w:t>m</w:t>
      </w:r>
      <w:r w:rsidR="00502978" w:rsidRPr="00FD6323">
        <w:t xml:space="preserve">inister </w:t>
      </w:r>
      <w:r w:rsidR="00502978">
        <w:t>or ministerial</w:t>
      </w:r>
      <w:r w:rsidR="00502978" w:rsidRPr="00FD6323">
        <w:t xml:space="preserve"> staff where the </w:t>
      </w:r>
      <w:r>
        <w:t>entity</w:t>
      </w:r>
      <w:r w:rsidR="00502978" w:rsidRPr="00FD6323">
        <w:t xml:space="preserve"> representative is the </w:t>
      </w:r>
      <w:r w:rsidR="000C22EE">
        <w:t>c</w:t>
      </w:r>
      <w:r w:rsidR="00502978" w:rsidRPr="00FD6323">
        <w:t xml:space="preserve">hair, a </w:t>
      </w:r>
      <w:r w:rsidR="00502978">
        <w:t>director of the board (board member)</w:t>
      </w:r>
      <w:r w:rsidR="00502978" w:rsidRPr="00FD6323">
        <w:t xml:space="preserve"> or </w:t>
      </w:r>
      <w:r w:rsidR="00502978">
        <w:t>CEO.</w:t>
      </w:r>
    </w:p>
    <w:p w14:paraId="7534C2D5" w14:textId="4ADBECCE" w:rsidR="00502978" w:rsidRDefault="00502978" w:rsidP="00502978">
      <w:r>
        <w:t xml:space="preserve">The department’s </w:t>
      </w:r>
      <w:r w:rsidRPr="00FD6323">
        <w:t xml:space="preserve">attendance at meetings is subject to the agreement of the </w:t>
      </w:r>
      <w:r w:rsidR="000C22EE">
        <w:t>m</w:t>
      </w:r>
      <w:r w:rsidRPr="00FD6323">
        <w:t>inister. Meetings can be arran</w:t>
      </w:r>
      <w:r>
        <w:t xml:space="preserve">ged with the </w:t>
      </w:r>
      <w:r w:rsidR="000C22EE">
        <w:t>m</w:t>
      </w:r>
      <w:r>
        <w:t>inister</w:t>
      </w:r>
      <w:r w:rsidRPr="00FD6323">
        <w:t xml:space="preserve">, but the relevant </w:t>
      </w:r>
      <w:r>
        <w:t>department</w:t>
      </w:r>
      <w:r w:rsidRPr="00775552">
        <w:t xml:space="preserve"> </w:t>
      </w:r>
      <w:r>
        <w:t xml:space="preserve">contact </w:t>
      </w:r>
      <w:r w:rsidRPr="00775552">
        <w:t>officer</w:t>
      </w:r>
      <w:r w:rsidRPr="00FD6323">
        <w:t xml:space="preserve"> for the </w:t>
      </w:r>
      <w:r w:rsidR="00C81471">
        <w:t>entity</w:t>
      </w:r>
      <w:r w:rsidRPr="00FD6323">
        <w:t xml:space="preserve"> is to be advised of the meeting date and time.</w:t>
      </w:r>
    </w:p>
    <w:p w14:paraId="04235F5E" w14:textId="7F938A9F" w:rsidR="00502978" w:rsidRDefault="00502978" w:rsidP="00502978">
      <w:r w:rsidRPr="00FD6323">
        <w:t>A list of attendees, agenda items and any other</w:t>
      </w:r>
      <w:r w:rsidR="0068773D">
        <w:t xml:space="preserve"> meeting</w:t>
      </w:r>
      <w:r w:rsidRPr="00FD6323">
        <w:t xml:space="preserve"> briefing papers </w:t>
      </w:r>
      <w:r w:rsidR="0068773D">
        <w:t xml:space="preserve">and attachments </w:t>
      </w:r>
      <w:r w:rsidRPr="00FD6323">
        <w:t xml:space="preserve">are to be provided to the </w:t>
      </w:r>
      <w:r w:rsidR="00FC3423">
        <w:t>m</w:t>
      </w:r>
      <w:r w:rsidRPr="00FD6323">
        <w:t xml:space="preserve">inister and </w:t>
      </w:r>
      <w:r>
        <w:t xml:space="preserve">the department </w:t>
      </w:r>
      <w:r w:rsidRPr="00FD6323">
        <w:t xml:space="preserve">prior to the meeting (unless the meeting is </w:t>
      </w:r>
      <w:r>
        <w:t xml:space="preserve">deemed </w:t>
      </w:r>
      <w:r w:rsidRPr="00FD6323">
        <w:t>urgent).</w:t>
      </w:r>
    </w:p>
    <w:p w14:paraId="29F4FAF0" w14:textId="0B7233E9" w:rsidR="00502978" w:rsidRDefault="00C81471" w:rsidP="00502978">
      <w:r>
        <w:t>Entity</w:t>
      </w:r>
      <w:r w:rsidR="00502978" w:rsidRPr="00FD6323">
        <w:t xml:space="preserve"> </w:t>
      </w:r>
      <w:r w:rsidR="00502978">
        <w:t>c</w:t>
      </w:r>
      <w:r w:rsidR="00502978" w:rsidRPr="00FD6323">
        <w:t>hair</w:t>
      </w:r>
      <w:r w:rsidR="00502978">
        <w:t>s</w:t>
      </w:r>
      <w:r w:rsidR="00502978" w:rsidRPr="00FD6323">
        <w:t xml:space="preserve"> or CEO</w:t>
      </w:r>
      <w:r w:rsidR="00502978">
        <w:t>s</w:t>
      </w:r>
      <w:r w:rsidR="00502978" w:rsidRPr="00FD6323">
        <w:t xml:space="preserve"> should meet with the </w:t>
      </w:r>
      <w:r w:rsidR="00502978">
        <w:t>m</w:t>
      </w:r>
      <w:r w:rsidR="00502978" w:rsidRPr="00FD6323">
        <w:t>inister or delegate at least annually.</w:t>
      </w:r>
      <w:r w:rsidR="00502978">
        <w:t xml:space="preserve"> </w:t>
      </w:r>
      <w:r w:rsidR="00502978" w:rsidRPr="00FD6323">
        <w:t xml:space="preserve">The frequency and timing of additional meetings is at the discretion of the </w:t>
      </w:r>
      <w:r w:rsidR="00502978">
        <w:t xml:space="preserve">minister. The department </w:t>
      </w:r>
      <w:r w:rsidR="00502978" w:rsidRPr="00FD6323">
        <w:t>will attend these meetings, sub</w:t>
      </w:r>
      <w:r w:rsidR="00502978">
        <w:t>ject to the minister’s approval and</w:t>
      </w:r>
      <w:r w:rsidR="00502978" w:rsidRPr="00FD6323">
        <w:t xml:space="preserve"> </w:t>
      </w:r>
      <w:r w:rsidR="00502978">
        <w:t xml:space="preserve">will </w:t>
      </w:r>
      <w:r w:rsidR="00502978" w:rsidRPr="00FD6323">
        <w:t xml:space="preserve">provide support for </w:t>
      </w:r>
      <w:r>
        <w:t>entities</w:t>
      </w:r>
      <w:r w:rsidR="00502978" w:rsidRPr="00FD6323">
        <w:t xml:space="preserve"> in obtaining access and engagement with </w:t>
      </w:r>
      <w:r w:rsidR="00502978">
        <w:t>m</w:t>
      </w:r>
      <w:r w:rsidR="00502978" w:rsidRPr="00FD6323">
        <w:t>inisters</w:t>
      </w:r>
      <w:r w:rsidR="00502978">
        <w:t>.</w:t>
      </w:r>
    </w:p>
    <w:p w14:paraId="364B9EAE" w14:textId="65B88CB7" w:rsidR="00502978" w:rsidRPr="0040039F" w:rsidRDefault="003C3F46" w:rsidP="00502978">
      <w:pPr>
        <w:pStyle w:val="Heading3"/>
      </w:pPr>
      <w:bookmarkStart w:id="64" w:name="_Toc448391496"/>
      <w:bookmarkStart w:id="65" w:name="_Toc39481533"/>
      <w:bookmarkStart w:id="66" w:name="_Toc194930393"/>
      <w:r>
        <w:t>5.5.</w:t>
      </w:r>
      <w:r w:rsidR="004F520B">
        <w:t>5</w:t>
      </w:r>
      <w:r>
        <w:tab/>
      </w:r>
      <w:r w:rsidR="00502978" w:rsidRPr="0040039F">
        <w:t>Governance meetings and frequency</w:t>
      </w:r>
      <w:bookmarkEnd w:id="64"/>
      <w:bookmarkEnd w:id="65"/>
      <w:bookmarkEnd w:id="66"/>
    </w:p>
    <w:p w14:paraId="5C81C92B" w14:textId="113DE292" w:rsidR="008B5A37" w:rsidRDefault="00502978" w:rsidP="00502978">
      <w:bookmarkStart w:id="67" w:name="_Toc448391497"/>
      <w:r>
        <w:t xml:space="preserve">The </w:t>
      </w:r>
      <w:r w:rsidR="00C81471">
        <w:t>entity</w:t>
      </w:r>
      <w:r>
        <w:t xml:space="preserve"> chair </w:t>
      </w:r>
      <w:r w:rsidRPr="00B37EA9">
        <w:t>or CEO</w:t>
      </w:r>
      <w:r w:rsidR="00B26F7C">
        <w:t xml:space="preserve"> should</w:t>
      </w:r>
      <w:r w:rsidRPr="00B37EA9">
        <w:t xml:space="preserve"> meet with the </w:t>
      </w:r>
      <w:r>
        <w:t>department’s s</w:t>
      </w:r>
      <w:r w:rsidRPr="00B37EA9">
        <w:t xml:space="preserve">ecretary, </w:t>
      </w:r>
      <w:r>
        <w:t>d</w:t>
      </w:r>
      <w:r w:rsidRPr="00B37EA9">
        <w:t xml:space="preserve">eputy </w:t>
      </w:r>
      <w:r>
        <w:t>s</w:t>
      </w:r>
      <w:r w:rsidRPr="00B37EA9">
        <w:t xml:space="preserve">ecretary </w:t>
      </w:r>
      <w:r>
        <w:t xml:space="preserve">or relevant senior </w:t>
      </w:r>
      <w:r w:rsidRPr="00B37EA9">
        <w:t>executive at least annually.</w:t>
      </w:r>
      <w:bookmarkEnd w:id="67"/>
      <w:r w:rsidR="00CB7A7C">
        <w:t xml:space="preserve"> This may be in the form of an annual CEO </w:t>
      </w:r>
      <w:r w:rsidR="00530077">
        <w:t>f</w:t>
      </w:r>
      <w:r w:rsidR="00CB7A7C">
        <w:t>orum</w:t>
      </w:r>
      <w:r w:rsidR="009A5D6C">
        <w:t>,</w:t>
      </w:r>
      <w:r w:rsidR="009C65B2">
        <w:t xml:space="preserve"> </w:t>
      </w:r>
      <w:r w:rsidR="009C69B2">
        <w:t>which provides a platform</w:t>
      </w:r>
      <w:r w:rsidR="009C65B2">
        <w:t xml:space="preserve"> for portfolio entit</w:t>
      </w:r>
      <w:r w:rsidR="009A5D6C">
        <w:t>y</w:t>
      </w:r>
      <w:r w:rsidR="009C65B2">
        <w:t xml:space="preserve"> CEOs and the department </w:t>
      </w:r>
      <w:r w:rsidR="00E2245C">
        <w:t xml:space="preserve">to discuss matters relating to entity oversight, including the </w:t>
      </w:r>
      <w:r w:rsidR="00530077">
        <w:t>discharge</w:t>
      </w:r>
      <w:r w:rsidR="00E2245C">
        <w:t xml:space="preserve"> of entities’ responsibilities under legislation.</w:t>
      </w:r>
      <w:r w:rsidR="00F61DB9">
        <w:t xml:space="preserve"> </w:t>
      </w:r>
      <w:r w:rsidR="00F61DB9" w:rsidRPr="004318E7">
        <w:t xml:space="preserve">This forum </w:t>
      </w:r>
      <w:r w:rsidR="004F0042">
        <w:t xml:space="preserve">may </w:t>
      </w:r>
      <w:r w:rsidR="00F61DB9" w:rsidRPr="004318E7">
        <w:t>also extend invitations to external speakers</w:t>
      </w:r>
      <w:r w:rsidR="002C2CC3" w:rsidRPr="004318E7">
        <w:t>,</w:t>
      </w:r>
      <w:r w:rsidR="00F61DB9" w:rsidRPr="004318E7">
        <w:t xml:space="preserve"> </w:t>
      </w:r>
      <w:r w:rsidR="0031092B">
        <w:t>including</w:t>
      </w:r>
      <w:r w:rsidR="00F61DB9" w:rsidRPr="004318E7">
        <w:t xml:space="preserve"> representatives from</w:t>
      </w:r>
      <w:r w:rsidR="004F0042">
        <w:t xml:space="preserve"> the</w:t>
      </w:r>
      <w:r w:rsidR="00F61DB9">
        <w:t xml:space="preserve"> Department of </w:t>
      </w:r>
      <w:r w:rsidR="0031092B">
        <w:t>Treasury</w:t>
      </w:r>
      <w:r w:rsidR="00F61DB9">
        <w:t xml:space="preserve"> and Finance, and </w:t>
      </w:r>
      <w:r w:rsidR="00E2668D">
        <w:t>other government organisations</w:t>
      </w:r>
      <w:r w:rsidR="006A5FEB">
        <w:t>.</w:t>
      </w:r>
    </w:p>
    <w:p w14:paraId="2FCE4911" w14:textId="74A4D408" w:rsidR="000408D1" w:rsidRDefault="000408D1" w:rsidP="000408D1">
      <w:r w:rsidRPr="004318E7">
        <w:t xml:space="preserve">CFO </w:t>
      </w:r>
      <w:r w:rsidR="000F4F2C">
        <w:t>f</w:t>
      </w:r>
      <w:r w:rsidRPr="004318E7">
        <w:t xml:space="preserve">orums are a platform for collaboration and connection between portfolio </w:t>
      </w:r>
      <w:r>
        <w:t>entity</w:t>
      </w:r>
      <w:r w:rsidRPr="004318E7">
        <w:t xml:space="preserve"> CFOs and the department. The intent of th</w:t>
      </w:r>
      <w:r w:rsidR="002B2CA6">
        <w:t>ese</w:t>
      </w:r>
      <w:r w:rsidRPr="004318E7">
        <w:t xml:space="preserve"> forum</w:t>
      </w:r>
      <w:r w:rsidR="002B2CA6">
        <w:t>s</w:t>
      </w:r>
      <w:r w:rsidRPr="004318E7">
        <w:t xml:space="preserve"> is to address shared challenges and cultivate critical discussion. It also enables the department to provide information and advice and build </w:t>
      </w:r>
      <w:r>
        <w:t xml:space="preserve">a </w:t>
      </w:r>
      <w:r w:rsidRPr="004318E7">
        <w:t xml:space="preserve">common understanding of </w:t>
      </w:r>
      <w:r w:rsidR="001A24CE">
        <w:t xml:space="preserve">financial reporting </w:t>
      </w:r>
      <w:r w:rsidR="00BC3770">
        <w:t>and</w:t>
      </w:r>
      <w:r w:rsidR="001A24CE">
        <w:t xml:space="preserve"> compliance </w:t>
      </w:r>
      <w:r w:rsidRPr="004318E7">
        <w:t>requirements. CFO Forums are held periodically and chaired by the department CFO. This forum also extends invitations to external speakers such as representatives from</w:t>
      </w:r>
      <w:r>
        <w:t xml:space="preserve"> the</w:t>
      </w:r>
      <w:r w:rsidRPr="004318E7">
        <w:t xml:space="preserve"> Victorian Auditor</w:t>
      </w:r>
      <w:r w:rsidR="00815319">
        <w:t>-</w:t>
      </w:r>
      <w:r w:rsidRPr="004318E7">
        <w:t>General’s Office (VAGO) to discuss significant accounting developments, including amendments to Accounting Standards and audit approaches</w:t>
      </w:r>
      <w:r>
        <w:t>.</w:t>
      </w:r>
    </w:p>
    <w:p w14:paraId="68EAF0E8" w14:textId="4A52CE54" w:rsidR="00F45153" w:rsidRDefault="009821D9" w:rsidP="000408D1">
      <w:r>
        <w:t>T</w:t>
      </w:r>
      <w:r w:rsidR="00F45153">
        <w:t>he department</w:t>
      </w:r>
      <w:r w:rsidR="00F45153" w:rsidRPr="00F45153">
        <w:t xml:space="preserve"> hosts a range of other forums throughout the year,</w:t>
      </w:r>
      <w:r w:rsidR="0086027E">
        <w:t xml:space="preserve"> </w:t>
      </w:r>
      <w:r w:rsidR="00F45153" w:rsidRPr="00F45153">
        <w:t>attended</w:t>
      </w:r>
      <w:r w:rsidR="0086027E">
        <w:t xml:space="preserve"> by</w:t>
      </w:r>
      <w:r w:rsidR="00F45153" w:rsidRPr="00F45153">
        <w:t xml:space="preserve"> </w:t>
      </w:r>
      <w:r w:rsidR="00F938E0">
        <w:t>portfolio enti</w:t>
      </w:r>
      <w:r w:rsidR="00C937F3">
        <w:t>ty representatives at various executive levels</w:t>
      </w:r>
      <w:r w:rsidR="0086027E">
        <w:t xml:space="preserve">. </w:t>
      </w:r>
      <w:r w:rsidR="00F45153" w:rsidRPr="00F45153">
        <w:t>Each forum serves a distinct purpose, with a strong emphasis on corporate governance and networking</w:t>
      </w:r>
      <w:r w:rsidR="00C75350">
        <w:t>.</w:t>
      </w:r>
    </w:p>
    <w:p w14:paraId="17D8BAB7" w14:textId="18653EB2" w:rsidR="00502978" w:rsidRDefault="00530077" w:rsidP="00502978">
      <w:bookmarkStart w:id="68" w:name="_Toc448391498"/>
      <w:r>
        <w:t xml:space="preserve">Apart from the CEO </w:t>
      </w:r>
      <w:r w:rsidR="008D5788">
        <w:t xml:space="preserve">and CFO </w:t>
      </w:r>
      <w:r>
        <w:t>forum</w:t>
      </w:r>
      <w:r w:rsidR="008D5788">
        <w:t>s</w:t>
      </w:r>
      <w:r>
        <w:t>, t</w:t>
      </w:r>
      <w:r w:rsidR="00502978" w:rsidRPr="00B37EA9">
        <w:t xml:space="preserve">he </w:t>
      </w:r>
      <w:r w:rsidR="00502978">
        <w:t>s</w:t>
      </w:r>
      <w:r w:rsidR="00502978" w:rsidRPr="00B37EA9">
        <w:t xml:space="preserve">ecretary, </w:t>
      </w:r>
      <w:r w:rsidR="00502978">
        <w:t>d</w:t>
      </w:r>
      <w:r w:rsidR="00502978" w:rsidRPr="00B37EA9">
        <w:t xml:space="preserve">eputy </w:t>
      </w:r>
      <w:r w:rsidR="00502978">
        <w:t>s</w:t>
      </w:r>
      <w:r w:rsidR="00502978" w:rsidRPr="00B37EA9">
        <w:t xml:space="preserve">ecretary or relevant senior executive </w:t>
      </w:r>
      <w:r w:rsidR="00AF529B">
        <w:t xml:space="preserve">may </w:t>
      </w:r>
      <w:r w:rsidR="00502978" w:rsidRPr="00B37EA9">
        <w:t xml:space="preserve">undertake annual visits to </w:t>
      </w:r>
      <w:r w:rsidR="00502978">
        <w:t xml:space="preserve">the </w:t>
      </w:r>
      <w:r w:rsidR="00C81471">
        <w:t>entity</w:t>
      </w:r>
      <w:r w:rsidR="00502978" w:rsidRPr="00B37EA9">
        <w:t>.</w:t>
      </w:r>
      <w:bookmarkEnd w:id="68"/>
    </w:p>
    <w:p w14:paraId="5BB1DDFC" w14:textId="107DAA60" w:rsidR="00502978" w:rsidRPr="00BE4254" w:rsidRDefault="004F7F07" w:rsidP="00502978">
      <w:pPr>
        <w:pStyle w:val="Heading2"/>
      </w:pPr>
      <w:bookmarkStart w:id="69" w:name="_Toc448391518"/>
      <w:bookmarkStart w:id="70" w:name="_Toc454638952"/>
      <w:bookmarkStart w:id="71" w:name="_Toc456088167"/>
      <w:bookmarkStart w:id="72" w:name="_Toc520212428"/>
      <w:bookmarkStart w:id="73" w:name="_Toc39481535"/>
      <w:bookmarkStart w:id="74" w:name="_Toc194930394"/>
      <w:r>
        <w:t>5.6</w:t>
      </w:r>
      <w:r>
        <w:tab/>
      </w:r>
      <w:r w:rsidR="00502978" w:rsidRPr="00BE4254">
        <w:t xml:space="preserve">Board </w:t>
      </w:r>
      <w:r w:rsidR="008C3F0D">
        <w:t>A</w:t>
      </w:r>
      <w:r w:rsidR="00502978" w:rsidRPr="00BE4254">
        <w:t>ppointments</w:t>
      </w:r>
      <w:r w:rsidR="00502978">
        <w:t xml:space="preserve">, </w:t>
      </w:r>
      <w:r w:rsidR="008C3F0D">
        <w:t>I</w:t>
      </w:r>
      <w:r w:rsidR="00502978">
        <w:t>nduction,</w:t>
      </w:r>
      <w:r w:rsidR="00502978" w:rsidRPr="00BE4254">
        <w:t xml:space="preserve"> </w:t>
      </w:r>
      <w:r w:rsidR="008C3F0D">
        <w:t>M</w:t>
      </w:r>
      <w:r w:rsidR="00502978" w:rsidRPr="00BE4254">
        <w:t>eetings</w:t>
      </w:r>
      <w:bookmarkEnd w:id="69"/>
      <w:bookmarkEnd w:id="70"/>
      <w:r w:rsidR="00502978">
        <w:t xml:space="preserve"> and </w:t>
      </w:r>
      <w:r w:rsidR="008C3F0D">
        <w:t>P</w:t>
      </w:r>
      <w:r w:rsidR="00502978">
        <w:t>erformance</w:t>
      </w:r>
      <w:bookmarkEnd w:id="71"/>
      <w:bookmarkEnd w:id="72"/>
      <w:bookmarkEnd w:id="73"/>
      <w:bookmarkEnd w:id="74"/>
    </w:p>
    <w:p w14:paraId="519DFAEA" w14:textId="3C207753" w:rsidR="00502978" w:rsidRPr="00632CC8" w:rsidRDefault="00502978" w:rsidP="00502978">
      <w:pPr>
        <w:pStyle w:val="bodycopy"/>
        <w:rPr>
          <w:i/>
          <w:iCs/>
          <w:sz w:val="18"/>
          <w:szCs w:val="18"/>
        </w:rPr>
      </w:pPr>
      <w:r w:rsidRPr="00FC4749">
        <w:rPr>
          <w:color w:val="auto"/>
          <w:sz w:val="18"/>
        </w:rPr>
        <w:t>An essential element of good public administration is sound board governance, including the recruitment, selection, appointment and remuneration of board members. The minimum requirements for board governance are set out in the</w:t>
      </w:r>
      <w:r w:rsidR="00B64D6A" w:rsidRPr="00B64D6A">
        <w:rPr>
          <w:rFonts w:eastAsiaTheme="minorHAnsi"/>
          <w:color w:val="000000"/>
          <w:sz w:val="18"/>
          <w:szCs w:val="18"/>
          <w:lang w:val="en-US" w:eastAsia="en-US"/>
        </w:rPr>
        <w:t xml:space="preserve"> </w:t>
      </w:r>
      <w:hyperlink r:id="rId37" w:history="1">
        <w:r w:rsidR="00BA23F1" w:rsidRPr="00632CC8">
          <w:rPr>
            <w:rStyle w:val="Hyperlink"/>
            <w:i/>
            <w:iCs/>
            <w:sz w:val="18"/>
            <w:szCs w:val="18"/>
            <w:lang w:val="en-US"/>
          </w:rPr>
          <w:t>Premier’s Circular No. 2015/2 Good Board Governance</w:t>
        </w:r>
      </w:hyperlink>
      <w:r w:rsidR="00BC11E1">
        <w:rPr>
          <w:i/>
          <w:iCs/>
          <w:sz w:val="18"/>
          <w:szCs w:val="18"/>
        </w:rPr>
        <w:t xml:space="preserve">. </w:t>
      </w:r>
      <w:r w:rsidR="00BC11E1" w:rsidRPr="003B7772">
        <w:rPr>
          <w:color w:val="auto"/>
          <w:sz w:val="18"/>
        </w:rPr>
        <w:t xml:space="preserve">The Government and Parliamentary </w:t>
      </w:r>
      <w:r w:rsidR="001532FD">
        <w:rPr>
          <w:color w:val="auto"/>
          <w:sz w:val="18"/>
        </w:rPr>
        <w:t>S</w:t>
      </w:r>
      <w:r w:rsidR="00BC11E1" w:rsidRPr="003B7772">
        <w:rPr>
          <w:color w:val="auto"/>
          <w:sz w:val="18"/>
        </w:rPr>
        <w:t xml:space="preserve">ervices team </w:t>
      </w:r>
      <w:r w:rsidR="00914368" w:rsidRPr="003B7772">
        <w:rPr>
          <w:color w:val="auto"/>
          <w:sz w:val="18"/>
        </w:rPr>
        <w:t>will provide guidance on entities</w:t>
      </w:r>
      <w:r w:rsidR="0065416D">
        <w:rPr>
          <w:color w:val="auto"/>
          <w:sz w:val="18"/>
        </w:rPr>
        <w:t>’</w:t>
      </w:r>
      <w:r w:rsidR="00914368" w:rsidRPr="003B7772">
        <w:rPr>
          <w:color w:val="auto"/>
          <w:sz w:val="18"/>
        </w:rPr>
        <w:t xml:space="preserve"> boa</w:t>
      </w:r>
      <w:r w:rsidR="00B31BE9" w:rsidRPr="003B7772">
        <w:rPr>
          <w:color w:val="auto"/>
          <w:sz w:val="18"/>
        </w:rPr>
        <w:t>r</w:t>
      </w:r>
      <w:r w:rsidR="00914368" w:rsidRPr="003B7772">
        <w:rPr>
          <w:color w:val="auto"/>
          <w:sz w:val="18"/>
        </w:rPr>
        <w:t xml:space="preserve">d appointment processes including submissions of applications for Cabinet and </w:t>
      </w:r>
      <w:r w:rsidR="00354602" w:rsidRPr="003B7772">
        <w:rPr>
          <w:color w:val="auto"/>
          <w:sz w:val="18"/>
        </w:rPr>
        <w:t>Governor in Council appointments.</w:t>
      </w:r>
      <w:r w:rsidR="00447F2B" w:rsidRPr="003B7772">
        <w:rPr>
          <w:color w:val="auto"/>
          <w:sz w:val="18"/>
        </w:rPr>
        <w:t xml:space="preserve"> It</w:t>
      </w:r>
      <w:r w:rsidR="00243C35" w:rsidRPr="003B7772">
        <w:rPr>
          <w:color w:val="auto"/>
          <w:sz w:val="18"/>
        </w:rPr>
        <w:t xml:space="preserve"> will</w:t>
      </w:r>
      <w:r w:rsidR="00447F2B" w:rsidRPr="003B7772">
        <w:rPr>
          <w:color w:val="auto"/>
          <w:sz w:val="18"/>
        </w:rPr>
        <w:t xml:space="preserve"> also manage third-party</w:t>
      </w:r>
      <w:r w:rsidR="007E5E55" w:rsidRPr="003B7772">
        <w:rPr>
          <w:color w:val="auto"/>
          <w:sz w:val="18"/>
        </w:rPr>
        <w:t xml:space="preserve"> </w:t>
      </w:r>
      <w:r w:rsidR="00447F2B" w:rsidRPr="003B7772">
        <w:rPr>
          <w:color w:val="auto"/>
          <w:sz w:val="18"/>
        </w:rPr>
        <w:t>probity check</w:t>
      </w:r>
      <w:r w:rsidR="00D914C3" w:rsidRPr="003B7772">
        <w:rPr>
          <w:color w:val="auto"/>
          <w:sz w:val="18"/>
        </w:rPr>
        <w:t>s</w:t>
      </w:r>
      <w:r w:rsidR="00447F2B" w:rsidRPr="003B7772">
        <w:rPr>
          <w:color w:val="auto"/>
          <w:sz w:val="18"/>
        </w:rPr>
        <w:t xml:space="preserve"> and </w:t>
      </w:r>
      <w:r w:rsidR="00B37948" w:rsidRPr="003B7772">
        <w:rPr>
          <w:color w:val="auto"/>
          <w:sz w:val="18"/>
        </w:rPr>
        <w:t xml:space="preserve">the </w:t>
      </w:r>
      <w:r w:rsidR="00632CC8" w:rsidRPr="003B7772">
        <w:rPr>
          <w:color w:val="auto"/>
          <w:sz w:val="18"/>
        </w:rPr>
        <w:t>D</w:t>
      </w:r>
      <w:r w:rsidR="00447F2B" w:rsidRPr="003B7772">
        <w:rPr>
          <w:color w:val="auto"/>
          <w:sz w:val="18"/>
        </w:rPr>
        <w:t xml:space="preserve">eclaration </w:t>
      </w:r>
      <w:r w:rsidR="003803D3" w:rsidRPr="003B7772">
        <w:rPr>
          <w:color w:val="auto"/>
          <w:sz w:val="18"/>
        </w:rPr>
        <w:t>o</w:t>
      </w:r>
      <w:r w:rsidR="00447F2B" w:rsidRPr="003B7772">
        <w:rPr>
          <w:color w:val="auto"/>
          <w:sz w:val="18"/>
        </w:rPr>
        <w:t xml:space="preserve">f </w:t>
      </w:r>
      <w:r w:rsidR="00632CC8" w:rsidRPr="003B7772">
        <w:rPr>
          <w:color w:val="auto"/>
          <w:sz w:val="18"/>
        </w:rPr>
        <w:t>P</w:t>
      </w:r>
      <w:r w:rsidR="00447F2B" w:rsidRPr="003B7772">
        <w:rPr>
          <w:color w:val="auto"/>
          <w:sz w:val="18"/>
        </w:rPr>
        <w:t xml:space="preserve">rivate </w:t>
      </w:r>
      <w:r w:rsidR="00632CC8" w:rsidRPr="003B7772">
        <w:rPr>
          <w:color w:val="auto"/>
          <w:sz w:val="18"/>
        </w:rPr>
        <w:t>I</w:t>
      </w:r>
      <w:r w:rsidR="00447F2B" w:rsidRPr="003B7772">
        <w:rPr>
          <w:color w:val="auto"/>
          <w:sz w:val="18"/>
        </w:rPr>
        <w:t>nterest</w:t>
      </w:r>
      <w:r w:rsidR="0031229B" w:rsidRPr="003B7772">
        <w:rPr>
          <w:color w:val="auto"/>
          <w:sz w:val="18"/>
        </w:rPr>
        <w:t>s</w:t>
      </w:r>
      <w:r w:rsidR="00447F2B" w:rsidRPr="003B7772">
        <w:rPr>
          <w:color w:val="auto"/>
          <w:sz w:val="18"/>
        </w:rPr>
        <w:t xml:space="preserve"> </w:t>
      </w:r>
      <w:r w:rsidR="0045456F" w:rsidRPr="003B7772">
        <w:rPr>
          <w:color w:val="auto"/>
          <w:sz w:val="18"/>
        </w:rPr>
        <w:t>process.</w:t>
      </w:r>
    </w:p>
    <w:p w14:paraId="34AFD234" w14:textId="5376796D" w:rsidR="00502978" w:rsidRPr="009006C2" w:rsidRDefault="004F7F07" w:rsidP="00502978">
      <w:pPr>
        <w:pStyle w:val="Heading3"/>
      </w:pPr>
      <w:bookmarkStart w:id="75" w:name="_Toc39481536"/>
      <w:bookmarkStart w:id="76" w:name="_Toc194930395"/>
      <w:r>
        <w:t>5.6.1</w:t>
      </w:r>
      <w:r>
        <w:tab/>
      </w:r>
      <w:r w:rsidR="00502978" w:rsidRPr="0040039F">
        <w:t>Recruitment, selection, appointment and remuneration processes</w:t>
      </w:r>
      <w:bookmarkEnd w:id="75"/>
      <w:bookmarkEnd w:id="76"/>
    </w:p>
    <w:p w14:paraId="216EC1AD" w14:textId="2EFE1BC2" w:rsidR="004976BD" w:rsidRPr="00E62C2F" w:rsidRDefault="00E14322" w:rsidP="00024464">
      <w:pPr>
        <w:rPr>
          <w:color w:val="auto"/>
        </w:rPr>
      </w:pPr>
      <w:r w:rsidRPr="0099160C">
        <w:rPr>
          <w:lang w:eastAsia="en-AU"/>
        </w:rPr>
        <w:t>The department and entities</w:t>
      </w:r>
      <w:r w:rsidR="00BF3A28">
        <w:rPr>
          <w:lang w:eastAsia="en-AU"/>
        </w:rPr>
        <w:t>,</w:t>
      </w:r>
      <w:r w:rsidRPr="0099160C">
        <w:rPr>
          <w:lang w:eastAsia="en-AU"/>
        </w:rPr>
        <w:t xml:space="preserve"> where applicable, will support ministers in developing merit-based, </w:t>
      </w:r>
      <w:r w:rsidR="00407BD8" w:rsidRPr="00474E21">
        <w:rPr>
          <w:lang w:eastAsia="en-AU"/>
        </w:rPr>
        <w:t xml:space="preserve">inclusive, </w:t>
      </w:r>
      <w:r w:rsidRPr="0099160C">
        <w:rPr>
          <w:lang w:eastAsia="en-AU"/>
        </w:rPr>
        <w:t>fair</w:t>
      </w:r>
      <w:r w:rsidR="00407BD8" w:rsidRPr="00530788">
        <w:rPr>
          <w:lang w:eastAsia="en-AU"/>
        </w:rPr>
        <w:t xml:space="preserve"> and</w:t>
      </w:r>
      <w:r w:rsidRPr="0099160C">
        <w:rPr>
          <w:lang w:eastAsia="en-AU"/>
        </w:rPr>
        <w:t xml:space="preserve"> </w:t>
      </w:r>
      <w:r w:rsidR="008B53EA" w:rsidRPr="00530788">
        <w:rPr>
          <w:lang w:eastAsia="en-AU"/>
        </w:rPr>
        <w:t>transparent</w:t>
      </w:r>
      <w:r w:rsidRPr="0099160C">
        <w:rPr>
          <w:lang w:eastAsia="en-AU"/>
        </w:rPr>
        <w:t xml:space="preserve"> processes for board recruitment and selection.</w:t>
      </w:r>
      <w:r w:rsidR="00502978" w:rsidRPr="00632DA9">
        <w:rPr>
          <w:lang w:eastAsia="en-AU"/>
        </w:rPr>
        <w:t xml:space="preserve"> Promoting the full participation </w:t>
      </w:r>
      <w:r w:rsidR="007C4C1C" w:rsidRPr="00632DA9">
        <w:rPr>
          <w:lang w:eastAsia="en-AU"/>
        </w:rPr>
        <w:t xml:space="preserve">of </w:t>
      </w:r>
      <w:r w:rsidR="007C4C1C">
        <w:rPr>
          <w:lang w:eastAsia="en-AU"/>
        </w:rPr>
        <w:t>diverse</w:t>
      </w:r>
      <w:r w:rsidR="0045536B">
        <w:rPr>
          <w:lang w:eastAsia="en-AU"/>
        </w:rPr>
        <w:t xml:space="preserve"> cohorts on boards</w:t>
      </w:r>
      <w:r w:rsidR="007739CC">
        <w:rPr>
          <w:lang w:eastAsia="en-AU"/>
        </w:rPr>
        <w:t xml:space="preserve"> brings </w:t>
      </w:r>
      <w:r w:rsidR="00502978" w:rsidRPr="00632DA9">
        <w:rPr>
          <w:lang w:eastAsia="en-AU"/>
        </w:rPr>
        <w:t xml:space="preserve">diversity in skills and perspectives </w:t>
      </w:r>
      <w:r w:rsidR="00F5050A">
        <w:rPr>
          <w:lang w:eastAsia="en-AU"/>
        </w:rPr>
        <w:t>to</w:t>
      </w:r>
      <w:r w:rsidR="00F5050A" w:rsidRPr="00632DA9">
        <w:rPr>
          <w:lang w:eastAsia="en-AU"/>
        </w:rPr>
        <w:t xml:space="preserve"> </w:t>
      </w:r>
      <w:r w:rsidR="00502978" w:rsidRPr="00632DA9">
        <w:rPr>
          <w:lang w:eastAsia="en-AU"/>
        </w:rPr>
        <w:t xml:space="preserve">strengthen the Victorian economy and the broader community. </w:t>
      </w:r>
      <w:r w:rsidR="002F7C7F">
        <w:rPr>
          <w:lang w:eastAsia="en-AU"/>
        </w:rPr>
        <w:t xml:space="preserve">The </w:t>
      </w:r>
      <w:r w:rsidR="00502978" w:rsidRPr="00632DA9">
        <w:rPr>
          <w:lang w:eastAsia="en-AU"/>
        </w:rPr>
        <w:t>Victoria</w:t>
      </w:r>
      <w:r w:rsidR="002F7C7F">
        <w:rPr>
          <w:lang w:eastAsia="en-AU"/>
        </w:rPr>
        <w:t>n Government</w:t>
      </w:r>
      <w:r w:rsidR="00502978" w:rsidRPr="00632DA9">
        <w:rPr>
          <w:lang w:eastAsia="en-AU"/>
        </w:rPr>
        <w:t xml:space="preserve"> strives to have public sector </w:t>
      </w:r>
      <w:r w:rsidR="00502978">
        <w:rPr>
          <w:lang w:eastAsia="en-AU"/>
        </w:rPr>
        <w:t>b</w:t>
      </w:r>
      <w:r w:rsidR="00502978" w:rsidRPr="00632DA9">
        <w:rPr>
          <w:lang w:eastAsia="en-AU"/>
        </w:rPr>
        <w:t>oards that are highly effective and reflective of our diverse community.</w:t>
      </w:r>
      <w:r w:rsidR="00502978" w:rsidRPr="00632DA9">
        <w:rPr>
          <w:rFonts w:ascii="Helvetica" w:hAnsi="Helvetica" w:cs="Helvetica"/>
          <w:lang w:eastAsia="en-AU"/>
        </w:rPr>
        <w:t xml:space="preserve"> </w:t>
      </w:r>
    </w:p>
    <w:p w14:paraId="3108DF58" w14:textId="2918FAD2" w:rsidR="004976BD" w:rsidRDefault="00296D5B" w:rsidP="004976BD">
      <w:r>
        <w:t xml:space="preserve">The department </w:t>
      </w:r>
      <w:r w:rsidRPr="0040039F">
        <w:t xml:space="preserve">and </w:t>
      </w:r>
      <w:r>
        <w:t>entities</w:t>
      </w:r>
      <w:r w:rsidRPr="0040039F">
        <w:t xml:space="preserve"> </w:t>
      </w:r>
      <w:r>
        <w:t xml:space="preserve">are to </w:t>
      </w:r>
      <w:r w:rsidRPr="0040039F">
        <w:t xml:space="preserve">follow the Victorian Public Service Commission’s (VPSC) </w:t>
      </w:r>
      <w:hyperlink r:id="rId38" w:history="1">
        <w:r w:rsidR="001F05C3">
          <w:rPr>
            <w:rStyle w:val="Hyperlink"/>
            <w:i/>
            <w:iCs/>
          </w:rPr>
          <w:t>Governance toolkit for recruitment and appointment to the board</w:t>
        </w:r>
      </w:hyperlink>
      <w:r w:rsidR="000A6492">
        <w:t xml:space="preserve"> </w:t>
      </w:r>
      <w:r>
        <w:t>for the</w:t>
      </w:r>
      <w:r w:rsidRPr="0040039F">
        <w:t xml:space="preserve"> recruitment and selection of board members</w:t>
      </w:r>
      <w:r w:rsidR="0087615C">
        <w:t>. They are also</w:t>
      </w:r>
      <w:r w:rsidR="005C2704">
        <w:t xml:space="preserve"> to </w:t>
      </w:r>
      <w:r w:rsidR="00AE4460">
        <w:t xml:space="preserve">follow </w:t>
      </w:r>
      <w:r w:rsidR="004976BD" w:rsidRPr="0040039F">
        <w:t xml:space="preserve">the Department of Premier and Cabinet’s (DPC) </w:t>
      </w:r>
      <w:hyperlink r:id="rId39" w:history="1">
        <w:r w:rsidR="004976BD" w:rsidRPr="005B3257">
          <w:rPr>
            <w:rStyle w:val="Hyperlink"/>
            <w:i/>
          </w:rPr>
          <w:t>Appointment and Remuneration Guidelines</w:t>
        </w:r>
      </w:hyperlink>
      <w:r w:rsidR="004976BD" w:rsidRPr="0040039F">
        <w:t xml:space="preserve"> </w:t>
      </w:r>
      <w:r w:rsidR="00D3671A">
        <w:t>for</w:t>
      </w:r>
      <w:r w:rsidR="004976BD" w:rsidRPr="0040039F">
        <w:t xml:space="preserve"> the appointment and remuneration of board members.</w:t>
      </w:r>
    </w:p>
    <w:p w14:paraId="5561C64E" w14:textId="1E30B56F" w:rsidR="00341DAC" w:rsidRDefault="00341DAC" w:rsidP="0099160C">
      <w:pPr>
        <w:pStyle w:val="Heading3"/>
      </w:pPr>
      <w:bookmarkStart w:id="77" w:name="_Toc194930396"/>
      <w:r w:rsidRPr="00341F09">
        <w:t xml:space="preserve">5.6.2 </w:t>
      </w:r>
      <w:r w:rsidR="00C43B2A" w:rsidRPr="00230601">
        <w:tab/>
      </w:r>
      <w:r w:rsidRPr="00230601">
        <w:t>Diversity on Victorian Government boards</w:t>
      </w:r>
      <w:bookmarkEnd w:id="77"/>
    </w:p>
    <w:p w14:paraId="6E1087D2" w14:textId="77777777" w:rsidR="00885978" w:rsidRDefault="002507BF" w:rsidP="005B1A23">
      <w:pPr>
        <w:rPr>
          <w:rFonts w:asciiTheme="minorHAnsi" w:hAnsiTheme="minorHAnsi" w:cstheme="minorHAnsi"/>
          <w:color w:val="0D0D0D"/>
          <w:shd w:val="clear" w:color="auto" w:fill="FFFFFF"/>
        </w:rPr>
      </w:pPr>
      <w:r w:rsidRPr="00690BBB">
        <w:rPr>
          <w:rFonts w:asciiTheme="minorHAnsi" w:hAnsiTheme="minorHAnsi" w:cstheme="minorHAnsi"/>
          <w:color w:val="0D0D0D"/>
          <w:shd w:val="clear" w:color="auto" w:fill="FFFFFF"/>
        </w:rPr>
        <w:t xml:space="preserve">The </w:t>
      </w:r>
      <w:r>
        <w:rPr>
          <w:rFonts w:asciiTheme="minorHAnsi" w:hAnsiTheme="minorHAnsi" w:cstheme="minorHAnsi"/>
          <w:color w:val="0D0D0D"/>
          <w:shd w:val="clear" w:color="auto" w:fill="FFFFFF"/>
        </w:rPr>
        <w:t xml:space="preserve">government has committed to meet WoVG representational targets to enhance diversity across Victorian Government boards. These targets, overseen internally by WoVG and monitored across departmental and portfolio levels, form an essential component of the WoVG reporting system. While attaining all targets across every board may not be viable, each individual board strives to meet all diversity targets. </w:t>
      </w:r>
    </w:p>
    <w:p w14:paraId="105AC42E" w14:textId="467DBA94" w:rsidR="00943B0B" w:rsidRDefault="002507BF" w:rsidP="00F61364">
      <w:pPr>
        <w:rPr>
          <w:rFonts w:asciiTheme="minorHAnsi" w:hAnsiTheme="minorHAnsi" w:cstheme="minorHAnsi"/>
          <w:color w:val="0D0D0D"/>
          <w:shd w:val="clear" w:color="auto" w:fill="FFFFFF"/>
        </w:rPr>
      </w:pPr>
      <w:r>
        <w:rPr>
          <w:rFonts w:asciiTheme="minorHAnsi" w:hAnsiTheme="minorHAnsi" w:cstheme="minorHAnsi"/>
          <w:color w:val="0D0D0D"/>
          <w:shd w:val="clear" w:color="auto" w:fill="FFFFFF"/>
        </w:rPr>
        <w:t xml:space="preserve">Progress updates will draw upon board data from the Government Appointments and Public Entity Database (GAPED) and </w:t>
      </w:r>
      <w:r w:rsidR="00E84BDA">
        <w:rPr>
          <w:rFonts w:asciiTheme="minorHAnsi" w:hAnsiTheme="minorHAnsi" w:cstheme="minorHAnsi"/>
          <w:color w:val="0D0D0D"/>
          <w:shd w:val="clear" w:color="auto" w:fill="FFFFFF"/>
        </w:rPr>
        <w:t xml:space="preserve">are </w:t>
      </w:r>
      <w:r>
        <w:rPr>
          <w:rFonts w:asciiTheme="minorHAnsi" w:hAnsiTheme="minorHAnsi" w:cstheme="minorHAnsi"/>
          <w:color w:val="0D0D0D"/>
          <w:shd w:val="clear" w:color="auto" w:fill="FFFFFF"/>
        </w:rPr>
        <w:t>verified by portfolio groups.</w:t>
      </w:r>
      <w:bookmarkStart w:id="78" w:name="_Hlk156829085"/>
      <w:r w:rsidR="00750860" w:rsidRPr="00750860">
        <w:t xml:space="preserve"> </w:t>
      </w:r>
      <w:r w:rsidR="00C0650B">
        <w:t xml:space="preserve">Based on the information collected </w:t>
      </w:r>
      <w:r w:rsidR="00873B86">
        <w:t>via</w:t>
      </w:r>
      <w:r w:rsidR="00C0650B">
        <w:t xml:space="preserve"> GAPED, </w:t>
      </w:r>
      <w:r w:rsidR="00750860" w:rsidRPr="00750860">
        <w:rPr>
          <w:rFonts w:asciiTheme="minorHAnsi" w:hAnsiTheme="minorHAnsi" w:cstheme="minorHAnsi"/>
          <w:color w:val="0D0D0D"/>
          <w:shd w:val="clear" w:color="auto" w:fill="FFFFFF"/>
        </w:rPr>
        <w:t xml:space="preserve">DPC plans on providing a </w:t>
      </w:r>
      <w:r w:rsidR="00750860">
        <w:rPr>
          <w:rFonts w:asciiTheme="minorHAnsi" w:hAnsiTheme="minorHAnsi" w:cstheme="minorHAnsi"/>
          <w:color w:val="0D0D0D"/>
          <w:shd w:val="clear" w:color="auto" w:fill="FFFFFF"/>
        </w:rPr>
        <w:t>r</w:t>
      </w:r>
      <w:r w:rsidR="00750860" w:rsidRPr="00750860">
        <w:rPr>
          <w:rFonts w:asciiTheme="minorHAnsi" w:hAnsiTheme="minorHAnsi" w:cstheme="minorHAnsi"/>
          <w:color w:val="0D0D0D"/>
          <w:shd w:val="clear" w:color="auto" w:fill="FFFFFF"/>
        </w:rPr>
        <w:t>eport back to Cabinet in 2026 on how WoVG is progressing against its</w:t>
      </w:r>
      <w:r w:rsidR="00750860">
        <w:rPr>
          <w:rFonts w:asciiTheme="minorHAnsi" w:hAnsiTheme="minorHAnsi" w:cstheme="minorHAnsi"/>
          <w:color w:val="0D0D0D"/>
          <w:shd w:val="clear" w:color="auto" w:fill="FFFFFF"/>
        </w:rPr>
        <w:t xml:space="preserve"> </w:t>
      </w:r>
      <w:r w:rsidR="00B01031">
        <w:rPr>
          <w:rFonts w:asciiTheme="minorHAnsi" w:hAnsiTheme="minorHAnsi" w:cstheme="minorHAnsi"/>
          <w:color w:val="0D0D0D"/>
          <w:shd w:val="clear" w:color="auto" w:fill="FFFFFF"/>
        </w:rPr>
        <w:t xml:space="preserve">7 </w:t>
      </w:r>
      <w:r w:rsidR="00750860" w:rsidRPr="00750860">
        <w:rPr>
          <w:rFonts w:asciiTheme="minorHAnsi" w:hAnsiTheme="minorHAnsi" w:cstheme="minorHAnsi"/>
          <w:color w:val="0D0D0D"/>
          <w:shd w:val="clear" w:color="auto" w:fill="FFFFFF"/>
        </w:rPr>
        <w:t>diversity on boards targets</w:t>
      </w:r>
      <w:r w:rsidR="00B01031">
        <w:rPr>
          <w:rFonts w:asciiTheme="minorHAnsi" w:hAnsiTheme="minorHAnsi" w:cstheme="minorHAnsi"/>
          <w:color w:val="0D0D0D"/>
          <w:shd w:val="clear" w:color="auto" w:fill="FFFFFF"/>
        </w:rPr>
        <w:t>, measured at extended periods of reporting, as outlined in Appendix B: Diversity cohorts on Victorian Government boards</w:t>
      </w:r>
      <w:r w:rsidR="00750860" w:rsidRPr="00750860">
        <w:rPr>
          <w:rFonts w:asciiTheme="minorHAnsi" w:hAnsiTheme="minorHAnsi" w:cstheme="minorHAnsi"/>
          <w:color w:val="0D0D0D"/>
          <w:shd w:val="clear" w:color="auto" w:fill="FFFFFF"/>
        </w:rPr>
        <w:t>.</w:t>
      </w:r>
      <w:r w:rsidR="008B16AE">
        <w:rPr>
          <w:rFonts w:asciiTheme="minorHAnsi" w:hAnsiTheme="minorHAnsi" w:cstheme="minorHAnsi"/>
          <w:color w:val="0D0D0D"/>
          <w:shd w:val="clear" w:color="auto" w:fill="FFFFFF"/>
        </w:rPr>
        <w:t xml:space="preserve"> </w:t>
      </w:r>
    </w:p>
    <w:p w14:paraId="038C5D30" w14:textId="630C62B8" w:rsidR="00F61364" w:rsidRPr="00F61364" w:rsidRDefault="002134AD" w:rsidP="00F61364">
      <w:pPr>
        <w:rPr>
          <w:rFonts w:asciiTheme="minorHAnsi" w:hAnsiTheme="minorHAnsi" w:cstheme="minorHAnsi"/>
          <w:color w:val="0D0D0D"/>
          <w:shd w:val="clear" w:color="auto" w:fill="FFFFFF"/>
          <w:lang w:val="en-AU"/>
        </w:rPr>
      </w:pPr>
      <w:r>
        <w:rPr>
          <w:rFonts w:asciiTheme="minorHAnsi" w:hAnsiTheme="minorHAnsi" w:cstheme="minorHAnsi"/>
          <w:color w:val="0D0D0D"/>
          <w:shd w:val="clear" w:color="auto" w:fill="FFFFFF"/>
        </w:rPr>
        <w:t>To validate the GAPED data</w:t>
      </w:r>
      <w:r w:rsidR="00AA488B">
        <w:rPr>
          <w:rFonts w:asciiTheme="minorHAnsi" w:hAnsiTheme="minorHAnsi" w:cstheme="minorHAnsi"/>
          <w:color w:val="0D0D0D"/>
          <w:shd w:val="clear" w:color="auto" w:fill="FFFFFF"/>
        </w:rPr>
        <w:t xml:space="preserve"> and </w:t>
      </w:r>
      <w:r w:rsidR="00AA488B" w:rsidRPr="00F61364">
        <w:rPr>
          <w:rFonts w:asciiTheme="minorHAnsi" w:hAnsiTheme="minorHAnsi" w:cstheme="minorHAnsi"/>
          <w:color w:val="0D0D0D"/>
          <w:shd w:val="clear" w:color="auto" w:fill="FFFFFF"/>
          <w:lang w:val="en-AU"/>
        </w:rPr>
        <w:t>monitor its performance against WoVG targets</w:t>
      </w:r>
      <w:r>
        <w:rPr>
          <w:rFonts w:asciiTheme="minorHAnsi" w:hAnsiTheme="minorHAnsi" w:cstheme="minorHAnsi"/>
          <w:color w:val="0D0D0D"/>
          <w:shd w:val="clear" w:color="auto" w:fill="FFFFFF"/>
        </w:rPr>
        <w:t>, t</w:t>
      </w:r>
      <w:r w:rsidR="008B16AE">
        <w:rPr>
          <w:rFonts w:asciiTheme="minorHAnsi" w:hAnsiTheme="minorHAnsi" w:cstheme="minorHAnsi"/>
          <w:color w:val="0D0D0D"/>
          <w:shd w:val="clear" w:color="auto" w:fill="FFFFFF"/>
        </w:rPr>
        <w:t>he department has</w:t>
      </w:r>
      <w:r w:rsidR="00CA3B4F">
        <w:rPr>
          <w:rFonts w:asciiTheme="minorHAnsi" w:hAnsiTheme="minorHAnsi" w:cstheme="minorHAnsi"/>
          <w:color w:val="0D0D0D"/>
          <w:shd w:val="clear" w:color="auto" w:fill="FFFFFF"/>
        </w:rPr>
        <w:t xml:space="preserve"> recently</w:t>
      </w:r>
      <w:r w:rsidR="008B16AE">
        <w:rPr>
          <w:rFonts w:asciiTheme="minorHAnsi" w:hAnsiTheme="minorHAnsi" w:cstheme="minorHAnsi"/>
          <w:color w:val="0D0D0D"/>
          <w:shd w:val="clear" w:color="auto" w:fill="FFFFFF"/>
        </w:rPr>
        <w:t xml:space="preserve"> developed </w:t>
      </w:r>
      <w:r w:rsidR="00F61364" w:rsidRPr="00F61364">
        <w:rPr>
          <w:rFonts w:asciiTheme="minorHAnsi" w:hAnsiTheme="minorHAnsi" w:cstheme="minorHAnsi"/>
          <w:color w:val="0D0D0D"/>
          <w:shd w:val="clear" w:color="auto" w:fill="FFFFFF"/>
          <w:lang w:val="en-AU"/>
        </w:rPr>
        <w:t xml:space="preserve">its </w:t>
      </w:r>
      <w:r w:rsidR="00297330">
        <w:rPr>
          <w:rFonts w:asciiTheme="minorHAnsi" w:hAnsiTheme="minorHAnsi" w:cstheme="minorHAnsi"/>
          <w:color w:val="0D0D0D"/>
          <w:shd w:val="clear" w:color="auto" w:fill="FFFFFF"/>
          <w:lang w:val="en-AU"/>
        </w:rPr>
        <w:t>inter</w:t>
      </w:r>
      <w:r w:rsidR="00F61364" w:rsidRPr="00F61364">
        <w:rPr>
          <w:rFonts w:asciiTheme="minorHAnsi" w:hAnsiTheme="minorHAnsi" w:cstheme="minorHAnsi"/>
          <w:color w:val="0D0D0D"/>
          <w:shd w:val="clear" w:color="auto" w:fill="FFFFFF"/>
          <w:lang w:val="en-AU"/>
        </w:rPr>
        <w:t xml:space="preserve">nal </w:t>
      </w:r>
      <w:r w:rsidR="00F928BA">
        <w:rPr>
          <w:rFonts w:asciiTheme="minorHAnsi" w:hAnsiTheme="minorHAnsi" w:cstheme="minorHAnsi"/>
          <w:color w:val="0D0D0D"/>
          <w:shd w:val="clear" w:color="auto" w:fill="FFFFFF"/>
          <w:lang w:val="en-AU"/>
        </w:rPr>
        <w:t xml:space="preserve">annual </w:t>
      </w:r>
      <w:r w:rsidR="00F61364" w:rsidRPr="00F61364">
        <w:rPr>
          <w:rFonts w:asciiTheme="minorHAnsi" w:hAnsiTheme="minorHAnsi" w:cstheme="minorHAnsi"/>
          <w:color w:val="0D0D0D"/>
          <w:shd w:val="clear" w:color="auto" w:fill="FFFFFF"/>
          <w:lang w:val="en-AU"/>
        </w:rPr>
        <w:t>reporting mechanism</w:t>
      </w:r>
      <w:r w:rsidR="00083DC9">
        <w:rPr>
          <w:rFonts w:asciiTheme="minorHAnsi" w:hAnsiTheme="minorHAnsi" w:cstheme="minorHAnsi"/>
          <w:color w:val="0D0D0D"/>
          <w:shd w:val="clear" w:color="auto" w:fill="FFFFFF"/>
          <w:lang w:val="en-AU"/>
        </w:rPr>
        <w:t>,</w:t>
      </w:r>
      <w:r w:rsidR="00D77006">
        <w:rPr>
          <w:rFonts w:asciiTheme="minorHAnsi" w:hAnsiTheme="minorHAnsi" w:cstheme="minorHAnsi"/>
          <w:color w:val="0D0D0D"/>
          <w:shd w:val="clear" w:color="auto" w:fill="FFFFFF"/>
          <w:lang w:val="en-AU"/>
        </w:rPr>
        <w:t xml:space="preserve"> following the discontinuation of </w:t>
      </w:r>
      <w:r w:rsidR="00D77006" w:rsidRPr="00D77006">
        <w:rPr>
          <w:rFonts w:asciiTheme="minorHAnsi" w:hAnsiTheme="minorHAnsi" w:cstheme="minorHAnsi"/>
          <w:color w:val="0D0D0D"/>
          <w:shd w:val="clear" w:color="auto" w:fill="FFFFFF"/>
          <w:lang w:val="en-AU"/>
        </w:rPr>
        <w:t>Annual Ministerial Diversity Plan (AMDP)</w:t>
      </w:r>
      <w:r w:rsidR="00846A7B">
        <w:rPr>
          <w:rFonts w:asciiTheme="minorHAnsi" w:hAnsiTheme="minorHAnsi" w:cstheme="minorHAnsi"/>
          <w:color w:val="0D0D0D"/>
          <w:shd w:val="clear" w:color="auto" w:fill="FFFFFF"/>
          <w:lang w:val="en-AU"/>
        </w:rPr>
        <w:t xml:space="preserve">. </w:t>
      </w:r>
      <w:r w:rsidR="00A20644">
        <w:rPr>
          <w:rFonts w:asciiTheme="minorHAnsi" w:hAnsiTheme="minorHAnsi" w:cstheme="minorHAnsi"/>
          <w:color w:val="0D0D0D"/>
          <w:shd w:val="clear" w:color="auto" w:fill="FFFFFF"/>
          <w:lang w:val="en-AU"/>
        </w:rPr>
        <w:t>This new mechanism</w:t>
      </w:r>
      <w:r w:rsidR="005319EE">
        <w:rPr>
          <w:rFonts w:asciiTheme="minorHAnsi" w:hAnsiTheme="minorHAnsi" w:cstheme="minorHAnsi"/>
          <w:color w:val="0D0D0D"/>
          <w:shd w:val="clear" w:color="auto" w:fill="FFFFFF"/>
          <w:lang w:val="en-AU"/>
        </w:rPr>
        <w:t xml:space="preserve"> will require </w:t>
      </w:r>
      <w:r w:rsidR="00A20644">
        <w:rPr>
          <w:rFonts w:asciiTheme="minorHAnsi" w:hAnsiTheme="minorHAnsi" w:cstheme="minorHAnsi"/>
          <w:color w:val="0D0D0D"/>
          <w:shd w:val="clear" w:color="auto" w:fill="FFFFFF"/>
          <w:lang w:val="en-AU"/>
        </w:rPr>
        <w:t xml:space="preserve">the department and </w:t>
      </w:r>
      <w:r w:rsidR="005F6B54">
        <w:rPr>
          <w:rFonts w:asciiTheme="minorHAnsi" w:hAnsiTheme="minorHAnsi" w:cstheme="minorHAnsi"/>
          <w:color w:val="0D0D0D"/>
          <w:shd w:val="clear" w:color="auto" w:fill="FFFFFF"/>
          <w:lang w:val="en-AU"/>
        </w:rPr>
        <w:t xml:space="preserve">relevant </w:t>
      </w:r>
      <w:r w:rsidR="005319EE">
        <w:rPr>
          <w:rFonts w:asciiTheme="minorHAnsi" w:hAnsiTheme="minorHAnsi" w:cstheme="minorHAnsi"/>
          <w:color w:val="0D0D0D"/>
          <w:shd w:val="clear" w:color="auto" w:fill="FFFFFF"/>
          <w:lang w:val="en-AU"/>
        </w:rPr>
        <w:t xml:space="preserve">portfolio entities to </w:t>
      </w:r>
      <w:r w:rsidR="00082D3A">
        <w:rPr>
          <w:rFonts w:asciiTheme="minorHAnsi" w:hAnsiTheme="minorHAnsi" w:cstheme="minorHAnsi"/>
          <w:color w:val="0D0D0D"/>
          <w:shd w:val="clear" w:color="auto" w:fill="FFFFFF"/>
          <w:lang w:val="en-AU"/>
        </w:rPr>
        <w:t xml:space="preserve">annually </w:t>
      </w:r>
      <w:r w:rsidR="002E15EC">
        <w:rPr>
          <w:rFonts w:asciiTheme="minorHAnsi" w:hAnsiTheme="minorHAnsi" w:cstheme="minorHAnsi"/>
          <w:color w:val="0D0D0D"/>
          <w:shd w:val="clear" w:color="auto" w:fill="FFFFFF"/>
          <w:lang w:val="en-AU"/>
        </w:rPr>
        <w:t xml:space="preserve">report on </w:t>
      </w:r>
      <w:r w:rsidR="00A20644">
        <w:rPr>
          <w:rFonts w:asciiTheme="minorHAnsi" w:hAnsiTheme="minorHAnsi" w:cstheme="minorHAnsi"/>
          <w:color w:val="0D0D0D"/>
          <w:shd w:val="clear" w:color="auto" w:fill="FFFFFF"/>
        </w:rPr>
        <w:t>their</w:t>
      </w:r>
      <w:r w:rsidR="00A20644" w:rsidRPr="00A20644">
        <w:rPr>
          <w:rFonts w:asciiTheme="minorHAnsi" w:hAnsiTheme="minorHAnsi" w:cstheme="minorHAnsi"/>
          <w:color w:val="0D0D0D"/>
          <w:shd w:val="clear" w:color="auto" w:fill="FFFFFF"/>
        </w:rPr>
        <w:t xml:space="preserve"> performance against diversity targets</w:t>
      </w:r>
      <w:r w:rsidR="0067130E">
        <w:rPr>
          <w:rFonts w:asciiTheme="minorHAnsi" w:hAnsiTheme="minorHAnsi" w:cstheme="minorHAnsi"/>
          <w:color w:val="0D0D0D"/>
          <w:shd w:val="clear" w:color="auto" w:fill="FFFFFF"/>
        </w:rPr>
        <w:t xml:space="preserve"> and</w:t>
      </w:r>
      <w:r w:rsidR="00756FFA">
        <w:rPr>
          <w:rFonts w:asciiTheme="minorHAnsi" w:hAnsiTheme="minorHAnsi" w:cstheme="minorHAnsi"/>
          <w:color w:val="0D0D0D"/>
          <w:shd w:val="clear" w:color="auto" w:fill="FFFFFF"/>
        </w:rPr>
        <w:t xml:space="preserve"> will</w:t>
      </w:r>
      <w:r w:rsidR="00FD6DEE">
        <w:rPr>
          <w:rFonts w:asciiTheme="minorHAnsi" w:hAnsiTheme="minorHAnsi" w:cstheme="minorHAnsi"/>
          <w:color w:val="0D0D0D"/>
          <w:shd w:val="clear" w:color="auto" w:fill="FFFFFF"/>
        </w:rPr>
        <w:t xml:space="preserve"> </w:t>
      </w:r>
      <w:r w:rsidR="00A20644" w:rsidRPr="00A20644">
        <w:rPr>
          <w:rFonts w:asciiTheme="minorHAnsi" w:hAnsiTheme="minorHAnsi" w:cstheme="minorHAnsi"/>
          <w:color w:val="0D0D0D"/>
          <w:shd w:val="clear" w:color="auto" w:fill="FFFFFF"/>
        </w:rPr>
        <w:t>includ</w:t>
      </w:r>
      <w:r w:rsidR="00756FFA">
        <w:rPr>
          <w:rFonts w:asciiTheme="minorHAnsi" w:hAnsiTheme="minorHAnsi" w:cstheme="minorHAnsi"/>
          <w:color w:val="0D0D0D"/>
          <w:shd w:val="clear" w:color="auto" w:fill="FFFFFF"/>
        </w:rPr>
        <w:t>e</w:t>
      </w:r>
      <w:r w:rsidR="00A20644" w:rsidRPr="00A20644">
        <w:rPr>
          <w:rFonts w:asciiTheme="minorHAnsi" w:hAnsiTheme="minorHAnsi" w:cstheme="minorHAnsi"/>
          <w:color w:val="0D0D0D"/>
          <w:shd w:val="clear" w:color="auto" w:fill="FFFFFF"/>
        </w:rPr>
        <w:t xml:space="preserve"> performance for the </w:t>
      </w:r>
      <w:r w:rsidR="00350653">
        <w:rPr>
          <w:rFonts w:asciiTheme="minorHAnsi" w:hAnsiTheme="minorHAnsi" w:cstheme="minorHAnsi"/>
          <w:color w:val="0D0D0D"/>
          <w:shd w:val="clear" w:color="auto" w:fill="FFFFFF"/>
        </w:rPr>
        <w:t>past</w:t>
      </w:r>
      <w:r w:rsidR="00A20644" w:rsidRPr="00A20644">
        <w:rPr>
          <w:rFonts w:asciiTheme="minorHAnsi" w:hAnsiTheme="minorHAnsi" w:cstheme="minorHAnsi"/>
          <w:color w:val="0D0D0D"/>
          <w:shd w:val="clear" w:color="auto" w:fill="FFFFFF"/>
        </w:rPr>
        <w:t xml:space="preserve"> year, projections for the coming year, and any related risks or challenges.</w:t>
      </w:r>
    </w:p>
    <w:p w14:paraId="73FE09B1" w14:textId="7AD1B3BD" w:rsidR="001410FC" w:rsidRPr="00B1138E" w:rsidRDefault="000603F0" w:rsidP="00B1138E">
      <w:pPr>
        <w:pStyle w:val="Heading4"/>
        <w:spacing w:after="240"/>
        <w:rPr>
          <w:rFonts w:cstheme="majorHAnsi"/>
        </w:rPr>
      </w:pPr>
      <w:bookmarkStart w:id="79" w:name="_Toc194930397"/>
      <w:bookmarkEnd w:id="78"/>
      <w:r w:rsidRPr="00B9366D">
        <w:rPr>
          <w:rFonts w:cstheme="majorHAnsi"/>
          <w:i w:val="0"/>
        </w:rPr>
        <w:t xml:space="preserve">5.6.2.1 </w:t>
      </w:r>
      <w:r w:rsidR="001410FC" w:rsidRPr="00B9366D">
        <w:rPr>
          <w:rFonts w:cstheme="majorHAnsi"/>
        </w:rPr>
        <w:t>Scope of diversity targets</w:t>
      </w:r>
      <w:bookmarkEnd w:id="79"/>
    </w:p>
    <w:p w14:paraId="696536CD" w14:textId="1B385AFE" w:rsidR="00472520" w:rsidRDefault="00472520" w:rsidP="001410FC">
      <w:r>
        <w:t xml:space="preserve">All members of </w:t>
      </w:r>
      <w:r w:rsidR="005C63C1">
        <w:t>public boards</w:t>
      </w:r>
      <w:r>
        <w:t xml:space="preserve"> will be counted toward</w:t>
      </w:r>
      <w:r w:rsidR="005C63C1">
        <w:t>s</w:t>
      </w:r>
      <w:r>
        <w:t xml:space="preserve"> targets, except non-government appointed members of university councils (see below). For example, the following members will be counted: </w:t>
      </w:r>
    </w:p>
    <w:p w14:paraId="3096F2C7" w14:textId="77777777" w:rsidR="006A6401" w:rsidRPr="00081493" w:rsidRDefault="00472520" w:rsidP="00735900">
      <w:pPr>
        <w:pStyle w:val="ListParagraph"/>
        <w:numPr>
          <w:ilvl w:val="0"/>
          <w:numId w:val="20"/>
        </w:numPr>
        <w:ind w:left="709"/>
        <w:rPr>
          <w:rFonts w:asciiTheme="minorHAnsi" w:hAnsiTheme="minorHAnsi" w:cstheme="minorHAnsi"/>
          <w:color w:val="auto"/>
          <w:sz w:val="18"/>
          <w:szCs w:val="18"/>
        </w:rPr>
      </w:pPr>
      <w:r w:rsidRPr="00081493">
        <w:rPr>
          <w:rFonts w:asciiTheme="minorHAnsi" w:hAnsiTheme="minorHAnsi" w:cstheme="minorHAnsi"/>
          <w:color w:val="auto"/>
          <w:sz w:val="18"/>
          <w:szCs w:val="18"/>
        </w:rPr>
        <w:t>Elected members</w:t>
      </w:r>
    </w:p>
    <w:p w14:paraId="238C6920" w14:textId="5C078E06" w:rsidR="006A6401" w:rsidRPr="00081493" w:rsidRDefault="00472520" w:rsidP="00735900">
      <w:pPr>
        <w:pStyle w:val="ListParagraph"/>
        <w:numPr>
          <w:ilvl w:val="0"/>
          <w:numId w:val="20"/>
        </w:numPr>
        <w:ind w:left="709"/>
        <w:rPr>
          <w:rFonts w:asciiTheme="minorHAnsi" w:hAnsiTheme="minorHAnsi" w:cstheme="minorHAnsi"/>
          <w:color w:val="auto"/>
          <w:sz w:val="18"/>
          <w:szCs w:val="18"/>
        </w:rPr>
      </w:pPr>
      <w:r w:rsidRPr="00081493">
        <w:rPr>
          <w:rFonts w:asciiTheme="minorHAnsi" w:hAnsiTheme="minorHAnsi" w:cstheme="minorHAnsi"/>
          <w:color w:val="auto"/>
          <w:sz w:val="18"/>
          <w:szCs w:val="18"/>
        </w:rPr>
        <w:t>Members nominated by a non-government organisation</w:t>
      </w:r>
    </w:p>
    <w:p w14:paraId="78C6B435" w14:textId="75529758" w:rsidR="00D40580" w:rsidRPr="00081493" w:rsidRDefault="00472520" w:rsidP="00735900">
      <w:pPr>
        <w:pStyle w:val="ListParagraph"/>
        <w:numPr>
          <w:ilvl w:val="0"/>
          <w:numId w:val="20"/>
        </w:numPr>
        <w:spacing w:after="120"/>
        <w:ind w:left="709" w:hanging="357"/>
        <w:rPr>
          <w:rFonts w:asciiTheme="minorHAnsi" w:hAnsiTheme="minorHAnsi" w:cstheme="minorHAnsi"/>
          <w:color w:val="auto"/>
          <w:sz w:val="18"/>
          <w:szCs w:val="18"/>
        </w:rPr>
      </w:pPr>
      <w:r w:rsidRPr="00081493">
        <w:rPr>
          <w:rFonts w:asciiTheme="minorHAnsi" w:hAnsiTheme="minorHAnsi" w:cstheme="minorHAnsi"/>
          <w:color w:val="auto"/>
          <w:sz w:val="18"/>
          <w:szCs w:val="18"/>
        </w:rPr>
        <w:t>Ex-officio members (individuals that are automatically members of the entity by virtue of another position they hold).</w:t>
      </w:r>
    </w:p>
    <w:p w14:paraId="4EDCE974" w14:textId="44FCC533" w:rsidR="006A6401" w:rsidRPr="00D40580" w:rsidRDefault="00D40580" w:rsidP="00D40580">
      <w:pPr>
        <w:rPr>
          <w:rFonts w:asciiTheme="minorHAnsi" w:hAnsiTheme="minorHAnsi" w:cstheme="minorHAnsi"/>
        </w:rPr>
      </w:pPr>
      <w:r>
        <w:t xml:space="preserve">Where an entity has nomination rights to a board, </w:t>
      </w:r>
      <w:r w:rsidR="00873B5D">
        <w:t>it</w:t>
      </w:r>
      <w:r>
        <w:t xml:space="preserve"> should be encouraged to consider making nominations that reflect the government’s ambition that Victorian Government boards reflect the communities </w:t>
      </w:r>
      <w:r w:rsidR="00925498">
        <w:t>they</w:t>
      </w:r>
      <w:r>
        <w:t xml:space="preserve"> serve.</w:t>
      </w:r>
    </w:p>
    <w:p w14:paraId="05EA2679" w14:textId="5DB62BB1" w:rsidR="001410FC" w:rsidRDefault="001410FC" w:rsidP="001410FC">
      <w:r>
        <w:t xml:space="preserve">Non-government appointed members of university councils are not within </w:t>
      </w:r>
      <w:r w:rsidR="00D409BE">
        <w:t xml:space="preserve">the </w:t>
      </w:r>
      <w:r>
        <w:t xml:space="preserve">scope of the diversity targets. However, </w:t>
      </w:r>
      <w:r w:rsidR="00B8156C">
        <w:t>g</w:t>
      </w:r>
      <w:r>
        <w:t>overnment-appointed members (</w:t>
      </w:r>
      <w:r w:rsidR="00121C26">
        <w:t>i.e.</w:t>
      </w:r>
      <w:r>
        <w:t xml:space="preserve"> those appointments made by the </w:t>
      </w:r>
      <w:r w:rsidR="00B8156C">
        <w:t>m</w:t>
      </w:r>
      <w:r>
        <w:t xml:space="preserve">inister or the </w:t>
      </w:r>
      <w:r w:rsidR="00B8156C">
        <w:t>g</w:t>
      </w:r>
      <w:r>
        <w:t xml:space="preserve">overnor in </w:t>
      </w:r>
      <w:r w:rsidR="00B8156C">
        <w:t>c</w:t>
      </w:r>
      <w:r>
        <w:t xml:space="preserve">ouncil) of university councils are within </w:t>
      </w:r>
      <w:r w:rsidR="008936E1">
        <w:t xml:space="preserve">the </w:t>
      </w:r>
      <w:r>
        <w:t xml:space="preserve">scope of the targets. Government appoints fewer than half the members of university councils and university councils are ‘exempt bodies’ under the </w:t>
      </w:r>
      <w:r w:rsidRPr="00A73D6C">
        <w:rPr>
          <w:i/>
          <w:iCs/>
        </w:rPr>
        <w:t>Public Administration Act 2004</w:t>
      </w:r>
      <w:r>
        <w:t xml:space="preserve"> (Vic).</w:t>
      </w:r>
    </w:p>
    <w:p w14:paraId="3A444467" w14:textId="09FA889A" w:rsidR="004976BD" w:rsidRPr="0040039F" w:rsidRDefault="004976BD" w:rsidP="004976BD">
      <w:pPr>
        <w:pStyle w:val="Heading3"/>
      </w:pPr>
      <w:bookmarkStart w:id="80" w:name="_Toc39481537"/>
      <w:bookmarkStart w:id="81" w:name="_Toc194930398"/>
      <w:r>
        <w:t>5.6.</w:t>
      </w:r>
      <w:r w:rsidR="00F0125C">
        <w:t>3</w:t>
      </w:r>
      <w:r>
        <w:tab/>
      </w:r>
      <w:r w:rsidRPr="0040039F">
        <w:t>Board induction</w:t>
      </w:r>
      <w:bookmarkEnd w:id="80"/>
      <w:bookmarkEnd w:id="81"/>
    </w:p>
    <w:p w14:paraId="48C53129" w14:textId="3FDED20F" w:rsidR="005A44C5" w:rsidRDefault="00404AAB" w:rsidP="004976BD">
      <w:r>
        <w:t>The i</w:t>
      </w:r>
      <w:r w:rsidR="004976BD" w:rsidRPr="00BE4254">
        <w:t xml:space="preserve">nduction </w:t>
      </w:r>
      <w:r w:rsidR="004976BD">
        <w:t>of b</w:t>
      </w:r>
      <w:r w:rsidR="004976BD" w:rsidRPr="00BE4254">
        <w:t xml:space="preserve">oard members is to be performed by the </w:t>
      </w:r>
      <w:r w:rsidR="00C81471">
        <w:t>entity</w:t>
      </w:r>
      <w:r w:rsidR="004976BD" w:rsidRPr="00BE4254">
        <w:t xml:space="preserve">, with assistance from </w:t>
      </w:r>
      <w:r w:rsidR="004976BD">
        <w:t xml:space="preserve">the department </w:t>
      </w:r>
      <w:r w:rsidR="004976BD" w:rsidRPr="00BE4254">
        <w:t>as required.</w:t>
      </w:r>
      <w:r w:rsidR="00916B7A">
        <w:t xml:space="preserve"> </w:t>
      </w:r>
      <w:r w:rsidR="004976BD" w:rsidRPr="00BE4254">
        <w:t xml:space="preserve">Induction procedures should be </w:t>
      </w:r>
      <w:r w:rsidR="00CF4D49">
        <w:t xml:space="preserve">conducted </w:t>
      </w:r>
      <w:r w:rsidR="004976BD">
        <w:t xml:space="preserve">as quickly as </w:t>
      </w:r>
      <w:r w:rsidR="00CF4D49">
        <w:t xml:space="preserve">practicable </w:t>
      </w:r>
      <w:r w:rsidR="004976BD" w:rsidRPr="00BE4254">
        <w:t xml:space="preserve">to allow new </w:t>
      </w:r>
      <w:r w:rsidR="004976BD">
        <w:t>b</w:t>
      </w:r>
      <w:r w:rsidR="004976BD" w:rsidRPr="00BE4254">
        <w:t>oard m</w:t>
      </w:r>
      <w:r w:rsidR="004976BD">
        <w:t>embers to participate fully</w:t>
      </w:r>
      <w:r w:rsidR="004976BD" w:rsidRPr="00BE4254">
        <w:t>.</w:t>
      </w:r>
      <w:r w:rsidR="0060600B">
        <w:t xml:space="preserve"> </w:t>
      </w:r>
    </w:p>
    <w:p w14:paraId="09C135FD" w14:textId="30B71F36" w:rsidR="004976BD" w:rsidRDefault="0060600B" w:rsidP="004976BD">
      <w:r>
        <w:t xml:space="preserve">Induction programs for board directors may be </w:t>
      </w:r>
      <w:r w:rsidR="00E72987">
        <w:t xml:space="preserve">coordinated </w:t>
      </w:r>
      <w:r w:rsidR="00001254">
        <w:t>:</w:t>
      </w:r>
    </w:p>
    <w:p w14:paraId="7627CFBF" w14:textId="55C6528D" w:rsidR="00001254" w:rsidRPr="007B7F94" w:rsidRDefault="00D50238" w:rsidP="00735900">
      <w:pPr>
        <w:pStyle w:val="ListParagraph"/>
        <w:numPr>
          <w:ilvl w:val="0"/>
          <w:numId w:val="33"/>
        </w:numPr>
        <w:spacing w:line="220" w:lineRule="atLeast"/>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On a case-</w:t>
      </w:r>
      <w:r w:rsidR="00B8156C">
        <w:rPr>
          <w:rFonts w:asciiTheme="minorHAnsi" w:hAnsiTheme="minorHAnsi" w:cstheme="minorHAnsi"/>
          <w:color w:val="auto"/>
          <w:sz w:val="18"/>
          <w:szCs w:val="18"/>
        </w:rPr>
        <w:t>by</w:t>
      </w:r>
      <w:r>
        <w:rPr>
          <w:rFonts w:asciiTheme="minorHAnsi" w:hAnsiTheme="minorHAnsi" w:cstheme="minorHAnsi"/>
          <w:color w:val="auto"/>
          <w:sz w:val="18"/>
          <w:szCs w:val="18"/>
        </w:rPr>
        <w:t xml:space="preserve">-case basis, </w:t>
      </w:r>
      <w:r w:rsidR="00FF3767">
        <w:rPr>
          <w:rFonts w:asciiTheme="minorHAnsi" w:hAnsiTheme="minorHAnsi" w:cstheme="minorHAnsi"/>
          <w:color w:val="auto"/>
          <w:sz w:val="18"/>
          <w:szCs w:val="18"/>
        </w:rPr>
        <w:t xml:space="preserve">the </w:t>
      </w:r>
      <w:r w:rsidR="00360E05" w:rsidRPr="007B7F94">
        <w:rPr>
          <w:rFonts w:asciiTheme="minorHAnsi" w:hAnsiTheme="minorHAnsi" w:cstheme="minorHAnsi"/>
          <w:color w:val="auto"/>
          <w:sz w:val="18"/>
          <w:szCs w:val="18"/>
        </w:rPr>
        <w:t>d</w:t>
      </w:r>
      <w:r w:rsidR="00AF4068" w:rsidRPr="007B7F94">
        <w:rPr>
          <w:rFonts w:asciiTheme="minorHAnsi" w:hAnsiTheme="minorHAnsi" w:cstheme="minorHAnsi"/>
          <w:color w:val="auto"/>
          <w:sz w:val="18"/>
          <w:szCs w:val="18"/>
        </w:rPr>
        <w:t>epartment sometimes manage</w:t>
      </w:r>
      <w:r w:rsidR="00FF3767">
        <w:rPr>
          <w:rFonts w:asciiTheme="minorHAnsi" w:hAnsiTheme="minorHAnsi" w:cstheme="minorHAnsi"/>
          <w:color w:val="auto"/>
          <w:sz w:val="18"/>
          <w:szCs w:val="18"/>
        </w:rPr>
        <w:t>s</w:t>
      </w:r>
      <w:r w:rsidR="00AF4068" w:rsidRPr="007B7F94">
        <w:rPr>
          <w:rFonts w:asciiTheme="minorHAnsi" w:hAnsiTheme="minorHAnsi" w:cstheme="minorHAnsi"/>
          <w:color w:val="auto"/>
          <w:sz w:val="18"/>
          <w:szCs w:val="18"/>
        </w:rPr>
        <w:t xml:space="preserve"> the induction program fo</w:t>
      </w:r>
      <w:r w:rsidR="00360E05" w:rsidRPr="007B7F94">
        <w:rPr>
          <w:rFonts w:asciiTheme="minorHAnsi" w:hAnsiTheme="minorHAnsi" w:cstheme="minorHAnsi"/>
          <w:color w:val="auto"/>
          <w:sz w:val="18"/>
          <w:szCs w:val="18"/>
        </w:rPr>
        <w:t>r</w:t>
      </w:r>
      <w:r w:rsidR="00AF4068" w:rsidRPr="007B7F94">
        <w:rPr>
          <w:rFonts w:asciiTheme="minorHAnsi" w:hAnsiTheme="minorHAnsi" w:cstheme="minorHAnsi"/>
          <w:color w:val="auto"/>
          <w:sz w:val="18"/>
          <w:szCs w:val="18"/>
        </w:rPr>
        <w:t xml:space="preserve"> board </w:t>
      </w:r>
      <w:r>
        <w:rPr>
          <w:rFonts w:asciiTheme="minorHAnsi" w:hAnsiTheme="minorHAnsi" w:cstheme="minorHAnsi"/>
          <w:color w:val="auto"/>
          <w:sz w:val="18"/>
          <w:szCs w:val="18"/>
        </w:rPr>
        <w:t>members</w:t>
      </w:r>
      <w:r w:rsidR="00AF4068" w:rsidRPr="007B7F94">
        <w:rPr>
          <w:rFonts w:asciiTheme="minorHAnsi" w:hAnsiTheme="minorHAnsi" w:cstheme="minorHAnsi"/>
          <w:color w:val="auto"/>
          <w:sz w:val="18"/>
          <w:szCs w:val="18"/>
        </w:rPr>
        <w:t xml:space="preserve"> within their portfolio</w:t>
      </w:r>
    </w:p>
    <w:p w14:paraId="57AABB42" w14:textId="196E4B11" w:rsidR="00AF4068" w:rsidRPr="007B7F94" w:rsidRDefault="00B769EA" w:rsidP="00735900">
      <w:pPr>
        <w:pStyle w:val="ListParagraph"/>
        <w:numPr>
          <w:ilvl w:val="0"/>
          <w:numId w:val="33"/>
        </w:numPr>
        <w:spacing w:line="220" w:lineRule="atLeast"/>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 xml:space="preserve">By </w:t>
      </w:r>
      <w:r w:rsidR="00360E05" w:rsidRPr="007B7F94">
        <w:rPr>
          <w:rFonts w:asciiTheme="minorHAnsi" w:hAnsiTheme="minorHAnsi" w:cstheme="minorHAnsi"/>
          <w:color w:val="auto"/>
          <w:sz w:val="18"/>
          <w:szCs w:val="18"/>
        </w:rPr>
        <w:t>the board’s secretariat</w:t>
      </w:r>
    </w:p>
    <w:p w14:paraId="543C5E71" w14:textId="7B73E6F7" w:rsidR="00360E05" w:rsidRPr="007B7F94" w:rsidRDefault="00B769EA" w:rsidP="00735900">
      <w:pPr>
        <w:pStyle w:val="ListParagraph"/>
        <w:numPr>
          <w:ilvl w:val="0"/>
          <w:numId w:val="33"/>
        </w:numPr>
        <w:spacing w:line="220" w:lineRule="atLeast"/>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 xml:space="preserve">By </w:t>
      </w:r>
      <w:r w:rsidR="00360E05" w:rsidRPr="007B7F94">
        <w:rPr>
          <w:rFonts w:asciiTheme="minorHAnsi" w:hAnsiTheme="minorHAnsi" w:cstheme="minorHAnsi"/>
          <w:color w:val="auto"/>
          <w:sz w:val="18"/>
          <w:szCs w:val="18"/>
        </w:rPr>
        <w:t>public entity management or staff.</w:t>
      </w:r>
    </w:p>
    <w:p w14:paraId="36C48C8A" w14:textId="77777777" w:rsidR="00360E05" w:rsidRPr="00AF4068" w:rsidRDefault="00360E05" w:rsidP="00360E05">
      <w:pPr>
        <w:pStyle w:val="ListParagraph"/>
        <w:rPr>
          <w:rFonts w:asciiTheme="minorHAnsi" w:hAnsiTheme="minorHAnsi" w:cstheme="minorHAnsi"/>
          <w:sz w:val="18"/>
          <w:szCs w:val="18"/>
        </w:rPr>
      </w:pPr>
    </w:p>
    <w:p w14:paraId="138C4C90" w14:textId="77777777" w:rsidR="004976BD" w:rsidRPr="0040039F" w:rsidRDefault="004976BD" w:rsidP="004976BD">
      <w:r w:rsidRPr="00BE4254">
        <w:t>At a minimum,</w:t>
      </w:r>
      <w:r w:rsidRPr="0040039F">
        <w:t xml:space="preserve"> all </w:t>
      </w:r>
      <w:r>
        <w:t>b</w:t>
      </w:r>
      <w:r w:rsidRPr="0040039F">
        <w:t>oard members should be provided with:</w:t>
      </w:r>
    </w:p>
    <w:p w14:paraId="566CBB79" w14:textId="74A9A570" w:rsidR="004976BD" w:rsidRPr="00E62C2F" w:rsidRDefault="004976BD" w:rsidP="00735900">
      <w:pPr>
        <w:pStyle w:val="ListParagraph"/>
        <w:numPr>
          <w:ilvl w:val="0"/>
          <w:numId w:val="23"/>
        </w:numPr>
        <w:rPr>
          <w:rFonts w:ascii="Arial" w:hAnsi="Arial" w:cs="Arial"/>
          <w:color w:val="auto"/>
          <w:sz w:val="18"/>
          <w:szCs w:val="18"/>
        </w:rPr>
      </w:pPr>
      <w:r w:rsidRPr="00E62C2F">
        <w:rPr>
          <w:rFonts w:ascii="Arial" w:hAnsi="Arial" w:cs="Arial"/>
          <w:color w:val="auto"/>
          <w:sz w:val="18"/>
          <w:szCs w:val="18"/>
        </w:rPr>
        <w:t xml:space="preserve">VPSC’s </w:t>
      </w:r>
      <w:hyperlink r:id="rId40" w:history="1">
        <w:r w:rsidRPr="008C63EA">
          <w:rPr>
            <w:rStyle w:val="Hyperlink"/>
            <w:rFonts w:ascii="Arial" w:hAnsi="Arial" w:cs="Arial"/>
            <w:sz w:val="18"/>
            <w:szCs w:val="18"/>
          </w:rPr>
          <w:t>Welcome to the Board – Director’s Guide to Public Entity Governance</w:t>
        </w:r>
      </w:hyperlink>
    </w:p>
    <w:p w14:paraId="2460FD4E" w14:textId="7788F4D1" w:rsidR="004976BD" w:rsidRPr="00E62C2F" w:rsidRDefault="004976BD" w:rsidP="00735900">
      <w:pPr>
        <w:pStyle w:val="ListBullet"/>
        <w:numPr>
          <w:ilvl w:val="0"/>
          <w:numId w:val="23"/>
        </w:numPr>
        <w:rPr>
          <w:color w:val="auto"/>
        </w:rPr>
      </w:pPr>
      <w:r w:rsidRPr="00E62C2F">
        <w:rPr>
          <w:color w:val="auto"/>
        </w:rPr>
        <w:t xml:space="preserve">Code of Conduct – either that endorsed by the </w:t>
      </w:r>
      <w:r w:rsidR="00C81471">
        <w:rPr>
          <w:color w:val="auto"/>
        </w:rPr>
        <w:t>entity</w:t>
      </w:r>
      <w:r w:rsidRPr="00E62C2F">
        <w:rPr>
          <w:color w:val="auto"/>
        </w:rPr>
        <w:t xml:space="preserve"> board, or the VPSC </w:t>
      </w:r>
      <w:hyperlink r:id="rId41" w:history="1">
        <w:r w:rsidR="002708A1" w:rsidRPr="00E81732">
          <w:rPr>
            <w:rStyle w:val="Hyperlink"/>
          </w:rPr>
          <w:t>Code of Conduct for</w:t>
        </w:r>
        <w:r w:rsidR="002708A1" w:rsidRPr="0094510E">
          <w:rPr>
            <w:rStyle w:val="Hyperlink"/>
          </w:rPr>
          <w:t xml:space="preserve"> </w:t>
        </w:r>
        <w:r w:rsidRPr="008C63EA">
          <w:rPr>
            <w:rStyle w:val="Hyperlink"/>
          </w:rPr>
          <w:t>Director</w:t>
        </w:r>
        <w:r w:rsidR="005031FB" w:rsidRPr="0094510E">
          <w:rPr>
            <w:rStyle w:val="Hyperlink"/>
          </w:rPr>
          <w:t xml:space="preserve"> </w:t>
        </w:r>
        <w:r w:rsidR="005031FB" w:rsidRPr="00E81732">
          <w:rPr>
            <w:rStyle w:val="Hyperlink"/>
          </w:rPr>
          <w:t>of Victorian Public Entities</w:t>
        </w:r>
      </w:hyperlink>
    </w:p>
    <w:p w14:paraId="37E265D7" w14:textId="7C352265" w:rsidR="004976BD" w:rsidRPr="00E62C2F" w:rsidRDefault="004976BD" w:rsidP="00735900">
      <w:pPr>
        <w:pStyle w:val="ListBullet"/>
        <w:numPr>
          <w:ilvl w:val="0"/>
          <w:numId w:val="23"/>
        </w:numPr>
        <w:rPr>
          <w:color w:val="auto"/>
        </w:rPr>
      </w:pPr>
      <w:r w:rsidRPr="00E62C2F">
        <w:rPr>
          <w:color w:val="auto"/>
        </w:rPr>
        <w:t xml:space="preserve">Conflict of Interest Policy and guidance – either material endorsed by the board and specific to the </w:t>
      </w:r>
      <w:r w:rsidR="00C81471">
        <w:rPr>
          <w:color w:val="auto"/>
        </w:rPr>
        <w:t>entity</w:t>
      </w:r>
      <w:r w:rsidRPr="00E62C2F">
        <w:rPr>
          <w:color w:val="auto"/>
        </w:rPr>
        <w:t xml:space="preserve">, or the </w:t>
      </w:r>
      <w:r w:rsidRPr="00007D68">
        <w:rPr>
          <w:iCs/>
          <w:color w:val="auto"/>
        </w:rPr>
        <w:t xml:space="preserve">VPSC </w:t>
      </w:r>
      <w:hyperlink r:id="rId42" w:history="1">
        <w:r w:rsidRPr="00FD3812">
          <w:rPr>
            <w:rStyle w:val="Hyperlink"/>
            <w:iCs/>
          </w:rPr>
          <w:t>Conflict of Interest and Duty</w:t>
        </w:r>
        <w:r w:rsidR="00007D68" w:rsidRPr="00FD3812">
          <w:rPr>
            <w:rStyle w:val="Hyperlink"/>
            <w:iCs/>
          </w:rPr>
          <w:t xml:space="preserve"> Guidance for Directors</w:t>
        </w:r>
      </w:hyperlink>
    </w:p>
    <w:p w14:paraId="0369AE0B" w14:textId="3DD3F28B" w:rsidR="004976BD" w:rsidRPr="00E62C2F" w:rsidRDefault="004976BD" w:rsidP="00735900">
      <w:pPr>
        <w:pStyle w:val="ListBullet"/>
        <w:numPr>
          <w:ilvl w:val="0"/>
          <w:numId w:val="23"/>
        </w:numPr>
        <w:rPr>
          <w:color w:val="auto"/>
        </w:rPr>
      </w:pPr>
      <w:r w:rsidRPr="00E62C2F">
        <w:rPr>
          <w:color w:val="auto"/>
        </w:rPr>
        <w:t xml:space="preserve">relevant enabling legislation, Order in Council instruments, </w:t>
      </w:r>
      <w:r w:rsidRPr="00E62C2F">
        <w:rPr>
          <w:i/>
          <w:color w:val="auto"/>
        </w:rPr>
        <w:t>Corporations Act 2001 (Cth</w:t>
      </w:r>
      <w:r w:rsidRPr="00E62C2F">
        <w:rPr>
          <w:color w:val="auto"/>
        </w:rPr>
        <w:t>) constitution or constituting terms of reference</w:t>
      </w:r>
    </w:p>
    <w:p w14:paraId="084693AC" w14:textId="7592F6B1" w:rsidR="004976BD" w:rsidRPr="00E62C2F" w:rsidRDefault="004976BD" w:rsidP="00735900">
      <w:pPr>
        <w:pStyle w:val="ListBullet"/>
        <w:numPr>
          <w:ilvl w:val="0"/>
          <w:numId w:val="23"/>
        </w:numPr>
        <w:rPr>
          <w:color w:val="auto"/>
        </w:rPr>
      </w:pPr>
      <w:r w:rsidRPr="00E62C2F">
        <w:rPr>
          <w:color w:val="auto"/>
        </w:rPr>
        <w:t xml:space="preserve">all policies adopted by, or relevant to, the </w:t>
      </w:r>
      <w:r w:rsidR="00C81471">
        <w:rPr>
          <w:color w:val="auto"/>
        </w:rPr>
        <w:t>entity</w:t>
      </w:r>
      <w:r w:rsidRPr="00E62C2F">
        <w:rPr>
          <w:color w:val="auto"/>
        </w:rPr>
        <w:t xml:space="preserve"> or the board of the </w:t>
      </w:r>
      <w:r w:rsidR="00C81471">
        <w:rPr>
          <w:color w:val="auto"/>
        </w:rPr>
        <w:t>entity</w:t>
      </w:r>
    </w:p>
    <w:p w14:paraId="169BDF64" w14:textId="2D759C3C" w:rsidR="004976BD" w:rsidRPr="00E62C2F" w:rsidRDefault="004976BD" w:rsidP="00735900">
      <w:pPr>
        <w:pStyle w:val="ListBullet"/>
        <w:numPr>
          <w:ilvl w:val="0"/>
          <w:numId w:val="23"/>
        </w:numPr>
        <w:rPr>
          <w:color w:val="auto"/>
        </w:rPr>
      </w:pPr>
      <w:r w:rsidRPr="00E62C2F">
        <w:rPr>
          <w:color w:val="auto"/>
        </w:rPr>
        <w:t xml:space="preserve">an overview of the </w:t>
      </w:r>
      <w:r w:rsidR="00C81471">
        <w:rPr>
          <w:color w:val="auto"/>
        </w:rPr>
        <w:t>entity</w:t>
      </w:r>
      <w:r w:rsidRPr="00E62C2F">
        <w:rPr>
          <w:color w:val="auto"/>
        </w:rPr>
        <w:t>’s current financial, strategic and operational position</w:t>
      </w:r>
    </w:p>
    <w:p w14:paraId="74D5B1C1" w14:textId="1A146F4B" w:rsidR="004976BD" w:rsidRPr="00E62C2F" w:rsidRDefault="004976BD" w:rsidP="00735900">
      <w:pPr>
        <w:pStyle w:val="ListBullet"/>
        <w:numPr>
          <w:ilvl w:val="0"/>
          <w:numId w:val="23"/>
        </w:numPr>
        <w:rPr>
          <w:color w:val="auto"/>
        </w:rPr>
      </w:pPr>
      <w:r w:rsidRPr="00E62C2F">
        <w:rPr>
          <w:color w:val="auto"/>
        </w:rPr>
        <w:t xml:space="preserve">a description of the respective roles and relationships between the </w:t>
      </w:r>
      <w:r w:rsidR="00C81471">
        <w:rPr>
          <w:color w:val="auto"/>
        </w:rPr>
        <w:t>entity</w:t>
      </w:r>
      <w:r w:rsidRPr="00E62C2F">
        <w:rPr>
          <w:color w:val="auto"/>
        </w:rPr>
        <w:t>, department and minister, including the SOE</w:t>
      </w:r>
    </w:p>
    <w:p w14:paraId="388F864E" w14:textId="4C9B8499" w:rsidR="000F14AE" w:rsidRPr="000F14AE" w:rsidRDefault="004976BD" w:rsidP="00735900">
      <w:pPr>
        <w:pStyle w:val="ListBullet"/>
        <w:numPr>
          <w:ilvl w:val="0"/>
          <w:numId w:val="23"/>
        </w:numPr>
        <w:rPr>
          <w:color w:val="auto"/>
        </w:rPr>
      </w:pPr>
      <w:r w:rsidRPr="00E62C2F">
        <w:rPr>
          <w:color w:val="auto"/>
        </w:rPr>
        <w:t xml:space="preserve">a document outlining the roles and responsibilities of senior </w:t>
      </w:r>
      <w:r w:rsidR="00C81471">
        <w:rPr>
          <w:color w:val="auto"/>
        </w:rPr>
        <w:t>entity</w:t>
      </w:r>
      <w:r w:rsidRPr="00E62C2F">
        <w:rPr>
          <w:color w:val="auto"/>
        </w:rPr>
        <w:t xml:space="preserve"> executives if applicable.</w:t>
      </w:r>
    </w:p>
    <w:p w14:paraId="3C783C26" w14:textId="24B0C526" w:rsidR="004976BD" w:rsidRDefault="00A84466" w:rsidP="004976BD">
      <w:r>
        <w:t xml:space="preserve">Portfolio entities need to ensure that </w:t>
      </w:r>
      <w:r w:rsidR="0057746C">
        <w:t>re-appointed board members are issue</w:t>
      </w:r>
      <w:r w:rsidR="00CE5D09">
        <w:t>d</w:t>
      </w:r>
      <w:r w:rsidR="0057746C">
        <w:t xml:space="preserve"> with</w:t>
      </w:r>
      <w:r w:rsidR="00016680">
        <w:t xml:space="preserve"> the</w:t>
      </w:r>
      <w:r w:rsidR="0057746C">
        <w:t xml:space="preserve"> </w:t>
      </w:r>
      <w:r w:rsidR="00FE39D0">
        <w:t xml:space="preserve">latest induction documents. </w:t>
      </w:r>
      <w:r w:rsidR="004976BD">
        <w:t>On</w:t>
      </w:r>
      <w:r w:rsidR="00AE0FC8">
        <w:t>ce</w:t>
      </w:r>
      <w:r w:rsidR="004976BD">
        <w:t xml:space="preserve"> appoint</w:t>
      </w:r>
      <w:r w:rsidR="005755FC">
        <w:t>ed</w:t>
      </w:r>
      <w:r w:rsidR="004976BD">
        <w:t xml:space="preserve"> to the board, each member is required to </w:t>
      </w:r>
      <w:r w:rsidR="008C147F">
        <w:t xml:space="preserve">provide </w:t>
      </w:r>
      <w:r w:rsidR="004976BD">
        <w:t xml:space="preserve"> a declaration of private interests</w:t>
      </w:r>
      <w:r w:rsidR="008C147F">
        <w:t xml:space="preserve"> </w:t>
      </w:r>
      <w:r w:rsidR="005B27C1">
        <w:t>annually from their appointment start date</w:t>
      </w:r>
      <w:r w:rsidR="004976BD">
        <w:t xml:space="preserve">, which is lodged with the </w:t>
      </w:r>
      <w:r w:rsidR="00B8156C">
        <w:t>c</w:t>
      </w:r>
      <w:r w:rsidR="004976BD">
        <w:t xml:space="preserve">hair. Further information on this declaration and conflict of interest </w:t>
      </w:r>
      <w:r w:rsidR="00AB297B">
        <w:t xml:space="preserve">can be found </w:t>
      </w:r>
      <w:r w:rsidR="004976BD">
        <w:t xml:space="preserve">at </w:t>
      </w:r>
      <w:r w:rsidR="004976BD" w:rsidRPr="005F1C3D">
        <w:t xml:space="preserve">Section </w:t>
      </w:r>
      <w:hyperlink w:anchor="_5.8.2_Conflict_of" w:history="1">
        <w:r w:rsidR="004976BD" w:rsidRPr="007A4B96">
          <w:rPr>
            <w:rStyle w:val="Hyperlink"/>
          </w:rPr>
          <w:t>5.</w:t>
        </w:r>
        <w:r w:rsidR="00FC6174" w:rsidRPr="007A4B96">
          <w:rPr>
            <w:rStyle w:val="Hyperlink"/>
          </w:rPr>
          <w:t>8</w:t>
        </w:r>
        <w:r w:rsidR="004976BD" w:rsidRPr="007A4B96">
          <w:rPr>
            <w:rStyle w:val="Hyperlink"/>
          </w:rPr>
          <w:t>.</w:t>
        </w:r>
        <w:r w:rsidR="00E23A85" w:rsidRPr="007A4B96">
          <w:rPr>
            <w:rStyle w:val="Hyperlink"/>
          </w:rPr>
          <w:t>2</w:t>
        </w:r>
      </w:hyperlink>
      <w:r w:rsidR="00B8156C">
        <w:t>.</w:t>
      </w:r>
    </w:p>
    <w:p w14:paraId="6BA846C8" w14:textId="06C49B0B" w:rsidR="004976BD" w:rsidRPr="00360F9E" w:rsidRDefault="003315F3" w:rsidP="004976BD">
      <w:pPr>
        <w:pStyle w:val="Heading3"/>
      </w:pPr>
      <w:bookmarkStart w:id="82" w:name="_Toc39481538"/>
      <w:bookmarkStart w:id="83" w:name="_Toc194930399"/>
      <w:r>
        <w:t>5.6.</w:t>
      </w:r>
      <w:r w:rsidR="00F0125C">
        <w:t>4</w:t>
      </w:r>
      <w:r>
        <w:tab/>
      </w:r>
      <w:r w:rsidR="004976BD" w:rsidRPr="00360F9E">
        <w:t xml:space="preserve">Departmental attendance </w:t>
      </w:r>
      <w:r w:rsidR="004976BD">
        <w:t>at</w:t>
      </w:r>
      <w:r w:rsidR="004976BD" w:rsidRPr="00360F9E">
        <w:t xml:space="preserve"> </w:t>
      </w:r>
      <w:r w:rsidR="00C81471">
        <w:t>entity</w:t>
      </w:r>
      <w:r w:rsidR="004976BD" w:rsidRPr="00360F9E">
        <w:t xml:space="preserve"> </w:t>
      </w:r>
      <w:r w:rsidR="004976BD">
        <w:t>b</w:t>
      </w:r>
      <w:r w:rsidR="004976BD" w:rsidRPr="00360F9E">
        <w:t>oard meetings</w:t>
      </w:r>
      <w:bookmarkEnd w:id="82"/>
      <w:bookmarkEnd w:id="83"/>
    </w:p>
    <w:p w14:paraId="31B063B6" w14:textId="42AB5332" w:rsidR="004976BD" w:rsidRDefault="004976BD" w:rsidP="004976BD">
      <w:r>
        <w:t xml:space="preserve">The department’s </w:t>
      </w:r>
      <w:r w:rsidRPr="00BE4254">
        <w:t xml:space="preserve">representatives may be asked to attend </w:t>
      </w:r>
      <w:r w:rsidR="00C81471">
        <w:t>entity</w:t>
      </w:r>
      <w:r w:rsidRPr="00BE4254">
        <w:t xml:space="preserve"> </w:t>
      </w:r>
      <w:r>
        <w:t>b</w:t>
      </w:r>
      <w:r w:rsidRPr="00BE4254">
        <w:t>oard meetings</w:t>
      </w:r>
      <w:r>
        <w:t xml:space="preserve"> (at the </w:t>
      </w:r>
      <w:r w:rsidR="00B8156C">
        <w:t>c</w:t>
      </w:r>
      <w:r>
        <w:t>hair’s discretion)</w:t>
      </w:r>
      <w:r w:rsidRPr="00BE4254">
        <w:t xml:space="preserve"> to present or to observe.</w:t>
      </w:r>
    </w:p>
    <w:p w14:paraId="669DC7FB" w14:textId="4842E337" w:rsidR="00D50238" w:rsidRPr="00BE4254" w:rsidRDefault="004976BD" w:rsidP="00D50238">
      <w:r w:rsidRPr="00BE4254">
        <w:t xml:space="preserve">It is desirable for a </w:t>
      </w:r>
      <w:r>
        <w:t xml:space="preserve">department representative, either senior executive or </w:t>
      </w:r>
      <w:r w:rsidR="00B8156C">
        <w:t>d</w:t>
      </w:r>
      <w:r>
        <w:t xml:space="preserve">eputy </w:t>
      </w:r>
      <w:r w:rsidR="00B8156C">
        <w:t>s</w:t>
      </w:r>
      <w:r>
        <w:t>ecretary,</w:t>
      </w:r>
      <w:r w:rsidRPr="00BE4254">
        <w:t xml:space="preserve"> to present at </w:t>
      </w:r>
      <w:r w:rsidR="00C81471">
        <w:t>entity</w:t>
      </w:r>
      <w:r w:rsidRPr="00BE4254">
        <w:t xml:space="preserve"> </w:t>
      </w:r>
      <w:r>
        <w:t>b</w:t>
      </w:r>
      <w:r w:rsidRPr="00BE4254">
        <w:t xml:space="preserve">oard meetings at least annually to provide the </w:t>
      </w:r>
      <w:r w:rsidR="00C81471">
        <w:t>entity</w:t>
      </w:r>
      <w:r w:rsidRPr="00BE4254">
        <w:t xml:space="preserve"> with portfolio context and an update on current issues.</w:t>
      </w:r>
      <w:r w:rsidR="00D50238">
        <w:t xml:space="preserve"> The department </w:t>
      </w:r>
      <w:r w:rsidR="00D50238" w:rsidRPr="00BE4254">
        <w:t xml:space="preserve">and </w:t>
      </w:r>
      <w:r w:rsidR="00D50238">
        <w:t>entities</w:t>
      </w:r>
      <w:r w:rsidR="00D50238" w:rsidRPr="00BE4254">
        <w:t xml:space="preserve"> will review and discuss annually whether it is appropriate </w:t>
      </w:r>
      <w:r w:rsidR="00D50238">
        <w:t>for a department representative to attend b</w:t>
      </w:r>
      <w:r w:rsidR="00D50238" w:rsidRPr="00BE4254">
        <w:t xml:space="preserve">oard meetings </w:t>
      </w:r>
      <w:r w:rsidR="00D50238">
        <w:t xml:space="preserve">annually or more </w:t>
      </w:r>
      <w:r w:rsidR="00D50238" w:rsidRPr="00BE4254">
        <w:t>regularly.</w:t>
      </w:r>
    </w:p>
    <w:p w14:paraId="12B7E8FF" w14:textId="665D3516" w:rsidR="00D50238" w:rsidRDefault="00D50238" w:rsidP="00D50238">
      <w:r w:rsidRPr="00BE4254">
        <w:t xml:space="preserve">The above requirements do not apply if a </w:t>
      </w:r>
      <w:r>
        <w:t xml:space="preserve">department representative </w:t>
      </w:r>
      <w:r w:rsidRPr="00BE4254">
        <w:t>is formally appointed as a</w:t>
      </w:r>
      <w:r>
        <w:t xml:space="preserve"> board member</w:t>
      </w:r>
      <w:r w:rsidR="00C254C9">
        <w:t xml:space="preserve"> or there is a </w:t>
      </w:r>
      <w:r w:rsidR="00803714">
        <w:t>m</w:t>
      </w:r>
      <w:r w:rsidR="006A7189">
        <w:t>inisterial</w:t>
      </w:r>
      <w:r w:rsidR="00C254C9">
        <w:t xml:space="preserve"> direction</w:t>
      </w:r>
      <w:r w:rsidR="00E9242D">
        <w:t xml:space="preserve"> or </w:t>
      </w:r>
      <w:r w:rsidR="004D76CC">
        <w:t>expectation</w:t>
      </w:r>
      <w:r w:rsidR="00C254C9">
        <w:t xml:space="preserve"> requiring </w:t>
      </w:r>
      <w:r w:rsidR="00E724D4">
        <w:t xml:space="preserve">a </w:t>
      </w:r>
      <w:r w:rsidR="00C62264">
        <w:t xml:space="preserve">departmental representative </w:t>
      </w:r>
      <w:r w:rsidR="00981B01">
        <w:t xml:space="preserve">to </w:t>
      </w:r>
      <w:r w:rsidR="00FE1B0C">
        <w:t>be</w:t>
      </w:r>
      <w:r w:rsidR="00301B17">
        <w:t xml:space="preserve"> an observer at </w:t>
      </w:r>
      <w:r w:rsidR="00803714">
        <w:t>b</w:t>
      </w:r>
      <w:r w:rsidR="00301B17">
        <w:t>oard meetings</w:t>
      </w:r>
      <w:r>
        <w:t>.</w:t>
      </w:r>
    </w:p>
    <w:p w14:paraId="07DF3C13" w14:textId="2D5B5C80" w:rsidR="004976BD" w:rsidRDefault="004976BD" w:rsidP="004976BD">
      <w:r w:rsidRPr="00BE4254">
        <w:t xml:space="preserve">The </w:t>
      </w:r>
      <w:r w:rsidR="00035C55">
        <w:t>c</w:t>
      </w:r>
      <w:r w:rsidRPr="00BE4254">
        <w:t xml:space="preserve">hair will determine any conditions on </w:t>
      </w:r>
      <w:r>
        <w:t xml:space="preserve">department representatives </w:t>
      </w:r>
      <w:r w:rsidRPr="00BE4254">
        <w:t xml:space="preserve">attending </w:t>
      </w:r>
      <w:r w:rsidR="00535568">
        <w:t xml:space="preserve">board </w:t>
      </w:r>
      <w:r w:rsidRPr="00BE4254">
        <w:t xml:space="preserve">meetings as observers. In all cases, </w:t>
      </w:r>
      <w:r>
        <w:t>department representatives</w:t>
      </w:r>
      <w:r w:rsidRPr="00BE4254">
        <w:t xml:space="preserve"> will declare any conflicts of interest, only report any information gained to the appropriate </w:t>
      </w:r>
      <w:r>
        <w:t>senior executive, deputy secretary</w:t>
      </w:r>
      <w:r w:rsidRPr="00BE4254">
        <w:t xml:space="preserve"> or the </w:t>
      </w:r>
      <w:r>
        <w:t>minister</w:t>
      </w:r>
      <w:r w:rsidRPr="00BE4254">
        <w:t xml:space="preserve"> and </w:t>
      </w:r>
      <w:r w:rsidRPr="00E05DB2">
        <w:t>not participate</w:t>
      </w:r>
      <w:r w:rsidRPr="00BE4254">
        <w:t xml:space="preserve"> in the deliberations</w:t>
      </w:r>
      <w:r>
        <w:t>,</w:t>
      </w:r>
      <w:r w:rsidRPr="00BE4254">
        <w:t xml:space="preserve"> votes</w:t>
      </w:r>
      <w:r>
        <w:t xml:space="preserve"> or </w:t>
      </w:r>
      <w:r w:rsidRPr="00BE4254">
        <w:t>resolutions.</w:t>
      </w:r>
      <w:r w:rsidR="003809A8">
        <w:t xml:space="preserve"> The terms</w:t>
      </w:r>
      <w:r w:rsidR="0036333C">
        <w:t xml:space="preserve"> or conditions required of departmental representatives </w:t>
      </w:r>
      <w:r w:rsidR="003A2200">
        <w:t>must</w:t>
      </w:r>
      <w:r w:rsidR="0036333C">
        <w:t xml:space="preserve"> not be in conflict </w:t>
      </w:r>
      <w:r w:rsidR="008121E4">
        <w:t xml:space="preserve">with their obligations </w:t>
      </w:r>
      <w:r w:rsidR="008A6765">
        <w:t xml:space="preserve">in their substantive </w:t>
      </w:r>
      <w:r w:rsidR="00B66255">
        <w:t xml:space="preserve">role </w:t>
      </w:r>
      <w:r w:rsidR="00567274">
        <w:t xml:space="preserve">or as a Victorian public service employee or executive. </w:t>
      </w:r>
    </w:p>
    <w:p w14:paraId="38158633" w14:textId="6EE13B61" w:rsidR="0099608B" w:rsidRDefault="0099608B" w:rsidP="0099608B">
      <w:r>
        <w:t xml:space="preserve">In some cases, department staff are appointed to a board as an </w:t>
      </w:r>
      <w:r w:rsidRPr="00580E87">
        <w:rPr>
          <w:i/>
        </w:rPr>
        <w:t>ex-officio</w:t>
      </w:r>
      <w:r>
        <w:t xml:space="preserve"> appointment. Ex-officio members are appointed as a requirement of holding another office or substantive position. In all cases, it is vital that there is a clear and shared understanding between the board and the departmental representative on their role, including whether the representative’s attendance extends to participation in board decisions, or if it is limited to observing, or presenting the </w:t>
      </w:r>
      <w:r w:rsidR="00617829">
        <w:t>d</w:t>
      </w:r>
      <w:r>
        <w:t>epartment’s perspective on specific matters.</w:t>
      </w:r>
    </w:p>
    <w:p w14:paraId="2CCA1F8E" w14:textId="5823263F" w:rsidR="0099608B" w:rsidRPr="001135D0" w:rsidRDefault="0099608B" w:rsidP="0099608B">
      <w:pPr>
        <w:pStyle w:val="Heading3"/>
      </w:pPr>
      <w:bookmarkStart w:id="84" w:name="_Toc39481539"/>
      <w:bookmarkStart w:id="85" w:name="_Toc194930400"/>
      <w:r>
        <w:t>5.6.</w:t>
      </w:r>
      <w:r w:rsidR="00F0125C">
        <w:t>5</w:t>
      </w:r>
      <w:r>
        <w:tab/>
      </w:r>
      <w:r w:rsidRPr="00360F9E">
        <w:t>Board performance</w:t>
      </w:r>
      <w:bookmarkEnd w:id="84"/>
      <w:bookmarkEnd w:id="85"/>
    </w:p>
    <w:p w14:paraId="612959EF" w14:textId="6DBBE161" w:rsidR="0099608B" w:rsidRDefault="0099608B" w:rsidP="0099608B">
      <w:r>
        <w:t>T</w:t>
      </w:r>
      <w:r w:rsidRPr="00BE4254">
        <w:t xml:space="preserve">he PAA </w:t>
      </w:r>
      <w:r>
        <w:t>(s 81) requires b</w:t>
      </w:r>
      <w:r w:rsidRPr="00BE4254">
        <w:t>oard</w:t>
      </w:r>
      <w:r>
        <w:t>s</w:t>
      </w:r>
      <w:r w:rsidRPr="00BE4254">
        <w:t xml:space="preserve"> </w:t>
      </w:r>
      <w:r>
        <w:t>to</w:t>
      </w:r>
      <w:r w:rsidRPr="00BE4254">
        <w:t xml:space="preserve"> assess </w:t>
      </w:r>
      <w:r>
        <w:t>their</w:t>
      </w:r>
      <w:r w:rsidRPr="00BE4254">
        <w:t xml:space="preserve"> performance.</w:t>
      </w:r>
      <w:r>
        <w:t xml:space="preserve"> </w:t>
      </w:r>
      <w:r w:rsidRPr="00BE4254">
        <w:t xml:space="preserve">All </w:t>
      </w:r>
      <w:r>
        <w:t>b</w:t>
      </w:r>
      <w:r w:rsidRPr="00BE4254">
        <w:t xml:space="preserve">oards </w:t>
      </w:r>
      <w:r w:rsidR="00A23301">
        <w:t xml:space="preserve">must </w:t>
      </w:r>
      <w:r w:rsidR="000A73E6">
        <w:t>assess their</w:t>
      </w:r>
      <w:r w:rsidR="00247706">
        <w:t xml:space="preserve"> </w:t>
      </w:r>
      <w:r w:rsidR="00082F05">
        <w:t>collective</w:t>
      </w:r>
      <w:r w:rsidR="000A73E6">
        <w:t xml:space="preserve"> performance</w:t>
      </w:r>
      <w:r w:rsidR="007B6172">
        <w:t xml:space="preserve"> </w:t>
      </w:r>
      <w:r w:rsidRPr="00BE4254">
        <w:t xml:space="preserve">as well as </w:t>
      </w:r>
      <w:r w:rsidR="00082F05">
        <w:t xml:space="preserve">the </w:t>
      </w:r>
      <w:r w:rsidR="00B9719A">
        <w:t xml:space="preserve">performance of </w:t>
      </w:r>
      <w:r>
        <w:t>individual member</w:t>
      </w:r>
      <w:r w:rsidR="00B9719A">
        <w:t>s</w:t>
      </w:r>
      <w:r w:rsidRPr="00BE4254">
        <w:t xml:space="preserve"> (including the </w:t>
      </w:r>
      <w:r>
        <w:t>c</w:t>
      </w:r>
      <w:r w:rsidRPr="00BE4254">
        <w:t>hair) annually</w:t>
      </w:r>
      <w:r>
        <w:t xml:space="preserve">. </w:t>
      </w:r>
      <w:r w:rsidR="006679A0">
        <w:t xml:space="preserve">Boards </w:t>
      </w:r>
      <w:r w:rsidR="00A50105">
        <w:t xml:space="preserve">should </w:t>
      </w:r>
      <w:r w:rsidR="00207A0F">
        <w:t xml:space="preserve">clearly </w:t>
      </w:r>
      <w:r w:rsidR="00205E98">
        <w:t>outline</w:t>
      </w:r>
      <w:r w:rsidR="00A50105">
        <w:t xml:space="preserve"> the scope of </w:t>
      </w:r>
      <w:r w:rsidR="00C116FE">
        <w:t>performance</w:t>
      </w:r>
      <w:r w:rsidR="00A72832">
        <w:t xml:space="preserve"> assessment</w:t>
      </w:r>
      <w:r w:rsidR="00207A0F">
        <w:t>.</w:t>
      </w:r>
      <w:r w:rsidR="00FF0E70">
        <w:t xml:space="preserve"> They may consider </w:t>
      </w:r>
      <w:r w:rsidR="001C5C71">
        <w:t xml:space="preserve">setting KPIs </w:t>
      </w:r>
      <w:r w:rsidR="003238CF">
        <w:t>related to</w:t>
      </w:r>
      <w:r w:rsidR="001C5C71">
        <w:t xml:space="preserve"> </w:t>
      </w:r>
      <w:r w:rsidR="002A72B8">
        <w:t>contributions</w:t>
      </w:r>
      <w:r w:rsidR="005F5FF7">
        <w:t xml:space="preserve"> to board functions</w:t>
      </w:r>
      <w:r w:rsidR="002A72B8">
        <w:t xml:space="preserve">, </w:t>
      </w:r>
      <w:r w:rsidR="00960478">
        <w:t xml:space="preserve">effectiveness of meetings, </w:t>
      </w:r>
      <w:r w:rsidR="00E62D2E">
        <w:t xml:space="preserve">stakeholder </w:t>
      </w:r>
      <w:r w:rsidR="00960478">
        <w:t>relationships, integrity, culture, risk management</w:t>
      </w:r>
      <w:r w:rsidR="00C455BC">
        <w:t xml:space="preserve"> etc. </w:t>
      </w:r>
    </w:p>
    <w:p w14:paraId="0A6C0D61" w14:textId="245DE558" w:rsidR="0099608B" w:rsidRPr="00BE4254" w:rsidRDefault="00B16315" w:rsidP="0099608B">
      <w:r>
        <w:t>Chairs need to</w:t>
      </w:r>
      <w:r w:rsidRPr="00BE4254">
        <w:t xml:space="preserve"> ensure</w:t>
      </w:r>
      <w:r>
        <w:t xml:space="preserve"> that</w:t>
      </w:r>
      <w:r w:rsidRPr="00BE4254">
        <w:t xml:space="preserve"> there are adequate procedures in place for assessing the performance of individual </w:t>
      </w:r>
      <w:r>
        <w:t>board members</w:t>
      </w:r>
      <w:r w:rsidRPr="00BE4254">
        <w:t xml:space="preserve"> and dealing with underperformance.</w:t>
      </w:r>
      <w:r w:rsidR="00C205FE">
        <w:t xml:space="preserve"> </w:t>
      </w:r>
      <w:r w:rsidR="00936578">
        <w:t>T</w:t>
      </w:r>
      <w:r w:rsidR="00936578" w:rsidRPr="00BE4254">
        <w:t xml:space="preserve">his can </w:t>
      </w:r>
      <w:r w:rsidR="00936578">
        <w:t>be a self-assessment</w:t>
      </w:r>
      <w:r w:rsidR="00936578" w:rsidRPr="00BE4254">
        <w:t xml:space="preserve"> led by the </w:t>
      </w:r>
      <w:r w:rsidR="00936578" w:rsidRPr="00F6549C">
        <w:t>chair</w:t>
      </w:r>
      <w:r w:rsidR="00936578">
        <w:t>.</w:t>
      </w:r>
      <w:r w:rsidR="00936578" w:rsidRPr="001135D0">
        <w:t xml:space="preserve"> </w:t>
      </w:r>
      <w:r w:rsidR="0099608B">
        <w:t xml:space="preserve">Periodically, boards </w:t>
      </w:r>
      <w:r w:rsidR="005868C4">
        <w:t>should</w:t>
      </w:r>
      <w:r w:rsidR="0099608B">
        <w:t xml:space="preserve"> </w:t>
      </w:r>
      <w:r w:rsidR="0099608B" w:rsidRPr="00BE4254">
        <w:t>consider engaging an independent corporate governance consultant to provide an independent assessment of performance</w:t>
      </w:r>
      <w:r w:rsidR="0099608B">
        <w:t>. A</w:t>
      </w:r>
      <w:r w:rsidR="0099608B" w:rsidRPr="00BE4254">
        <w:t xml:space="preserve">n independent assessment of performance should occur </w:t>
      </w:r>
      <w:r w:rsidR="0099608B">
        <w:t>at least once every three years</w:t>
      </w:r>
      <w:r w:rsidR="0099608B" w:rsidRPr="00BE4254">
        <w:t xml:space="preserve"> and more often for large or complex </w:t>
      </w:r>
      <w:r w:rsidR="00C81471">
        <w:t>entities</w:t>
      </w:r>
      <w:r w:rsidR="0099608B" w:rsidRPr="00BE4254">
        <w:t>.</w:t>
      </w:r>
      <w:r w:rsidR="006020DD">
        <w:t xml:space="preserve"> </w:t>
      </w:r>
      <w:r w:rsidR="006714AB">
        <w:t>To ensure objectivity and tran</w:t>
      </w:r>
      <w:r w:rsidR="00515B36">
        <w:t xml:space="preserve">sparency, it is recommended that the performance of </w:t>
      </w:r>
      <w:r w:rsidR="00653E02">
        <w:t xml:space="preserve">board chairs </w:t>
      </w:r>
      <w:r w:rsidR="00AA5DB6">
        <w:t xml:space="preserve">is assessed by </w:t>
      </w:r>
      <w:r w:rsidR="006B1B7E">
        <w:t xml:space="preserve">independent governance </w:t>
      </w:r>
      <w:r w:rsidR="00094ACC">
        <w:t>consultants</w:t>
      </w:r>
      <w:r w:rsidR="00D21683">
        <w:t xml:space="preserve"> </w:t>
      </w:r>
      <w:r w:rsidR="00721090">
        <w:t xml:space="preserve">against </w:t>
      </w:r>
      <w:r w:rsidR="00C822B6">
        <w:t>set</w:t>
      </w:r>
      <w:r w:rsidR="00721090">
        <w:t xml:space="preserve"> KPIs. </w:t>
      </w:r>
    </w:p>
    <w:p w14:paraId="6D7C7CF0" w14:textId="693E48ED" w:rsidR="00406980" w:rsidRDefault="00E52AE5" w:rsidP="0099608B">
      <w:r>
        <w:t>A</w:t>
      </w:r>
      <w:r w:rsidR="0099608B">
        <w:t>ssessment</w:t>
      </w:r>
      <w:r>
        <w:t>s</w:t>
      </w:r>
      <w:r w:rsidR="0099608B">
        <w:t xml:space="preserve"> need to</w:t>
      </w:r>
      <w:r w:rsidR="0099608B" w:rsidRPr="00BE4254">
        <w:t xml:space="preserve"> include observation, interviews</w:t>
      </w:r>
      <w:r w:rsidR="00B74C62" w:rsidRPr="00BE4254">
        <w:t>,</w:t>
      </w:r>
      <w:r w:rsidR="0099608B" w:rsidRPr="00BE4254">
        <w:t xml:space="preserve"> and surveys, but can also include an examination of </w:t>
      </w:r>
      <w:r w:rsidR="0099608B">
        <w:t>b</w:t>
      </w:r>
      <w:r w:rsidR="0099608B" w:rsidRPr="00BE4254">
        <w:t xml:space="preserve">oard papers, minutes, policy manuals, governance charters and all operational aspects of the </w:t>
      </w:r>
      <w:r w:rsidR="0099608B">
        <w:t>b</w:t>
      </w:r>
      <w:r w:rsidR="0099608B" w:rsidRPr="00BE4254">
        <w:t xml:space="preserve">oard, including its operational culture and relationship with </w:t>
      </w:r>
      <w:r w:rsidR="002A5B0F">
        <w:t xml:space="preserve">the </w:t>
      </w:r>
      <w:r w:rsidR="00B74C62" w:rsidRPr="00F6549C">
        <w:t>chair.</w:t>
      </w:r>
    </w:p>
    <w:p w14:paraId="40868DE5" w14:textId="0E7007F1" w:rsidR="0016772C" w:rsidRDefault="00650C12" w:rsidP="0099608B">
      <w:r>
        <w:t xml:space="preserve">Boards </w:t>
      </w:r>
      <w:r w:rsidR="0099608B">
        <w:t xml:space="preserve">can </w:t>
      </w:r>
      <w:r w:rsidR="0099608B" w:rsidRPr="00BE4254">
        <w:t xml:space="preserve">supplement annual assessments by reviewing the effectiveness of each </w:t>
      </w:r>
      <w:r w:rsidR="0099608B">
        <w:t>b</w:t>
      </w:r>
      <w:r w:rsidR="0099608B" w:rsidRPr="00BE4254">
        <w:t xml:space="preserve">oard meeting. For example, a different </w:t>
      </w:r>
      <w:r w:rsidR="0099608B">
        <w:t xml:space="preserve">board member </w:t>
      </w:r>
      <w:r w:rsidR="0099608B" w:rsidRPr="00BE4254">
        <w:t>at each meeting may observe proceedings, assess relevance of the agenda and quality of the papers</w:t>
      </w:r>
      <w:r w:rsidRPr="00BE4254">
        <w:t>,</w:t>
      </w:r>
      <w:r w:rsidR="0099608B" w:rsidRPr="00BE4254">
        <w:t xml:space="preserve"> and then lead a discussion on such factors.</w:t>
      </w:r>
    </w:p>
    <w:p w14:paraId="0B3843A7" w14:textId="7AED6A69" w:rsidR="00C477B3" w:rsidRDefault="0016772C" w:rsidP="009A45C7">
      <w:r>
        <w:t>The o</w:t>
      </w:r>
      <w:r w:rsidR="0099608B" w:rsidRPr="00BE4254">
        <w:t xml:space="preserve">utcomes of performance reviews of </w:t>
      </w:r>
      <w:r w:rsidR="005E664D">
        <w:t xml:space="preserve">the </w:t>
      </w:r>
      <w:r w:rsidR="0099608B">
        <w:t>b</w:t>
      </w:r>
      <w:r w:rsidR="0099608B" w:rsidRPr="00BE4254">
        <w:t>oard</w:t>
      </w:r>
      <w:r w:rsidR="004626ED">
        <w:t>’</w:t>
      </w:r>
      <w:r w:rsidR="0099608B" w:rsidRPr="00BE4254">
        <w:t xml:space="preserve">s </w:t>
      </w:r>
      <w:r w:rsidR="00EB7A98">
        <w:t>pe</w:t>
      </w:r>
      <w:r w:rsidR="00DC07A2">
        <w:t xml:space="preserve">rformance </w:t>
      </w:r>
      <w:r w:rsidR="0099608B" w:rsidRPr="00BE4254">
        <w:t xml:space="preserve">and </w:t>
      </w:r>
      <w:r w:rsidR="0099608B">
        <w:t xml:space="preserve">individual board members </w:t>
      </w:r>
      <w:r w:rsidR="0099608B" w:rsidRPr="00BE4254">
        <w:t xml:space="preserve">should be shared with the </w:t>
      </w:r>
      <w:r w:rsidR="00F6549C">
        <w:t>m</w:t>
      </w:r>
      <w:r w:rsidR="0099608B" w:rsidRPr="00BE4254">
        <w:t>inister and</w:t>
      </w:r>
      <w:r w:rsidR="0099608B">
        <w:t xml:space="preserve"> the</w:t>
      </w:r>
      <w:r w:rsidR="0099608B" w:rsidRPr="00BE4254">
        <w:t xml:space="preserve"> </w:t>
      </w:r>
      <w:r w:rsidR="0099608B">
        <w:t>department</w:t>
      </w:r>
      <w:r w:rsidR="0099608B" w:rsidRPr="00BE4254">
        <w:t xml:space="preserve">. </w:t>
      </w:r>
      <w:bookmarkStart w:id="86" w:name="_Toc39481540"/>
      <w:r w:rsidR="00392D9B" w:rsidRPr="00591D91">
        <w:rPr>
          <w:i/>
          <w:iCs/>
        </w:rPr>
        <w:fldChar w:fldCharType="begin"/>
      </w:r>
      <w:r w:rsidR="00392D9B" w:rsidRPr="00591D91">
        <w:rPr>
          <w:i/>
          <w:iCs/>
        </w:rPr>
        <w:instrText>HYPERLINK "https://www.boards.vic.gov.au/assessing-public-board-performance" \l "who-assesses-board-performance"</w:instrText>
      </w:r>
      <w:r w:rsidR="00392D9B" w:rsidRPr="00591D91">
        <w:rPr>
          <w:i/>
          <w:iCs/>
        </w:rPr>
      </w:r>
      <w:r w:rsidR="00392D9B" w:rsidRPr="00591D91">
        <w:rPr>
          <w:i/>
          <w:iCs/>
        </w:rPr>
        <w:fldChar w:fldCharType="separate"/>
      </w:r>
      <w:r w:rsidR="00392D9B" w:rsidRPr="00591D91">
        <w:rPr>
          <w:rStyle w:val="Hyperlink"/>
          <w:i/>
          <w:iCs/>
        </w:rPr>
        <w:t>Assessing public board performance</w:t>
      </w:r>
      <w:r w:rsidR="00392D9B" w:rsidRPr="00591D91">
        <w:rPr>
          <w:i/>
          <w:iCs/>
        </w:rPr>
        <w:fldChar w:fldCharType="end"/>
      </w:r>
      <w:r w:rsidR="00392D9B">
        <w:t xml:space="preserve"> guide is available to</w:t>
      </w:r>
      <w:r w:rsidR="00392D9B" w:rsidRPr="004829AD">
        <w:t xml:space="preserve"> help board</w:t>
      </w:r>
      <w:r w:rsidR="00392D9B">
        <w:t>s</w:t>
      </w:r>
      <w:r w:rsidR="00392D9B" w:rsidRPr="004829AD">
        <w:t xml:space="preserve"> assess </w:t>
      </w:r>
      <w:r w:rsidR="005A6C0C">
        <w:t>their</w:t>
      </w:r>
      <w:r w:rsidR="00392D9B" w:rsidRPr="004829AD">
        <w:t xml:space="preserve"> performance and that of chairs and directors</w:t>
      </w:r>
      <w:r w:rsidR="00392D9B">
        <w:t>.</w:t>
      </w:r>
    </w:p>
    <w:p w14:paraId="2C3C5139" w14:textId="1A0305E4" w:rsidR="00703AFA" w:rsidRPr="00A77734" w:rsidRDefault="00703AFA" w:rsidP="00703AFA">
      <w:pPr>
        <w:pStyle w:val="Heading2"/>
      </w:pPr>
      <w:bookmarkStart w:id="87" w:name="_Toc194930401"/>
      <w:r w:rsidRPr="00A77734">
        <w:t>5.</w:t>
      </w:r>
      <w:r>
        <w:t>7</w:t>
      </w:r>
      <w:r w:rsidRPr="00A77734">
        <w:t xml:space="preserve"> Occupational Health and Safety</w:t>
      </w:r>
      <w:r>
        <w:t xml:space="preserve"> (OHS)</w:t>
      </w:r>
      <w:bookmarkEnd w:id="87"/>
    </w:p>
    <w:p w14:paraId="565B9154" w14:textId="1D033F46" w:rsidR="00703AFA" w:rsidRDefault="00703AFA" w:rsidP="00703AFA">
      <w:pPr>
        <w:spacing w:after="0"/>
        <w:rPr>
          <w:rFonts w:asciiTheme="minorHAnsi" w:hAnsiTheme="minorHAnsi" w:cstheme="minorHAnsi"/>
          <w:color w:val="auto"/>
          <w:sz w:val="22"/>
          <w:szCs w:val="22"/>
          <w:lang w:val="en-AU"/>
        </w:rPr>
      </w:pPr>
      <w:r>
        <w:t>Entities need to be aware of and comply with the requirements of</w:t>
      </w:r>
      <w:r w:rsidRPr="003B6D5A">
        <w:t xml:space="preserve"> </w:t>
      </w:r>
      <w:hyperlink r:id="rId43" w:history="1">
        <w:r w:rsidRPr="003B6D5A">
          <w:rPr>
            <w:rStyle w:val="Hyperlink"/>
            <w:i/>
            <w:iCs/>
            <w:u w:val="none"/>
          </w:rPr>
          <w:t>the Occupational Health and Safety Act 2004</w:t>
        </w:r>
        <w:r w:rsidRPr="003B6D5A">
          <w:rPr>
            <w:rStyle w:val="Hyperlink"/>
            <w:u w:val="none"/>
          </w:rPr>
          <w:t xml:space="preserve"> (OHS Act) </w:t>
        </w:r>
        <w:r w:rsidRPr="003B6D5A">
          <w:rPr>
            <w:rStyle w:val="Hyperlink"/>
            <w:color w:val="auto"/>
            <w:u w:val="none"/>
          </w:rPr>
          <w:t>to ensure the health, safety, and wellbeing of all who are involved with or affected by its operations. Un</w:t>
        </w:r>
      </w:hyperlink>
      <w:r>
        <w:t xml:space="preserve">der the OHS Act, employers must provide and maintain a working </w:t>
      </w:r>
      <w:r>
        <w:rPr>
          <w:rFonts w:asciiTheme="minorHAnsi" w:hAnsiTheme="minorHAnsi" w:cstheme="minorHAnsi"/>
        </w:rPr>
        <w:t>environment for their employees, including contractors, that is safe and without risks to health, so far as reasonably practicable. In Section 5 of the OHS Act, health is defined as including psychological health.</w:t>
      </w:r>
    </w:p>
    <w:p w14:paraId="11E32659" w14:textId="77777777" w:rsidR="00703AFA" w:rsidRDefault="00703AFA" w:rsidP="00703AFA">
      <w:pPr>
        <w:spacing w:after="0"/>
        <w:rPr>
          <w:rFonts w:asciiTheme="minorHAnsi" w:hAnsiTheme="minorHAnsi" w:cstheme="minorHAnsi"/>
        </w:rPr>
      </w:pPr>
    </w:p>
    <w:p w14:paraId="5242EE36" w14:textId="77777777" w:rsidR="00703AFA" w:rsidRDefault="00703AFA" w:rsidP="00703AFA">
      <w:pPr>
        <w:spacing w:after="0"/>
        <w:rPr>
          <w:rFonts w:asciiTheme="minorHAnsi" w:hAnsiTheme="minorHAnsi" w:cstheme="minorHAnsi"/>
        </w:rPr>
      </w:pPr>
      <w:r>
        <w:rPr>
          <w:rFonts w:asciiTheme="minorHAnsi" w:hAnsiTheme="minorHAnsi" w:cstheme="minorHAnsi"/>
        </w:rPr>
        <w:t xml:space="preserve">There are five main principles that entities should adhere to in ensuring sound health and safety management: </w:t>
      </w:r>
    </w:p>
    <w:p w14:paraId="424E7722" w14:textId="77777777" w:rsidR="00703AFA" w:rsidRDefault="00703AFA" w:rsidP="00703AFA">
      <w:pPr>
        <w:spacing w:after="0"/>
        <w:rPr>
          <w:rFonts w:asciiTheme="minorHAnsi" w:hAnsiTheme="minorHAnsi" w:cstheme="minorHAnsi"/>
        </w:rPr>
      </w:pPr>
    </w:p>
    <w:p w14:paraId="6CB96B33" w14:textId="77777777" w:rsidR="00703AFA" w:rsidRPr="00703AFA" w:rsidRDefault="00703AFA" w:rsidP="00735900">
      <w:pPr>
        <w:pStyle w:val="ListParagraph"/>
        <w:numPr>
          <w:ilvl w:val="0"/>
          <w:numId w:val="20"/>
        </w:numPr>
        <w:ind w:left="709"/>
        <w:rPr>
          <w:rFonts w:asciiTheme="minorHAnsi" w:hAnsiTheme="minorHAnsi" w:cstheme="minorHAnsi"/>
          <w:color w:val="auto"/>
          <w:sz w:val="18"/>
          <w:szCs w:val="18"/>
        </w:rPr>
      </w:pPr>
      <w:r w:rsidRPr="00703AFA">
        <w:rPr>
          <w:rFonts w:asciiTheme="minorHAnsi" w:hAnsiTheme="minorHAnsi" w:cstheme="minorHAnsi"/>
          <w:color w:val="auto"/>
          <w:sz w:val="18"/>
          <w:szCs w:val="18"/>
        </w:rPr>
        <w:t>Employees, other persons at work and members of the public be given the highest level of protection against risks to their health and safety that is reasonably practicable in the circumstances.</w:t>
      </w:r>
    </w:p>
    <w:p w14:paraId="20527EB6" w14:textId="60BD6804" w:rsidR="00703AFA" w:rsidRPr="00703AFA" w:rsidRDefault="00703AFA" w:rsidP="00735900">
      <w:pPr>
        <w:pStyle w:val="ListParagraph"/>
        <w:numPr>
          <w:ilvl w:val="0"/>
          <w:numId w:val="20"/>
        </w:numPr>
        <w:ind w:left="709"/>
        <w:rPr>
          <w:rFonts w:asciiTheme="minorHAnsi" w:hAnsiTheme="minorHAnsi" w:cstheme="minorHAnsi"/>
          <w:color w:val="auto"/>
          <w:sz w:val="18"/>
          <w:szCs w:val="18"/>
        </w:rPr>
      </w:pPr>
      <w:r w:rsidRPr="00703AFA">
        <w:rPr>
          <w:rFonts w:asciiTheme="minorHAnsi" w:hAnsiTheme="minorHAnsi" w:cstheme="minorHAnsi"/>
          <w:color w:val="auto"/>
          <w:sz w:val="18"/>
          <w:szCs w:val="18"/>
        </w:rPr>
        <w:t>Persons who control or manage matters that give rise or may give rise to risks to health or safety are responsible for eliminating or reducing those risks so far as is reasonably practicable.</w:t>
      </w:r>
    </w:p>
    <w:p w14:paraId="17D3D746" w14:textId="77777777" w:rsidR="00703AFA" w:rsidRPr="00703AFA" w:rsidRDefault="00703AFA" w:rsidP="00735900">
      <w:pPr>
        <w:pStyle w:val="ListParagraph"/>
        <w:numPr>
          <w:ilvl w:val="0"/>
          <w:numId w:val="20"/>
        </w:numPr>
        <w:ind w:left="709"/>
        <w:rPr>
          <w:rFonts w:asciiTheme="minorHAnsi" w:hAnsiTheme="minorHAnsi" w:cstheme="minorHAnsi"/>
          <w:color w:val="auto"/>
          <w:sz w:val="18"/>
          <w:szCs w:val="18"/>
        </w:rPr>
      </w:pPr>
      <w:r w:rsidRPr="00703AFA">
        <w:rPr>
          <w:rFonts w:asciiTheme="minorHAnsi" w:hAnsiTheme="minorHAnsi" w:cstheme="minorHAnsi"/>
          <w:color w:val="auto"/>
          <w:sz w:val="18"/>
          <w:szCs w:val="18"/>
        </w:rPr>
        <w:t>Employers and self-employed persons should be proactive, and take all reasonably practicable measures, to ensure health and safety at workplaces and in the conduct of undertakings.</w:t>
      </w:r>
    </w:p>
    <w:p w14:paraId="34F65306" w14:textId="77777777" w:rsidR="00703AFA" w:rsidRPr="00703AFA" w:rsidRDefault="00703AFA" w:rsidP="00735900">
      <w:pPr>
        <w:pStyle w:val="ListParagraph"/>
        <w:numPr>
          <w:ilvl w:val="0"/>
          <w:numId w:val="20"/>
        </w:numPr>
        <w:ind w:left="709"/>
        <w:rPr>
          <w:rFonts w:asciiTheme="minorHAnsi" w:hAnsiTheme="minorHAnsi" w:cstheme="minorHAnsi"/>
          <w:color w:val="auto"/>
          <w:sz w:val="18"/>
          <w:szCs w:val="18"/>
        </w:rPr>
      </w:pPr>
      <w:r w:rsidRPr="00703AFA">
        <w:rPr>
          <w:rFonts w:asciiTheme="minorHAnsi" w:hAnsiTheme="minorHAnsi" w:cstheme="minorHAnsi"/>
          <w:color w:val="auto"/>
          <w:sz w:val="18"/>
          <w:szCs w:val="18"/>
        </w:rPr>
        <w:t>Employers and employees should exchange information and ideas about risks to health and safety and measures that can be taken to eliminate or reduce those risks.</w:t>
      </w:r>
    </w:p>
    <w:p w14:paraId="55E136C1" w14:textId="53BC6669" w:rsidR="00703AFA" w:rsidRPr="00703AFA" w:rsidRDefault="00703AFA" w:rsidP="00735900">
      <w:pPr>
        <w:pStyle w:val="ListParagraph"/>
        <w:numPr>
          <w:ilvl w:val="0"/>
          <w:numId w:val="20"/>
        </w:numPr>
        <w:ind w:left="709"/>
        <w:rPr>
          <w:rFonts w:asciiTheme="minorHAnsi" w:hAnsiTheme="minorHAnsi" w:cstheme="minorHAnsi"/>
          <w:color w:val="auto"/>
          <w:sz w:val="18"/>
          <w:szCs w:val="18"/>
        </w:rPr>
      </w:pPr>
      <w:r w:rsidRPr="00703AFA">
        <w:rPr>
          <w:rFonts w:asciiTheme="minorHAnsi" w:hAnsiTheme="minorHAnsi" w:cstheme="minorHAnsi"/>
          <w:color w:val="auto"/>
          <w:sz w:val="18"/>
          <w:szCs w:val="18"/>
        </w:rPr>
        <w:t>Employees are entitled, and should be encouraged, to be represented in relation to health and safety issues including active consultation.</w:t>
      </w:r>
    </w:p>
    <w:p w14:paraId="5779B9A4" w14:textId="6642FEF3" w:rsidR="00703AFA" w:rsidRPr="00126477" w:rsidRDefault="00703AFA" w:rsidP="000B791E">
      <w:pPr>
        <w:pStyle w:val="Heading3"/>
        <w:rPr>
          <w:color w:val="auto"/>
          <w:lang w:eastAsia="en-AU"/>
        </w:rPr>
      </w:pPr>
      <w:bookmarkStart w:id="88" w:name="_Toc194930402"/>
      <w:r w:rsidRPr="00126477">
        <w:rPr>
          <w:lang w:eastAsia="en-AU"/>
        </w:rPr>
        <w:t xml:space="preserve">5.7.1 </w:t>
      </w:r>
      <w:r w:rsidRPr="00126477">
        <w:rPr>
          <w:lang w:eastAsia="en-AU"/>
        </w:rPr>
        <w:tab/>
        <w:t>Management of OHS risk</w:t>
      </w:r>
      <w:bookmarkEnd w:id="88"/>
    </w:p>
    <w:p w14:paraId="73D3BA64" w14:textId="77777777" w:rsidR="00703AFA" w:rsidRDefault="00703AFA" w:rsidP="00703AFA">
      <w:pPr>
        <w:spacing w:after="0"/>
        <w:rPr>
          <w:rFonts w:asciiTheme="minorHAnsi" w:hAnsiTheme="minorHAnsi" w:cstheme="minorHAnsi"/>
          <w:b/>
          <w:bCs/>
          <w:lang w:eastAsia="en-AU"/>
        </w:rPr>
      </w:pPr>
    </w:p>
    <w:p w14:paraId="1CA28B29" w14:textId="16315549" w:rsidR="00703AFA" w:rsidRDefault="00703AFA" w:rsidP="00703AFA">
      <w:pPr>
        <w:spacing w:after="0"/>
        <w:rPr>
          <w:rFonts w:asciiTheme="minorHAnsi" w:hAnsiTheme="minorHAnsi" w:cstheme="minorHAnsi"/>
          <w:b/>
          <w:bCs/>
          <w:color w:val="004C97" w:themeColor="accent1"/>
        </w:rPr>
      </w:pPr>
      <w:r>
        <w:rPr>
          <w:rFonts w:asciiTheme="minorHAnsi" w:hAnsiTheme="minorHAnsi" w:cstheme="minorHAnsi"/>
        </w:rPr>
        <w:t>Entities are to ensure OHS hazards within the workplace are identified and risks controlled and documented. This includes providing the required training, induction, processes and equipment to support the safety and wellbeing of employees and others under their management and control.</w:t>
      </w:r>
    </w:p>
    <w:p w14:paraId="22C16F0D" w14:textId="322B8887" w:rsidR="00703AFA" w:rsidRDefault="00703AFA" w:rsidP="00703AFA">
      <w:pPr>
        <w:spacing w:before="100" w:beforeAutospacing="1" w:after="100" w:afterAutospacing="1"/>
        <w:jc w:val="both"/>
        <w:rPr>
          <w:rFonts w:asciiTheme="minorHAnsi" w:hAnsiTheme="minorHAnsi" w:cstheme="minorHAnsi"/>
          <w:color w:val="C00000"/>
        </w:rPr>
      </w:pPr>
      <w:r>
        <w:rPr>
          <w:rFonts w:asciiTheme="minorHAnsi" w:hAnsiTheme="minorHAnsi" w:cstheme="minorHAnsi"/>
          <w:color w:val="000000" w:themeColor="text1"/>
          <w:lang w:val="en"/>
        </w:rPr>
        <w:t>All safety and wellbeing hazards associated with work activities, processes, plant and substances under the management and control of entities must be identified and assessed to determine the level of risk.  Risk control measures must be put in place, recorded and monitored to ensure OHS risks are eliminated or minimised so far as is reasonably practicable.</w:t>
      </w:r>
    </w:p>
    <w:p w14:paraId="71CE0050" w14:textId="77777777" w:rsidR="00703AFA" w:rsidRDefault="00703AFA" w:rsidP="00703AFA">
      <w:pPr>
        <w:jc w:val="both"/>
        <w:rPr>
          <w:rFonts w:asciiTheme="minorHAnsi" w:hAnsiTheme="minorHAnsi" w:cstheme="minorHAnsi"/>
          <w:color w:val="auto"/>
        </w:rPr>
      </w:pPr>
      <w:r>
        <w:rPr>
          <w:rFonts w:asciiTheme="minorHAnsi" w:hAnsiTheme="minorHAnsi" w:cstheme="minorHAnsi"/>
        </w:rPr>
        <w:t>It is important for entities to follow the 4 steps of risk management for physical and psychological safety:</w:t>
      </w:r>
    </w:p>
    <w:p w14:paraId="06EEFEEB" w14:textId="77777777" w:rsidR="00703AFA" w:rsidRPr="00126477" w:rsidRDefault="00703AFA" w:rsidP="00735900">
      <w:pPr>
        <w:pStyle w:val="ListParagraph"/>
        <w:numPr>
          <w:ilvl w:val="0"/>
          <w:numId w:val="20"/>
        </w:numPr>
        <w:ind w:left="709"/>
        <w:rPr>
          <w:rFonts w:asciiTheme="minorHAnsi" w:hAnsiTheme="minorHAnsi" w:cstheme="minorHAnsi"/>
          <w:color w:val="auto"/>
          <w:sz w:val="18"/>
          <w:szCs w:val="18"/>
        </w:rPr>
      </w:pPr>
      <w:r w:rsidRPr="00126477">
        <w:rPr>
          <w:rFonts w:asciiTheme="minorHAnsi" w:hAnsiTheme="minorHAnsi" w:cstheme="minorHAnsi"/>
          <w:color w:val="auto"/>
          <w:sz w:val="18"/>
          <w:szCs w:val="18"/>
        </w:rPr>
        <w:t>Identify the hazards/risks</w:t>
      </w:r>
    </w:p>
    <w:p w14:paraId="19B6289B" w14:textId="77777777" w:rsidR="00703AFA" w:rsidRPr="00126477" w:rsidRDefault="00703AFA" w:rsidP="00735900">
      <w:pPr>
        <w:pStyle w:val="ListParagraph"/>
        <w:numPr>
          <w:ilvl w:val="0"/>
          <w:numId w:val="20"/>
        </w:numPr>
        <w:ind w:left="709"/>
        <w:rPr>
          <w:rFonts w:asciiTheme="minorHAnsi" w:hAnsiTheme="minorHAnsi" w:cstheme="minorHAnsi"/>
          <w:color w:val="auto"/>
          <w:sz w:val="18"/>
          <w:szCs w:val="18"/>
        </w:rPr>
      </w:pPr>
      <w:r w:rsidRPr="00126477">
        <w:rPr>
          <w:rFonts w:asciiTheme="minorHAnsi" w:hAnsiTheme="minorHAnsi" w:cstheme="minorHAnsi"/>
          <w:color w:val="auto"/>
          <w:sz w:val="18"/>
          <w:szCs w:val="18"/>
        </w:rPr>
        <w:t>Assess the risks</w:t>
      </w:r>
    </w:p>
    <w:p w14:paraId="7C4094BA" w14:textId="77777777" w:rsidR="00703AFA" w:rsidRPr="00126477" w:rsidRDefault="00703AFA" w:rsidP="00735900">
      <w:pPr>
        <w:pStyle w:val="ListParagraph"/>
        <w:numPr>
          <w:ilvl w:val="0"/>
          <w:numId w:val="20"/>
        </w:numPr>
        <w:ind w:left="709"/>
        <w:rPr>
          <w:rFonts w:asciiTheme="minorHAnsi" w:hAnsiTheme="minorHAnsi" w:cstheme="minorHAnsi"/>
          <w:color w:val="auto"/>
          <w:sz w:val="18"/>
          <w:szCs w:val="18"/>
        </w:rPr>
      </w:pPr>
      <w:r w:rsidRPr="00126477">
        <w:rPr>
          <w:rFonts w:asciiTheme="minorHAnsi" w:hAnsiTheme="minorHAnsi" w:cstheme="minorHAnsi"/>
          <w:color w:val="auto"/>
          <w:sz w:val="18"/>
          <w:szCs w:val="18"/>
        </w:rPr>
        <w:t xml:space="preserve">Control the risks </w:t>
      </w:r>
    </w:p>
    <w:p w14:paraId="54969C47" w14:textId="5153B18F" w:rsidR="00703AFA" w:rsidRPr="00126477" w:rsidRDefault="00703AFA" w:rsidP="00735900">
      <w:pPr>
        <w:pStyle w:val="ListParagraph"/>
        <w:numPr>
          <w:ilvl w:val="0"/>
          <w:numId w:val="20"/>
        </w:numPr>
        <w:ind w:left="709"/>
        <w:rPr>
          <w:rFonts w:asciiTheme="minorHAnsi" w:hAnsiTheme="minorHAnsi" w:cstheme="minorHAnsi"/>
          <w:color w:val="auto"/>
          <w:sz w:val="18"/>
          <w:szCs w:val="18"/>
        </w:rPr>
      </w:pPr>
      <w:r w:rsidRPr="00126477">
        <w:rPr>
          <w:rFonts w:asciiTheme="minorHAnsi" w:hAnsiTheme="minorHAnsi" w:cstheme="minorHAnsi"/>
          <w:color w:val="auto"/>
          <w:sz w:val="18"/>
          <w:szCs w:val="18"/>
        </w:rPr>
        <w:t>Monitor/ review the controls to ensure risk</w:t>
      </w:r>
      <w:r w:rsidR="009717C7">
        <w:rPr>
          <w:rFonts w:asciiTheme="minorHAnsi" w:hAnsiTheme="minorHAnsi" w:cstheme="minorHAnsi"/>
          <w:color w:val="auto"/>
          <w:sz w:val="18"/>
          <w:szCs w:val="18"/>
        </w:rPr>
        <w:t>s are</w:t>
      </w:r>
      <w:r w:rsidRPr="00126477">
        <w:rPr>
          <w:rFonts w:asciiTheme="minorHAnsi" w:hAnsiTheme="minorHAnsi" w:cstheme="minorHAnsi"/>
          <w:color w:val="auto"/>
          <w:sz w:val="18"/>
          <w:szCs w:val="18"/>
        </w:rPr>
        <w:t xml:space="preserve"> managed effectively</w:t>
      </w:r>
      <w:r w:rsidR="005A6C0C">
        <w:rPr>
          <w:rFonts w:asciiTheme="minorHAnsi" w:hAnsiTheme="minorHAnsi" w:cstheme="minorHAnsi"/>
          <w:color w:val="auto"/>
          <w:sz w:val="18"/>
          <w:szCs w:val="18"/>
        </w:rPr>
        <w:t>.</w:t>
      </w:r>
    </w:p>
    <w:p w14:paraId="30F6419C" w14:textId="77777777" w:rsidR="00703AFA" w:rsidRPr="00126477" w:rsidRDefault="00703AFA" w:rsidP="00703AFA">
      <w:pPr>
        <w:pStyle w:val="ListParagraph"/>
        <w:spacing w:line="264" w:lineRule="auto"/>
        <w:jc w:val="both"/>
        <w:rPr>
          <w:rFonts w:asciiTheme="minorHAnsi" w:hAnsiTheme="minorHAnsi" w:cstheme="minorHAnsi"/>
          <w:sz w:val="20"/>
          <w:szCs w:val="20"/>
        </w:rPr>
      </w:pPr>
    </w:p>
    <w:p w14:paraId="723FD423" w14:textId="12CFAB0C" w:rsidR="00703AFA" w:rsidRDefault="00703AFA" w:rsidP="00126477">
      <w:pPr>
        <w:spacing w:after="0"/>
        <w:jc w:val="both"/>
        <w:rPr>
          <w:rFonts w:asciiTheme="minorHAnsi" w:hAnsiTheme="minorHAnsi" w:cstheme="minorBidi"/>
          <w:color w:val="000000" w:themeColor="text1"/>
          <w:sz w:val="22"/>
          <w:szCs w:val="22"/>
        </w:rPr>
      </w:pPr>
      <w:r w:rsidRPr="0AE8D584">
        <w:rPr>
          <w:rFonts w:asciiTheme="minorHAnsi" w:hAnsiTheme="minorHAnsi" w:cstheme="minorBidi"/>
          <w:color w:val="000000" w:themeColor="text1"/>
        </w:rPr>
        <w:t xml:space="preserve">It is the responsibility of entities to monitor developments in emerging OHS risks and treatment of those risks in relation to matters within </w:t>
      </w:r>
      <w:r w:rsidR="000A2654" w:rsidRPr="0AE8D584">
        <w:rPr>
          <w:rFonts w:asciiTheme="minorHAnsi" w:hAnsiTheme="minorHAnsi" w:cstheme="minorBidi"/>
          <w:color w:val="000000" w:themeColor="text1"/>
        </w:rPr>
        <w:t>their</w:t>
      </w:r>
      <w:r w:rsidRPr="0AE8D584">
        <w:rPr>
          <w:rFonts w:asciiTheme="minorHAnsi" w:hAnsiTheme="minorHAnsi" w:cstheme="minorBidi"/>
          <w:color w:val="000000" w:themeColor="text1"/>
        </w:rPr>
        <w:t xml:space="preserve"> control at an organisational level.</w:t>
      </w:r>
    </w:p>
    <w:p w14:paraId="15BA3416" w14:textId="77777777" w:rsidR="00703AFA" w:rsidRDefault="00703AFA" w:rsidP="00126477">
      <w:pPr>
        <w:spacing w:after="0"/>
        <w:jc w:val="both"/>
        <w:rPr>
          <w:rFonts w:ascii="Calibri" w:hAnsi="Calibri" w:cs="Calibri"/>
          <w:color w:val="000000" w:themeColor="text1"/>
          <w:lang w:val="en"/>
        </w:rPr>
      </w:pPr>
    </w:p>
    <w:p w14:paraId="236CDCBA" w14:textId="272A1D71" w:rsidR="00703AFA" w:rsidRPr="00126477" w:rsidRDefault="00703AFA" w:rsidP="00D66504">
      <w:pPr>
        <w:pStyle w:val="Heading3"/>
        <w:spacing w:before="60"/>
        <w:rPr>
          <w:lang w:val="en"/>
        </w:rPr>
      </w:pPr>
      <w:bookmarkStart w:id="89" w:name="_Toc194930403"/>
      <w:r w:rsidRPr="00126477">
        <w:rPr>
          <w:lang w:val="en"/>
        </w:rPr>
        <w:t xml:space="preserve">5.7.2 </w:t>
      </w:r>
      <w:r w:rsidRPr="00126477">
        <w:rPr>
          <w:lang w:val="en"/>
        </w:rPr>
        <w:tab/>
        <w:t>Psychological Health in the workplace</w:t>
      </w:r>
      <w:bookmarkEnd w:id="89"/>
    </w:p>
    <w:p w14:paraId="4FD89792" w14:textId="77777777" w:rsidR="00703AFA" w:rsidRDefault="00703AFA" w:rsidP="00126477">
      <w:pPr>
        <w:spacing w:after="0"/>
        <w:rPr>
          <w:color w:val="000000" w:themeColor="text1"/>
          <w:lang w:val="en"/>
        </w:rPr>
      </w:pPr>
    </w:p>
    <w:p w14:paraId="540983EF" w14:textId="7FBEA54E" w:rsidR="00703AFA" w:rsidRDefault="00703AFA" w:rsidP="00703AFA">
      <w:pPr>
        <w:spacing w:after="0"/>
        <w:rPr>
          <w:rFonts w:asciiTheme="minorHAnsi" w:hAnsiTheme="minorHAnsi" w:cstheme="minorBidi"/>
          <w:color w:val="000000" w:themeColor="text1"/>
        </w:rPr>
      </w:pPr>
      <w:r w:rsidRPr="60CB478F">
        <w:rPr>
          <w:rFonts w:asciiTheme="minorHAnsi" w:hAnsiTheme="minorHAnsi" w:cstheme="minorBidi"/>
          <w:color w:val="000000" w:themeColor="text1"/>
        </w:rPr>
        <w:t>Current proposed OHS Amendment (Psychological Health) Regulations seek to:</w:t>
      </w:r>
    </w:p>
    <w:p w14:paraId="42A51AD7" w14:textId="77777777" w:rsidR="00703AFA" w:rsidRDefault="00703AFA" w:rsidP="00126477">
      <w:pPr>
        <w:spacing w:after="0"/>
        <w:rPr>
          <w:rFonts w:asciiTheme="minorHAnsi" w:hAnsiTheme="minorHAnsi" w:cstheme="minorHAnsi"/>
          <w:color w:val="auto"/>
          <w:lang w:val="en-AU"/>
        </w:rPr>
      </w:pPr>
    </w:p>
    <w:p w14:paraId="0C173AB3" w14:textId="77777777" w:rsidR="00703AFA" w:rsidRPr="00126477" w:rsidRDefault="00703AFA" w:rsidP="00735900">
      <w:pPr>
        <w:pStyle w:val="ListParagraph"/>
        <w:numPr>
          <w:ilvl w:val="0"/>
          <w:numId w:val="20"/>
        </w:numPr>
        <w:ind w:left="709"/>
        <w:rPr>
          <w:rFonts w:asciiTheme="minorHAnsi" w:hAnsiTheme="minorHAnsi" w:cstheme="minorHAnsi"/>
          <w:color w:val="auto"/>
          <w:sz w:val="18"/>
          <w:szCs w:val="18"/>
        </w:rPr>
      </w:pPr>
      <w:r w:rsidRPr="00126477">
        <w:rPr>
          <w:rFonts w:asciiTheme="minorHAnsi" w:hAnsiTheme="minorHAnsi" w:cstheme="minorHAnsi"/>
          <w:color w:val="auto"/>
          <w:sz w:val="18"/>
          <w:szCs w:val="18"/>
        </w:rPr>
        <w:t>Strengthen OHS legislation to address risks associated with workplace psychological health</w:t>
      </w:r>
    </w:p>
    <w:p w14:paraId="72339474" w14:textId="1AAB6444" w:rsidR="00703AFA" w:rsidRPr="00126477" w:rsidRDefault="00703AFA" w:rsidP="00735900">
      <w:pPr>
        <w:pStyle w:val="ListParagraph"/>
        <w:numPr>
          <w:ilvl w:val="0"/>
          <w:numId w:val="20"/>
        </w:numPr>
        <w:ind w:left="709"/>
        <w:rPr>
          <w:rFonts w:asciiTheme="minorHAnsi" w:hAnsiTheme="minorHAnsi" w:cstheme="minorHAnsi"/>
          <w:color w:val="auto"/>
          <w:sz w:val="18"/>
          <w:szCs w:val="18"/>
        </w:rPr>
      </w:pPr>
      <w:r w:rsidRPr="00126477">
        <w:rPr>
          <w:rFonts w:asciiTheme="minorHAnsi" w:hAnsiTheme="minorHAnsi" w:cstheme="minorHAnsi"/>
          <w:color w:val="auto"/>
          <w:sz w:val="18"/>
          <w:szCs w:val="18"/>
        </w:rPr>
        <w:t>Promote the importance of psychological health and safety in the workplace</w:t>
      </w:r>
      <w:r w:rsidR="00C30551">
        <w:rPr>
          <w:rFonts w:asciiTheme="minorHAnsi" w:hAnsiTheme="minorHAnsi" w:cstheme="minorHAnsi"/>
          <w:color w:val="auto"/>
          <w:sz w:val="18"/>
          <w:szCs w:val="18"/>
        </w:rPr>
        <w:t xml:space="preserve">, with </w:t>
      </w:r>
      <w:r w:rsidRPr="00126477">
        <w:rPr>
          <w:rFonts w:asciiTheme="minorHAnsi" w:hAnsiTheme="minorHAnsi" w:cstheme="minorHAnsi"/>
          <w:color w:val="auto"/>
          <w:sz w:val="18"/>
          <w:szCs w:val="18"/>
        </w:rPr>
        <w:t>an emphasis on prevention</w:t>
      </w:r>
    </w:p>
    <w:p w14:paraId="3FD32585" w14:textId="43E194A5" w:rsidR="00703AFA" w:rsidRPr="00126477" w:rsidRDefault="00703AFA" w:rsidP="00735900">
      <w:pPr>
        <w:pStyle w:val="ListParagraph"/>
        <w:numPr>
          <w:ilvl w:val="0"/>
          <w:numId w:val="20"/>
        </w:numPr>
        <w:ind w:left="709"/>
        <w:rPr>
          <w:rFonts w:asciiTheme="minorHAnsi" w:hAnsiTheme="minorHAnsi" w:cstheme="minorHAnsi"/>
          <w:color w:val="auto"/>
          <w:sz w:val="18"/>
          <w:szCs w:val="18"/>
        </w:rPr>
      </w:pPr>
      <w:r w:rsidRPr="00126477">
        <w:rPr>
          <w:rFonts w:asciiTheme="minorHAnsi" w:hAnsiTheme="minorHAnsi" w:cstheme="minorHAnsi"/>
          <w:color w:val="auto"/>
          <w:sz w:val="18"/>
          <w:szCs w:val="18"/>
        </w:rPr>
        <w:t>Require employers to identify and control risks to protect workers from mental injury arising from hazards including bullying, sexual harassment, occupational violence and aggression (OVA), workload and exposure to traumatic events</w:t>
      </w:r>
    </w:p>
    <w:p w14:paraId="22533111" w14:textId="2D44F858" w:rsidR="00703AFA" w:rsidRPr="00126477" w:rsidRDefault="00703AFA" w:rsidP="00735900">
      <w:pPr>
        <w:pStyle w:val="ListParagraph"/>
        <w:numPr>
          <w:ilvl w:val="0"/>
          <w:numId w:val="20"/>
        </w:numPr>
        <w:ind w:left="709"/>
        <w:rPr>
          <w:rFonts w:asciiTheme="minorHAnsi" w:hAnsiTheme="minorHAnsi" w:cstheme="minorHAnsi"/>
          <w:color w:val="auto"/>
          <w:sz w:val="18"/>
          <w:szCs w:val="18"/>
        </w:rPr>
      </w:pPr>
      <w:r w:rsidRPr="00126477">
        <w:rPr>
          <w:rFonts w:asciiTheme="minorHAnsi" w:hAnsiTheme="minorHAnsi" w:cstheme="minorHAnsi"/>
          <w:color w:val="auto"/>
          <w:sz w:val="18"/>
          <w:szCs w:val="18"/>
        </w:rPr>
        <w:t>Require certain employers to report data on complaints of bullying, sexual harassment and OVA to WorkSafe</w:t>
      </w:r>
      <w:r w:rsidR="003E01AE">
        <w:rPr>
          <w:rFonts w:asciiTheme="minorHAnsi" w:hAnsiTheme="minorHAnsi" w:cstheme="minorHAnsi"/>
          <w:color w:val="auto"/>
          <w:sz w:val="18"/>
          <w:szCs w:val="18"/>
        </w:rPr>
        <w:t>.</w:t>
      </w:r>
    </w:p>
    <w:p w14:paraId="6C8E132B" w14:textId="77777777" w:rsidR="00703AFA" w:rsidRPr="00D66504" w:rsidRDefault="00703AFA" w:rsidP="00C2636A">
      <w:pPr>
        <w:spacing w:after="140" w:line="360" w:lineRule="auto"/>
        <w:jc w:val="both"/>
        <w:rPr>
          <w:rFonts w:asciiTheme="minorHAnsi" w:hAnsiTheme="minorHAnsi" w:cstheme="minorHAnsi"/>
          <w:color w:val="000000" w:themeColor="text1"/>
          <w:sz w:val="2"/>
          <w:szCs w:val="2"/>
          <w:lang w:val="en"/>
        </w:rPr>
      </w:pPr>
    </w:p>
    <w:p w14:paraId="21824917" w14:textId="77777777" w:rsidR="00703AFA" w:rsidRDefault="00703AFA" w:rsidP="00703AFA">
      <w:pPr>
        <w:rPr>
          <w:rFonts w:asciiTheme="minorHAnsi" w:hAnsiTheme="minorHAnsi" w:cstheme="minorHAnsi"/>
          <w:color w:val="000000" w:themeColor="text1"/>
          <w:lang w:val="en-AU"/>
        </w:rPr>
      </w:pPr>
      <w:r>
        <w:rPr>
          <w:rFonts w:asciiTheme="minorHAnsi" w:hAnsiTheme="minorHAnsi" w:cstheme="minorHAnsi"/>
          <w:color w:val="000000" w:themeColor="text1"/>
        </w:rPr>
        <w:t>With an increased focus on psychological health in the workplace, entities should aim to develop and deepen awareness of the management and mitigation of the risk associated with psychosocial hazards, and to uplift associated skills with their executives, managers, and employees to equip them in meeting and managing their OHS legislative obligations.</w:t>
      </w:r>
    </w:p>
    <w:p w14:paraId="4F6D145F" w14:textId="0FDB6E96" w:rsidR="00703AFA" w:rsidRPr="00126477" w:rsidRDefault="00703AFA" w:rsidP="000B791E">
      <w:pPr>
        <w:pStyle w:val="Heading3"/>
      </w:pPr>
      <w:bookmarkStart w:id="90" w:name="_Toc194930404"/>
      <w:r w:rsidRPr="00126477">
        <w:t>5.7.3</w:t>
      </w:r>
      <w:r w:rsidRPr="00126477">
        <w:tab/>
        <w:t>OHS resources</w:t>
      </w:r>
      <w:bookmarkEnd w:id="90"/>
    </w:p>
    <w:p w14:paraId="5A65AB6E" w14:textId="1BE22CBE" w:rsidR="00703AFA" w:rsidRPr="00150F9D" w:rsidRDefault="00703AFA" w:rsidP="00735900">
      <w:pPr>
        <w:pStyle w:val="ListParagraph"/>
        <w:numPr>
          <w:ilvl w:val="0"/>
          <w:numId w:val="45"/>
        </w:numPr>
        <w:rPr>
          <w:rFonts w:asciiTheme="minorHAnsi" w:hAnsiTheme="minorHAnsi" w:cstheme="minorHAnsi"/>
          <w:color w:val="auto"/>
          <w:sz w:val="18"/>
          <w:szCs w:val="18"/>
        </w:rPr>
      </w:pPr>
      <w:r w:rsidRPr="00025D11">
        <w:rPr>
          <w:rFonts w:asciiTheme="minorHAnsi" w:hAnsiTheme="minorHAnsi" w:cstheme="minorHAnsi"/>
          <w:color w:val="auto"/>
          <w:sz w:val="18"/>
          <w:szCs w:val="18"/>
        </w:rPr>
        <w:t>The</w:t>
      </w:r>
      <w:r w:rsidRPr="00126477">
        <w:rPr>
          <w:rFonts w:asciiTheme="minorHAnsi" w:hAnsiTheme="minorHAnsi" w:cstheme="minorHAnsi"/>
          <w:sz w:val="18"/>
          <w:szCs w:val="18"/>
        </w:rPr>
        <w:t xml:space="preserve"> </w:t>
      </w:r>
      <w:hyperlink r:id="rId44" w:history="1">
        <w:r w:rsidRPr="00126477">
          <w:rPr>
            <w:rStyle w:val="Hyperlink"/>
            <w:rFonts w:asciiTheme="minorHAnsi" w:hAnsiTheme="minorHAnsi" w:cstheme="minorHAnsi"/>
            <w:sz w:val="18"/>
            <w:szCs w:val="18"/>
          </w:rPr>
          <w:t>WorkSafe website</w:t>
        </w:r>
      </w:hyperlink>
      <w:r w:rsidRPr="00126477">
        <w:rPr>
          <w:rFonts w:asciiTheme="minorHAnsi" w:hAnsiTheme="minorHAnsi" w:cstheme="minorHAnsi"/>
          <w:sz w:val="18"/>
          <w:szCs w:val="18"/>
        </w:rPr>
        <w:t xml:space="preserve"> </w:t>
      </w:r>
      <w:r w:rsidRPr="00150F9D">
        <w:rPr>
          <w:rFonts w:asciiTheme="minorHAnsi" w:hAnsiTheme="minorHAnsi" w:cstheme="minorHAnsi"/>
          <w:color w:val="auto"/>
          <w:sz w:val="18"/>
          <w:szCs w:val="18"/>
        </w:rPr>
        <w:t>provides online resources for employers to better understand their OHS responsibilities and duties and how to manage hazards</w:t>
      </w:r>
      <w:r w:rsidR="00E71365" w:rsidRPr="00150F9D">
        <w:rPr>
          <w:rFonts w:asciiTheme="minorHAnsi" w:hAnsiTheme="minorHAnsi" w:cstheme="minorHAnsi"/>
          <w:color w:val="auto"/>
          <w:sz w:val="18"/>
          <w:szCs w:val="18"/>
        </w:rPr>
        <w:t>,</w:t>
      </w:r>
      <w:r w:rsidRPr="00150F9D">
        <w:rPr>
          <w:rFonts w:asciiTheme="minorHAnsi" w:hAnsiTheme="minorHAnsi" w:cstheme="minorHAnsi"/>
          <w:color w:val="auto"/>
          <w:sz w:val="18"/>
          <w:szCs w:val="18"/>
        </w:rPr>
        <w:t xml:space="preserve"> risks and create safe environment. </w:t>
      </w:r>
    </w:p>
    <w:p w14:paraId="096E7F5E" w14:textId="77777777" w:rsidR="00703AFA" w:rsidRPr="00126477" w:rsidRDefault="00703AFA" w:rsidP="00735900">
      <w:pPr>
        <w:pStyle w:val="ListParagraph"/>
        <w:numPr>
          <w:ilvl w:val="0"/>
          <w:numId w:val="45"/>
        </w:numPr>
        <w:rPr>
          <w:rFonts w:asciiTheme="minorHAnsi" w:hAnsiTheme="minorHAnsi" w:cstheme="minorHAnsi"/>
          <w:sz w:val="18"/>
          <w:szCs w:val="18"/>
        </w:rPr>
      </w:pPr>
      <w:r w:rsidRPr="00126477">
        <w:rPr>
          <w:rFonts w:asciiTheme="minorHAnsi" w:hAnsiTheme="minorHAnsi" w:cstheme="minorHAnsi"/>
          <w:color w:val="auto"/>
          <w:sz w:val="18"/>
          <w:szCs w:val="18"/>
        </w:rPr>
        <w:t>This includes a</w:t>
      </w:r>
      <w:r w:rsidRPr="00126477">
        <w:rPr>
          <w:rFonts w:asciiTheme="minorHAnsi" w:hAnsiTheme="minorHAnsi" w:cstheme="minorHAnsi"/>
          <w:color w:val="191919"/>
          <w:sz w:val="18"/>
          <w:szCs w:val="18"/>
          <w:shd w:val="clear" w:color="auto" w:fill="FFFFFF"/>
        </w:rPr>
        <w:t xml:space="preserve"> </w:t>
      </w:r>
      <w:hyperlink r:id="rId45" w:history="1">
        <w:r w:rsidRPr="00126477">
          <w:rPr>
            <w:rStyle w:val="Hyperlink"/>
            <w:rFonts w:asciiTheme="minorHAnsi" w:hAnsiTheme="minorHAnsi" w:cstheme="minorHAnsi"/>
            <w:sz w:val="18"/>
            <w:szCs w:val="18"/>
          </w:rPr>
          <w:t>WorkWell Toolkit</w:t>
        </w:r>
      </w:hyperlink>
      <w:r w:rsidRPr="00126477">
        <w:rPr>
          <w:rFonts w:asciiTheme="minorHAnsi" w:hAnsiTheme="minorHAnsi" w:cstheme="minorHAnsi"/>
          <w:sz w:val="18"/>
          <w:szCs w:val="18"/>
        </w:rPr>
        <w:t xml:space="preserve"> </w:t>
      </w:r>
      <w:r w:rsidRPr="00150F9D">
        <w:rPr>
          <w:rFonts w:asciiTheme="minorHAnsi" w:hAnsiTheme="minorHAnsi" w:cstheme="minorHAnsi"/>
          <w:color w:val="auto"/>
          <w:sz w:val="18"/>
          <w:szCs w:val="18"/>
        </w:rPr>
        <w:t>providing a step-by-step approach to prevent mental injuries and promote safe and mentally healthy workplaces</w:t>
      </w:r>
      <w:r w:rsidRPr="00126477">
        <w:rPr>
          <w:rFonts w:asciiTheme="minorHAnsi" w:hAnsiTheme="minorHAnsi" w:cstheme="minorHAnsi"/>
          <w:sz w:val="18"/>
          <w:szCs w:val="18"/>
        </w:rPr>
        <w:t xml:space="preserve">. </w:t>
      </w:r>
    </w:p>
    <w:p w14:paraId="541018BA" w14:textId="77777777" w:rsidR="00703AFA" w:rsidRDefault="00703AFA" w:rsidP="009A45C7"/>
    <w:p w14:paraId="163EC67F" w14:textId="0105BB4C" w:rsidR="00C477B3" w:rsidRDefault="00C477B3" w:rsidP="00C477B3">
      <w:pPr>
        <w:pStyle w:val="Heading2"/>
      </w:pPr>
      <w:bookmarkStart w:id="91" w:name="_Toc194930405"/>
      <w:r>
        <w:t>5.</w:t>
      </w:r>
      <w:r w:rsidR="00703AFA">
        <w:t>8</w:t>
      </w:r>
      <w:r>
        <w:tab/>
        <w:t>Integrity</w:t>
      </w:r>
      <w:bookmarkEnd w:id="91"/>
    </w:p>
    <w:p w14:paraId="0151BB00" w14:textId="53EF0051" w:rsidR="00C477B3" w:rsidRDefault="00C477B3" w:rsidP="00C477B3">
      <w:pPr>
        <w:pStyle w:val="Heading3"/>
      </w:pPr>
      <w:bookmarkStart w:id="92" w:name="_Toc194930406"/>
      <w:r>
        <w:t>5.</w:t>
      </w:r>
      <w:r w:rsidR="00703AFA">
        <w:t>8</w:t>
      </w:r>
      <w:r>
        <w:t>.1</w:t>
      </w:r>
      <w:r>
        <w:tab/>
        <w:t>Integrity Overview</w:t>
      </w:r>
      <w:bookmarkEnd w:id="92"/>
    </w:p>
    <w:p w14:paraId="377F9FB4" w14:textId="17EAA9B9" w:rsidR="00C477B3" w:rsidRDefault="00C477B3" w:rsidP="00C477B3">
      <w:r>
        <w:t xml:space="preserve">Section 7 of the </w:t>
      </w:r>
      <w:hyperlink r:id="rId46" w:history="1">
        <w:r w:rsidRPr="00613CB0">
          <w:rPr>
            <w:rStyle w:val="Hyperlink"/>
            <w:i/>
            <w:iCs/>
          </w:rPr>
          <w:t>Public Adm</w:t>
        </w:r>
        <w:bookmarkStart w:id="93" w:name="_Hlt154044476"/>
        <w:bookmarkStart w:id="94" w:name="_Hlt154044477"/>
        <w:r w:rsidRPr="00613CB0">
          <w:rPr>
            <w:rStyle w:val="Hyperlink"/>
            <w:i/>
            <w:iCs/>
          </w:rPr>
          <w:t>i</w:t>
        </w:r>
        <w:bookmarkEnd w:id="93"/>
        <w:bookmarkEnd w:id="94"/>
        <w:r w:rsidRPr="00613CB0">
          <w:rPr>
            <w:rStyle w:val="Hyperlink"/>
            <w:i/>
            <w:iCs/>
          </w:rPr>
          <w:t>nistration Act 2004</w:t>
        </w:r>
      </w:hyperlink>
      <w:r>
        <w:t xml:space="preserve"> identifies integrity as one of seven core public sector values and requires public officials to demonstrate integrity by</w:t>
      </w:r>
      <w:r w:rsidR="00D24B4B">
        <w:t>:</w:t>
      </w:r>
    </w:p>
    <w:p w14:paraId="361E98C8" w14:textId="77777777" w:rsidR="00C477B3" w:rsidRPr="005575FC" w:rsidRDefault="00C477B3" w:rsidP="00735900">
      <w:pPr>
        <w:pStyle w:val="ListParagraph"/>
        <w:numPr>
          <w:ilvl w:val="0"/>
          <w:numId w:val="41"/>
        </w:numPr>
        <w:suppressAutoHyphens/>
        <w:autoSpaceDE w:val="0"/>
        <w:autoSpaceDN w:val="0"/>
        <w:adjustRightInd w:val="0"/>
        <w:spacing w:after="160" w:line="220" w:lineRule="atLeast"/>
        <w:textAlignment w:val="center"/>
        <w:rPr>
          <w:rFonts w:asciiTheme="minorHAnsi" w:hAnsiTheme="minorHAnsi" w:cstheme="minorHAnsi"/>
          <w:color w:val="000000" w:themeColor="text1"/>
          <w:sz w:val="18"/>
          <w:szCs w:val="18"/>
        </w:rPr>
      </w:pPr>
      <w:r w:rsidRPr="005575FC">
        <w:rPr>
          <w:rFonts w:asciiTheme="minorHAnsi" w:hAnsiTheme="minorHAnsi" w:cstheme="minorHAnsi"/>
          <w:color w:val="000000" w:themeColor="text1"/>
          <w:sz w:val="18"/>
          <w:szCs w:val="18"/>
        </w:rPr>
        <w:t>being honest, open and transparent in their dealings</w:t>
      </w:r>
    </w:p>
    <w:p w14:paraId="4ED7EE2C" w14:textId="77777777" w:rsidR="00C477B3" w:rsidRPr="005575FC" w:rsidRDefault="00C477B3" w:rsidP="00735900">
      <w:pPr>
        <w:pStyle w:val="ListParagraph"/>
        <w:numPr>
          <w:ilvl w:val="0"/>
          <w:numId w:val="41"/>
        </w:numPr>
        <w:suppressAutoHyphens/>
        <w:autoSpaceDE w:val="0"/>
        <w:autoSpaceDN w:val="0"/>
        <w:adjustRightInd w:val="0"/>
        <w:spacing w:after="160" w:line="220" w:lineRule="atLeast"/>
        <w:textAlignment w:val="center"/>
        <w:rPr>
          <w:rFonts w:asciiTheme="minorHAnsi" w:hAnsiTheme="minorHAnsi" w:cstheme="minorHAnsi"/>
          <w:color w:val="000000" w:themeColor="text1"/>
          <w:sz w:val="18"/>
          <w:szCs w:val="18"/>
        </w:rPr>
      </w:pPr>
      <w:r w:rsidRPr="005575FC">
        <w:rPr>
          <w:rFonts w:asciiTheme="minorHAnsi" w:hAnsiTheme="minorHAnsi" w:cstheme="minorHAnsi"/>
          <w:color w:val="000000" w:themeColor="text1"/>
          <w:sz w:val="18"/>
          <w:szCs w:val="18"/>
        </w:rPr>
        <w:t>using powers responsibly</w:t>
      </w:r>
    </w:p>
    <w:p w14:paraId="4CD8ECB1" w14:textId="77777777" w:rsidR="00C477B3" w:rsidRPr="005575FC" w:rsidRDefault="00C477B3" w:rsidP="00735900">
      <w:pPr>
        <w:pStyle w:val="ListParagraph"/>
        <w:numPr>
          <w:ilvl w:val="0"/>
          <w:numId w:val="41"/>
        </w:numPr>
        <w:suppressAutoHyphens/>
        <w:autoSpaceDE w:val="0"/>
        <w:autoSpaceDN w:val="0"/>
        <w:adjustRightInd w:val="0"/>
        <w:spacing w:after="160" w:line="220" w:lineRule="atLeast"/>
        <w:textAlignment w:val="center"/>
        <w:rPr>
          <w:rFonts w:asciiTheme="minorHAnsi" w:hAnsiTheme="minorHAnsi" w:cstheme="minorHAnsi"/>
          <w:color w:val="000000" w:themeColor="text1"/>
          <w:sz w:val="18"/>
          <w:szCs w:val="18"/>
        </w:rPr>
      </w:pPr>
      <w:r w:rsidRPr="005575FC">
        <w:rPr>
          <w:rFonts w:asciiTheme="minorHAnsi" w:hAnsiTheme="minorHAnsi" w:cstheme="minorHAnsi"/>
          <w:color w:val="000000" w:themeColor="text1"/>
          <w:sz w:val="18"/>
          <w:szCs w:val="18"/>
        </w:rPr>
        <w:t>reporting improper conduct</w:t>
      </w:r>
    </w:p>
    <w:p w14:paraId="38FD32EB" w14:textId="77777777" w:rsidR="00C477B3" w:rsidRPr="005575FC" w:rsidRDefault="00C477B3" w:rsidP="00735900">
      <w:pPr>
        <w:pStyle w:val="ListParagraph"/>
        <w:numPr>
          <w:ilvl w:val="0"/>
          <w:numId w:val="41"/>
        </w:numPr>
        <w:suppressAutoHyphens/>
        <w:autoSpaceDE w:val="0"/>
        <w:autoSpaceDN w:val="0"/>
        <w:adjustRightInd w:val="0"/>
        <w:spacing w:after="160" w:line="220" w:lineRule="atLeast"/>
        <w:textAlignment w:val="center"/>
        <w:rPr>
          <w:rFonts w:asciiTheme="minorHAnsi" w:hAnsiTheme="minorHAnsi" w:cstheme="minorHAnsi"/>
          <w:color w:val="000000" w:themeColor="text1"/>
          <w:sz w:val="18"/>
          <w:szCs w:val="18"/>
        </w:rPr>
      </w:pPr>
      <w:r w:rsidRPr="005575FC">
        <w:rPr>
          <w:rFonts w:asciiTheme="minorHAnsi" w:hAnsiTheme="minorHAnsi" w:cstheme="minorHAnsi"/>
          <w:color w:val="000000" w:themeColor="text1"/>
          <w:sz w:val="18"/>
          <w:szCs w:val="18"/>
        </w:rPr>
        <w:t>avoiding any real or apparent conflicts of interest</w:t>
      </w:r>
    </w:p>
    <w:p w14:paraId="64973B6F" w14:textId="77777777" w:rsidR="00C477B3" w:rsidRPr="005575FC" w:rsidRDefault="00C477B3" w:rsidP="00735900">
      <w:pPr>
        <w:pStyle w:val="ListParagraph"/>
        <w:numPr>
          <w:ilvl w:val="0"/>
          <w:numId w:val="41"/>
        </w:numPr>
        <w:suppressAutoHyphens/>
        <w:autoSpaceDE w:val="0"/>
        <w:autoSpaceDN w:val="0"/>
        <w:adjustRightInd w:val="0"/>
        <w:spacing w:after="160" w:line="220" w:lineRule="atLeast"/>
        <w:textAlignment w:val="center"/>
        <w:rPr>
          <w:rFonts w:asciiTheme="minorHAnsi" w:hAnsiTheme="minorHAnsi" w:cstheme="minorHAnsi"/>
          <w:color w:val="000000" w:themeColor="text1"/>
          <w:sz w:val="18"/>
          <w:szCs w:val="18"/>
        </w:rPr>
      </w:pPr>
      <w:r w:rsidRPr="005575FC">
        <w:rPr>
          <w:rFonts w:asciiTheme="minorHAnsi" w:hAnsiTheme="minorHAnsi" w:cstheme="minorHAnsi"/>
          <w:color w:val="000000" w:themeColor="text1"/>
          <w:sz w:val="18"/>
          <w:szCs w:val="18"/>
        </w:rPr>
        <w:t>striving to earn and sustain public trust of a high level.</w:t>
      </w:r>
    </w:p>
    <w:p w14:paraId="18CFF7E7" w14:textId="77777777" w:rsidR="00C477B3" w:rsidRPr="00D03E27" w:rsidRDefault="00C477B3" w:rsidP="00C477B3">
      <w:r>
        <w:t xml:space="preserve">Integrity expectations and obligations </w:t>
      </w:r>
      <w:r w:rsidRPr="00D03E27">
        <w:t>should be embedded</w:t>
      </w:r>
      <w:r>
        <w:t xml:space="preserve"> </w:t>
      </w:r>
      <w:r w:rsidRPr="00D03E27">
        <w:t>into relevant organisational policies and procedures, including</w:t>
      </w:r>
      <w:r>
        <w:t xml:space="preserve"> recruitment and</w:t>
      </w:r>
      <w:r w:rsidRPr="00D03E27">
        <w:t xml:space="preserve"> procurement. When implementing integrity policies, leadership </w:t>
      </w:r>
      <w:r>
        <w:t>behaviours and clear</w:t>
      </w:r>
      <w:r w:rsidRPr="00D03E27">
        <w:t xml:space="preserve"> communication </w:t>
      </w:r>
      <w:r>
        <w:t>are</w:t>
      </w:r>
      <w:r w:rsidRPr="00D03E27">
        <w:t xml:space="preserve"> critical.</w:t>
      </w:r>
    </w:p>
    <w:p w14:paraId="7D6625F1" w14:textId="7BFAFC81" w:rsidR="00C477B3" w:rsidRPr="00D03E27" w:rsidRDefault="00C477B3" w:rsidP="00C477B3">
      <w:r w:rsidRPr="00D03E27">
        <w:t>It is also important to communicate the importance of integrity to key stakeholders</w:t>
      </w:r>
      <w:r>
        <w:t>,</w:t>
      </w:r>
      <w:r w:rsidRPr="00D03E27">
        <w:t xml:space="preserve"> such as clients and current or prospective suppliers</w:t>
      </w:r>
      <w:r>
        <w:t xml:space="preserve">, including the requirements outlined in the </w:t>
      </w:r>
      <w:hyperlink r:id="rId47" w:history="1">
        <w:r w:rsidRPr="007B29E1">
          <w:rPr>
            <w:rStyle w:val="Hyperlink"/>
          </w:rPr>
          <w:t>Supplier Code of Conduct</w:t>
        </w:r>
      </w:hyperlink>
      <w:r>
        <w:t>,</w:t>
      </w:r>
      <w:r w:rsidRPr="00D03E27">
        <w:t xml:space="preserve"> so that they are aware of </w:t>
      </w:r>
      <w:r>
        <w:t>their</w:t>
      </w:r>
      <w:r w:rsidDel="009E1019">
        <w:t xml:space="preserve"> </w:t>
      </w:r>
      <w:r>
        <w:t>integrity obligations.</w:t>
      </w:r>
    </w:p>
    <w:p w14:paraId="52CA8443" w14:textId="12EBF5A0" w:rsidR="00C477B3" w:rsidRDefault="00C477B3" w:rsidP="00C477B3">
      <w:pPr>
        <w:pStyle w:val="Heading3"/>
      </w:pPr>
      <w:bookmarkStart w:id="95" w:name="_5.8.2_Conflict_of"/>
      <w:bookmarkStart w:id="96" w:name="_Toc194930407"/>
      <w:bookmarkEnd w:id="95"/>
      <w:r>
        <w:t>5.</w:t>
      </w:r>
      <w:r w:rsidR="00703AFA">
        <w:t>8</w:t>
      </w:r>
      <w:r>
        <w:t>.2</w:t>
      </w:r>
      <w:r>
        <w:tab/>
        <w:t>Conflict of Interest</w:t>
      </w:r>
      <w:bookmarkEnd w:id="96"/>
    </w:p>
    <w:p w14:paraId="3E40E5F7" w14:textId="1CB95CF3" w:rsidR="00C477B3" w:rsidRDefault="00C477B3" w:rsidP="00C477B3">
      <w:r>
        <w:t xml:space="preserve">The </w:t>
      </w:r>
      <w:hyperlink r:id="rId48" w:history="1">
        <w:r w:rsidRPr="008C2367">
          <w:rPr>
            <w:rStyle w:val="Hyperlink"/>
          </w:rPr>
          <w:t>VPSC Code of Conduct</w:t>
        </w:r>
      </w:hyperlink>
      <w:r>
        <w:t xml:space="preserve"> (Code) requires public sector body heads to develop and implement procedures tailored to their own operating environment to support the </w:t>
      </w:r>
      <w:r w:rsidDel="00B362E2">
        <w:t xml:space="preserve">effective </w:t>
      </w:r>
      <w:r>
        <w:t>declaration and management of conflicts of interest (COI). This would normally</w:t>
      </w:r>
      <w:r w:rsidRPr="00D03E27">
        <w:t xml:space="preserve"> include maintaining a </w:t>
      </w:r>
      <w:r>
        <w:t>register</w:t>
      </w:r>
      <w:r w:rsidRPr="000F4FB8">
        <w:rPr>
          <w:i/>
        </w:rPr>
        <w:t xml:space="preserve"> </w:t>
      </w:r>
      <w:r>
        <w:t>which is</w:t>
      </w:r>
      <w:r w:rsidRPr="00D03E27">
        <w:t xml:space="preserve"> used to </w:t>
      </w:r>
      <w:r>
        <w:t>record COI declarations for individual matters and</w:t>
      </w:r>
      <w:r w:rsidRPr="00D03E27">
        <w:t xml:space="preserve"> projects such as procurement, recruitment</w:t>
      </w:r>
      <w:r w:rsidR="00621D1B" w:rsidRPr="00D03E27">
        <w:t>,</w:t>
      </w:r>
      <w:r w:rsidRPr="00D03E27">
        <w:t xml:space="preserve"> and promotional activities.</w:t>
      </w:r>
    </w:p>
    <w:p w14:paraId="5A20B464" w14:textId="1F83EA35" w:rsidR="00E50BB4" w:rsidRDefault="00C477B3" w:rsidP="00C477B3">
      <w:r>
        <w:t xml:space="preserve">A COI </w:t>
      </w:r>
      <w:r w:rsidR="00FB6C87">
        <w:t xml:space="preserve">exists if </w:t>
      </w:r>
      <w:r w:rsidR="008B163B">
        <w:t>a public official has a private interest that could influence, or reasonably be seen to influence, how they perform their public duties</w:t>
      </w:r>
      <w:r w:rsidR="003444E7">
        <w:t>.</w:t>
      </w:r>
    </w:p>
    <w:p w14:paraId="4A51229D" w14:textId="77777777" w:rsidR="00E50BB4" w:rsidRDefault="00E50BB4" w:rsidP="00C477B3">
      <w:r>
        <w:t xml:space="preserve">A conflict can be: </w:t>
      </w:r>
    </w:p>
    <w:tbl>
      <w:tblPr>
        <w:tblStyle w:val="DJSIR"/>
        <w:tblW w:w="0" w:type="auto"/>
        <w:tblLook w:val="04A0" w:firstRow="1" w:lastRow="0" w:firstColumn="1" w:lastColumn="0" w:noHBand="0" w:noVBand="1"/>
      </w:tblPr>
      <w:tblGrid>
        <w:gridCol w:w="1560"/>
        <w:gridCol w:w="7624"/>
      </w:tblGrid>
      <w:tr w:rsidR="00C67B58" w14:paraId="791CF2D2" w14:textId="77777777">
        <w:trPr>
          <w:cnfStyle w:val="100000000000" w:firstRow="1" w:lastRow="0" w:firstColumn="0" w:lastColumn="0" w:oddVBand="0" w:evenVBand="0" w:oddHBand="0" w:evenHBand="0" w:firstRowFirstColumn="0" w:firstRowLastColumn="0" w:lastRowFirstColumn="0" w:lastRowLastColumn="0"/>
        </w:trPr>
        <w:tc>
          <w:tcPr>
            <w:tcW w:w="1560" w:type="dxa"/>
          </w:tcPr>
          <w:p w14:paraId="7C9B69BB" w14:textId="42E08300" w:rsidR="00C67B58" w:rsidRPr="00B042C7" w:rsidRDefault="00C67B58">
            <w:pPr>
              <w:spacing w:after="0"/>
              <w:rPr>
                <w:b/>
                <w:bCs/>
              </w:rPr>
            </w:pPr>
            <w:r w:rsidRPr="00B042C7">
              <w:rPr>
                <w:b/>
                <w:bCs/>
                <w:color w:val="FFFFFF" w:themeColor="background1"/>
              </w:rPr>
              <w:t>Type</w:t>
            </w:r>
            <w:r>
              <w:rPr>
                <w:b/>
                <w:bCs/>
                <w:color w:val="FFFFFF" w:themeColor="background1"/>
              </w:rPr>
              <w:t xml:space="preserve"> of conflict</w:t>
            </w:r>
          </w:p>
        </w:tc>
        <w:tc>
          <w:tcPr>
            <w:tcW w:w="7624" w:type="dxa"/>
          </w:tcPr>
          <w:p w14:paraId="7134292F" w14:textId="77777777" w:rsidR="00C67B58" w:rsidRPr="00B042C7" w:rsidRDefault="00C67B58">
            <w:pPr>
              <w:spacing w:after="0"/>
              <w:rPr>
                <w:b/>
                <w:bCs/>
              </w:rPr>
            </w:pPr>
            <w:r w:rsidRPr="00B042C7">
              <w:rPr>
                <w:b/>
                <w:bCs/>
                <w:color w:val="FFFFFF" w:themeColor="background1"/>
              </w:rPr>
              <w:t>Definition</w:t>
            </w:r>
          </w:p>
        </w:tc>
      </w:tr>
      <w:tr w:rsidR="00C67B58" w14:paraId="0C6655A5" w14:textId="77777777">
        <w:tc>
          <w:tcPr>
            <w:tcW w:w="1560" w:type="dxa"/>
          </w:tcPr>
          <w:p w14:paraId="669C6124" w14:textId="77777777" w:rsidR="00C67B58" w:rsidRDefault="00C67B58">
            <w:pPr>
              <w:spacing w:after="0"/>
            </w:pPr>
            <w:r>
              <w:t>Actual</w:t>
            </w:r>
          </w:p>
        </w:tc>
        <w:tc>
          <w:tcPr>
            <w:tcW w:w="7624" w:type="dxa"/>
          </w:tcPr>
          <w:p w14:paraId="18478FDA" w14:textId="77777777" w:rsidR="00C67B58" w:rsidRDefault="00C67B58">
            <w:pPr>
              <w:spacing w:after="0"/>
            </w:pPr>
            <w:r>
              <w:t>T</w:t>
            </w:r>
            <w:r w:rsidRPr="00BB225B">
              <w:t>here is a conflict between your private interests and your public duties.</w:t>
            </w:r>
          </w:p>
        </w:tc>
      </w:tr>
      <w:tr w:rsidR="00C67B58" w14:paraId="138BCEB6" w14:textId="77777777">
        <w:tc>
          <w:tcPr>
            <w:tcW w:w="1560" w:type="dxa"/>
          </w:tcPr>
          <w:p w14:paraId="4CF05E4D" w14:textId="77777777" w:rsidR="00C67B58" w:rsidRDefault="00C67B58">
            <w:pPr>
              <w:spacing w:after="0"/>
            </w:pPr>
            <w:r>
              <w:t xml:space="preserve">Potential </w:t>
            </w:r>
          </w:p>
        </w:tc>
        <w:tc>
          <w:tcPr>
            <w:tcW w:w="7624" w:type="dxa"/>
          </w:tcPr>
          <w:p w14:paraId="3C5E9520" w14:textId="77777777" w:rsidR="00C67B58" w:rsidRDefault="00C67B58">
            <w:pPr>
              <w:spacing w:after="0"/>
            </w:pPr>
            <w:r>
              <w:t>Y</w:t>
            </w:r>
            <w:r w:rsidRPr="00761BF2">
              <w:t>ou have a private interest that could foreseeably conflict with your public duties</w:t>
            </w:r>
            <w:r>
              <w:t xml:space="preserve"> in the future</w:t>
            </w:r>
            <w:r w:rsidRPr="00761BF2">
              <w:t>.</w:t>
            </w:r>
          </w:p>
        </w:tc>
      </w:tr>
      <w:tr w:rsidR="00C67B58" w14:paraId="7DD48A4D" w14:textId="77777777">
        <w:tc>
          <w:tcPr>
            <w:tcW w:w="1560" w:type="dxa"/>
          </w:tcPr>
          <w:p w14:paraId="7585C6AC" w14:textId="77777777" w:rsidR="00C67B58" w:rsidRDefault="00C67B58">
            <w:pPr>
              <w:spacing w:after="0"/>
            </w:pPr>
            <w:r>
              <w:t>Perceived</w:t>
            </w:r>
          </w:p>
        </w:tc>
        <w:tc>
          <w:tcPr>
            <w:tcW w:w="7624" w:type="dxa"/>
          </w:tcPr>
          <w:p w14:paraId="2823BB48" w14:textId="77777777" w:rsidR="00C67B58" w:rsidRDefault="00C67B58">
            <w:pPr>
              <w:spacing w:after="0"/>
            </w:pPr>
            <w:r>
              <w:t>I</w:t>
            </w:r>
            <w:r w:rsidRPr="00CE65EC">
              <w:t>t is reasonable for people to believe that your private interests could influence your public duties, now or in the future.</w:t>
            </w:r>
          </w:p>
        </w:tc>
      </w:tr>
    </w:tbl>
    <w:p w14:paraId="32B7D385" w14:textId="1AEE6175" w:rsidR="005121E5" w:rsidRDefault="005121E5" w:rsidP="005121E5"/>
    <w:p w14:paraId="5AC31696" w14:textId="5C0B58E8" w:rsidR="00C477B3" w:rsidRDefault="005121E5" w:rsidP="00C477B3">
      <w:r w:rsidRPr="005121E5">
        <w:t xml:space="preserve"> </w:t>
      </w:r>
      <w:r w:rsidRPr="007A2223">
        <w:t>A conflict of duty (sometimes called a conflict of role) is a type of conflict of interest. It is a conflict between your public duties and your duty to another organisation or group.</w:t>
      </w:r>
    </w:p>
    <w:p w14:paraId="09465AE0" w14:textId="530A1722" w:rsidR="00C477B3" w:rsidRDefault="00111B07" w:rsidP="00C477B3">
      <w:r>
        <w:t>Public officials must avoid co</w:t>
      </w:r>
      <w:r w:rsidR="005134EF">
        <w:t xml:space="preserve">nflicts </w:t>
      </w:r>
      <w:r w:rsidR="00C477B3">
        <w:t>wherever possible. They should ensure that their personal or financial interests (including the interests of family members, friends, and associates) do not influence and could not be perceived to influence them in the performance of their role.</w:t>
      </w:r>
      <w:r w:rsidR="00C477B3" w:rsidRPr="00B362E2">
        <w:t xml:space="preserve"> </w:t>
      </w:r>
      <w:r w:rsidR="005134EF">
        <w:t xml:space="preserve">Public officials </w:t>
      </w:r>
      <w:r w:rsidR="00C477B3">
        <w:t xml:space="preserve">must declare and manage any COIs that cannot be avoided in accordance with their </w:t>
      </w:r>
      <w:r w:rsidR="00C477B3" w:rsidDel="00B362E2">
        <w:t>organisation’s</w:t>
      </w:r>
      <w:r w:rsidR="00C477B3">
        <w:t xml:space="preserve"> policies and procedures.</w:t>
      </w:r>
    </w:p>
    <w:p w14:paraId="02CE4BF9" w14:textId="77777777" w:rsidR="00583BAD" w:rsidRDefault="00583BAD" w:rsidP="00583BAD">
      <w:pPr>
        <w:pStyle w:val="Heading4"/>
        <w:spacing w:before="0" w:after="160"/>
      </w:pPr>
      <w:bookmarkStart w:id="97" w:name="_Toc194930408"/>
      <w:r>
        <w:t>5.8.2.1 Consensual Personal Relationships</w:t>
      </w:r>
      <w:bookmarkEnd w:id="97"/>
    </w:p>
    <w:p w14:paraId="3F45445B" w14:textId="77777777" w:rsidR="00583BAD" w:rsidRPr="005F0D66" w:rsidRDefault="00583BAD" w:rsidP="00583BAD">
      <w:r w:rsidRPr="10C5A2F9">
        <w:rPr>
          <w:lang w:val="en-AU"/>
        </w:rPr>
        <w:t>Consensual personal relationships between employees of the same public sector organisation are permissible and private in nature.</w:t>
      </w:r>
    </w:p>
    <w:p w14:paraId="5F5C3A0A" w14:textId="77777777" w:rsidR="00583BAD" w:rsidRPr="005F0D66" w:rsidRDefault="00583BAD" w:rsidP="00583BAD">
      <w:r w:rsidRPr="005F0D66">
        <w:t xml:space="preserve">However, they sometimes give rise to a conflict of interest. If this occurs, the conflict must be declared and managed in accordance with </w:t>
      </w:r>
      <w:r>
        <w:t>the</w:t>
      </w:r>
      <w:r w:rsidRPr="005F0D66">
        <w:t xml:space="preserve"> organisation’s conflict of interest policy.</w:t>
      </w:r>
    </w:p>
    <w:p w14:paraId="702B8073" w14:textId="77777777" w:rsidR="00583BAD" w:rsidRPr="00520168" w:rsidRDefault="00583BAD" w:rsidP="00583BAD">
      <w:pPr>
        <w:rPr>
          <w:iCs/>
          <w:lang w:val="en-AU"/>
        </w:rPr>
      </w:pPr>
      <w:r w:rsidRPr="00520168">
        <w:rPr>
          <w:iCs/>
          <w:lang w:val="en-AU"/>
        </w:rPr>
        <w:t>Refer to the Victorian Public Sector Commission’s (VPSC) guidance on </w:t>
      </w:r>
      <w:hyperlink r:id="rId49" w:tgtFrame="_blank" w:history="1">
        <w:r w:rsidRPr="00520168">
          <w:rPr>
            <w:rStyle w:val="Hyperlink"/>
            <w:iCs/>
            <w:lang w:val="en-AU"/>
          </w:rPr>
          <w:t>Managing consensual personal relationships</w:t>
        </w:r>
      </w:hyperlink>
      <w:r w:rsidRPr="00520168">
        <w:rPr>
          <w:iCs/>
          <w:lang w:val="en-AU"/>
        </w:rPr>
        <w:t> for further information.</w:t>
      </w:r>
    </w:p>
    <w:p w14:paraId="6B1909CE" w14:textId="0A580AE8" w:rsidR="00C477B3" w:rsidRPr="00745A8E" w:rsidRDefault="00C477B3" w:rsidP="003B7772">
      <w:pPr>
        <w:pStyle w:val="Heading4"/>
        <w:spacing w:before="0" w:after="160"/>
      </w:pPr>
      <w:bookmarkStart w:id="98" w:name="_Toc194930409"/>
      <w:r w:rsidRPr="003857C3">
        <w:t>5.</w:t>
      </w:r>
      <w:r w:rsidR="00703AFA">
        <w:t>8</w:t>
      </w:r>
      <w:r w:rsidRPr="003857C3">
        <w:t>.2.</w:t>
      </w:r>
      <w:r w:rsidR="00583BAD">
        <w:t>2</w:t>
      </w:r>
      <w:r w:rsidRPr="003857C3">
        <w:tab/>
        <w:t>Specific reporting obligations for board members</w:t>
      </w:r>
      <w:bookmarkEnd w:id="98"/>
    </w:p>
    <w:p w14:paraId="3A9A1A26" w14:textId="5243F030" w:rsidR="00C477B3" w:rsidRPr="00D03E27" w:rsidRDefault="00C477B3" w:rsidP="00C477B3">
      <w:r w:rsidRPr="00D03E27">
        <w:t>Upon appointment to a board, each member must</w:t>
      </w:r>
      <w:r>
        <w:t xml:space="preserve"> </w:t>
      </w:r>
      <w:r w:rsidRPr="00D03E27">
        <w:t xml:space="preserve">make a </w:t>
      </w:r>
      <w:hyperlink r:id="rId50" w:history="1">
        <w:r w:rsidRPr="005F4BDF">
          <w:rPr>
            <w:rStyle w:val="Hyperlink"/>
            <w:i/>
          </w:rPr>
          <w:t>Declaration of Private Interests</w:t>
        </w:r>
      </w:hyperlink>
      <w:r w:rsidRPr="00D03E27">
        <w:t xml:space="preserve"> which is lodged with the </w:t>
      </w:r>
      <w:r>
        <w:t>board chair</w:t>
      </w:r>
      <w:r w:rsidRPr="00D03E27">
        <w:t xml:space="preserve">. The </w:t>
      </w:r>
      <w:r>
        <w:t>board chair</w:t>
      </w:r>
      <w:r w:rsidRPr="00D03E27">
        <w:t xml:space="preserve"> should ensure that the information is recorded in a </w:t>
      </w:r>
      <w:r w:rsidRPr="00D03E27">
        <w:rPr>
          <w:i/>
        </w:rPr>
        <w:t>Register of Interests</w:t>
      </w:r>
      <w:r w:rsidRPr="00D03E27">
        <w:t xml:space="preserve"> and that it is updated annually. If a board member’s circumstances change, he or she needs to lodge an updated declaration (unless the change is already adequately recorded in the register as a result of a declaration made at a board meeting). </w:t>
      </w:r>
    </w:p>
    <w:p w14:paraId="44E9F673" w14:textId="0DBCF00E" w:rsidR="00C477B3" w:rsidRPr="000F4FB8" w:rsidRDefault="00C477B3" w:rsidP="00C477B3">
      <w:pPr>
        <w:rPr>
          <w:i/>
        </w:rPr>
      </w:pPr>
      <w:r w:rsidRPr="00D03E27">
        <w:t>An up-to</w:t>
      </w:r>
      <w:r>
        <w:t>-</w:t>
      </w:r>
      <w:r w:rsidRPr="00D03E27">
        <w:t xml:space="preserve">date </w:t>
      </w:r>
      <w:r w:rsidRPr="00D03E27">
        <w:rPr>
          <w:i/>
        </w:rPr>
        <w:t>Register of Interests</w:t>
      </w:r>
      <w:r w:rsidRPr="00D03E27">
        <w:t xml:space="preserve"> should be maintained which includes details of both the direct and indirect interests of each board member that may give rise to a conflict of interest. At the start of each board meeting, the </w:t>
      </w:r>
      <w:r>
        <w:t>board chair</w:t>
      </w:r>
      <w:r w:rsidRPr="00D03E27">
        <w:t xml:space="preserve"> should ask whether members’ interests as recorded in the register are complete and true. If there are no changes, this should be noted in the minutes. If there are changes, these should be recorded in the minutes and the </w:t>
      </w:r>
      <w:r w:rsidRPr="00D03E27">
        <w:rPr>
          <w:i/>
        </w:rPr>
        <w:t xml:space="preserve">Register of Interests </w:t>
      </w:r>
      <w:r w:rsidRPr="00D03E27">
        <w:t>should be updated</w:t>
      </w:r>
      <w:r w:rsidRPr="00D03E27">
        <w:rPr>
          <w:i/>
        </w:rPr>
        <w:t>.</w:t>
      </w:r>
    </w:p>
    <w:p w14:paraId="5EA08107" w14:textId="77777777" w:rsidR="00C477B3" w:rsidRPr="00D03E27" w:rsidRDefault="00C477B3" w:rsidP="00C477B3">
      <w:r w:rsidRPr="14667A63">
        <w:rPr>
          <w:color w:val="001B34" w:themeColor="accent5" w:themeShade="80"/>
          <w:sz w:val="22"/>
          <w:szCs w:val="22"/>
        </w:rPr>
        <w:t xml:space="preserve"> </w:t>
      </w:r>
      <w:r>
        <w:t xml:space="preserve">Further information </w:t>
      </w:r>
      <w:r w:rsidRPr="00D03E27">
        <w:t xml:space="preserve">in relation to </w:t>
      </w:r>
      <w:r>
        <w:t>COI</w:t>
      </w:r>
      <w:r w:rsidRPr="00D03E27">
        <w:t xml:space="preserve"> </w:t>
      </w:r>
      <w:r>
        <w:t xml:space="preserve">is available, </w:t>
      </w:r>
      <w:r w:rsidRPr="00D03E27">
        <w:t>including:</w:t>
      </w:r>
    </w:p>
    <w:p w14:paraId="4E82CEEC" w14:textId="5946FF0B" w:rsidR="00C477B3" w:rsidRDefault="001D7B50" w:rsidP="00735900">
      <w:pPr>
        <w:pStyle w:val="ListBullet"/>
        <w:numPr>
          <w:ilvl w:val="0"/>
          <w:numId w:val="24"/>
        </w:numPr>
        <w:ind w:left="714" w:hanging="357"/>
        <w:rPr>
          <w:color w:val="auto"/>
        </w:rPr>
      </w:pPr>
      <w:hyperlink r:id="rId51" w:history="1">
        <w:r>
          <w:rPr>
            <w:rStyle w:val="Hyperlink"/>
            <w:lang w:val="en-US"/>
          </w:rPr>
          <w:t>Conflict of interest guidance for organisations</w:t>
        </w:r>
      </w:hyperlink>
      <w:r>
        <w:rPr>
          <w:color w:val="auto"/>
        </w:rPr>
        <w:t xml:space="preserve"> </w:t>
      </w:r>
      <w:r w:rsidR="00C477B3">
        <w:rPr>
          <w:color w:val="auto"/>
        </w:rPr>
        <w:t>issued by the Victorian Public Sector Commission</w:t>
      </w:r>
    </w:p>
    <w:p w14:paraId="08701D61" w14:textId="77777777" w:rsidR="00EA6C37" w:rsidRDefault="00C477B3" w:rsidP="00735900">
      <w:pPr>
        <w:pStyle w:val="ListBullet"/>
        <w:numPr>
          <w:ilvl w:val="0"/>
          <w:numId w:val="24"/>
        </w:numPr>
        <w:rPr>
          <w:color w:val="auto"/>
        </w:rPr>
      </w:pPr>
      <w:hyperlink r:id="rId52" w:history="1">
        <w:r w:rsidRPr="006E5925">
          <w:rPr>
            <w:rStyle w:val="Hyperlink"/>
          </w:rPr>
          <w:t>Integrity guid</w:t>
        </w:r>
        <w:r w:rsidR="00E32F40">
          <w:rPr>
            <w:rStyle w:val="Hyperlink"/>
          </w:rPr>
          <w:t>e</w:t>
        </w:r>
        <w:r w:rsidRPr="006E5925">
          <w:rPr>
            <w:rStyle w:val="Hyperlink"/>
          </w:rPr>
          <w:t xml:space="preserve"> for </w:t>
        </w:r>
        <w:r w:rsidR="00A871A8" w:rsidRPr="006E5925">
          <w:rPr>
            <w:rStyle w:val="Hyperlink"/>
          </w:rPr>
          <w:t xml:space="preserve">new </w:t>
        </w:r>
        <w:r w:rsidRPr="006E5925">
          <w:rPr>
            <w:rStyle w:val="Hyperlink"/>
          </w:rPr>
          <w:t>board directors</w:t>
        </w:r>
      </w:hyperlink>
      <w:r>
        <w:rPr>
          <w:color w:val="auto"/>
        </w:rPr>
        <w:t xml:space="preserve"> issued by the Victorian Public Sector Commission</w:t>
      </w:r>
    </w:p>
    <w:p w14:paraId="0B49045C" w14:textId="13B32EC0" w:rsidR="00C477B3" w:rsidRPr="002477A1" w:rsidRDefault="00766BC3" w:rsidP="00735900">
      <w:pPr>
        <w:pStyle w:val="ListBullet"/>
        <w:numPr>
          <w:ilvl w:val="0"/>
          <w:numId w:val="24"/>
        </w:numPr>
        <w:spacing w:after="0" w:line="276" w:lineRule="auto"/>
        <w:rPr>
          <w:color w:val="auto"/>
        </w:rPr>
      </w:pPr>
      <w:r w:rsidRPr="00150F9D">
        <w:rPr>
          <w:color w:val="auto"/>
        </w:rPr>
        <w:t>Consensual personal relationships guidance</w:t>
      </w:r>
      <w:r w:rsidR="00F42E56" w:rsidRPr="002477A1">
        <w:rPr>
          <w:color w:val="auto"/>
        </w:rPr>
        <w:t>, issued by the Victorian Public Sector Commission</w:t>
      </w:r>
    </w:p>
    <w:p w14:paraId="0B3901FC" w14:textId="76ABEA04" w:rsidR="00C477B3" w:rsidRPr="00B362E2" w:rsidRDefault="000157A2" w:rsidP="00735900">
      <w:pPr>
        <w:pStyle w:val="ListBullet"/>
        <w:numPr>
          <w:ilvl w:val="0"/>
          <w:numId w:val="24"/>
        </w:numPr>
        <w:rPr>
          <w:color w:val="auto"/>
        </w:rPr>
      </w:pPr>
      <w:hyperlink r:id="rId53" w:history="1">
        <w:r>
          <w:rPr>
            <w:rStyle w:val="Hyperlink"/>
            <w:lang w:val="en-US"/>
          </w:rPr>
          <w:t>DJSIR Conflict of interest policy</w:t>
        </w:r>
      </w:hyperlink>
    </w:p>
    <w:p w14:paraId="250DDBBE" w14:textId="5A14E74D" w:rsidR="00C477B3" w:rsidRPr="002D07EA" w:rsidRDefault="00C477B3" w:rsidP="00735900">
      <w:pPr>
        <w:pStyle w:val="ListBullet"/>
        <w:numPr>
          <w:ilvl w:val="0"/>
          <w:numId w:val="24"/>
        </w:numPr>
        <w:rPr>
          <w:color w:val="auto"/>
        </w:rPr>
      </w:pPr>
      <w:r w:rsidRPr="49EB97DC">
        <w:rPr>
          <w:color w:val="auto"/>
        </w:rPr>
        <w:t xml:space="preserve">Entity-specific legislation, role statements or </w:t>
      </w:r>
      <w:r w:rsidR="000668C8">
        <w:rPr>
          <w:color w:val="auto"/>
        </w:rPr>
        <w:t>m</w:t>
      </w:r>
      <w:r w:rsidRPr="49EB97DC">
        <w:rPr>
          <w:color w:val="auto"/>
        </w:rPr>
        <w:t>inisterial/</w:t>
      </w:r>
      <w:r w:rsidR="000668C8">
        <w:rPr>
          <w:color w:val="auto"/>
        </w:rPr>
        <w:t>d</w:t>
      </w:r>
      <w:r w:rsidRPr="49EB97DC">
        <w:rPr>
          <w:color w:val="auto"/>
        </w:rPr>
        <w:t xml:space="preserve">epartmental </w:t>
      </w:r>
      <w:r w:rsidR="000061C5">
        <w:rPr>
          <w:color w:val="auto"/>
        </w:rPr>
        <w:t>SOEs</w:t>
      </w:r>
      <w:r w:rsidRPr="49EB97DC">
        <w:rPr>
          <w:color w:val="auto"/>
        </w:rPr>
        <w:t>.</w:t>
      </w:r>
    </w:p>
    <w:p w14:paraId="1FB3CE89" w14:textId="77777777" w:rsidR="00C477B3" w:rsidRPr="00B1138E" w:rsidRDefault="00C477B3" w:rsidP="00C477B3">
      <w:pPr>
        <w:pStyle w:val="ListBullet"/>
        <w:numPr>
          <w:ilvl w:val="0"/>
          <w:numId w:val="0"/>
        </w:numPr>
        <w:rPr>
          <w:b/>
          <w:color w:val="000000" w:themeColor="text1"/>
          <w:sz w:val="6"/>
          <w:szCs w:val="6"/>
        </w:rPr>
      </w:pPr>
    </w:p>
    <w:p w14:paraId="50070E53" w14:textId="467F36A1" w:rsidR="00C477B3" w:rsidRPr="008B7AE3" w:rsidRDefault="00C477B3" w:rsidP="004E538E">
      <w:pPr>
        <w:pStyle w:val="Heading3"/>
        <w:rPr>
          <w:b w:val="0"/>
          <w:bCs w:val="0"/>
          <w:color w:val="000000" w:themeColor="text1"/>
        </w:rPr>
      </w:pPr>
      <w:bookmarkStart w:id="99" w:name="_Toc194930410"/>
      <w:r w:rsidRPr="004E538E">
        <w:t>5.</w:t>
      </w:r>
      <w:r w:rsidR="00703AFA">
        <w:t>8</w:t>
      </w:r>
      <w:r w:rsidRPr="004E538E">
        <w:t>.3</w:t>
      </w:r>
      <w:r w:rsidRPr="004E538E">
        <w:tab/>
        <w:t>Fraud and Corruption Mitigation</w:t>
      </w:r>
      <w:bookmarkEnd w:id="99"/>
      <w:r w:rsidRPr="004E538E">
        <w:t xml:space="preserve"> </w:t>
      </w:r>
    </w:p>
    <w:p w14:paraId="161691ED" w14:textId="77711A1E" w:rsidR="00C477B3" w:rsidRPr="005575FC" w:rsidRDefault="00C477B3" w:rsidP="00C477B3">
      <w:pPr>
        <w:rPr>
          <w:color w:val="000000" w:themeColor="text1"/>
          <w:lang w:eastAsia="en-AU"/>
        </w:rPr>
      </w:pPr>
      <w:r w:rsidRPr="005575FC">
        <w:rPr>
          <w:color w:val="000000" w:themeColor="text1"/>
          <w:lang w:eastAsia="en-AU"/>
        </w:rPr>
        <w:t xml:space="preserve">Entities need to be aware of and comply with the requirements of Standing Direction 3.5 Fraud, Corruption and Other Losses. This requires each </w:t>
      </w:r>
      <w:r w:rsidR="00EA66C1">
        <w:rPr>
          <w:color w:val="000000" w:themeColor="text1"/>
          <w:lang w:eastAsia="en-AU"/>
        </w:rPr>
        <w:t>e</w:t>
      </w:r>
      <w:r w:rsidRPr="005575FC">
        <w:rPr>
          <w:color w:val="000000" w:themeColor="text1"/>
          <w:lang w:eastAsia="en-AU"/>
        </w:rPr>
        <w:t>ntity to:</w:t>
      </w:r>
    </w:p>
    <w:p w14:paraId="7AE8ECBD" w14:textId="687A6BE4" w:rsidR="00C477B3" w:rsidRPr="005575FC" w:rsidRDefault="00C477B3" w:rsidP="00735900">
      <w:pPr>
        <w:pStyle w:val="ListParagraph"/>
        <w:numPr>
          <w:ilvl w:val="0"/>
          <w:numId w:val="34"/>
        </w:numPr>
        <w:suppressAutoHyphens/>
        <w:autoSpaceDE w:val="0"/>
        <w:autoSpaceDN w:val="0"/>
        <w:adjustRightInd w:val="0"/>
        <w:spacing w:after="160" w:line="220" w:lineRule="atLeast"/>
        <w:textAlignment w:val="center"/>
        <w:rPr>
          <w:rFonts w:ascii="Arial" w:hAnsi="Arial" w:cs="Arial"/>
          <w:color w:val="000000" w:themeColor="text1"/>
          <w:sz w:val="18"/>
          <w:szCs w:val="18"/>
        </w:rPr>
      </w:pPr>
      <w:r w:rsidRPr="005575FC">
        <w:rPr>
          <w:rFonts w:ascii="Arial" w:hAnsi="Arial" w:cs="Arial"/>
          <w:color w:val="000000" w:themeColor="text1"/>
          <w:sz w:val="18"/>
          <w:szCs w:val="18"/>
        </w:rPr>
        <w:t xml:space="preserve">take all reasonable steps to minimise and manage the risk of </w:t>
      </w:r>
      <w:r w:rsidR="000061C5">
        <w:rPr>
          <w:rFonts w:ascii="Arial" w:hAnsi="Arial" w:cs="Arial"/>
          <w:color w:val="000000" w:themeColor="text1"/>
          <w:sz w:val="18"/>
          <w:szCs w:val="18"/>
        </w:rPr>
        <w:t>f</w:t>
      </w:r>
      <w:r w:rsidRPr="005575FC">
        <w:rPr>
          <w:rFonts w:ascii="Arial" w:hAnsi="Arial" w:cs="Arial"/>
          <w:color w:val="000000" w:themeColor="text1"/>
          <w:sz w:val="18"/>
          <w:szCs w:val="18"/>
        </w:rPr>
        <w:t xml:space="preserve">raud, </w:t>
      </w:r>
      <w:r w:rsidR="000061C5">
        <w:rPr>
          <w:rFonts w:ascii="Arial" w:hAnsi="Arial" w:cs="Arial"/>
          <w:color w:val="000000" w:themeColor="text1"/>
          <w:sz w:val="18"/>
          <w:szCs w:val="18"/>
        </w:rPr>
        <w:t>c</w:t>
      </w:r>
      <w:r w:rsidRPr="005575FC">
        <w:rPr>
          <w:rFonts w:ascii="Arial" w:hAnsi="Arial" w:cs="Arial"/>
          <w:color w:val="000000" w:themeColor="text1"/>
          <w:sz w:val="18"/>
          <w:szCs w:val="18"/>
        </w:rPr>
        <w:t xml:space="preserve">orruption and </w:t>
      </w:r>
      <w:r w:rsidR="000061C5">
        <w:rPr>
          <w:rFonts w:ascii="Arial" w:hAnsi="Arial" w:cs="Arial"/>
          <w:color w:val="000000" w:themeColor="text1"/>
          <w:sz w:val="18"/>
          <w:szCs w:val="18"/>
        </w:rPr>
        <w:t>o</w:t>
      </w:r>
      <w:r w:rsidRPr="005575FC">
        <w:rPr>
          <w:rFonts w:ascii="Arial" w:hAnsi="Arial" w:cs="Arial"/>
          <w:color w:val="000000" w:themeColor="text1"/>
          <w:sz w:val="18"/>
          <w:szCs w:val="18"/>
        </w:rPr>
        <w:t xml:space="preserve">ther </w:t>
      </w:r>
      <w:r w:rsidR="000061C5">
        <w:rPr>
          <w:rFonts w:ascii="Arial" w:hAnsi="Arial" w:cs="Arial"/>
          <w:color w:val="000000" w:themeColor="text1"/>
          <w:sz w:val="18"/>
          <w:szCs w:val="18"/>
        </w:rPr>
        <w:t>l</w:t>
      </w:r>
      <w:r w:rsidRPr="005575FC">
        <w:rPr>
          <w:rFonts w:ascii="Arial" w:hAnsi="Arial" w:cs="Arial"/>
          <w:color w:val="000000" w:themeColor="text1"/>
          <w:sz w:val="18"/>
          <w:szCs w:val="18"/>
        </w:rPr>
        <w:t>osses; and</w:t>
      </w:r>
    </w:p>
    <w:p w14:paraId="54CEFEFA" w14:textId="73D9F9F6" w:rsidR="00C477B3" w:rsidRPr="005575FC" w:rsidRDefault="00C477B3" w:rsidP="00735900">
      <w:pPr>
        <w:pStyle w:val="ListParagraph"/>
        <w:numPr>
          <w:ilvl w:val="0"/>
          <w:numId w:val="34"/>
        </w:numPr>
        <w:suppressAutoHyphens/>
        <w:autoSpaceDE w:val="0"/>
        <w:autoSpaceDN w:val="0"/>
        <w:adjustRightInd w:val="0"/>
        <w:spacing w:after="160" w:line="220" w:lineRule="atLeast"/>
        <w:textAlignment w:val="center"/>
        <w:rPr>
          <w:rFonts w:ascii="Arial" w:hAnsi="Arial" w:cs="Arial"/>
          <w:color w:val="000000" w:themeColor="text1"/>
          <w:sz w:val="18"/>
          <w:szCs w:val="18"/>
        </w:rPr>
      </w:pPr>
      <w:r w:rsidRPr="005575FC">
        <w:rPr>
          <w:rFonts w:ascii="Arial" w:hAnsi="Arial" w:cs="Arial"/>
          <w:color w:val="000000" w:themeColor="text1"/>
          <w:sz w:val="18"/>
          <w:szCs w:val="18"/>
        </w:rPr>
        <w:t xml:space="preserve">establish a </w:t>
      </w:r>
      <w:r w:rsidR="000061C5">
        <w:rPr>
          <w:rFonts w:ascii="Arial" w:hAnsi="Arial" w:cs="Arial"/>
          <w:color w:val="000000" w:themeColor="text1"/>
          <w:sz w:val="18"/>
          <w:szCs w:val="18"/>
        </w:rPr>
        <w:t>f</w:t>
      </w:r>
      <w:r w:rsidRPr="005575FC">
        <w:rPr>
          <w:rFonts w:ascii="Arial" w:hAnsi="Arial" w:cs="Arial"/>
          <w:color w:val="000000" w:themeColor="text1"/>
          <w:sz w:val="18"/>
          <w:szCs w:val="18"/>
        </w:rPr>
        <w:t xml:space="preserve">raud, </w:t>
      </w:r>
      <w:r w:rsidR="000061C5">
        <w:rPr>
          <w:rFonts w:ascii="Arial" w:hAnsi="Arial" w:cs="Arial"/>
          <w:color w:val="000000" w:themeColor="text1"/>
          <w:sz w:val="18"/>
          <w:szCs w:val="18"/>
        </w:rPr>
        <w:t>c</w:t>
      </w:r>
      <w:r w:rsidRPr="005575FC">
        <w:rPr>
          <w:rFonts w:ascii="Arial" w:hAnsi="Arial" w:cs="Arial"/>
          <w:color w:val="000000" w:themeColor="text1"/>
          <w:sz w:val="18"/>
          <w:szCs w:val="18"/>
        </w:rPr>
        <w:t xml:space="preserve">orruption and </w:t>
      </w:r>
      <w:r w:rsidR="000061C5">
        <w:rPr>
          <w:rFonts w:ascii="Arial" w:hAnsi="Arial" w:cs="Arial"/>
          <w:color w:val="000000" w:themeColor="text1"/>
          <w:sz w:val="18"/>
          <w:szCs w:val="18"/>
        </w:rPr>
        <w:t>o</w:t>
      </w:r>
      <w:r w:rsidRPr="005575FC">
        <w:rPr>
          <w:rFonts w:ascii="Arial" w:hAnsi="Arial" w:cs="Arial"/>
          <w:color w:val="000000" w:themeColor="text1"/>
          <w:sz w:val="18"/>
          <w:szCs w:val="18"/>
        </w:rPr>
        <w:t xml:space="preserve">ther </w:t>
      </w:r>
      <w:r w:rsidR="000061C5">
        <w:rPr>
          <w:rFonts w:ascii="Arial" w:hAnsi="Arial" w:cs="Arial"/>
          <w:color w:val="000000" w:themeColor="text1"/>
          <w:sz w:val="18"/>
          <w:szCs w:val="18"/>
        </w:rPr>
        <w:t>l</w:t>
      </w:r>
      <w:r w:rsidRPr="005575FC">
        <w:rPr>
          <w:rFonts w:ascii="Arial" w:hAnsi="Arial" w:cs="Arial"/>
          <w:color w:val="000000" w:themeColor="text1"/>
          <w:sz w:val="18"/>
          <w:szCs w:val="18"/>
        </w:rPr>
        <w:t xml:space="preserve">osses prevention and management policy that is implemented across the </w:t>
      </w:r>
      <w:r w:rsidR="003377A5">
        <w:rPr>
          <w:rFonts w:ascii="Arial" w:hAnsi="Arial" w:cs="Arial"/>
          <w:color w:val="000000" w:themeColor="text1"/>
          <w:sz w:val="18"/>
          <w:szCs w:val="18"/>
        </w:rPr>
        <w:t>entity</w:t>
      </w:r>
      <w:r w:rsidRPr="005575FC">
        <w:rPr>
          <w:rFonts w:ascii="Arial" w:hAnsi="Arial" w:cs="Arial"/>
          <w:color w:val="000000" w:themeColor="text1"/>
          <w:sz w:val="18"/>
          <w:szCs w:val="18"/>
        </w:rPr>
        <w:t>.</w:t>
      </w:r>
    </w:p>
    <w:p w14:paraId="2418A173" w14:textId="4C0938BB" w:rsidR="00C477B3" w:rsidRPr="005575FC" w:rsidRDefault="00C477B3" w:rsidP="00C477B3">
      <w:pPr>
        <w:rPr>
          <w:color w:val="000000" w:themeColor="text1"/>
          <w:lang w:eastAsia="en-AU"/>
        </w:rPr>
      </w:pPr>
      <w:r w:rsidRPr="005575FC">
        <w:rPr>
          <w:color w:val="000000" w:themeColor="text1"/>
          <w:lang w:eastAsia="en-AU"/>
        </w:rPr>
        <w:t xml:space="preserve">The </w:t>
      </w:r>
      <w:r w:rsidR="000061C5">
        <w:rPr>
          <w:color w:val="000000" w:themeColor="text1"/>
          <w:lang w:eastAsia="en-AU"/>
        </w:rPr>
        <w:t>a</w:t>
      </w:r>
      <w:r w:rsidRPr="005575FC">
        <w:rPr>
          <w:color w:val="000000" w:themeColor="text1"/>
          <w:lang w:eastAsia="en-AU"/>
        </w:rPr>
        <w:t xml:space="preserve">ccountable </w:t>
      </w:r>
      <w:r w:rsidR="000061C5">
        <w:rPr>
          <w:color w:val="000000" w:themeColor="text1"/>
          <w:lang w:eastAsia="en-AU"/>
        </w:rPr>
        <w:t>o</w:t>
      </w:r>
      <w:r w:rsidRPr="005575FC">
        <w:rPr>
          <w:color w:val="000000" w:themeColor="text1"/>
          <w:lang w:eastAsia="en-AU"/>
        </w:rPr>
        <w:t>fficer in the organisation must:</w:t>
      </w:r>
    </w:p>
    <w:p w14:paraId="5FF69071" w14:textId="6275C6B8" w:rsidR="00C477B3" w:rsidRPr="005575FC" w:rsidRDefault="00C477B3" w:rsidP="00735900">
      <w:pPr>
        <w:pStyle w:val="ListParagraph"/>
        <w:numPr>
          <w:ilvl w:val="0"/>
          <w:numId w:val="35"/>
        </w:numPr>
        <w:suppressAutoHyphens/>
        <w:autoSpaceDE w:val="0"/>
        <w:autoSpaceDN w:val="0"/>
        <w:adjustRightInd w:val="0"/>
        <w:spacing w:after="160" w:line="220" w:lineRule="atLeast"/>
        <w:textAlignment w:val="center"/>
        <w:rPr>
          <w:rFonts w:ascii="Arial" w:hAnsi="Arial" w:cs="Arial"/>
          <w:color w:val="000000" w:themeColor="text1"/>
          <w:sz w:val="18"/>
          <w:szCs w:val="18"/>
        </w:rPr>
      </w:pPr>
      <w:r w:rsidRPr="005575FC">
        <w:rPr>
          <w:rFonts w:ascii="Arial" w:hAnsi="Arial" w:cs="Arial"/>
          <w:color w:val="000000" w:themeColor="text1"/>
          <w:sz w:val="18"/>
          <w:szCs w:val="18"/>
        </w:rPr>
        <w:t xml:space="preserve">keep records of all actual and suspected </w:t>
      </w:r>
      <w:r w:rsidR="000061C5">
        <w:rPr>
          <w:rFonts w:ascii="Arial" w:hAnsi="Arial" w:cs="Arial"/>
          <w:color w:val="000000" w:themeColor="text1"/>
          <w:sz w:val="18"/>
          <w:szCs w:val="18"/>
        </w:rPr>
        <w:t>f</w:t>
      </w:r>
      <w:r w:rsidR="000061C5" w:rsidRPr="005575FC">
        <w:rPr>
          <w:rFonts w:ascii="Arial" w:hAnsi="Arial" w:cs="Arial"/>
          <w:color w:val="000000" w:themeColor="text1"/>
          <w:sz w:val="18"/>
          <w:szCs w:val="18"/>
        </w:rPr>
        <w:t xml:space="preserve">raud, </w:t>
      </w:r>
      <w:r w:rsidR="000061C5">
        <w:rPr>
          <w:rFonts w:ascii="Arial" w:hAnsi="Arial" w:cs="Arial"/>
          <w:color w:val="000000" w:themeColor="text1"/>
          <w:sz w:val="18"/>
          <w:szCs w:val="18"/>
        </w:rPr>
        <w:t>c</w:t>
      </w:r>
      <w:r w:rsidR="000061C5" w:rsidRPr="005575FC">
        <w:rPr>
          <w:rFonts w:ascii="Arial" w:hAnsi="Arial" w:cs="Arial"/>
          <w:color w:val="000000" w:themeColor="text1"/>
          <w:sz w:val="18"/>
          <w:szCs w:val="18"/>
        </w:rPr>
        <w:t xml:space="preserve">orruption and </w:t>
      </w:r>
      <w:r w:rsidR="000061C5">
        <w:rPr>
          <w:rFonts w:ascii="Arial" w:hAnsi="Arial" w:cs="Arial"/>
          <w:color w:val="000000" w:themeColor="text1"/>
          <w:sz w:val="18"/>
          <w:szCs w:val="18"/>
        </w:rPr>
        <w:t>o</w:t>
      </w:r>
      <w:r w:rsidR="000061C5" w:rsidRPr="005575FC">
        <w:rPr>
          <w:rFonts w:ascii="Arial" w:hAnsi="Arial" w:cs="Arial"/>
          <w:color w:val="000000" w:themeColor="text1"/>
          <w:sz w:val="18"/>
          <w:szCs w:val="18"/>
        </w:rPr>
        <w:t xml:space="preserve">ther </w:t>
      </w:r>
      <w:r w:rsidR="000061C5">
        <w:rPr>
          <w:rFonts w:ascii="Arial" w:hAnsi="Arial" w:cs="Arial"/>
          <w:color w:val="000000" w:themeColor="text1"/>
          <w:sz w:val="18"/>
          <w:szCs w:val="18"/>
        </w:rPr>
        <w:t>l</w:t>
      </w:r>
      <w:r w:rsidR="000061C5" w:rsidRPr="005575FC">
        <w:rPr>
          <w:rFonts w:ascii="Arial" w:hAnsi="Arial" w:cs="Arial"/>
          <w:color w:val="000000" w:themeColor="text1"/>
          <w:sz w:val="18"/>
          <w:szCs w:val="18"/>
        </w:rPr>
        <w:t>osses</w:t>
      </w:r>
      <w:r w:rsidRPr="005575FC">
        <w:rPr>
          <w:rFonts w:ascii="Arial" w:hAnsi="Arial" w:cs="Arial"/>
          <w:color w:val="000000" w:themeColor="text1"/>
          <w:sz w:val="18"/>
          <w:szCs w:val="18"/>
        </w:rPr>
        <w:t>, including remedial actions planned and taken; and</w:t>
      </w:r>
    </w:p>
    <w:p w14:paraId="11102CD3" w14:textId="5963AA6F" w:rsidR="00C477B3" w:rsidRPr="005575FC" w:rsidRDefault="00C477B3" w:rsidP="00735900">
      <w:pPr>
        <w:pStyle w:val="ListParagraph"/>
        <w:numPr>
          <w:ilvl w:val="0"/>
          <w:numId w:val="35"/>
        </w:numPr>
        <w:suppressAutoHyphens/>
        <w:autoSpaceDE w:val="0"/>
        <w:autoSpaceDN w:val="0"/>
        <w:adjustRightInd w:val="0"/>
        <w:spacing w:after="160" w:line="220" w:lineRule="atLeast"/>
        <w:textAlignment w:val="center"/>
        <w:rPr>
          <w:rFonts w:ascii="Arial" w:hAnsi="Arial" w:cs="Arial"/>
          <w:color w:val="000000" w:themeColor="text1"/>
          <w:sz w:val="18"/>
          <w:szCs w:val="18"/>
        </w:rPr>
      </w:pPr>
      <w:r w:rsidRPr="005575FC">
        <w:rPr>
          <w:rFonts w:ascii="Arial" w:hAnsi="Arial" w:cs="Arial"/>
          <w:color w:val="000000" w:themeColor="text1"/>
          <w:sz w:val="18"/>
          <w:szCs w:val="18"/>
        </w:rPr>
        <w:t xml:space="preserve">on request, provide their </w:t>
      </w:r>
      <w:r w:rsidR="000061C5">
        <w:rPr>
          <w:rFonts w:ascii="Arial" w:hAnsi="Arial" w:cs="Arial"/>
          <w:color w:val="000000" w:themeColor="text1"/>
          <w:sz w:val="18"/>
          <w:szCs w:val="18"/>
        </w:rPr>
        <w:t>r</w:t>
      </w:r>
      <w:r w:rsidRPr="005575FC">
        <w:rPr>
          <w:rFonts w:ascii="Arial" w:hAnsi="Arial" w:cs="Arial"/>
          <w:color w:val="000000" w:themeColor="text1"/>
          <w:sz w:val="18"/>
          <w:szCs w:val="18"/>
        </w:rPr>
        <w:t xml:space="preserve">esponsible </w:t>
      </w:r>
      <w:r w:rsidR="000061C5">
        <w:rPr>
          <w:rFonts w:ascii="Arial" w:hAnsi="Arial" w:cs="Arial"/>
          <w:color w:val="000000" w:themeColor="text1"/>
          <w:sz w:val="18"/>
          <w:szCs w:val="18"/>
        </w:rPr>
        <w:t>m</w:t>
      </w:r>
      <w:r w:rsidRPr="005575FC">
        <w:rPr>
          <w:rFonts w:ascii="Arial" w:hAnsi="Arial" w:cs="Arial"/>
          <w:color w:val="000000" w:themeColor="text1"/>
          <w:sz w:val="18"/>
          <w:szCs w:val="18"/>
        </w:rPr>
        <w:t xml:space="preserve">inister, </w:t>
      </w:r>
      <w:r w:rsidR="00755B59">
        <w:rPr>
          <w:rFonts w:ascii="Arial" w:hAnsi="Arial" w:cs="Arial"/>
          <w:color w:val="000000" w:themeColor="text1"/>
          <w:sz w:val="18"/>
          <w:szCs w:val="18"/>
        </w:rPr>
        <w:t>p</w:t>
      </w:r>
      <w:r w:rsidRPr="005575FC">
        <w:rPr>
          <w:rFonts w:ascii="Arial" w:hAnsi="Arial" w:cs="Arial"/>
          <w:color w:val="000000" w:themeColor="text1"/>
          <w:sz w:val="18"/>
          <w:szCs w:val="18"/>
        </w:rPr>
        <w:t xml:space="preserve">ortfolio </w:t>
      </w:r>
      <w:r w:rsidR="00755B59">
        <w:rPr>
          <w:rFonts w:ascii="Arial" w:hAnsi="Arial" w:cs="Arial"/>
          <w:color w:val="000000" w:themeColor="text1"/>
          <w:sz w:val="18"/>
          <w:szCs w:val="18"/>
        </w:rPr>
        <w:t>d</w:t>
      </w:r>
      <w:r w:rsidRPr="005575FC">
        <w:rPr>
          <w:rFonts w:ascii="Arial" w:hAnsi="Arial" w:cs="Arial"/>
          <w:color w:val="000000" w:themeColor="text1"/>
          <w:sz w:val="18"/>
          <w:szCs w:val="18"/>
        </w:rPr>
        <w:t xml:space="preserve">epartment or </w:t>
      </w:r>
      <w:r w:rsidR="00755B59">
        <w:rPr>
          <w:rFonts w:ascii="Arial" w:hAnsi="Arial" w:cs="Arial"/>
          <w:color w:val="000000" w:themeColor="text1"/>
          <w:sz w:val="18"/>
          <w:szCs w:val="18"/>
        </w:rPr>
        <w:t>a</w:t>
      </w:r>
      <w:r w:rsidRPr="005575FC">
        <w:rPr>
          <w:rFonts w:ascii="Arial" w:hAnsi="Arial" w:cs="Arial"/>
          <w:color w:val="000000" w:themeColor="text1"/>
          <w:sz w:val="18"/>
          <w:szCs w:val="18"/>
        </w:rPr>
        <w:t xml:space="preserve">udit </w:t>
      </w:r>
      <w:r w:rsidR="00755B59">
        <w:rPr>
          <w:rFonts w:ascii="Arial" w:hAnsi="Arial" w:cs="Arial"/>
          <w:color w:val="000000" w:themeColor="text1"/>
          <w:sz w:val="18"/>
          <w:szCs w:val="18"/>
        </w:rPr>
        <w:t>c</w:t>
      </w:r>
      <w:r w:rsidRPr="005575FC">
        <w:rPr>
          <w:rFonts w:ascii="Arial" w:hAnsi="Arial" w:cs="Arial"/>
          <w:color w:val="000000" w:themeColor="text1"/>
          <w:sz w:val="18"/>
          <w:szCs w:val="18"/>
        </w:rPr>
        <w:t>ommittee with a copy of records kept under Direction 3.5.2(a).</w:t>
      </w:r>
    </w:p>
    <w:p w14:paraId="3494521A" w14:textId="384CEAC7" w:rsidR="00C477B3" w:rsidRPr="005575FC" w:rsidRDefault="00C477B3" w:rsidP="00C477B3">
      <w:pPr>
        <w:rPr>
          <w:color w:val="000000" w:themeColor="text1"/>
          <w:lang w:eastAsia="en-AU"/>
        </w:rPr>
      </w:pPr>
      <w:r w:rsidRPr="005575FC">
        <w:rPr>
          <w:color w:val="000000" w:themeColor="text1"/>
          <w:lang w:eastAsia="en-AU"/>
        </w:rPr>
        <w:t xml:space="preserve">Where an </w:t>
      </w:r>
      <w:r w:rsidR="00EA66C1">
        <w:rPr>
          <w:color w:val="000000" w:themeColor="text1"/>
          <w:lang w:eastAsia="en-AU"/>
        </w:rPr>
        <w:t>e</w:t>
      </w:r>
      <w:r w:rsidRPr="005575FC">
        <w:rPr>
          <w:color w:val="000000" w:themeColor="text1"/>
          <w:lang w:eastAsia="en-AU"/>
        </w:rPr>
        <w:t xml:space="preserve">ntity is made aware of an actual or suspected </w:t>
      </w:r>
      <w:r w:rsidR="00755B59">
        <w:rPr>
          <w:color w:val="000000" w:themeColor="text1"/>
          <w:lang w:eastAsia="en-AU"/>
        </w:rPr>
        <w:t>s</w:t>
      </w:r>
      <w:r w:rsidRPr="005575FC">
        <w:rPr>
          <w:color w:val="000000" w:themeColor="text1"/>
          <w:lang w:eastAsia="en-AU"/>
        </w:rPr>
        <w:t xml:space="preserve">ignificant or </w:t>
      </w:r>
      <w:r w:rsidR="00755B59">
        <w:rPr>
          <w:color w:val="000000" w:themeColor="text1"/>
          <w:lang w:eastAsia="en-AU"/>
        </w:rPr>
        <w:t>s</w:t>
      </w:r>
      <w:r w:rsidRPr="005575FC">
        <w:rPr>
          <w:color w:val="000000" w:themeColor="text1"/>
          <w:lang w:eastAsia="en-AU"/>
        </w:rPr>
        <w:t xml:space="preserve">ystemic </w:t>
      </w:r>
      <w:r w:rsidR="00755B59">
        <w:rPr>
          <w:color w:val="000000" w:themeColor="text1"/>
        </w:rPr>
        <w:t>f</w:t>
      </w:r>
      <w:r w:rsidR="00755B59" w:rsidRPr="005575FC">
        <w:rPr>
          <w:color w:val="000000" w:themeColor="text1"/>
        </w:rPr>
        <w:t xml:space="preserve">raud, </w:t>
      </w:r>
      <w:r w:rsidR="00755B59">
        <w:rPr>
          <w:color w:val="000000" w:themeColor="text1"/>
        </w:rPr>
        <w:t>c</w:t>
      </w:r>
      <w:r w:rsidR="00755B59" w:rsidRPr="005575FC">
        <w:rPr>
          <w:color w:val="000000" w:themeColor="text1"/>
        </w:rPr>
        <w:t xml:space="preserve">orruption and </w:t>
      </w:r>
      <w:r w:rsidR="00755B59">
        <w:rPr>
          <w:color w:val="000000" w:themeColor="text1"/>
        </w:rPr>
        <w:t>o</w:t>
      </w:r>
      <w:r w:rsidR="00755B59" w:rsidRPr="005575FC">
        <w:rPr>
          <w:color w:val="000000" w:themeColor="text1"/>
        </w:rPr>
        <w:t xml:space="preserve">ther </w:t>
      </w:r>
      <w:r w:rsidR="00755B59">
        <w:rPr>
          <w:color w:val="000000" w:themeColor="text1"/>
        </w:rPr>
        <w:t>l</w:t>
      </w:r>
      <w:r w:rsidR="00755B59" w:rsidRPr="005575FC">
        <w:rPr>
          <w:color w:val="000000" w:themeColor="text1"/>
        </w:rPr>
        <w:t>oss</w:t>
      </w:r>
      <w:r w:rsidR="00755B59" w:rsidRPr="005575FC">
        <w:rPr>
          <w:color w:val="000000" w:themeColor="text1"/>
          <w:lang w:eastAsia="en-AU"/>
        </w:rPr>
        <w:t xml:space="preserve"> </w:t>
      </w:r>
      <w:r w:rsidRPr="005575FC">
        <w:rPr>
          <w:color w:val="000000" w:themeColor="text1"/>
          <w:lang w:eastAsia="en-AU"/>
        </w:rPr>
        <w:t xml:space="preserve">the </w:t>
      </w:r>
      <w:r w:rsidR="00755B59">
        <w:rPr>
          <w:color w:val="000000" w:themeColor="text1"/>
          <w:lang w:eastAsia="en-AU"/>
        </w:rPr>
        <w:t>a</w:t>
      </w:r>
      <w:r w:rsidRPr="005575FC">
        <w:rPr>
          <w:color w:val="000000" w:themeColor="text1"/>
          <w:lang w:eastAsia="en-AU"/>
        </w:rPr>
        <w:t xml:space="preserve">ccountable </w:t>
      </w:r>
      <w:r w:rsidR="00755B59">
        <w:rPr>
          <w:color w:val="000000" w:themeColor="text1"/>
          <w:lang w:eastAsia="en-AU"/>
        </w:rPr>
        <w:t>o</w:t>
      </w:r>
      <w:r w:rsidRPr="005575FC">
        <w:rPr>
          <w:color w:val="000000" w:themeColor="text1"/>
          <w:lang w:eastAsia="en-AU"/>
        </w:rPr>
        <w:t>fficer must:</w:t>
      </w:r>
    </w:p>
    <w:p w14:paraId="391E72CE" w14:textId="3EA0C219" w:rsidR="00C477B3" w:rsidRPr="005575FC" w:rsidRDefault="00C477B3" w:rsidP="00735900">
      <w:pPr>
        <w:pStyle w:val="ListParagraph"/>
        <w:numPr>
          <w:ilvl w:val="0"/>
          <w:numId w:val="36"/>
        </w:numPr>
        <w:suppressAutoHyphens/>
        <w:autoSpaceDE w:val="0"/>
        <w:autoSpaceDN w:val="0"/>
        <w:adjustRightInd w:val="0"/>
        <w:spacing w:after="160" w:line="220" w:lineRule="atLeast"/>
        <w:textAlignment w:val="center"/>
        <w:rPr>
          <w:rFonts w:ascii="Arial" w:hAnsi="Arial" w:cs="Arial"/>
          <w:color w:val="000000" w:themeColor="text1"/>
          <w:sz w:val="18"/>
          <w:szCs w:val="18"/>
        </w:rPr>
      </w:pPr>
      <w:r w:rsidRPr="005575FC">
        <w:rPr>
          <w:rFonts w:ascii="Arial" w:hAnsi="Arial" w:cs="Arial"/>
          <w:color w:val="000000" w:themeColor="text1"/>
          <w:sz w:val="18"/>
          <w:szCs w:val="18"/>
        </w:rPr>
        <w:t xml:space="preserve">notify, as soon as is practicable, the </w:t>
      </w:r>
      <w:r w:rsidR="00755B59">
        <w:rPr>
          <w:rFonts w:ascii="Arial" w:hAnsi="Arial" w:cs="Arial"/>
          <w:color w:val="000000" w:themeColor="text1"/>
          <w:sz w:val="18"/>
          <w:szCs w:val="18"/>
        </w:rPr>
        <w:t>r</w:t>
      </w:r>
      <w:r w:rsidRPr="005575FC">
        <w:rPr>
          <w:rFonts w:ascii="Arial" w:hAnsi="Arial" w:cs="Arial"/>
          <w:color w:val="000000" w:themeColor="text1"/>
          <w:sz w:val="18"/>
          <w:szCs w:val="18"/>
        </w:rPr>
        <w:t xml:space="preserve">esponsible </w:t>
      </w:r>
      <w:r w:rsidR="00755B59">
        <w:rPr>
          <w:rFonts w:ascii="Arial" w:hAnsi="Arial" w:cs="Arial"/>
          <w:color w:val="000000" w:themeColor="text1"/>
          <w:sz w:val="18"/>
          <w:szCs w:val="18"/>
        </w:rPr>
        <w:t>m</w:t>
      </w:r>
      <w:r w:rsidRPr="005575FC">
        <w:rPr>
          <w:rFonts w:ascii="Arial" w:hAnsi="Arial" w:cs="Arial"/>
          <w:color w:val="000000" w:themeColor="text1"/>
          <w:sz w:val="18"/>
          <w:szCs w:val="18"/>
        </w:rPr>
        <w:t xml:space="preserve">inister, </w:t>
      </w:r>
      <w:r w:rsidR="00755B59">
        <w:rPr>
          <w:rFonts w:ascii="Arial" w:hAnsi="Arial" w:cs="Arial"/>
          <w:color w:val="000000" w:themeColor="text1"/>
          <w:sz w:val="18"/>
          <w:szCs w:val="18"/>
        </w:rPr>
        <w:t>a</w:t>
      </w:r>
      <w:r w:rsidRPr="005575FC">
        <w:rPr>
          <w:rFonts w:ascii="Arial" w:hAnsi="Arial" w:cs="Arial"/>
          <w:color w:val="000000" w:themeColor="text1"/>
          <w:sz w:val="18"/>
          <w:szCs w:val="18"/>
        </w:rPr>
        <w:t xml:space="preserve">udit </w:t>
      </w:r>
      <w:r w:rsidR="00755B59">
        <w:rPr>
          <w:rFonts w:ascii="Arial" w:hAnsi="Arial" w:cs="Arial"/>
          <w:color w:val="000000" w:themeColor="text1"/>
          <w:sz w:val="18"/>
          <w:szCs w:val="18"/>
        </w:rPr>
        <w:t>c</w:t>
      </w:r>
      <w:r w:rsidRPr="005575FC">
        <w:rPr>
          <w:rFonts w:ascii="Arial" w:hAnsi="Arial" w:cs="Arial"/>
          <w:color w:val="000000" w:themeColor="text1"/>
          <w:sz w:val="18"/>
          <w:szCs w:val="18"/>
        </w:rPr>
        <w:t xml:space="preserve">ommittee, </w:t>
      </w:r>
      <w:r w:rsidR="00755B59">
        <w:rPr>
          <w:rFonts w:ascii="Arial" w:hAnsi="Arial" w:cs="Arial"/>
          <w:color w:val="000000" w:themeColor="text1"/>
          <w:sz w:val="18"/>
          <w:szCs w:val="18"/>
        </w:rPr>
        <w:t>p</w:t>
      </w:r>
      <w:r w:rsidRPr="005575FC">
        <w:rPr>
          <w:rFonts w:ascii="Arial" w:hAnsi="Arial" w:cs="Arial"/>
          <w:color w:val="000000" w:themeColor="text1"/>
          <w:sz w:val="18"/>
          <w:szCs w:val="18"/>
        </w:rPr>
        <w:t xml:space="preserve">ortfolio </w:t>
      </w:r>
      <w:r w:rsidR="00755B59">
        <w:rPr>
          <w:rFonts w:ascii="Arial" w:hAnsi="Arial" w:cs="Arial"/>
          <w:color w:val="000000" w:themeColor="text1"/>
          <w:sz w:val="18"/>
          <w:szCs w:val="18"/>
        </w:rPr>
        <w:t>d</w:t>
      </w:r>
      <w:r w:rsidRPr="005575FC">
        <w:rPr>
          <w:rFonts w:ascii="Arial" w:hAnsi="Arial" w:cs="Arial"/>
          <w:color w:val="000000" w:themeColor="text1"/>
          <w:sz w:val="18"/>
          <w:szCs w:val="18"/>
        </w:rPr>
        <w:t xml:space="preserve">epartment and </w:t>
      </w:r>
      <w:r w:rsidR="00755B59">
        <w:rPr>
          <w:rFonts w:ascii="Arial" w:hAnsi="Arial" w:cs="Arial"/>
          <w:color w:val="000000" w:themeColor="text1"/>
          <w:sz w:val="18"/>
          <w:szCs w:val="18"/>
        </w:rPr>
        <w:t>a</w:t>
      </w:r>
      <w:r w:rsidRPr="005575FC">
        <w:rPr>
          <w:rFonts w:ascii="Arial" w:hAnsi="Arial" w:cs="Arial"/>
          <w:color w:val="000000" w:themeColor="text1"/>
          <w:sz w:val="18"/>
          <w:szCs w:val="18"/>
        </w:rPr>
        <w:t>uditor-</w:t>
      </w:r>
      <w:r w:rsidR="00755B59">
        <w:rPr>
          <w:rFonts w:ascii="Arial" w:hAnsi="Arial" w:cs="Arial"/>
          <w:color w:val="000000" w:themeColor="text1"/>
          <w:sz w:val="18"/>
          <w:szCs w:val="18"/>
        </w:rPr>
        <w:t>g</w:t>
      </w:r>
      <w:r w:rsidRPr="005575FC">
        <w:rPr>
          <w:rFonts w:ascii="Arial" w:hAnsi="Arial" w:cs="Arial"/>
          <w:color w:val="000000" w:themeColor="text1"/>
          <w:sz w:val="18"/>
          <w:szCs w:val="18"/>
        </w:rPr>
        <w:t>eneral of the incident and remedial action to be taken;</w:t>
      </w:r>
    </w:p>
    <w:p w14:paraId="60272DFD" w14:textId="6074E450" w:rsidR="00C477B3" w:rsidRPr="005575FC" w:rsidRDefault="00C477B3" w:rsidP="00735900">
      <w:pPr>
        <w:pStyle w:val="ListParagraph"/>
        <w:numPr>
          <w:ilvl w:val="0"/>
          <w:numId w:val="36"/>
        </w:numPr>
        <w:suppressAutoHyphens/>
        <w:autoSpaceDE w:val="0"/>
        <w:autoSpaceDN w:val="0"/>
        <w:adjustRightInd w:val="0"/>
        <w:spacing w:after="160" w:line="220" w:lineRule="atLeast"/>
        <w:textAlignment w:val="center"/>
        <w:rPr>
          <w:rFonts w:ascii="Arial" w:hAnsi="Arial" w:cs="Arial"/>
          <w:color w:val="000000" w:themeColor="text1"/>
          <w:sz w:val="18"/>
          <w:szCs w:val="18"/>
        </w:rPr>
      </w:pPr>
      <w:r w:rsidRPr="005575FC">
        <w:rPr>
          <w:rFonts w:ascii="Arial" w:hAnsi="Arial" w:cs="Arial"/>
          <w:color w:val="000000" w:themeColor="text1"/>
          <w:sz w:val="18"/>
          <w:szCs w:val="18"/>
        </w:rPr>
        <w:t>ensure that the persons notified under Direction 3.5.3(a) are kept informed about the incident, including the outcome of investigations; and</w:t>
      </w:r>
    </w:p>
    <w:p w14:paraId="5A1C24FD" w14:textId="1999D94A" w:rsidR="00C477B3" w:rsidRPr="005575FC" w:rsidRDefault="00C477B3" w:rsidP="00735900">
      <w:pPr>
        <w:pStyle w:val="ListParagraph"/>
        <w:numPr>
          <w:ilvl w:val="0"/>
          <w:numId w:val="36"/>
        </w:numPr>
        <w:suppressAutoHyphens/>
        <w:autoSpaceDE w:val="0"/>
        <w:autoSpaceDN w:val="0"/>
        <w:adjustRightInd w:val="0"/>
        <w:spacing w:after="160" w:line="220" w:lineRule="atLeast"/>
        <w:textAlignment w:val="center"/>
        <w:rPr>
          <w:rFonts w:ascii="Arial" w:hAnsi="Arial" w:cs="Arial"/>
          <w:color w:val="000000" w:themeColor="text1"/>
          <w:sz w:val="18"/>
          <w:szCs w:val="18"/>
        </w:rPr>
      </w:pPr>
      <w:r w:rsidRPr="005575FC">
        <w:rPr>
          <w:rFonts w:ascii="Arial" w:hAnsi="Arial" w:cs="Arial"/>
          <w:color w:val="000000" w:themeColor="text1"/>
          <w:sz w:val="18"/>
          <w:szCs w:val="18"/>
        </w:rPr>
        <w:t xml:space="preserve">ensure that the </w:t>
      </w:r>
      <w:r w:rsidR="00EA66C1">
        <w:rPr>
          <w:rFonts w:ascii="Arial" w:hAnsi="Arial" w:cs="Arial"/>
          <w:color w:val="000000" w:themeColor="text1"/>
          <w:sz w:val="18"/>
          <w:szCs w:val="18"/>
        </w:rPr>
        <w:t>e</w:t>
      </w:r>
      <w:r w:rsidRPr="005575FC">
        <w:rPr>
          <w:rFonts w:ascii="Arial" w:hAnsi="Arial" w:cs="Arial"/>
          <w:color w:val="000000" w:themeColor="text1"/>
          <w:sz w:val="18"/>
          <w:szCs w:val="18"/>
        </w:rPr>
        <w:t xml:space="preserve">ntity takes appropriate action to mitigate against future </w:t>
      </w:r>
      <w:r w:rsidR="00755B59">
        <w:rPr>
          <w:rFonts w:ascii="Arial" w:hAnsi="Arial" w:cs="Arial"/>
          <w:color w:val="000000" w:themeColor="text1"/>
          <w:sz w:val="18"/>
          <w:szCs w:val="18"/>
        </w:rPr>
        <w:t>f</w:t>
      </w:r>
      <w:r w:rsidR="00755B59" w:rsidRPr="005575FC">
        <w:rPr>
          <w:rFonts w:ascii="Arial" w:hAnsi="Arial" w:cs="Arial"/>
          <w:color w:val="000000" w:themeColor="text1"/>
          <w:sz w:val="18"/>
          <w:szCs w:val="18"/>
        </w:rPr>
        <w:t xml:space="preserve">raud, </w:t>
      </w:r>
      <w:r w:rsidR="00755B59">
        <w:rPr>
          <w:rFonts w:ascii="Arial" w:hAnsi="Arial" w:cs="Arial"/>
          <w:color w:val="000000" w:themeColor="text1"/>
          <w:sz w:val="18"/>
          <w:szCs w:val="18"/>
        </w:rPr>
        <w:t>c</w:t>
      </w:r>
      <w:r w:rsidR="00755B59" w:rsidRPr="005575FC">
        <w:rPr>
          <w:rFonts w:ascii="Arial" w:hAnsi="Arial" w:cs="Arial"/>
          <w:color w:val="000000" w:themeColor="text1"/>
          <w:sz w:val="18"/>
          <w:szCs w:val="18"/>
        </w:rPr>
        <w:t xml:space="preserve">orruption and </w:t>
      </w:r>
      <w:r w:rsidR="00755B59">
        <w:rPr>
          <w:rFonts w:ascii="Arial" w:hAnsi="Arial" w:cs="Arial"/>
          <w:color w:val="000000" w:themeColor="text1"/>
          <w:sz w:val="18"/>
          <w:szCs w:val="18"/>
        </w:rPr>
        <w:t>o</w:t>
      </w:r>
      <w:r w:rsidR="00755B59" w:rsidRPr="005575FC">
        <w:rPr>
          <w:rFonts w:ascii="Arial" w:hAnsi="Arial" w:cs="Arial"/>
          <w:color w:val="000000" w:themeColor="text1"/>
          <w:sz w:val="18"/>
          <w:szCs w:val="18"/>
        </w:rPr>
        <w:t xml:space="preserve">ther </w:t>
      </w:r>
      <w:r w:rsidR="00755B59">
        <w:rPr>
          <w:rFonts w:ascii="Arial" w:hAnsi="Arial" w:cs="Arial"/>
          <w:color w:val="000000" w:themeColor="text1"/>
          <w:sz w:val="18"/>
          <w:szCs w:val="18"/>
        </w:rPr>
        <w:t>l</w:t>
      </w:r>
      <w:r w:rsidR="00755B59" w:rsidRPr="005575FC">
        <w:rPr>
          <w:rFonts w:ascii="Arial" w:hAnsi="Arial" w:cs="Arial"/>
          <w:color w:val="000000" w:themeColor="text1"/>
          <w:sz w:val="18"/>
          <w:szCs w:val="18"/>
        </w:rPr>
        <w:t>osses</w:t>
      </w:r>
      <w:r w:rsidRPr="005575FC">
        <w:rPr>
          <w:rFonts w:ascii="Arial" w:hAnsi="Arial" w:cs="Arial"/>
          <w:color w:val="000000" w:themeColor="text1"/>
          <w:sz w:val="18"/>
          <w:szCs w:val="18"/>
        </w:rPr>
        <w:t>.</w:t>
      </w:r>
    </w:p>
    <w:p w14:paraId="04C3F533" w14:textId="214AE03E" w:rsidR="00C477B3" w:rsidRPr="005575FC" w:rsidRDefault="00C477B3" w:rsidP="00C477B3">
      <w:pPr>
        <w:rPr>
          <w:color w:val="000000" w:themeColor="text1"/>
        </w:rPr>
      </w:pPr>
      <w:r w:rsidRPr="005575FC">
        <w:rPr>
          <w:color w:val="000000" w:themeColor="text1"/>
        </w:rPr>
        <w:t xml:space="preserve">Further information in relation to </w:t>
      </w:r>
      <w:r w:rsidR="00755B59">
        <w:rPr>
          <w:color w:val="000000" w:themeColor="text1"/>
        </w:rPr>
        <w:t>f</w:t>
      </w:r>
      <w:r w:rsidRPr="005575FC">
        <w:rPr>
          <w:color w:val="000000" w:themeColor="text1"/>
        </w:rPr>
        <w:t xml:space="preserve">raud and </w:t>
      </w:r>
      <w:r w:rsidR="00755B59">
        <w:rPr>
          <w:color w:val="000000" w:themeColor="text1"/>
        </w:rPr>
        <w:t>c</w:t>
      </w:r>
      <w:r w:rsidRPr="005575FC">
        <w:rPr>
          <w:color w:val="000000" w:themeColor="text1"/>
        </w:rPr>
        <w:t>orruption mitigation is available, including:</w:t>
      </w:r>
    </w:p>
    <w:p w14:paraId="51F59230" w14:textId="3A908D4E" w:rsidR="00C477B3" w:rsidRPr="005575FC" w:rsidRDefault="00B31F65" w:rsidP="00735900">
      <w:pPr>
        <w:pStyle w:val="ListParagraph"/>
        <w:numPr>
          <w:ilvl w:val="0"/>
          <w:numId w:val="37"/>
        </w:numPr>
        <w:suppressAutoHyphens/>
        <w:autoSpaceDE w:val="0"/>
        <w:autoSpaceDN w:val="0"/>
        <w:adjustRightInd w:val="0"/>
        <w:spacing w:after="160" w:line="220" w:lineRule="atLeast"/>
        <w:textAlignment w:val="center"/>
        <w:rPr>
          <w:rFonts w:ascii="Arial" w:hAnsi="Arial" w:cs="Arial"/>
          <w:color w:val="000000" w:themeColor="text1"/>
          <w:sz w:val="18"/>
          <w:szCs w:val="18"/>
        </w:rPr>
      </w:pPr>
      <w:hyperlink r:id="rId54" w:history="1">
        <w:r>
          <w:rPr>
            <w:rStyle w:val="Hyperlink"/>
            <w:rFonts w:ascii="Arial" w:hAnsi="Arial" w:cs="Arial"/>
            <w:sz w:val="18"/>
            <w:szCs w:val="18"/>
            <w:lang w:val="en-US"/>
          </w:rPr>
          <w:t xml:space="preserve">DJSIR Fraud and corruption control policy </w:t>
        </w:r>
      </w:hyperlink>
    </w:p>
    <w:p w14:paraId="428E2200" w14:textId="23F5DF9B" w:rsidR="00C65006" w:rsidRPr="005575FC" w:rsidRDefault="0081030B" w:rsidP="00735900">
      <w:pPr>
        <w:pStyle w:val="ListParagraph"/>
        <w:numPr>
          <w:ilvl w:val="0"/>
          <w:numId w:val="37"/>
        </w:numPr>
        <w:suppressAutoHyphens/>
        <w:autoSpaceDE w:val="0"/>
        <w:autoSpaceDN w:val="0"/>
        <w:adjustRightInd w:val="0"/>
        <w:spacing w:after="160" w:line="220" w:lineRule="atLeast"/>
        <w:textAlignment w:val="center"/>
        <w:rPr>
          <w:rFonts w:ascii="Arial" w:hAnsi="Arial" w:cs="Arial"/>
          <w:color w:val="000000" w:themeColor="text1"/>
          <w:sz w:val="18"/>
          <w:szCs w:val="18"/>
        </w:rPr>
      </w:pPr>
      <w:hyperlink r:id="rId55" w:history="1">
        <w:r>
          <w:rPr>
            <w:rStyle w:val="Hyperlink"/>
            <w:rFonts w:ascii="Arial" w:hAnsi="Arial" w:cs="Arial"/>
            <w:sz w:val="18"/>
            <w:szCs w:val="18"/>
            <w:lang w:val="en-US"/>
          </w:rPr>
          <w:t xml:space="preserve">DJSIR Fraud and Corruption Control Plan and Procedures </w:t>
        </w:r>
      </w:hyperlink>
    </w:p>
    <w:p w14:paraId="503D047F" w14:textId="40356F19" w:rsidR="006C4A63" w:rsidRPr="003B7772" w:rsidRDefault="00A431E1" w:rsidP="00735900">
      <w:pPr>
        <w:pStyle w:val="ListParagraph"/>
        <w:numPr>
          <w:ilvl w:val="0"/>
          <w:numId w:val="37"/>
        </w:numPr>
        <w:suppressAutoHyphens/>
        <w:autoSpaceDE w:val="0"/>
        <w:autoSpaceDN w:val="0"/>
        <w:adjustRightInd w:val="0"/>
        <w:spacing w:after="160" w:line="220" w:lineRule="atLeast"/>
        <w:textAlignment w:val="center"/>
        <w:rPr>
          <w:rStyle w:val="Hyperlink"/>
          <w:lang w:val="en-US"/>
        </w:rPr>
      </w:pPr>
      <w:hyperlink r:id="rId56" w:history="1">
        <w:r>
          <w:rPr>
            <w:rStyle w:val="Hyperlink"/>
            <w:rFonts w:ascii="Arial" w:hAnsi="Arial" w:cs="Arial"/>
            <w:sz w:val="18"/>
            <w:szCs w:val="18"/>
            <w:lang w:val="en-US"/>
          </w:rPr>
          <w:t>DJSIR Thefts and losses policy</w:t>
        </w:r>
      </w:hyperlink>
      <w:r w:rsidR="00B37AE5" w:rsidRPr="005575FC">
        <w:rPr>
          <w:rFonts w:ascii="Arial" w:hAnsi="Arial" w:cs="Arial"/>
          <w:color w:val="000000" w:themeColor="text1"/>
          <w:sz w:val="18"/>
          <w:szCs w:val="18"/>
        </w:rPr>
        <w:t>.</w:t>
      </w:r>
    </w:p>
    <w:p w14:paraId="5272B71A" w14:textId="195FA285" w:rsidR="00C477B3" w:rsidRPr="006D69AB" w:rsidRDefault="00C477B3" w:rsidP="00C477B3">
      <w:pPr>
        <w:pStyle w:val="Heading3"/>
      </w:pPr>
      <w:bookmarkStart w:id="100" w:name="_Toc194930411"/>
      <w:r>
        <w:t>5.</w:t>
      </w:r>
      <w:r w:rsidR="00703AFA">
        <w:t>8</w:t>
      </w:r>
      <w:r>
        <w:t>.4</w:t>
      </w:r>
      <w:r>
        <w:tab/>
      </w:r>
      <w:r w:rsidRPr="006D69AB">
        <w:t>Gifts, Benefits and Hospitality</w:t>
      </w:r>
      <w:bookmarkEnd w:id="100"/>
      <w:r w:rsidRPr="006D69AB">
        <w:t xml:space="preserve"> </w:t>
      </w:r>
    </w:p>
    <w:p w14:paraId="15E745AD" w14:textId="4FBAC635" w:rsidR="00C477B3" w:rsidRDefault="00C477B3" w:rsidP="00C477B3">
      <w:r>
        <w:t xml:space="preserve">The </w:t>
      </w:r>
      <w:hyperlink r:id="rId57" w:history="1">
        <w:r w:rsidRPr="002F01F6">
          <w:rPr>
            <w:rStyle w:val="Hyperlink"/>
          </w:rPr>
          <w:t>minimum accountabilities</w:t>
        </w:r>
      </w:hyperlink>
      <w:r>
        <w:t xml:space="preserve"> for </w:t>
      </w:r>
      <w:r w:rsidR="004D2F7B">
        <w:t xml:space="preserve">managing </w:t>
      </w:r>
      <w:r w:rsidR="00755B59">
        <w:t>g</w:t>
      </w:r>
      <w:r>
        <w:t xml:space="preserve">ifts, </w:t>
      </w:r>
      <w:r w:rsidR="00755B59">
        <w:t>b</w:t>
      </w:r>
      <w:r>
        <w:t xml:space="preserve">enefits and </w:t>
      </w:r>
      <w:r w:rsidR="00755B59">
        <w:t>h</w:t>
      </w:r>
      <w:r>
        <w:t>ospitality (GBH)</w:t>
      </w:r>
      <w:r w:rsidR="004F797D">
        <w:t xml:space="preserve"> in the Victorian Public Sector</w:t>
      </w:r>
      <w:r>
        <w:t xml:space="preserve"> are binding under the </w:t>
      </w:r>
      <w:hyperlink r:id="rId58" w:anchor="instructions" w:history="1">
        <w:r w:rsidR="0062171F">
          <w:rPr>
            <w:rStyle w:val="Hyperlink"/>
          </w:rPr>
          <w:t>Instructions</w:t>
        </w:r>
      </w:hyperlink>
      <w:r w:rsidR="0062171F">
        <w:rPr>
          <w:color w:val="000000" w:themeColor="text1"/>
        </w:rPr>
        <w:t xml:space="preserve"> </w:t>
      </w:r>
      <w:r>
        <w:t xml:space="preserve">supporting the </w:t>
      </w:r>
      <w:hyperlink r:id="rId59" w:history="1">
        <w:r w:rsidRPr="00BF66A8">
          <w:rPr>
            <w:rStyle w:val="Hyperlink"/>
          </w:rPr>
          <w:t>Standing Directions</w:t>
        </w:r>
      </w:hyperlink>
      <w:r>
        <w:t xml:space="preserve">. Instruction 11 states that </w:t>
      </w:r>
      <w:r w:rsidR="00755B59">
        <w:t>e</w:t>
      </w:r>
      <w:r>
        <w:t xml:space="preserve">ntities must develop policies and procedures that apply the </w:t>
      </w:r>
      <w:hyperlink r:id="rId60" w:history="1">
        <w:r w:rsidRPr="00A93967">
          <w:rPr>
            <w:rStyle w:val="Hyperlink"/>
          </w:rPr>
          <w:t>minimum accountabilities</w:t>
        </w:r>
      </w:hyperlink>
      <w:r>
        <w:t xml:space="preserve"> set out in the VPSC</w:t>
      </w:r>
      <w:r w:rsidR="002E6A35">
        <w:t xml:space="preserve"> </w:t>
      </w:r>
      <w:hyperlink r:id="rId61" w:history="1">
        <w:r w:rsidR="002E6A35">
          <w:rPr>
            <w:rStyle w:val="Hyperlink"/>
          </w:rPr>
          <w:t>GBH policy guide</w:t>
        </w:r>
      </w:hyperlink>
      <w:r>
        <w:t xml:space="preserve">. These are minimum requirements and </w:t>
      </w:r>
      <w:r w:rsidR="00755B59">
        <w:t>e</w:t>
      </w:r>
      <w:r>
        <w:t>ntities</w:t>
      </w:r>
      <w:r w:rsidR="00644209">
        <w:t xml:space="preserve"> </w:t>
      </w:r>
      <w:r>
        <w:t xml:space="preserve">may choose to adopt higher standards or processes that take into account the </w:t>
      </w:r>
      <w:r w:rsidR="00EA66C1">
        <w:t>e</w:t>
      </w:r>
      <w:r>
        <w:t>ntity’s role and functions.</w:t>
      </w:r>
    </w:p>
    <w:p w14:paraId="6468C088" w14:textId="7F1BE059" w:rsidR="00C477B3" w:rsidRDefault="00C477B3" w:rsidP="00C477B3">
      <w:r w:rsidRPr="00D03E27">
        <w:t>It is important that staff</w:t>
      </w:r>
      <w:r>
        <w:t xml:space="preserve"> (including contractors and board members)</w:t>
      </w:r>
      <w:r w:rsidRPr="00D03E27">
        <w:t xml:space="preserve"> are aware of the standard</w:t>
      </w:r>
      <w:r>
        <w:t>s</w:t>
      </w:r>
      <w:r w:rsidRPr="00D03E27">
        <w:t xml:space="preserve"> expected of them</w:t>
      </w:r>
      <w:r>
        <w:t xml:space="preserve"> when offered GBH</w:t>
      </w:r>
      <w:r w:rsidRPr="00D03E27">
        <w:t xml:space="preserve"> and that they act in a way that meets</w:t>
      </w:r>
      <w:r>
        <w:t xml:space="preserve"> community</w:t>
      </w:r>
      <w:r w:rsidRPr="00D03E27">
        <w:t xml:space="preserve"> expectations</w:t>
      </w:r>
      <w:r>
        <w:t xml:space="preserve">. This includes </w:t>
      </w:r>
      <w:r w:rsidR="00391707">
        <w:t xml:space="preserve">ensuring </w:t>
      </w:r>
      <w:r w:rsidRPr="00D03E27">
        <w:t xml:space="preserve">that public sector employees are performing public duties without favoritism, bias, or for personal gain. </w:t>
      </w:r>
      <w:r>
        <w:t>When</w:t>
      </w:r>
      <w:r w:rsidRPr="00D03E27">
        <w:t xml:space="preserve"> hospitality is provided </w:t>
      </w:r>
      <w:r w:rsidRPr="009006C2">
        <w:t>by</w:t>
      </w:r>
      <w:r w:rsidRPr="00D03E27">
        <w:t xml:space="preserve"> public sector </w:t>
      </w:r>
      <w:r w:rsidDel="00E20488">
        <w:t>bodies</w:t>
      </w:r>
      <w:r>
        <w:t xml:space="preserve">, they must ensure that </w:t>
      </w:r>
      <w:r w:rsidRPr="00D03E27">
        <w:t>public resources are being used responsibly.</w:t>
      </w:r>
    </w:p>
    <w:p w14:paraId="21AF1493" w14:textId="04EA9A11" w:rsidR="00C477B3" w:rsidRPr="00E20488" w:rsidRDefault="00C477B3" w:rsidP="00464B1E">
      <w:pPr>
        <w:pStyle w:val="Heading4"/>
      </w:pPr>
      <w:bookmarkStart w:id="101" w:name="_Toc194930412"/>
      <w:r w:rsidRPr="14667A63">
        <w:t>5.</w:t>
      </w:r>
      <w:r w:rsidR="00703AFA">
        <w:t>8</w:t>
      </w:r>
      <w:r w:rsidRPr="14667A63">
        <w:t>.4.</w:t>
      </w:r>
      <w:r w:rsidR="000A0FA2">
        <w:t>1</w:t>
      </w:r>
      <w:r>
        <w:tab/>
      </w:r>
      <w:r w:rsidRPr="000603F0">
        <w:t>GBH reporting obligations</w:t>
      </w:r>
      <w:bookmarkEnd w:id="101"/>
    </w:p>
    <w:p w14:paraId="54B505D8" w14:textId="3F76E0AF" w:rsidR="00C477B3" w:rsidRPr="00D03E27" w:rsidRDefault="00C477B3" w:rsidP="00C477B3">
      <w:r>
        <w:t xml:space="preserve">The </w:t>
      </w:r>
      <w:hyperlink r:id="rId62" w:history="1">
        <w:r w:rsidRPr="00101013">
          <w:rPr>
            <w:rStyle w:val="Hyperlink"/>
          </w:rPr>
          <w:t>minimum accountabilities</w:t>
        </w:r>
      </w:hyperlink>
      <w:r w:rsidRPr="0011053A">
        <w:t xml:space="preserve"> </w:t>
      </w:r>
      <w:r>
        <w:t xml:space="preserve">require </w:t>
      </w:r>
      <w:r w:rsidR="00755B59">
        <w:t>e</w:t>
      </w:r>
      <w:r>
        <w:t>ntities</w:t>
      </w:r>
      <w:r w:rsidRPr="00D03E27">
        <w:t xml:space="preserve"> to report at least annually to </w:t>
      </w:r>
      <w:r>
        <w:t>their</w:t>
      </w:r>
      <w:r w:rsidRPr="00D03E27">
        <w:t xml:space="preserve"> </w:t>
      </w:r>
      <w:r w:rsidR="00755B59">
        <w:t>a</w:t>
      </w:r>
      <w:r>
        <w:t xml:space="preserve">udit </w:t>
      </w:r>
      <w:r w:rsidR="00755B59">
        <w:t>c</w:t>
      </w:r>
      <w:r>
        <w:t>ommittee</w:t>
      </w:r>
      <w:r w:rsidRPr="00D03E27">
        <w:t xml:space="preserve"> on the administration and quality control of </w:t>
      </w:r>
      <w:r>
        <w:t>their</w:t>
      </w:r>
      <w:r w:rsidRPr="00D03E27">
        <w:t xml:space="preserve"> GBH policy, processes and register. This must include </w:t>
      </w:r>
      <w:r w:rsidR="00960D11" w:rsidRPr="008E45C3">
        <w:rPr>
          <w:rFonts w:asciiTheme="minorHAnsi" w:hAnsiTheme="minorHAnsi" w:cstheme="minorHAnsi"/>
        </w:rPr>
        <w:t>a copy of the internal register, analysis of the organisation’s gifts, benefits and hospitality risks (including repeat offers from the same source and offers from business associates), risk mitigation measures and any proposed improvements.</w:t>
      </w:r>
      <w:r w:rsidR="00960D11">
        <w:rPr>
          <w:rFonts w:asciiTheme="minorHAnsi" w:hAnsiTheme="minorHAnsi" w:cstheme="minorHAnsi"/>
        </w:rPr>
        <w:t xml:space="preserve"> </w:t>
      </w:r>
    </w:p>
    <w:p w14:paraId="3FAE2362" w14:textId="56B445E0" w:rsidR="00C477B3" w:rsidRDefault="00C477B3" w:rsidP="00C477B3">
      <w:r w:rsidRPr="00D03E27">
        <w:t xml:space="preserve">The GBH register is a record of declarable offers of gifts, benefits and hospitality. Each </w:t>
      </w:r>
      <w:r w:rsidR="00EA66C1">
        <w:t>e</w:t>
      </w:r>
      <w:r>
        <w:t>ntity</w:t>
      </w:r>
      <w:r w:rsidRPr="00D03E27">
        <w:t xml:space="preserve"> should have a designated person responsible for maintaining the register and ensuring it is regularly updated</w:t>
      </w:r>
      <w:r>
        <w:t xml:space="preserve"> </w:t>
      </w:r>
      <w:r w:rsidRPr="00D03E27">
        <w:t>and published</w:t>
      </w:r>
      <w:r>
        <w:t xml:space="preserve"> at least annually</w:t>
      </w:r>
      <w:r w:rsidRPr="00D03E27">
        <w:t xml:space="preserve"> on the organisation’s website (taking into consideration the relevant privacy legislation)</w:t>
      </w:r>
      <w:r>
        <w:t xml:space="preserve">. </w:t>
      </w:r>
      <w:r w:rsidRPr="00D03E27">
        <w:t xml:space="preserve">The register forms the basis of risk-based monitoring and reporting and should record sufficient information for identifying trends and key risks. It also forms the basis for reporting to the organisation’s </w:t>
      </w:r>
      <w:r w:rsidR="00755B59">
        <w:t>a</w:t>
      </w:r>
      <w:r>
        <w:t xml:space="preserve">udit </w:t>
      </w:r>
      <w:r w:rsidR="00755B59">
        <w:t>c</w:t>
      </w:r>
      <w:r>
        <w:t>ommittee.</w:t>
      </w:r>
    </w:p>
    <w:p w14:paraId="1690405E" w14:textId="77777777" w:rsidR="00C477B3" w:rsidRDefault="00C477B3" w:rsidP="00C477B3">
      <w:r>
        <w:t xml:space="preserve">Further information </w:t>
      </w:r>
      <w:r w:rsidRPr="00D03E27">
        <w:t xml:space="preserve">in relation to </w:t>
      </w:r>
      <w:r>
        <w:t xml:space="preserve">GBH is available, </w:t>
      </w:r>
      <w:r w:rsidRPr="00D03E27">
        <w:t>including:</w:t>
      </w:r>
    </w:p>
    <w:p w14:paraId="67B328B4" w14:textId="15ED8645" w:rsidR="00C477B3" w:rsidRDefault="007F166B" w:rsidP="00735900">
      <w:pPr>
        <w:pStyle w:val="ListParagraph"/>
        <w:numPr>
          <w:ilvl w:val="0"/>
          <w:numId w:val="37"/>
        </w:numPr>
        <w:suppressAutoHyphens/>
        <w:autoSpaceDE w:val="0"/>
        <w:autoSpaceDN w:val="0"/>
        <w:adjustRightInd w:val="0"/>
        <w:spacing w:after="160" w:line="220" w:lineRule="atLeast"/>
        <w:textAlignment w:val="center"/>
        <w:rPr>
          <w:rFonts w:ascii="Arial" w:hAnsi="Arial" w:cs="Arial"/>
          <w:color w:val="000000" w:themeColor="text1"/>
          <w:sz w:val="18"/>
          <w:szCs w:val="18"/>
        </w:rPr>
      </w:pPr>
      <w:hyperlink r:id="rId63" w:history="1">
        <w:r>
          <w:rPr>
            <w:rStyle w:val="Hyperlink"/>
            <w:rFonts w:ascii="Arial" w:hAnsi="Arial" w:cs="Arial"/>
            <w:sz w:val="18"/>
            <w:szCs w:val="18"/>
          </w:rPr>
          <w:t>GBH policy guide</w:t>
        </w:r>
      </w:hyperlink>
      <w:r w:rsidR="00117F82">
        <w:t xml:space="preserve"> </w:t>
      </w:r>
      <w:r w:rsidR="00C477B3" w:rsidRPr="005575FC">
        <w:rPr>
          <w:rFonts w:ascii="Arial" w:hAnsi="Arial" w:cs="Arial"/>
          <w:color w:val="000000" w:themeColor="text1"/>
          <w:sz w:val="18"/>
          <w:szCs w:val="18"/>
        </w:rPr>
        <w:t>issued by the Victorian Public Sector Commission</w:t>
      </w:r>
    </w:p>
    <w:p w14:paraId="4F38E346" w14:textId="14C1DC1C" w:rsidR="000468D6" w:rsidRPr="000F5252" w:rsidRDefault="000468D6" w:rsidP="00735900">
      <w:pPr>
        <w:pStyle w:val="ListParagraph"/>
        <w:numPr>
          <w:ilvl w:val="0"/>
          <w:numId w:val="37"/>
        </w:numPr>
        <w:suppressAutoHyphens/>
        <w:autoSpaceDE w:val="0"/>
        <w:autoSpaceDN w:val="0"/>
        <w:adjustRightInd w:val="0"/>
        <w:spacing w:after="160" w:line="276" w:lineRule="auto"/>
        <w:textAlignment w:val="center"/>
        <w:rPr>
          <w:rFonts w:asciiTheme="minorHAnsi" w:hAnsiTheme="minorHAnsi" w:cstheme="minorHAnsi"/>
          <w:color w:val="000000" w:themeColor="text1"/>
          <w:sz w:val="18"/>
          <w:szCs w:val="18"/>
        </w:rPr>
      </w:pPr>
      <w:hyperlink r:id="rId64" w:history="1">
        <w:r>
          <w:rPr>
            <w:rStyle w:val="Hyperlink"/>
            <w:rFonts w:asciiTheme="minorHAnsi" w:hAnsiTheme="minorHAnsi" w:cstheme="minorHAnsi"/>
            <w:sz w:val="18"/>
            <w:szCs w:val="18"/>
          </w:rPr>
          <w:t>Minimum accountabilities for managing gifts, benefits and hospitality</w:t>
        </w:r>
      </w:hyperlink>
      <w:r>
        <w:rPr>
          <w:rFonts w:asciiTheme="minorHAnsi" w:hAnsiTheme="minorHAnsi" w:cstheme="minorHAnsi"/>
          <w:color w:val="000000" w:themeColor="text1"/>
          <w:sz w:val="18"/>
          <w:szCs w:val="18"/>
        </w:rPr>
        <w:t xml:space="preserve"> issued by the Victorian Public Sector Commission</w:t>
      </w:r>
    </w:p>
    <w:p w14:paraId="5F2D759A" w14:textId="7EF81F27" w:rsidR="00C477B3" w:rsidRPr="00530788" w:rsidRDefault="00A172E7" w:rsidP="00735900">
      <w:pPr>
        <w:pStyle w:val="ListParagraph"/>
        <w:numPr>
          <w:ilvl w:val="0"/>
          <w:numId w:val="37"/>
        </w:numPr>
        <w:suppressAutoHyphens/>
        <w:autoSpaceDE w:val="0"/>
        <w:autoSpaceDN w:val="0"/>
        <w:adjustRightInd w:val="0"/>
        <w:spacing w:after="160" w:line="220" w:lineRule="atLeast"/>
        <w:textAlignment w:val="center"/>
        <w:rPr>
          <w:rFonts w:asciiTheme="minorHAnsi" w:hAnsiTheme="minorHAnsi" w:cstheme="minorHAnsi"/>
          <w:color w:val="000000" w:themeColor="text1"/>
          <w:sz w:val="18"/>
          <w:szCs w:val="18"/>
        </w:rPr>
      </w:pPr>
      <w:hyperlink r:id="rId65" w:history="1">
        <w:r w:rsidRPr="00530788">
          <w:rPr>
            <w:rStyle w:val="Hyperlink"/>
            <w:rFonts w:asciiTheme="minorHAnsi" w:hAnsiTheme="minorHAnsi" w:cstheme="minorHAnsi"/>
            <w:sz w:val="18"/>
            <w:szCs w:val="18"/>
          </w:rPr>
          <w:t>DJSIR Gifts, Benefits and Hospitality Policy</w:t>
        </w:r>
      </w:hyperlink>
      <w:r w:rsidR="00C477B3" w:rsidRPr="00530788">
        <w:rPr>
          <w:rFonts w:asciiTheme="minorHAnsi" w:hAnsiTheme="minorHAnsi" w:cstheme="minorHAnsi"/>
          <w:color w:val="000000" w:themeColor="text1"/>
          <w:sz w:val="18"/>
          <w:szCs w:val="18"/>
        </w:rPr>
        <w:t>.</w:t>
      </w:r>
    </w:p>
    <w:p w14:paraId="6E058A95" w14:textId="3725382C" w:rsidR="00C477B3" w:rsidRPr="00020390" w:rsidRDefault="00C477B3" w:rsidP="00C477B3">
      <w:pPr>
        <w:pStyle w:val="Heading3"/>
      </w:pPr>
      <w:bookmarkStart w:id="102" w:name="_Toc194930413"/>
      <w:r>
        <w:t>5.</w:t>
      </w:r>
      <w:r w:rsidR="00703AFA">
        <w:t>8</w:t>
      </w:r>
      <w:r>
        <w:t>.5</w:t>
      </w:r>
      <w:r>
        <w:tab/>
        <w:t>Public Interest Disclosures</w:t>
      </w:r>
      <w:bookmarkEnd w:id="102"/>
    </w:p>
    <w:p w14:paraId="65A256B6" w14:textId="6CE9ACD6" w:rsidR="00C477B3" w:rsidRDefault="00C477B3" w:rsidP="00C477B3">
      <w:pPr>
        <w:keepNext/>
      </w:pPr>
      <w:r>
        <w:t xml:space="preserve">The </w:t>
      </w:r>
      <w:hyperlink r:id="rId66" w:history="1">
        <w:r w:rsidRPr="008D5E86">
          <w:rPr>
            <w:rStyle w:val="Hyperlink"/>
            <w:i/>
            <w:iCs/>
          </w:rPr>
          <w:t>Public Interest Disclosures Act 2012</w:t>
        </w:r>
      </w:hyperlink>
      <w:r>
        <w:rPr>
          <w:i/>
          <w:iCs/>
        </w:rPr>
        <w:t xml:space="preserve"> </w:t>
      </w:r>
      <w:r>
        <w:t>outlines the legislative framework which ensures that people who report improper conduct and corruption in the Victorian public sector (whistleblowers) can do so with the knowledge they will be protected.</w:t>
      </w:r>
    </w:p>
    <w:p w14:paraId="1FE56334" w14:textId="77777777" w:rsidR="00C477B3" w:rsidRDefault="00C477B3" w:rsidP="00C477B3">
      <w:pPr>
        <w:keepNext/>
      </w:pPr>
      <w:r>
        <w:t>A Public Interest Disclosure (PID) is a report about:</w:t>
      </w:r>
    </w:p>
    <w:p w14:paraId="3E1B88A0" w14:textId="5B987E5C" w:rsidR="00C477B3" w:rsidRPr="00857DED" w:rsidRDefault="00060167" w:rsidP="00735900">
      <w:pPr>
        <w:pStyle w:val="ListParagraph"/>
        <w:keepNext/>
        <w:numPr>
          <w:ilvl w:val="0"/>
          <w:numId w:val="38"/>
        </w:numPr>
        <w:suppressAutoHyphens/>
        <w:autoSpaceDE w:val="0"/>
        <w:autoSpaceDN w:val="0"/>
        <w:adjustRightInd w:val="0"/>
        <w:spacing w:after="160" w:line="220" w:lineRule="atLeast"/>
        <w:ind w:left="714" w:hanging="357"/>
        <w:textAlignment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00C477B3" w:rsidRPr="00857DED">
        <w:rPr>
          <w:rFonts w:asciiTheme="minorHAnsi" w:hAnsiTheme="minorHAnsi" w:cstheme="minorHAnsi"/>
          <w:color w:val="000000" w:themeColor="text1"/>
          <w:sz w:val="18"/>
          <w:szCs w:val="18"/>
        </w:rPr>
        <w:t>improper conduct</w:t>
      </w:r>
      <w:r>
        <w:rPr>
          <w:rFonts w:asciiTheme="minorHAnsi" w:hAnsiTheme="minorHAnsi" w:cstheme="minorHAnsi"/>
          <w:color w:val="000000" w:themeColor="text1"/>
          <w:sz w:val="18"/>
          <w:szCs w:val="18"/>
        </w:rPr>
        <w:t>’</w:t>
      </w:r>
      <w:r w:rsidR="00C477B3" w:rsidRPr="00857DED">
        <w:rPr>
          <w:rFonts w:asciiTheme="minorHAnsi" w:hAnsiTheme="minorHAnsi" w:cstheme="minorHAnsi"/>
          <w:color w:val="000000" w:themeColor="text1"/>
          <w:sz w:val="18"/>
          <w:szCs w:val="18"/>
        </w:rPr>
        <w:t xml:space="preserve"> </w:t>
      </w:r>
      <w:r w:rsidR="00CA253B" w:rsidRPr="00857DED">
        <w:rPr>
          <w:rFonts w:asciiTheme="minorHAnsi" w:hAnsiTheme="minorHAnsi" w:cstheme="minorHAnsi"/>
          <w:color w:val="000000" w:themeColor="text1"/>
          <w:sz w:val="18"/>
          <w:szCs w:val="18"/>
        </w:rPr>
        <w:t>by</w:t>
      </w:r>
      <w:r w:rsidR="00C477B3" w:rsidRPr="00857DED">
        <w:rPr>
          <w:rFonts w:asciiTheme="minorHAnsi" w:hAnsiTheme="minorHAnsi" w:cstheme="minorHAnsi"/>
          <w:color w:val="000000" w:themeColor="text1"/>
          <w:sz w:val="18"/>
          <w:szCs w:val="18"/>
        </w:rPr>
        <w:t xml:space="preserve"> a public body or public officer</w:t>
      </w:r>
      <w:r w:rsidR="00857DED" w:rsidRPr="00857DED">
        <w:rPr>
          <w:rFonts w:asciiTheme="minorHAnsi" w:hAnsiTheme="minorHAnsi" w:cstheme="minorHAnsi"/>
          <w:color w:val="000000" w:themeColor="text1"/>
          <w:sz w:val="18"/>
          <w:szCs w:val="18"/>
        </w:rPr>
        <w:t xml:space="preserve"> </w:t>
      </w:r>
      <w:r w:rsidR="00857DED" w:rsidRPr="00857DED">
        <w:rPr>
          <w:rFonts w:asciiTheme="minorHAnsi" w:hAnsiTheme="minorHAnsi" w:cstheme="minorBidi"/>
          <w:color w:val="000000" w:themeColor="text1"/>
          <w:sz w:val="18"/>
          <w:szCs w:val="18"/>
        </w:rPr>
        <w:t>(or a person trying to influence a public officer or public body)</w:t>
      </w:r>
    </w:p>
    <w:p w14:paraId="41552795" w14:textId="65C8510A" w:rsidR="00C477B3" w:rsidRPr="005575FC" w:rsidRDefault="00857DED" w:rsidP="00735900">
      <w:pPr>
        <w:pStyle w:val="ListParagraph"/>
        <w:keepNext/>
        <w:numPr>
          <w:ilvl w:val="0"/>
          <w:numId w:val="38"/>
        </w:numPr>
        <w:suppressAutoHyphens/>
        <w:autoSpaceDE w:val="0"/>
        <w:autoSpaceDN w:val="0"/>
        <w:adjustRightInd w:val="0"/>
        <w:spacing w:after="160" w:line="220" w:lineRule="atLeast"/>
        <w:ind w:left="714" w:hanging="357"/>
        <w:textAlignment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t>
      </w:r>
      <w:r w:rsidR="00C477B3" w:rsidRPr="005575FC">
        <w:rPr>
          <w:rFonts w:asciiTheme="minorHAnsi" w:hAnsiTheme="minorHAnsi" w:cstheme="minorHAnsi"/>
          <w:color w:val="000000" w:themeColor="text1"/>
          <w:sz w:val="18"/>
          <w:szCs w:val="18"/>
        </w:rPr>
        <w:t>detrimental action</w:t>
      </w:r>
      <w:r>
        <w:rPr>
          <w:rFonts w:asciiTheme="minorHAnsi" w:hAnsiTheme="minorHAnsi" w:cstheme="minorHAnsi"/>
          <w:color w:val="000000" w:themeColor="text1"/>
          <w:sz w:val="18"/>
          <w:szCs w:val="18"/>
        </w:rPr>
        <w:t>’</w:t>
      </w:r>
      <w:r w:rsidR="00C477B3" w:rsidRPr="005575FC">
        <w:rPr>
          <w:rFonts w:asciiTheme="minorHAnsi" w:hAnsiTheme="minorHAnsi" w:cstheme="minorHAnsi"/>
          <w:color w:val="000000" w:themeColor="text1"/>
          <w:sz w:val="18"/>
          <w:szCs w:val="18"/>
        </w:rPr>
        <w:t xml:space="preserve"> taken</w:t>
      </w:r>
      <w:r w:rsidR="00693A57" w:rsidRPr="0E7CD3FE">
        <w:rPr>
          <w:rFonts w:asciiTheme="minorHAnsi" w:hAnsiTheme="minorHAnsi" w:cstheme="minorBidi"/>
          <w:color w:val="000000" w:themeColor="text1"/>
          <w:sz w:val="18"/>
          <w:szCs w:val="18"/>
        </w:rPr>
        <w:t xml:space="preserve">, or threatened to be taken, </w:t>
      </w:r>
      <w:r w:rsidR="00C477B3" w:rsidRPr="005575FC">
        <w:rPr>
          <w:rFonts w:asciiTheme="minorHAnsi" w:hAnsiTheme="minorHAnsi" w:cstheme="minorHAnsi"/>
          <w:color w:val="000000" w:themeColor="text1"/>
          <w:sz w:val="18"/>
          <w:szCs w:val="18"/>
        </w:rPr>
        <w:t>by a public body or public officer against a person in reprisal for them</w:t>
      </w:r>
      <w:r w:rsidR="00693A57">
        <w:rPr>
          <w:rFonts w:asciiTheme="minorHAnsi" w:hAnsiTheme="minorHAnsi" w:cstheme="minorHAnsi"/>
          <w:color w:val="000000" w:themeColor="text1"/>
          <w:sz w:val="18"/>
          <w:szCs w:val="18"/>
        </w:rPr>
        <w:t xml:space="preserve"> making</w:t>
      </w:r>
      <w:r w:rsidR="00C477B3" w:rsidRPr="005575FC">
        <w:rPr>
          <w:rFonts w:asciiTheme="minorHAnsi" w:hAnsiTheme="minorHAnsi" w:cstheme="minorHAnsi"/>
          <w:color w:val="000000" w:themeColor="text1"/>
          <w:sz w:val="18"/>
          <w:szCs w:val="18"/>
        </w:rPr>
        <w:t xml:space="preserve"> a PID or cooperat</w:t>
      </w:r>
      <w:r w:rsidR="00693A57">
        <w:rPr>
          <w:rFonts w:asciiTheme="minorHAnsi" w:hAnsiTheme="minorHAnsi" w:cstheme="minorHAnsi"/>
          <w:color w:val="000000" w:themeColor="text1"/>
          <w:sz w:val="18"/>
          <w:szCs w:val="18"/>
        </w:rPr>
        <w:t>ing</w:t>
      </w:r>
      <w:r w:rsidR="00C477B3" w:rsidRPr="005575FC">
        <w:rPr>
          <w:rFonts w:asciiTheme="minorHAnsi" w:hAnsiTheme="minorHAnsi" w:cstheme="minorHAnsi"/>
          <w:color w:val="000000" w:themeColor="text1"/>
          <w:sz w:val="18"/>
          <w:szCs w:val="18"/>
        </w:rPr>
        <w:t xml:space="preserve"> with the investigation of a PID.</w:t>
      </w:r>
    </w:p>
    <w:p w14:paraId="7ADC6793" w14:textId="77777777" w:rsidR="00C477B3" w:rsidRDefault="00C477B3" w:rsidP="00C477B3">
      <w:r>
        <w:t>Improper conduct is broadly defined and varies in its nature and seriousness. It can include corrupt conduct and criminal offending, as well as dishonest or other serious professional misconduct, such as failing to declare a conflict of interest or misusing a corporate credit card.</w:t>
      </w:r>
    </w:p>
    <w:p w14:paraId="747E7A8B" w14:textId="5D7D8525" w:rsidR="00C477B3" w:rsidRDefault="00C477B3" w:rsidP="00C477B3">
      <w:r>
        <w:t>Detrimental action is any action taken against a person for making a PID</w:t>
      </w:r>
      <w:r w:rsidR="0094010E">
        <w:t xml:space="preserve"> or cooperating with the investigation of a PID</w:t>
      </w:r>
      <w:r>
        <w:t>, such as intimidation, harassment</w:t>
      </w:r>
      <w:r w:rsidDel="004C3C56">
        <w:t>,</w:t>
      </w:r>
      <w:r>
        <w:t xml:space="preserve"> or adverse treatment in relation to the person’s employment.</w:t>
      </w:r>
    </w:p>
    <w:p w14:paraId="33302859" w14:textId="50D9E2B8" w:rsidR="00C477B3" w:rsidRDefault="00C477B3" w:rsidP="00C477B3">
      <w:r>
        <w:t>PIDs can be made by anyone, including public sector employees and members of the public, and can be made</w:t>
      </w:r>
      <w:r w:rsidR="00FD708C">
        <w:t>:</w:t>
      </w:r>
      <w:r>
        <w:t xml:space="preserve"> </w:t>
      </w:r>
    </w:p>
    <w:p w14:paraId="377CF9E0" w14:textId="77777777" w:rsidR="00D507B7" w:rsidRPr="003B7772" w:rsidRDefault="00D507B7" w:rsidP="00735900">
      <w:pPr>
        <w:pStyle w:val="ListParagraph"/>
        <w:keepNext/>
        <w:numPr>
          <w:ilvl w:val="0"/>
          <w:numId w:val="38"/>
        </w:numPr>
        <w:suppressAutoHyphens/>
        <w:autoSpaceDE w:val="0"/>
        <w:autoSpaceDN w:val="0"/>
        <w:adjustRightInd w:val="0"/>
        <w:spacing w:after="160" w:line="220" w:lineRule="atLeast"/>
        <w:ind w:left="714" w:hanging="357"/>
        <w:textAlignment w:val="center"/>
        <w:rPr>
          <w:rFonts w:asciiTheme="minorHAnsi" w:hAnsiTheme="minorHAnsi" w:cstheme="minorHAnsi"/>
          <w:color w:val="000000" w:themeColor="text1"/>
          <w:sz w:val="18"/>
          <w:szCs w:val="18"/>
        </w:rPr>
      </w:pPr>
      <w:r w:rsidRPr="003B7772">
        <w:rPr>
          <w:rFonts w:asciiTheme="minorHAnsi" w:hAnsiTheme="minorHAnsi" w:cstheme="minorHAnsi"/>
          <w:color w:val="000000" w:themeColor="text1"/>
          <w:sz w:val="18"/>
          <w:szCs w:val="18"/>
        </w:rPr>
        <w:t>in person (including by requesting a meeting outside the workplace)</w:t>
      </w:r>
    </w:p>
    <w:p w14:paraId="508ADCD7" w14:textId="77777777" w:rsidR="00D507B7" w:rsidRPr="003B7772" w:rsidRDefault="00D507B7" w:rsidP="00735900">
      <w:pPr>
        <w:pStyle w:val="ListParagraph"/>
        <w:keepNext/>
        <w:numPr>
          <w:ilvl w:val="0"/>
          <w:numId w:val="38"/>
        </w:numPr>
        <w:suppressAutoHyphens/>
        <w:autoSpaceDE w:val="0"/>
        <w:autoSpaceDN w:val="0"/>
        <w:adjustRightInd w:val="0"/>
        <w:spacing w:after="160" w:line="220" w:lineRule="atLeast"/>
        <w:ind w:left="714" w:hanging="357"/>
        <w:textAlignment w:val="center"/>
        <w:rPr>
          <w:rFonts w:asciiTheme="minorHAnsi" w:hAnsiTheme="minorHAnsi" w:cstheme="minorHAnsi"/>
          <w:color w:val="000000" w:themeColor="text1"/>
          <w:sz w:val="18"/>
          <w:szCs w:val="18"/>
        </w:rPr>
      </w:pPr>
      <w:r w:rsidRPr="003B7772">
        <w:rPr>
          <w:rFonts w:asciiTheme="minorHAnsi" w:hAnsiTheme="minorHAnsi" w:cstheme="minorHAnsi"/>
          <w:color w:val="000000" w:themeColor="text1"/>
          <w:sz w:val="18"/>
          <w:szCs w:val="18"/>
        </w:rPr>
        <w:t>by phone or Teams (including by leaving a voicemail)</w:t>
      </w:r>
    </w:p>
    <w:p w14:paraId="7A471578" w14:textId="77777777" w:rsidR="00D507B7" w:rsidRPr="003B7772" w:rsidRDefault="00D507B7" w:rsidP="00735900">
      <w:pPr>
        <w:pStyle w:val="ListParagraph"/>
        <w:keepNext/>
        <w:numPr>
          <w:ilvl w:val="0"/>
          <w:numId w:val="38"/>
        </w:numPr>
        <w:suppressAutoHyphens/>
        <w:autoSpaceDE w:val="0"/>
        <w:autoSpaceDN w:val="0"/>
        <w:adjustRightInd w:val="0"/>
        <w:spacing w:after="160" w:line="220" w:lineRule="atLeast"/>
        <w:ind w:left="714" w:hanging="357"/>
        <w:textAlignment w:val="center"/>
        <w:rPr>
          <w:rFonts w:asciiTheme="minorHAnsi" w:hAnsiTheme="minorHAnsi" w:cstheme="minorHAnsi"/>
          <w:color w:val="000000" w:themeColor="text1"/>
          <w:sz w:val="18"/>
          <w:szCs w:val="18"/>
        </w:rPr>
      </w:pPr>
      <w:r w:rsidRPr="003B7772">
        <w:rPr>
          <w:rFonts w:asciiTheme="minorHAnsi" w:hAnsiTheme="minorHAnsi" w:cstheme="minorHAnsi"/>
          <w:color w:val="000000" w:themeColor="text1"/>
          <w:sz w:val="18"/>
          <w:szCs w:val="18"/>
        </w:rPr>
        <w:t>in writing (including by post and email, but not by fax).</w:t>
      </w:r>
    </w:p>
    <w:p w14:paraId="140F95FB" w14:textId="77777777" w:rsidR="00D507B7" w:rsidRDefault="00D507B7" w:rsidP="00D507B7">
      <w:pPr>
        <w:pStyle w:val="ListParagraph"/>
        <w:spacing w:line="276" w:lineRule="auto"/>
        <w:ind w:left="357"/>
        <w:rPr>
          <w:rFonts w:ascii="Arial" w:eastAsia="Arial" w:hAnsi="Arial" w:cs="Arial"/>
          <w:color w:val="000000" w:themeColor="text1"/>
          <w:sz w:val="18"/>
          <w:szCs w:val="18"/>
          <w:lang w:val="en-US"/>
        </w:rPr>
      </w:pPr>
    </w:p>
    <w:p w14:paraId="34F97B8D" w14:textId="77777777" w:rsidR="00D507B7" w:rsidRPr="003B7772" w:rsidRDefault="00D507B7" w:rsidP="003B7772">
      <w:r w:rsidRPr="003B7772">
        <w:t>Disclosures may be made anonymously.</w:t>
      </w:r>
    </w:p>
    <w:p w14:paraId="5988AFED" w14:textId="2A99C068" w:rsidR="00C477B3" w:rsidRDefault="00C477B3" w:rsidP="00C477B3">
      <w:r>
        <w:t xml:space="preserve">People who make PIDs receive various protections, including against detrimental action and civil or criminal liability for making the disclosure. It is also an offence to reveal a discloser’s identity or information that may reveal their identity, as well as information about the content of their disclosure. </w:t>
      </w:r>
    </w:p>
    <w:p w14:paraId="6BD20FE1" w14:textId="677730AB" w:rsidR="00C477B3" w:rsidRPr="00E00AA4" w:rsidRDefault="00C477B3" w:rsidP="00C477B3">
      <w:pPr>
        <w:pStyle w:val="bodycopy"/>
        <w:rPr>
          <w:color w:val="000000" w:themeColor="text1"/>
          <w:sz w:val="18"/>
          <w:szCs w:val="18"/>
        </w:rPr>
      </w:pPr>
      <w:r w:rsidRPr="14667A63">
        <w:rPr>
          <w:color w:val="000000" w:themeColor="text1"/>
          <w:sz w:val="18"/>
          <w:szCs w:val="18"/>
        </w:rPr>
        <w:t xml:space="preserve">The department and its administrative offices are public bodies able to receive PIDs. All other </w:t>
      </w:r>
      <w:r w:rsidR="00B764DF">
        <w:rPr>
          <w:color w:val="000000" w:themeColor="text1"/>
          <w:sz w:val="18"/>
          <w:szCs w:val="18"/>
        </w:rPr>
        <w:t>e</w:t>
      </w:r>
      <w:r w:rsidRPr="14667A63">
        <w:rPr>
          <w:color w:val="000000" w:themeColor="text1"/>
          <w:sz w:val="18"/>
          <w:szCs w:val="18"/>
        </w:rPr>
        <w:t xml:space="preserve">ntities are unable to receive PIDs and must direct anyone seeking to make a PID to the </w:t>
      </w:r>
      <w:hyperlink r:id="rId67" w:history="1">
        <w:r w:rsidR="00E94D1B">
          <w:rPr>
            <w:rStyle w:val="Hyperlink"/>
            <w:sz w:val="18"/>
            <w:szCs w:val="18"/>
          </w:rPr>
          <w:t>Independent Broad-based Anti-corruption Commission</w:t>
        </w:r>
      </w:hyperlink>
      <w:r w:rsidRPr="14667A63">
        <w:rPr>
          <w:color w:val="000000" w:themeColor="text1"/>
          <w:sz w:val="18"/>
          <w:szCs w:val="18"/>
        </w:rPr>
        <w:t xml:space="preserve"> (IBAC).</w:t>
      </w:r>
    </w:p>
    <w:p w14:paraId="74B82372" w14:textId="29E8BA17" w:rsidR="00C477B3" w:rsidRPr="003B7772" w:rsidRDefault="00C477B3" w:rsidP="003B7772">
      <w:pPr>
        <w:pStyle w:val="Heading4"/>
        <w:spacing w:before="0" w:after="160"/>
      </w:pPr>
      <w:bookmarkStart w:id="103" w:name="_Toc194930414"/>
      <w:r w:rsidRPr="003B7772">
        <w:t>5.</w:t>
      </w:r>
      <w:r w:rsidR="00703AFA" w:rsidRPr="003B7772">
        <w:t>8</w:t>
      </w:r>
      <w:r w:rsidRPr="003B7772">
        <w:t>.5.1</w:t>
      </w:r>
      <w:r>
        <w:tab/>
      </w:r>
      <w:r w:rsidRPr="0078453B">
        <w:t>Entity requirements</w:t>
      </w:r>
      <w:bookmarkEnd w:id="103"/>
    </w:p>
    <w:p w14:paraId="0B548F3D" w14:textId="17B12C0C" w:rsidR="00AD13B9" w:rsidRDefault="00C477B3" w:rsidP="00AD13B9">
      <w:r>
        <w:t xml:space="preserve">Administrative </w:t>
      </w:r>
      <w:r w:rsidR="00B764DF">
        <w:t>o</w:t>
      </w:r>
      <w:r>
        <w:t xml:space="preserve">ffices must develop </w:t>
      </w:r>
      <w:r w:rsidR="00554514">
        <w:t xml:space="preserve">an </w:t>
      </w:r>
      <w:r>
        <w:t xml:space="preserve">internal procedure </w:t>
      </w:r>
      <w:r w:rsidR="00AD13B9">
        <w:t>to facilitate the making, receipt and management of disclosures and protect people against detrimental action. This includes:</w:t>
      </w:r>
    </w:p>
    <w:p w14:paraId="7F43947B" w14:textId="77777777" w:rsidR="00BE6C81" w:rsidRPr="00366F29" w:rsidRDefault="00BE6C81" w:rsidP="00735900">
      <w:pPr>
        <w:numPr>
          <w:ilvl w:val="0"/>
          <w:numId w:val="25"/>
        </w:numPr>
        <w:suppressAutoHyphens w:val="0"/>
        <w:autoSpaceDE/>
        <w:autoSpaceDN/>
        <w:adjustRightInd/>
        <w:spacing w:before="100" w:beforeAutospacing="1" w:after="0" w:line="240" w:lineRule="auto"/>
        <w:textAlignment w:val="auto"/>
        <w:rPr>
          <w:rFonts w:asciiTheme="minorHAnsi" w:eastAsia="Times New Roman" w:hAnsiTheme="minorHAnsi" w:cstheme="minorHAnsi"/>
          <w:color w:val="auto"/>
          <w:lang w:val="en-AU" w:eastAsia="en-AU"/>
        </w:rPr>
      </w:pPr>
      <w:r w:rsidRPr="00366F29">
        <w:rPr>
          <w:rFonts w:asciiTheme="minorHAnsi" w:eastAsia="Times New Roman" w:hAnsiTheme="minorHAnsi" w:cstheme="minorHAnsi"/>
          <w:color w:val="auto"/>
          <w:lang w:val="en-AU" w:eastAsia="en-AU"/>
        </w:rPr>
        <w:t>maintain</w:t>
      </w:r>
      <w:r>
        <w:rPr>
          <w:rFonts w:asciiTheme="minorHAnsi" w:eastAsia="Times New Roman" w:hAnsiTheme="minorHAnsi" w:cstheme="minorHAnsi"/>
          <w:color w:val="auto"/>
          <w:lang w:val="en-AU" w:eastAsia="en-AU"/>
        </w:rPr>
        <w:t>ing</w:t>
      </w:r>
      <w:r w:rsidRPr="00366F29">
        <w:rPr>
          <w:rFonts w:asciiTheme="minorHAnsi" w:eastAsia="Times New Roman" w:hAnsiTheme="minorHAnsi" w:cstheme="minorHAnsi"/>
          <w:color w:val="auto"/>
          <w:lang w:val="en-AU" w:eastAsia="en-AU"/>
        </w:rPr>
        <w:t xml:space="preserve"> a </w:t>
      </w:r>
      <w:r w:rsidRPr="00AC4360">
        <w:rPr>
          <w:rFonts w:asciiTheme="minorHAnsi" w:eastAsia="Times New Roman" w:hAnsiTheme="minorHAnsi" w:cstheme="minorHAnsi"/>
          <w:color w:val="auto"/>
          <w:lang w:val="en-AU" w:eastAsia="en-AU"/>
        </w:rPr>
        <w:t>secure information management system</w:t>
      </w:r>
      <w:r w:rsidRPr="00366F29">
        <w:rPr>
          <w:rFonts w:asciiTheme="minorHAnsi" w:eastAsia="Times New Roman" w:hAnsiTheme="minorHAnsi" w:cstheme="minorHAnsi"/>
          <w:color w:val="auto"/>
          <w:lang w:val="en-AU" w:eastAsia="en-AU"/>
        </w:rPr>
        <w:t xml:space="preserve"> for the receipt, storage, assessment and notification of </w:t>
      </w:r>
      <w:r>
        <w:rPr>
          <w:rFonts w:asciiTheme="minorHAnsi" w:eastAsia="Times New Roman" w:hAnsiTheme="minorHAnsi" w:cstheme="minorHAnsi"/>
          <w:color w:val="auto"/>
          <w:lang w:val="en-AU" w:eastAsia="en-AU"/>
        </w:rPr>
        <w:t>PIDs, including</w:t>
      </w:r>
      <w:r w:rsidRPr="00366F29">
        <w:rPr>
          <w:rFonts w:asciiTheme="minorHAnsi" w:eastAsia="Times New Roman" w:hAnsiTheme="minorHAnsi" w:cstheme="minorHAnsi"/>
          <w:color w:val="auto"/>
          <w:lang w:val="en-AU" w:eastAsia="en-AU"/>
        </w:rPr>
        <w:t xml:space="preserve"> an internal reporting structure </w:t>
      </w:r>
      <w:r>
        <w:rPr>
          <w:rFonts w:asciiTheme="minorHAnsi" w:eastAsia="Times New Roman" w:hAnsiTheme="minorHAnsi" w:cstheme="minorHAnsi"/>
          <w:color w:val="auto"/>
          <w:lang w:val="en-AU" w:eastAsia="en-AU"/>
        </w:rPr>
        <w:t>that</w:t>
      </w:r>
      <w:r w:rsidRPr="00366F29">
        <w:rPr>
          <w:rFonts w:asciiTheme="minorHAnsi" w:eastAsia="Times New Roman" w:hAnsiTheme="minorHAnsi" w:cstheme="minorHAnsi"/>
          <w:color w:val="auto"/>
          <w:lang w:val="en-AU" w:eastAsia="en-AU"/>
        </w:rPr>
        <w:t xml:space="preserve"> identifies the roles and responsibilities of staff in that structure</w:t>
      </w:r>
    </w:p>
    <w:p w14:paraId="5EA424CC" w14:textId="77777777" w:rsidR="00BE6C81" w:rsidRPr="00366F29" w:rsidRDefault="00BE6C81" w:rsidP="00735900">
      <w:pPr>
        <w:numPr>
          <w:ilvl w:val="0"/>
          <w:numId w:val="25"/>
        </w:numPr>
        <w:suppressAutoHyphens w:val="0"/>
        <w:autoSpaceDE/>
        <w:autoSpaceDN/>
        <w:adjustRightInd/>
        <w:spacing w:before="100" w:beforeAutospacing="1" w:after="0" w:line="240" w:lineRule="auto"/>
        <w:textAlignment w:val="auto"/>
        <w:rPr>
          <w:rFonts w:asciiTheme="minorHAnsi" w:eastAsia="Times New Roman" w:hAnsiTheme="minorHAnsi" w:cstheme="minorHAnsi"/>
          <w:color w:val="auto"/>
          <w:lang w:val="en-AU" w:eastAsia="en-AU"/>
        </w:rPr>
      </w:pPr>
      <w:r>
        <w:rPr>
          <w:rFonts w:asciiTheme="minorHAnsi" w:eastAsia="Times New Roman" w:hAnsiTheme="minorHAnsi" w:cstheme="minorHAnsi"/>
          <w:color w:val="auto"/>
          <w:lang w:val="en-AU" w:eastAsia="en-AU"/>
        </w:rPr>
        <w:t xml:space="preserve">establishing </w:t>
      </w:r>
      <w:r w:rsidRPr="00366F29">
        <w:rPr>
          <w:rFonts w:asciiTheme="minorHAnsi" w:eastAsia="Times New Roman" w:hAnsiTheme="minorHAnsi" w:cstheme="minorHAnsi"/>
          <w:color w:val="auto"/>
          <w:lang w:val="en-AU" w:eastAsia="en-AU"/>
        </w:rPr>
        <w:t>a secure process for receiving disclosures</w:t>
      </w:r>
    </w:p>
    <w:p w14:paraId="5A249886" w14:textId="77777777" w:rsidR="00BE6C81" w:rsidRPr="00F2190E" w:rsidRDefault="00BE6C81" w:rsidP="00735900">
      <w:pPr>
        <w:numPr>
          <w:ilvl w:val="0"/>
          <w:numId w:val="25"/>
        </w:numPr>
        <w:suppressAutoHyphens w:val="0"/>
        <w:autoSpaceDE/>
        <w:autoSpaceDN/>
        <w:adjustRightInd/>
        <w:spacing w:before="100" w:beforeAutospacing="1" w:after="0" w:line="240" w:lineRule="auto"/>
        <w:textAlignment w:val="auto"/>
        <w:rPr>
          <w:rFonts w:asciiTheme="minorHAnsi" w:eastAsia="Times New Roman" w:hAnsiTheme="minorHAnsi" w:cstheme="minorHAnsi"/>
          <w:color w:val="auto"/>
          <w:lang w:val="en-AU" w:eastAsia="en-AU"/>
        </w:rPr>
      </w:pPr>
      <w:r w:rsidRPr="00366F29">
        <w:rPr>
          <w:rFonts w:asciiTheme="minorHAnsi" w:eastAsia="Times New Roman" w:hAnsiTheme="minorHAnsi" w:cstheme="minorHAnsi"/>
          <w:color w:val="auto"/>
          <w:lang w:val="en-AU" w:eastAsia="en-AU"/>
        </w:rPr>
        <w:t>nominat</w:t>
      </w:r>
      <w:r>
        <w:rPr>
          <w:rFonts w:asciiTheme="minorHAnsi" w:eastAsia="Times New Roman" w:hAnsiTheme="minorHAnsi" w:cstheme="minorHAnsi"/>
          <w:color w:val="auto"/>
          <w:lang w:val="en-AU" w:eastAsia="en-AU"/>
        </w:rPr>
        <w:t>ing</w:t>
      </w:r>
      <w:r w:rsidRPr="00F2190E">
        <w:rPr>
          <w:rFonts w:asciiTheme="minorHAnsi" w:eastAsia="Times New Roman" w:hAnsiTheme="minorHAnsi" w:cstheme="minorHAnsi"/>
          <w:color w:val="auto"/>
          <w:lang w:val="en-AU" w:eastAsia="en-AU"/>
        </w:rPr>
        <w:t xml:space="preserve"> staff who can receive disclosures (the PID Coordinator)</w:t>
      </w:r>
    </w:p>
    <w:p w14:paraId="48FC3488" w14:textId="77777777" w:rsidR="00BE6C81" w:rsidRPr="00F2190E" w:rsidRDefault="00BE6C81" w:rsidP="00735900">
      <w:pPr>
        <w:numPr>
          <w:ilvl w:val="0"/>
          <w:numId w:val="25"/>
        </w:numPr>
        <w:suppressAutoHyphens w:val="0"/>
        <w:autoSpaceDE/>
        <w:autoSpaceDN/>
        <w:adjustRightInd/>
        <w:spacing w:before="100" w:beforeAutospacing="1" w:after="0" w:line="240" w:lineRule="auto"/>
        <w:textAlignment w:val="auto"/>
        <w:rPr>
          <w:rFonts w:asciiTheme="minorHAnsi" w:eastAsia="Times New Roman" w:hAnsiTheme="minorHAnsi" w:cstheme="minorHAnsi"/>
          <w:color w:val="auto"/>
          <w:lang w:val="en-AU" w:eastAsia="en-AU"/>
        </w:rPr>
      </w:pPr>
      <w:r>
        <w:rPr>
          <w:rFonts w:asciiTheme="minorHAnsi" w:eastAsia="Times New Roman" w:hAnsiTheme="minorHAnsi" w:cstheme="minorHAnsi"/>
          <w:color w:val="auto"/>
          <w:lang w:val="en-AU" w:eastAsia="en-AU"/>
        </w:rPr>
        <w:t xml:space="preserve">establishing a </w:t>
      </w:r>
      <w:r w:rsidRPr="00F2190E">
        <w:rPr>
          <w:rFonts w:asciiTheme="minorHAnsi" w:eastAsia="Times New Roman" w:hAnsiTheme="minorHAnsi" w:cstheme="minorHAnsi"/>
          <w:color w:val="auto"/>
          <w:lang w:val="en-AU" w:eastAsia="en-AU"/>
        </w:rPr>
        <w:t>secure means of notifying IBAC of assessable disclosures</w:t>
      </w:r>
    </w:p>
    <w:p w14:paraId="0E7815CF" w14:textId="77777777" w:rsidR="00BE6C81" w:rsidRPr="00F2190E" w:rsidRDefault="00BE6C81" w:rsidP="00735900">
      <w:pPr>
        <w:numPr>
          <w:ilvl w:val="0"/>
          <w:numId w:val="25"/>
        </w:numPr>
        <w:suppressAutoHyphens w:val="0"/>
        <w:autoSpaceDE/>
        <w:autoSpaceDN/>
        <w:adjustRightInd/>
        <w:spacing w:before="100" w:beforeAutospacing="1" w:after="0" w:line="240" w:lineRule="auto"/>
        <w:textAlignment w:val="auto"/>
        <w:rPr>
          <w:rFonts w:asciiTheme="minorHAnsi" w:eastAsia="Times New Roman" w:hAnsiTheme="minorHAnsi" w:cstheme="minorHAnsi"/>
          <w:color w:val="auto"/>
          <w:lang w:val="en-AU" w:eastAsia="en-AU"/>
        </w:rPr>
      </w:pPr>
      <w:r w:rsidRPr="00F2190E">
        <w:rPr>
          <w:rFonts w:asciiTheme="minorHAnsi" w:eastAsia="Times New Roman" w:hAnsiTheme="minorHAnsi" w:cstheme="minorHAnsi"/>
          <w:color w:val="auto"/>
          <w:lang w:val="en-AU" w:eastAsia="en-AU"/>
        </w:rPr>
        <w:t>deliver</w:t>
      </w:r>
      <w:r>
        <w:rPr>
          <w:rFonts w:asciiTheme="minorHAnsi" w:eastAsia="Times New Roman" w:hAnsiTheme="minorHAnsi" w:cstheme="minorHAnsi"/>
          <w:color w:val="auto"/>
          <w:lang w:val="en-AU" w:eastAsia="en-AU"/>
        </w:rPr>
        <w:t>ing</w:t>
      </w:r>
      <w:r w:rsidRPr="00F2190E">
        <w:rPr>
          <w:rFonts w:asciiTheme="minorHAnsi" w:eastAsia="Times New Roman" w:hAnsiTheme="minorHAnsi" w:cstheme="minorHAnsi"/>
          <w:color w:val="auto"/>
          <w:lang w:val="en-AU" w:eastAsia="en-AU"/>
        </w:rPr>
        <w:t xml:space="preserve"> education and training to select staff in the handling of </w:t>
      </w:r>
      <w:r>
        <w:rPr>
          <w:rFonts w:asciiTheme="minorHAnsi" w:eastAsia="Times New Roman" w:hAnsiTheme="minorHAnsi" w:cstheme="minorHAnsi"/>
          <w:color w:val="auto"/>
          <w:lang w:val="en-AU" w:eastAsia="en-AU"/>
        </w:rPr>
        <w:t>disclosures</w:t>
      </w:r>
    </w:p>
    <w:p w14:paraId="2FE955DB" w14:textId="77777777" w:rsidR="00BE6C81" w:rsidRPr="00F2190E" w:rsidRDefault="00BE6C81" w:rsidP="00735900">
      <w:pPr>
        <w:numPr>
          <w:ilvl w:val="0"/>
          <w:numId w:val="25"/>
        </w:numPr>
        <w:suppressAutoHyphens w:val="0"/>
        <w:autoSpaceDE/>
        <w:autoSpaceDN/>
        <w:adjustRightInd/>
        <w:spacing w:before="100" w:beforeAutospacing="1" w:after="0" w:line="240" w:lineRule="auto"/>
        <w:textAlignment w:val="auto"/>
        <w:rPr>
          <w:rFonts w:asciiTheme="minorHAnsi" w:eastAsia="Times New Roman" w:hAnsiTheme="minorHAnsi" w:cstheme="minorHAnsi"/>
          <w:color w:val="auto"/>
          <w:lang w:val="en-AU" w:eastAsia="en-AU"/>
        </w:rPr>
      </w:pPr>
      <w:r w:rsidRPr="00F2190E">
        <w:rPr>
          <w:rFonts w:asciiTheme="minorHAnsi" w:eastAsia="Times New Roman" w:hAnsiTheme="minorHAnsi" w:cstheme="minorHAnsi"/>
          <w:color w:val="auto"/>
          <w:lang w:val="en-AU" w:eastAsia="en-AU"/>
        </w:rPr>
        <w:t>deliv</w:t>
      </w:r>
      <w:r>
        <w:rPr>
          <w:rFonts w:asciiTheme="minorHAnsi" w:eastAsia="Times New Roman" w:hAnsiTheme="minorHAnsi" w:cstheme="minorHAnsi"/>
          <w:color w:val="auto"/>
          <w:lang w:val="en-AU" w:eastAsia="en-AU"/>
        </w:rPr>
        <w:t>ering</w:t>
      </w:r>
      <w:r w:rsidRPr="00F2190E">
        <w:rPr>
          <w:rFonts w:asciiTheme="minorHAnsi" w:eastAsia="Times New Roman" w:hAnsiTheme="minorHAnsi" w:cstheme="minorHAnsi"/>
          <w:color w:val="auto"/>
          <w:lang w:val="en-AU" w:eastAsia="en-AU"/>
        </w:rPr>
        <w:t xml:space="preserve"> education and training to select staff on managing the welfare of those individuals associated with </w:t>
      </w:r>
      <w:r>
        <w:rPr>
          <w:rFonts w:asciiTheme="minorHAnsi" w:eastAsia="Times New Roman" w:hAnsiTheme="minorHAnsi" w:cstheme="minorHAnsi"/>
          <w:color w:val="auto"/>
          <w:lang w:val="en-AU" w:eastAsia="en-AU"/>
        </w:rPr>
        <w:t>disclosures</w:t>
      </w:r>
    </w:p>
    <w:p w14:paraId="258F7A1E" w14:textId="77777777" w:rsidR="00BE6C81" w:rsidRPr="00F2190E" w:rsidRDefault="00BE6C81" w:rsidP="00735900">
      <w:pPr>
        <w:numPr>
          <w:ilvl w:val="0"/>
          <w:numId w:val="25"/>
        </w:numPr>
        <w:suppressAutoHyphens w:val="0"/>
        <w:autoSpaceDE/>
        <w:autoSpaceDN/>
        <w:adjustRightInd/>
        <w:spacing w:before="100" w:beforeAutospacing="1" w:after="0" w:line="240" w:lineRule="auto"/>
        <w:textAlignment w:val="auto"/>
        <w:rPr>
          <w:rFonts w:asciiTheme="minorHAnsi" w:eastAsia="Times New Roman" w:hAnsiTheme="minorHAnsi" w:cstheme="minorHAnsi"/>
          <w:color w:val="auto"/>
          <w:lang w:val="en-AU" w:eastAsia="en-AU"/>
        </w:rPr>
      </w:pPr>
      <w:r w:rsidRPr="00F2190E">
        <w:rPr>
          <w:rFonts w:asciiTheme="minorHAnsi" w:eastAsia="Times New Roman" w:hAnsiTheme="minorHAnsi" w:cstheme="minorHAnsi"/>
          <w:color w:val="auto"/>
          <w:lang w:val="en-AU" w:eastAsia="en-AU"/>
        </w:rPr>
        <w:t>collect</w:t>
      </w:r>
      <w:r>
        <w:rPr>
          <w:rFonts w:asciiTheme="minorHAnsi" w:eastAsia="Times New Roman" w:hAnsiTheme="minorHAnsi" w:cstheme="minorHAnsi"/>
          <w:color w:val="auto"/>
          <w:lang w:val="en-AU" w:eastAsia="en-AU"/>
        </w:rPr>
        <w:t>ing</w:t>
      </w:r>
      <w:r w:rsidRPr="00F2190E">
        <w:rPr>
          <w:rFonts w:asciiTheme="minorHAnsi" w:eastAsia="Times New Roman" w:hAnsiTheme="minorHAnsi" w:cstheme="minorHAnsi"/>
          <w:color w:val="auto"/>
          <w:lang w:val="en-AU" w:eastAsia="en-AU"/>
        </w:rPr>
        <w:t xml:space="preserve"> and collat</w:t>
      </w:r>
      <w:r>
        <w:rPr>
          <w:rFonts w:asciiTheme="minorHAnsi" w:eastAsia="Times New Roman" w:hAnsiTheme="minorHAnsi" w:cstheme="minorHAnsi"/>
          <w:color w:val="auto"/>
          <w:lang w:val="en-AU" w:eastAsia="en-AU"/>
        </w:rPr>
        <w:t>ing</w:t>
      </w:r>
      <w:r w:rsidRPr="00F2190E">
        <w:rPr>
          <w:rFonts w:asciiTheme="minorHAnsi" w:eastAsia="Times New Roman" w:hAnsiTheme="minorHAnsi" w:cstheme="minorHAnsi"/>
          <w:color w:val="auto"/>
          <w:lang w:val="en-AU" w:eastAsia="en-AU"/>
        </w:rPr>
        <w:t xml:space="preserve"> statistics on </w:t>
      </w:r>
      <w:r>
        <w:rPr>
          <w:rFonts w:asciiTheme="minorHAnsi" w:eastAsia="Times New Roman" w:hAnsiTheme="minorHAnsi" w:cstheme="minorHAnsi"/>
          <w:color w:val="auto"/>
          <w:lang w:val="en-AU" w:eastAsia="en-AU"/>
        </w:rPr>
        <w:t>PIDs</w:t>
      </w:r>
      <w:r w:rsidRPr="00F2190E">
        <w:rPr>
          <w:rFonts w:asciiTheme="minorHAnsi" w:eastAsia="Times New Roman" w:hAnsiTheme="minorHAnsi" w:cstheme="minorHAnsi"/>
          <w:color w:val="auto"/>
          <w:lang w:val="en-AU" w:eastAsia="en-AU"/>
        </w:rPr>
        <w:t xml:space="preserve"> for annual reporting.</w:t>
      </w:r>
    </w:p>
    <w:p w14:paraId="5734BE3B" w14:textId="02F37E03" w:rsidR="00C477B3" w:rsidRDefault="00C477B3" w:rsidP="00C477B3"/>
    <w:p w14:paraId="2A49C729" w14:textId="77777777" w:rsidR="002C799E" w:rsidRPr="002C799E" w:rsidRDefault="002C799E" w:rsidP="003B7772">
      <w:pPr>
        <w:pStyle w:val="ListBullet"/>
        <w:numPr>
          <w:ilvl w:val="0"/>
          <w:numId w:val="0"/>
        </w:numPr>
        <w:rPr>
          <w:color w:val="auto"/>
        </w:rPr>
      </w:pPr>
      <w:r w:rsidRPr="002C799E">
        <w:rPr>
          <w:color w:val="auto"/>
        </w:rPr>
        <w:t>Administrative offices also need to appoint a PID Coordinator and include their details on their respective public websites. The department’s PID Coordinator is:</w:t>
      </w:r>
    </w:p>
    <w:p w14:paraId="6B6A3B58" w14:textId="77777777" w:rsidR="002C799E" w:rsidRPr="002C799E" w:rsidRDefault="002C799E" w:rsidP="003B7772">
      <w:pPr>
        <w:pStyle w:val="ListBullet"/>
        <w:numPr>
          <w:ilvl w:val="0"/>
          <w:numId w:val="0"/>
        </w:numPr>
        <w:ind w:firstLine="360"/>
        <w:rPr>
          <w:color w:val="auto"/>
        </w:rPr>
      </w:pPr>
      <w:r w:rsidRPr="002C799E">
        <w:rPr>
          <w:color w:val="auto"/>
        </w:rPr>
        <w:t>John Lombard, Integrity Director</w:t>
      </w:r>
    </w:p>
    <w:p w14:paraId="65739BCC" w14:textId="4F7B1A57" w:rsidR="002C799E" w:rsidRPr="002C799E" w:rsidRDefault="002C799E" w:rsidP="003B7772">
      <w:pPr>
        <w:pStyle w:val="ListBullet"/>
        <w:numPr>
          <w:ilvl w:val="0"/>
          <w:numId w:val="0"/>
        </w:numPr>
        <w:ind w:firstLine="360"/>
        <w:rPr>
          <w:color w:val="auto"/>
        </w:rPr>
      </w:pPr>
      <w:r w:rsidRPr="002C799E">
        <w:rPr>
          <w:color w:val="auto"/>
        </w:rPr>
        <w:t>Phone: 0412 205 128</w:t>
      </w:r>
    </w:p>
    <w:p w14:paraId="6DB405E9" w14:textId="3F410EA8" w:rsidR="002C799E" w:rsidRPr="00061D7E" w:rsidRDefault="002C799E" w:rsidP="003B7772">
      <w:pPr>
        <w:pStyle w:val="ListBullet"/>
        <w:numPr>
          <w:ilvl w:val="0"/>
          <w:numId w:val="0"/>
        </w:numPr>
        <w:ind w:firstLine="360"/>
        <w:rPr>
          <w:color w:val="auto"/>
        </w:rPr>
      </w:pPr>
      <w:r w:rsidRPr="002C799E">
        <w:rPr>
          <w:color w:val="auto"/>
        </w:rPr>
        <w:t>Email: john.lombard@ecodev.vic.gov.au</w:t>
      </w:r>
    </w:p>
    <w:p w14:paraId="18BCC74A" w14:textId="77777777" w:rsidR="00C477B3" w:rsidRDefault="00C477B3" w:rsidP="00C477B3">
      <w:pPr>
        <w:pStyle w:val="ListBullet"/>
        <w:numPr>
          <w:ilvl w:val="0"/>
          <w:numId w:val="0"/>
        </w:numPr>
        <w:ind w:left="720"/>
      </w:pPr>
    </w:p>
    <w:p w14:paraId="1D361789" w14:textId="41F5D58B" w:rsidR="00C477B3" w:rsidRPr="003B7772" w:rsidRDefault="00C477B3" w:rsidP="003B7772">
      <w:r w:rsidRPr="003B7772">
        <w:t xml:space="preserve">All other entities should develop a brief PID procedure which should </w:t>
      </w:r>
      <w:r w:rsidRPr="003B7772" w:rsidDel="00B65100">
        <w:t>be</w:t>
      </w:r>
      <w:r w:rsidRPr="003B7772">
        <w:t xml:space="preserve"> posted to their </w:t>
      </w:r>
      <w:r w:rsidR="00BE43E6" w:rsidRPr="003B7772">
        <w:t xml:space="preserve">respective </w:t>
      </w:r>
      <w:r w:rsidRPr="003B7772">
        <w:t xml:space="preserve"> </w:t>
      </w:r>
      <w:r w:rsidR="00BA0E72" w:rsidRPr="003B7772">
        <w:t xml:space="preserve">public </w:t>
      </w:r>
      <w:r w:rsidRPr="003B7772">
        <w:t>website</w:t>
      </w:r>
      <w:r w:rsidR="00BA0E72" w:rsidRPr="003B7772">
        <w:t>s</w:t>
      </w:r>
      <w:r w:rsidRPr="003B7772">
        <w:t xml:space="preserve"> to advise their stakeholders of the need to direct any PID to IBAC.</w:t>
      </w:r>
    </w:p>
    <w:p w14:paraId="6CAE3CEF" w14:textId="77777777" w:rsidR="00C477B3" w:rsidRDefault="00C477B3" w:rsidP="003B7772">
      <w:pPr>
        <w:rPr>
          <w:color w:val="000000" w:themeColor="text1"/>
        </w:rPr>
      </w:pPr>
      <w:r w:rsidRPr="00DC781E">
        <w:rPr>
          <w:color w:val="000000" w:themeColor="text1"/>
        </w:rPr>
        <w:t xml:space="preserve">Further information in relation to </w:t>
      </w:r>
      <w:r w:rsidRPr="14667A63">
        <w:rPr>
          <w:color w:val="000000" w:themeColor="text1"/>
        </w:rPr>
        <w:t>PIDs</w:t>
      </w:r>
      <w:r w:rsidRPr="00DC781E">
        <w:rPr>
          <w:color w:val="000000" w:themeColor="text1"/>
        </w:rPr>
        <w:t xml:space="preserve"> is available, including:</w:t>
      </w:r>
    </w:p>
    <w:p w14:paraId="73649C46" w14:textId="2BF1F72B" w:rsidR="00C477B3" w:rsidRPr="00464B1E" w:rsidRDefault="00C477B3" w:rsidP="00735900">
      <w:pPr>
        <w:numPr>
          <w:ilvl w:val="0"/>
          <w:numId w:val="39"/>
        </w:numPr>
        <w:suppressAutoHyphens w:val="0"/>
        <w:autoSpaceDE/>
        <w:autoSpaceDN/>
        <w:adjustRightInd/>
        <w:spacing w:before="100" w:beforeAutospacing="1" w:after="0" w:line="240" w:lineRule="auto"/>
        <w:textAlignment w:val="auto"/>
        <w:rPr>
          <w:rFonts w:asciiTheme="minorHAnsi" w:hAnsiTheme="minorHAnsi" w:cstheme="minorHAnsi"/>
          <w:i/>
          <w:color w:val="000000" w:themeColor="text1"/>
          <w:lang w:val="en-AU"/>
        </w:rPr>
      </w:pPr>
      <w:hyperlink r:id="rId68" w:history="1">
        <w:r w:rsidRPr="00464B1E">
          <w:rPr>
            <w:rStyle w:val="Hyperlink"/>
            <w:rFonts w:asciiTheme="minorHAnsi" w:hAnsiTheme="minorHAnsi" w:cstheme="minorHAnsi"/>
            <w:i/>
          </w:rPr>
          <w:t>Public Interest Disclosures Act 2012</w:t>
        </w:r>
      </w:hyperlink>
      <w:r w:rsidRPr="00464B1E">
        <w:rPr>
          <w:rStyle w:val="Emphasis"/>
          <w:rFonts w:asciiTheme="minorHAnsi" w:hAnsiTheme="minorHAnsi" w:cstheme="minorHAnsi"/>
          <w:i w:val="0"/>
          <w:iCs w:val="0"/>
          <w:color w:val="000000" w:themeColor="text1"/>
        </w:rPr>
        <w:t xml:space="preserve"> </w:t>
      </w:r>
    </w:p>
    <w:p w14:paraId="75CC2894" w14:textId="7CA40841" w:rsidR="00C477B3" w:rsidRPr="005575FC" w:rsidRDefault="00C477B3" w:rsidP="00735900">
      <w:pPr>
        <w:numPr>
          <w:ilvl w:val="0"/>
          <w:numId w:val="39"/>
        </w:numPr>
        <w:suppressAutoHyphens w:val="0"/>
        <w:autoSpaceDE/>
        <w:autoSpaceDN/>
        <w:adjustRightInd/>
        <w:spacing w:before="100" w:beforeAutospacing="1" w:after="0" w:line="240" w:lineRule="auto"/>
        <w:textAlignment w:val="auto"/>
        <w:rPr>
          <w:rFonts w:asciiTheme="minorHAnsi" w:hAnsiTheme="minorHAnsi" w:cstheme="minorHAnsi"/>
          <w:color w:val="000000" w:themeColor="text1"/>
        </w:rPr>
      </w:pPr>
      <w:hyperlink r:id="rId69" w:history="1">
        <w:r w:rsidRPr="00464B1E">
          <w:rPr>
            <w:rStyle w:val="Hyperlink"/>
            <w:rFonts w:asciiTheme="minorHAnsi" w:hAnsiTheme="minorHAnsi" w:cstheme="minorHAnsi"/>
            <w:i/>
          </w:rPr>
          <w:t>Independent Broad-based Anti-corruption Commission Act 2011</w:t>
        </w:r>
      </w:hyperlink>
      <w:r w:rsidRPr="005575FC">
        <w:rPr>
          <w:rStyle w:val="Emphasis"/>
          <w:rFonts w:asciiTheme="minorHAnsi" w:hAnsiTheme="minorHAnsi" w:cstheme="minorHAnsi"/>
          <w:color w:val="000000" w:themeColor="text1"/>
        </w:rPr>
        <w:t xml:space="preserve"> </w:t>
      </w:r>
    </w:p>
    <w:p w14:paraId="343DBF69" w14:textId="3BDDAB70" w:rsidR="00C477B3" w:rsidRPr="005575FC" w:rsidRDefault="00C477B3" w:rsidP="00735900">
      <w:pPr>
        <w:numPr>
          <w:ilvl w:val="0"/>
          <w:numId w:val="39"/>
        </w:numPr>
        <w:suppressAutoHyphens w:val="0"/>
        <w:autoSpaceDE/>
        <w:autoSpaceDN/>
        <w:adjustRightInd/>
        <w:spacing w:before="100" w:beforeAutospacing="1" w:after="0" w:line="240" w:lineRule="auto"/>
        <w:textAlignment w:val="auto"/>
        <w:rPr>
          <w:rFonts w:asciiTheme="minorHAnsi" w:hAnsiTheme="minorHAnsi" w:cstheme="minorHAnsi"/>
          <w:color w:val="000000" w:themeColor="text1"/>
        </w:rPr>
      </w:pPr>
      <w:hyperlink r:id="rId70" w:history="1">
        <w:r w:rsidRPr="00A341B5">
          <w:rPr>
            <w:rStyle w:val="Hyperlink"/>
            <w:rFonts w:asciiTheme="minorHAnsi" w:hAnsiTheme="minorHAnsi" w:cstheme="minorHAnsi"/>
          </w:rPr>
          <w:t>Guidelines for handling public interest disclosures</w:t>
        </w:r>
      </w:hyperlink>
      <w:r w:rsidR="003D7C46">
        <w:t xml:space="preserve"> (IBAC)</w:t>
      </w:r>
      <w:r w:rsidRPr="005575FC">
        <w:rPr>
          <w:rFonts w:asciiTheme="minorHAnsi" w:hAnsiTheme="minorHAnsi" w:cstheme="minorHAnsi"/>
          <w:color w:val="000000" w:themeColor="text1"/>
        </w:rPr>
        <w:t>.</w:t>
      </w:r>
    </w:p>
    <w:p w14:paraId="3FE4EC8C" w14:textId="4206AB0C" w:rsidR="00C477B3" w:rsidRPr="005575FC" w:rsidRDefault="00C477B3" w:rsidP="00735900">
      <w:pPr>
        <w:numPr>
          <w:ilvl w:val="0"/>
          <w:numId w:val="39"/>
        </w:numPr>
        <w:suppressAutoHyphens w:val="0"/>
        <w:autoSpaceDE/>
        <w:autoSpaceDN/>
        <w:adjustRightInd/>
        <w:spacing w:before="100" w:beforeAutospacing="1" w:after="0" w:line="240" w:lineRule="auto"/>
        <w:textAlignment w:val="auto"/>
        <w:rPr>
          <w:rFonts w:asciiTheme="minorHAnsi" w:hAnsiTheme="minorHAnsi" w:cstheme="minorHAnsi"/>
          <w:color w:val="000000" w:themeColor="text1"/>
        </w:rPr>
      </w:pPr>
      <w:hyperlink r:id="rId71" w:history="1">
        <w:r w:rsidRPr="00035F72">
          <w:rPr>
            <w:rStyle w:val="Hyperlink"/>
            <w:rFonts w:asciiTheme="minorHAnsi" w:hAnsiTheme="minorHAnsi" w:cstheme="minorHAnsi"/>
          </w:rPr>
          <w:t>Guidelines for public interest disclosure welfare management</w:t>
        </w:r>
      </w:hyperlink>
      <w:r w:rsidR="003D7C46">
        <w:t xml:space="preserve"> (IBAC)</w:t>
      </w:r>
      <w:r w:rsidRPr="005575FC">
        <w:rPr>
          <w:rFonts w:asciiTheme="minorHAnsi" w:hAnsiTheme="minorHAnsi" w:cstheme="minorHAnsi"/>
          <w:color w:val="000000" w:themeColor="text1"/>
        </w:rPr>
        <w:t>.</w:t>
      </w:r>
    </w:p>
    <w:p w14:paraId="4C5382B0" w14:textId="60577E68" w:rsidR="00C477B3" w:rsidRPr="005575FC" w:rsidRDefault="00176987" w:rsidP="00735900">
      <w:pPr>
        <w:pStyle w:val="ListParagraph"/>
        <w:numPr>
          <w:ilvl w:val="0"/>
          <w:numId w:val="39"/>
        </w:numPr>
        <w:suppressAutoHyphens/>
        <w:autoSpaceDE w:val="0"/>
        <w:autoSpaceDN w:val="0"/>
        <w:adjustRightInd w:val="0"/>
        <w:spacing w:line="220" w:lineRule="atLeast"/>
        <w:textAlignment w:val="center"/>
        <w:rPr>
          <w:rFonts w:asciiTheme="minorHAnsi" w:hAnsiTheme="minorHAnsi" w:cstheme="minorHAnsi"/>
          <w:color w:val="000000" w:themeColor="text1"/>
          <w:sz w:val="18"/>
          <w:szCs w:val="18"/>
        </w:rPr>
      </w:pPr>
      <w:hyperlink r:id="rId72" w:history="1">
        <w:r>
          <w:rPr>
            <w:rStyle w:val="Hyperlink"/>
            <w:rFonts w:asciiTheme="minorHAnsi" w:hAnsiTheme="minorHAnsi" w:cstheme="minorHAnsi"/>
            <w:sz w:val="18"/>
            <w:szCs w:val="18"/>
            <w:lang w:val="en-US"/>
          </w:rPr>
          <w:t xml:space="preserve">DJSIR Public Interest Disclosure Procedure </w:t>
        </w:r>
      </w:hyperlink>
      <w:r w:rsidR="00C477B3" w:rsidRPr="005575FC">
        <w:rPr>
          <w:rFonts w:asciiTheme="minorHAnsi" w:hAnsiTheme="minorHAnsi" w:cstheme="minorHAnsi"/>
          <w:color w:val="000000" w:themeColor="text1"/>
          <w:sz w:val="18"/>
          <w:szCs w:val="18"/>
        </w:rPr>
        <w:t>.</w:t>
      </w:r>
    </w:p>
    <w:p w14:paraId="3AC96CE2" w14:textId="77777777" w:rsidR="00C477B3" w:rsidRPr="00B1138E" w:rsidRDefault="00C477B3" w:rsidP="00C477B3">
      <w:pPr>
        <w:spacing w:after="120" w:line="240" w:lineRule="auto"/>
        <w:rPr>
          <w:rFonts w:asciiTheme="minorHAnsi" w:hAnsiTheme="minorHAnsi" w:cstheme="minorBidi"/>
          <w:b/>
          <w:color w:val="000000" w:themeColor="text1"/>
          <w:sz w:val="4"/>
          <w:szCs w:val="4"/>
        </w:rPr>
      </w:pPr>
    </w:p>
    <w:p w14:paraId="180388EE" w14:textId="6037D07B" w:rsidR="00D37608" w:rsidRPr="00511C14" w:rsidRDefault="00D37608" w:rsidP="00D37608">
      <w:pPr>
        <w:pStyle w:val="Heading3"/>
        <w:rPr>
          <w:color w:val="auto"/>
        </w:rPr>
      </w:pPr>
      <w:bookmarkStart w:id="104" w:name="_Toc194930415"/>
      <w:r w:rsidRPr="00511C14">
        <w:rPr>
          <w:color w:val="auto"/>
        </w:rPr>
        <w:t>5.</w:t>
      </w:r>
      <w:r w:rsidR="00703AFA">
        <w:rPr>
          <w:color w:val="auto"/>
        </w:rPr>
        <w:t>8</w:t>
      </w:r>
      <w:r w:rsidRPr="00511C14">
        <w:rPr>
          <w:color w:val="auto"/>
        </w:rPr>
        <w:t xml:space="preserve">.6 Foreign </w:t>
      </w:r>
      <w:r w:rsidR="00D6435B" w:rsidRPr="00511C14">
        <w:rPr>
          <w:color w:val="auto"/>
        </w:rPr>
        <w:t>interference</w:t>
      </w:r>
      <w:bookmarkEnd w:id="104"/>
    </w:p>
    <w:p w14:paraId="7CE5F154" w14:textId="529A0595" w:rsidR="00050B32" w:rsidRPr="003B7772" w:rsidRDefault="00050B32" w:rsidP="003B7772">
      <w:r w:rsidRPr="003B7772">
        <w:t>Foreign interference</w:t>
      </w:r>
      <w:r w:rsidR="003D7C46" w:rsidRPr="003B7772">
        <w:t xml:space="preserve"> (FI)</w:t>
      </w:r>
      <w:r w:rsidRPr="003B7772">
        <w:t xml:space="preserve"> consists of activities carried out by, or on behalf of, a foreign actor, which are coercive, clandestine, deceptive or corrupting and are contrary to Australia’s sovereignty, values and national interest. It is distinct from foreign influence, which, if it is open and transparent, is a normal and welcome aspect of international relations and </w:t>
      </w:r>
      <w:r w:rsidR="006F5432" w:rsidRPr="003B7772">
        <w:t>diplomacy.</w:t>
      </w:r>
    </w:p>
    <w:p w14:paraId="63872CF5" w14:textId="1FDBB4C3" w:rsidR="00F63184" w:rsidRPr="003B7772" w:rsidRDefault="00050B32" w:rsidP="003B7772">
      <w:r w:rsidRPr="003B7772">
        <w:t xml:space="preserve">It is vital that we are aware of the risks to Victoria and engage with them in a mature manner to continue to maximise the benefits of being a globally connected, multicultural state. Thus, it is important to ensure that Victoria’s response to foreign interference is reasonable, balanced and informed by an understanding of the broader risk context. </w:t>
      </w:r>
    </w:p>
    <w:p w14:paraId="1C68193B" w14:textId="6B62F566" w:rsidR="00050B32" w:rsidRPr="003B7772" w:rsidRDefault="00050B32" w:rsidP="003B7772">
      <w:r w:rsidRPr="003B7772">
        <w:t>As the subject matter experts in understanding their broader business risk, it is the responsibility of Victorian Government departments and portfolio entities to determine how to incorporate consideration of foreign interference risks in their decision-making processes.</w:t>
      </w:r>
    </w:p>
    <w:p w14:paraId="3398872D" w14:textId="5C15A6BB" w:rsidR="00133642" w:rsidRDefault="00050B32" w:rsidP="003B7772">
      <w:pPr>
        <w:pStyle w:val="ListBullet"/>
        <w:numPr>
          <w:ilvl w:val="0"/>
          <w:numId w:val="0"/>
        </w:numPr>
        <w:spacing w:after="160" w:line="220" w:lineRule="atLeast"/>
      </w:pPr>
      <w:r w:rsidRPr="00511C14">
        <w:rPr>
          <w:color w:val="auto"/>
        </w:rPr>
        <w:t xml:space="preserve">The </w:t>
      </w:r>
      <w:r w:rsidR="00B764DF">
        <w:rPr>
          <w:color w:val="auto"/>
        </w:rPr>
        <w:t>D</w:t>
      </w:r>
      <w:r w:rsidRPr="00511C14">
        <w:rPr>
          <w:color w:val="auto"/>
        </w:rPr>
        <w:t xml:space="preserve">epartment of Premier and Cabinet has produced </w:t>
      </w:r>
      <w:r w:rsidR="00B764DF">
        <w:rPr>
          <w:color w:val="auto"/>
        </w:rPr>
        <w:t>g</w:t>
      </w:r>
      <w:r w:rsidRPr="00511C14">
        <w:rPr>
          <w:color w:val="auto"/>
        </w:rPr>
        <w:t xml:space="preserve">uidance for assessing foreign interference risks to </w:t>
      </w:r>
      <w:r w:rsidRPr="006E1BD6">
        <w:rPr>
          <w:color w:val="auto"/>
        </w:rPr>
        <w:t xml:space="preserve">Victoria for use by all department and entities. Please </w:t>
      </w:r>
      <w:r w:rsidR="001638B9" w:rsidRPr="006E1BD6">
        <w:rPr>
          <w:color w:val="auto"/>
        </w:rPr>
        <w:t>contact</w:t>
      </w:r>
      <w:r w:rsidR="009C6F53">
        <w:rPr>
          <w:color w:val="auto"/>
        </w:rPr>
        <w:t xml:space="preserve"> the </w:t>
      </w:r>
      <w:r w:rsidR="005C3111">
        <w:rPr>
          <w:color w:val="auto"/>
        </w:rPr>
        <w:t>department’s I</w:t>
      </w:r>
      <w:r w:rsidR="00496375" w:rsidRPr="006E1BD6">
        <w:rPr>
          <w:color w:val="auto"/>
        </w:rPr>
        <w:t xml:space="preserve">ntegrity </w:t>
      </w:r>
      <w:r w:rsidR="005C3111">
        <w:rPr>
          <w:color w:val="auto"/>
        </w:rPr>
        <w:t>S</w:t>
      </w:r>
      <w:r w:rsidR="00496375" w:rsidRPr="006E1BD6">
        <w:rPr>
          <w:color w:val="auto"/>
        </w:rPr>
        <w:t xml:space="preserve">ervices </w:t>
      </w:r>
      <w:r w:rsidR="005C3111">
        <w:rPr>
          <w:color w:val="auto"/>
        </w:rPr>
        <w:t xml:space="preserve">Unit </w:t>
      </w:r>
      <w:r w:rsidR="00290F62" w:rsidRPr="006E1BD6">
        <w:rPr>
          <w:color w:val="auto"/>
        </w:rPr>
        <w:t xml:space="preserve">at </w:t>
      </w:r>
      <w:hyperlink r:id="rId73" w:history="1">
        <w:r w:rsidR="0083575D" w:rsidRPr="0075055D">
          <w:rPr>
            <w:rStyle w:val="Hyperlink"/>
          </w:rPr>
          <w:t>integrity@ecodev.vic.gov.au</w:t>
        </w:r>
      </w:hyperlink>
      <w:r w:rsidR="0083575D">
        <w:t xml:space="preserve"> </w:t>
      </w:r>
      <w:r w:rsidR="0083575D" w:rsidRPr="006E1BD6">
        <w:rPr>
          <w:color w:val="auto"/>
        </w:rPr>
        <w:t xml:space="preserve">for a copy of the guidance or further advice. </w:t>
      </w:r>
    </w:p>
    <w:p w14:paraId="6E6ADC46" w14:textId="77777777" w:rsidR="00133642" w:rsidRPr="00224DAB" w:rsidRDefault="00133642" w:rsidP="00290C15">
      <w:pPr>
        <w:pStyle w:val="ListBullet"/>
        <w:numPr>
          <w:ilvl w:val="0"/>
          <w:numId w:val="0"/>
        </w:numPr>
        <w:spacing w:after="160" w:line="220" w:lineRule="atLeast"/>
      </w:pPr>
      <w:r>
        <w:rPr>
          <w:color w:val="auto"/>
        </w:rPr>
        <w:t xml:space="preserve">More information is also available on the </w:t>
      </w:r>
      <w:hyperlink r:id="rId74" w:history="1">
        <w:r w:rsidRPr="008A3EE6">
          <w:rPr>
            <w:rStyle w:val="Hyperlink"/>
            <w:lang w:val="en-US"/>
          </w:rPr>
          <w:t>Countering foreign interference</w:t>
        </w:r>
      </w:hyperlink>
      <w:r w:rsidRPr="008A3EE6">
        <w:rPr>
          <w:color w:val="auto"/>
          <w:lang w:val="en-US"/>
        </w:rPr>
        <w:t xml:space="preserve"> webpage on the Australian Government Department of Home Affairs website.</w:t>
      </w:r>
    </w:p>
    <w:p w14:paraId="5C62F6DD" w14:textId="30F11FA6" w:rsidR="00C477B3" w:rsidRPr="003B7772" w:rsidRDefault="00C477B3" w:rsidP="003B7772">
      <w:pPr>
        <w:pStyle w:val="Heading3"/>
        <w:rPr>
          <w:color w:val="auto"/>
        </w:rPr>
      </w:pPr>
      <w:r w:rsidRPr="003B7772">
        <w:rPr>
          <w:color w:val="auto"/>
        </w:rPr>
        <w:t>5.</w:t>
      </w:r>
      <w:r w:rsidR="00703AFA" w:rsidRPr="003B7772">
        <w:rPr>
          <w:color w:val="auto"/>
        </w:rPr>
        <w:t>8</w:t>
      </w:r>
      <w:r w:rsidRPr="003B7772">
        <w:rPr>
          <w:color w:val="auto"/>
        </w:rPr>
        <w:t>.</w:t>
      </w:r>
      <w:r w:rsidR="003E4478" w:rsidRPr="003B7772">
        <w:rPr>
          <w:color w:val="auto"/>
        </w:rPr>
        <w:t>7</w:t>
      </w:r>
      <w:r w:rsidRPr="003B7772">
        <w:rPr>
          <w:color w:val="auto"/>
        </w:rPr>
        <w:t xml:space="preserve"> Child Safety</w:t>
      </w:r>
    </w:p>
    <w:p w14:paraId="57D000C1" w14:textId="37933BAC" w:rsidR="009D0423" w:rsidRPr="0088656F" w:rsidRDefault="009D0423" w:rsidP="009D0423">
      <w:r>
        <w:t xml:space="preserve">The </w:t>
      </w:r>
      <w:r w:rsidR="00290C15">
        <w:t>table below</w:t>
      </w:r>
      <w:r>
        <w:t xml:space="preserve"> provides an overview of Victoria’s key child safety mechanisms and how they may apply to your entity.</w:t>
      </w:r>
    </w:p>
    <w:p w14:paraId="1AE254A5" w14:textId="77777777" w:rsidR="009D0423" w:rsidRDefault="009D0423" w:rsidP="00133642">
      <w:pPr>
        <w:pStyle w:val="ListBullet"/>
        <w:numPr>
          <w:ilvl w:val="0"/>
          <w:numId w:val="0"/>
        </w:numPr>
        <w:rPr>
          <w:color w:val="000000" w:themeColor="text1"/>
        </w:rPr>
      </w:pPr>
    </w:p>
    <w:tbl>
      <w:tblPr>
        <w:tblStyle w:val="DJSIR"/>
        <w:tblW w:w="5000" w:type="pct"/>
        <w:tblCellMar>
          <w:top w:w="85" w:type="dxa"/>
          <w:left w:w="85" w:type="dxa"/>
          <w:bottom w:w="85" w:type="dxa"/>
          <w:right w:w="85" w:type="dxa"/>
        </w:tblCellMar>
        <w:tblLook w:val="04A0" w:firstRow="1" w:lastRow="0" w:firstColumn="1" w:lastColumn="0" w:noHBand="0" w:noVBand="1"/>
      </w:tblPr>
      <w:tblGrid>
        <w:gridCol w:w="1985"/>
        <w:gridCol w:w="4111"/>
        <w:gridCol w:w="3088"/>
      </w:tblGrid>
      <w:tr w:rsidR="004F668F" w14:paraId="6468FC02" w14:textId="77777777">
        <w:trPr>
          <w:cnfStyle w:val="100000000000" w:firstRow="1" w:lastRow="0" w:firstColumn="0" w:lastColumn="0" w:oddVBand="0" w:evenVBand="0" w:oddHBand="0" w:evenHBand="0" w:firstRowFirstColumn="0" w:firstRowLastColumn="0" w:lastRowFirstColumn="0" w:lastRowLastColumn="0"/>
          <w:tblHeader/>
        </w:trPr>
        <w:tc>
          <w:tcPr>
            <w:tcW w:w="1081" w:type="pct"/>
          </w:tcPr>
          <w:p w14:paraId="66DC143C" w14:textId="77777777" w:rsidR="004F668F" w:rsidRPr="0088656F" w:rsidRDefault="004F668F">
            <w:pPr>
              <w:pStyle w:val="Tabletext"/>
              <w:spacing w:before="0" w:after="0"/>
              <w:rPr>
                <w:b/>
                <w:bCs/>
                <w:color w:val="FFFFFF" w:themeColor="background1"/>
              </w:rPr>
            </w:pPr>
            <w:r>
              <w:rPr>
                <w:b/>
                <w:bCs/>
                <w:color w:val="FFFFFF" w:themeColor="background1"/>
              </w:rPr>
              <w:t>Mechanism</w:t>
            </w:r>
          </w:p>
        </w:tc>
        <w:tc>
          <w:tcPr>
            <w:tcW w:w="2238" w:type="pct"/>
          </w:tcPr>
          <w:p w14:paraId="240134E4" w14:textId="77777777" w:rsidR="004F668F" w:rsidRPr="0088656F" w:rsidRDefault="004F668F">
            <w:pPr>
              <w:pStyle w:val="Tabletext"/>
              <w:spacing w:before="0" w:after="0"/>
              <w:rPr>
                <w:b/>
                <w:bCs/>
                <w:color w:val="FFFFFF" w:themeColor="background1"/>
              </w:rPr>
            </w:pPr>
            <w:r>
              <w:rPr>
                <w:b/>
                <w:bCs/>
                <w:color w:val="FFFFFF" w:themeColor="background1"/>
              </w:rPr>
              <w:t>Brief description</w:t>
            </w:r>
          </w:p>
        </w:tc>
        <w:tc>
          <w:tcPr>
            <w:tcW w:w="1681" w:type="pct"/>
          </w:tcPr>
          <w:p w14:paraId="5D56C24D" w14:textId="77777777" w:rsidR="004F668F" w:rsidRPr="0088656F" w:rsidRDefault="004F668F">
            <w:pPr>
              <w:pStyle w:val="Tabletext"/>
              <w:spacing w:before="0" w:after="0"/>
              <w:rPr>
                <w:b/>
                <w:bCs/>
                <w:color w:val="FFFFFF" w:themeColor="background1"/>
              </w:rPr>
            </w:pPr>
            <w:r>
              <w:rPr>
                <w:b/>
                <w:bCs/>
                <w:color w:val="FFFFFF" w:themeColor="background1"/>
              </w:rPr>
              <w:t>Key requirements for entities</w:t>
            </w:r>
          </w:p>
        </w:tc>
      </w:tr>
      <w:tr w:rsidR="004F668F" w14:paraId="540A66EE" w14:textId="77777777">
        <w:tc>
          <w:tcPr>
            <w:tcW w:w="1081" w:type="pct"/>
          </w:tcPr>
          <w:p w14:paraId="2A98B21E" w14:textId="77777777" w:rsidR="004F668F" w:rsidRPr="0088656F" w:rsidRDefault="004F668F">
            <w:pPr>
              <w:pStyle w:val="Tabletext"/>
              <w:spacing w:before="0" w:after="0"/>
              <w:rPr>
                <w:color w:val="000000" w:themeColor="text1"/>
              </w:rPr>
            </w:pPr>
            <w:hyperlink r:id="rId75" w:history="1">
              <w:r w:rsidRPr="00AC7316">
                <w:rPr>
                  <w:rStyle w:val="Hyperlink"/>
                </w:rPr>
                <w:t>Child Safe Stand</w:t>
              </w:r>
              <w:bookmarkStart w:id="105" w:name="_Hlt191296127"/>
              <w:bookmarkStart w:id="106" w:name="_Hlt191296128"/>
              <w:r w:rsidRPr="00AC7316">
                <w:rPr>
                  <w:rStyle w:val="Hyperlink"/>
                </w:rPr>
                <w:t>a</w:t>
              </w:r>
              <w:bookmarkEnd w:id="105"/>
              <w:bookmarkEnd w:id="106"/>
              <w:r w:rsidRPr="00AC7316">
                <w:rPr>
                  <w:rStyle w:val="Hyperlink"/>
                </w:rPr>
                <w:t>rds</w:t>
              </w:r>
            </w:hyperlink>
          </w:p>
          <w:p w14:paraId="3EF5F720" w14:textId="77777777" w:rsidR="004F668F" w:rsidRPr="00725199" w:rsidRDefault="004F668F">
            <w:pPr>
              <w:pStyle w:val="Tabletext"/>
              <w:spacing w:before="0" w:after="0"/>
              <w:rPr>
                <w:color w:val="000000" w:themeColor="text1"/>
              </w:rPr>
            </w:pPr>
            <w:r w:rsidRPr="00725199">
              <w:rPr>
                <w:color w:val="000000" w:themeColor="text1"/>
              </w:rPr>
              <w:t>(the Standards)</w:t>
            </w:r>
          </w:p>
        </w:tc>
        <w:tc>
          <w:tcPr>
            <w:tcW w:w="2238" w:type="pct"/>
          </w:tcPr>
          <w:p w14:paraId="7D165260" w14:textId="77777777" w:rsidR="004F668F" w:rsidRDefault="004F668F">
            <w:pPr>
              <w:pStyle w:val="Tabletext"/>
              <w:spacing w:before="0" w:after="0"/>
              <w:rPr>
                <w:color w:val="000000" w:themeColor="text1"/>
              </w:rPr>
            </w:pPr>
            <w:r>
              <w:rPr>
                <w:color w:val="000000" w:themeColor="text1"/>
              </w:rPr>
              <w:t xml:space="preserve">The Standards establish minimum requirements for preventing and responding to child abuse. They help organisations foster safe, inclusive and welcoming environments for children.  </w:t>
            </w:r>
          </w:p>
          <w:p w14:paraId="5C631F37" w14:textId="77777777" w:rsidR="004F668F" w:rsidRDefault="004F668F">
            <w:pPr>
              <w:pStyle w:val="Tabletext"/>
              <w:spacing w:before="0" w:after="0"/>
              <w:rPr>
                <w:color w:val="000000" w:themeColor="text1"/>
              </w:rPr>
            </w:pPr>
          </w:p>
          <w:p w14:paraId="61B16203" w14:textId="77777777" w:rsidR="004F668F" w:rsidRDefault="004F668F">
            <w:pPr>
              <w:pStyle w:val="Tabletext"/>
              <w:spacing w:before="0" w:after="0"/>
              <w:rPr>
                <w:color w:val="000000" w:themeColor="text1"/>
              </w:rPr>
            </w:pPr>
            <w:r>
              <w:rPr>
                <w:color w:val="000000" w:themeColor="text1"/>
              </w:rPr>
              <w:t>Per</w:t>
            </w:r>
            <w:r w:rsidRPr="00E37B1C">
              <w:rPr>
                <w:color w:val="000000" w:themeColor="text1"/>
              </w:rPr>
              <w:t xml:space="preserve"> the</w:t>
            </w:r>
            <w:r>
              <w:rPr>
                <w:color w:val="000000" w:themeColor="text1"/>
              </w:rPr>
              <w:t xml:space="preserve"> </w:t>
            </w:r>
            <w:r w:rsidRPr="0088656F">
              <w:rPr>
                <w:i/>
                <w:iCs/>
                <w:color w:val="000000" w:themeColor="text1"/>
              </w:rPr>
              <w:t>Child Wellbeing and Safety Act 2005</w:t>
            </w:r>
            <w:r>
              <w:rPr>
                <w:i/>
                <w:iCs/>
                <w:color w:val="000000" w:themeColor="text1"/>
              </w:rPr>
              <w:t xml:space="preserve"> </w:t>
            </w:r>
            <w:r>
              <w:rPr>
                <w:color w:val="000000" w:themeColor="text1"/>
              </w:rPr>
              <w:t>(CWS Act), the Standards apply to various types of organisations, including:</w:t>
            </w:r>
          </w:p>
          <w:p w14:paraId="6D09EF8B" w14:textId="77777777" w:rsidR="004F668F" w:rsidRDefault="004F668F" w:rsidP="00735900">
            <w:pPr>
              <w:pStyle w:val="Tabletext"/>
              <w:numPr>
                <w:ilvl w:val="0"/>
                <w:numId w:val="46"/>
              </w:numPr>
              <w:spacing w:before="0" w:after="0"/>
              <w:rPr>
                <w:color w:val="000000" w:themeColor="text1"/>
              </w:rPr>
            </w:pPr>
            <w:r>
              <w:rPr>
                <w:color w:val="000000" w:themeColor="text1"/>
              </w:rPr>
              <w:t>government departments</w:t>
            </w:r>
          </w:p>
          <w:p w14:paraId="31379B43" w14:textId="77777777" w:rsidR="004F668F" w:rsidRDefault="004F668F" w:rsidP="00735900">
            <w:pPr>
              <w:pStyle w:val="Tabletext"/>
              <w:numPr>
                <w:ilvl w:val="0"/>
                <w:numId w:val="46"/>
              </w:numPr>
              <w:spacing w:before="0" w:after="0"/>
              <w:rPr>
                <w:color w:val="000000" w:themeColor="text1"/>
              </w:rPr>
            </w:pPr>
            <w:r>
              <w:rPr>
                <w:color w:val="000000" w:themeColor="text1"/>
              </w:rPr>
              <w:t>applicable entities with public functions constituted by or under any Act.</w:t>
            </w:r>
          </w:p>
          <w:p w14:paraId="3D4C253E" w14:textId="77777777" w:rsidR="004F668F" w:rsidRDefault="004F668F">
            <w:pPr>
              <w:pStyle w:val="Tabletext"/>
              <w:spacing w:before="0" w:after="0"/>
              <w:rPr>
                <w:color w:val="000000" w:themeColor="text1"/>
              </w:rPr>
            </w:pPr>
          </w:p>
          <w:p w14:paraId="2D3D9570" w14:textId="77777777" w:rsidR="004F668F" w:rsidRPr="00592264" w:rsidRDefault="004F668F">
            <w:pPr>
              <w:pStyle w:val="Tabletext"/>
              <w:spacing w:before="0" w:after="0"/>
              <w:rPr>
                <w:color w:val="000000" w:themeColor="text1"/>
              </w:rPr>
            </w:pPr>
            <w:r>
              <w:rPr>
                <w:color w:val="000000" w:themeColor="text1"/>
              </w:rPr>
              <w:t xml:space="preserve">If your entity employs children or provides services or facilities for children, there is a high likelihood that it must comply with the Standards (see Schedule 1 of the CWS Act for more detail). </w:t>
            </w:r>
          </w:p>
        </w:tc>
        <w:tc>
          <w:tcPr>
            <w:tcW w:w="1681" w:type="pct"/>
          </w:tcPr>
          <w:p w14:paraId="2E9AC254" w14:textId="77777777" w:rsidR="004F668F" w:rsidRDefault="004F668F">
            <w:pPr>
              <w:pStyle w:val="Tabletext"/>
              <w:spacing w:before="0" w:after="0"/>
              <w:rPr>
                <w:color w:val="000000" w:themeColor="text1"/>
              </w:rPr>
            </w:pPr>
            <w:r>
              <w:rPr>
                <w:color w:val="000000" w:themeColor="text1"/>
              </w:rPr>
              <w:t xml:space="preserve">If your entity meets the criteria under the CWS Act, it must comply with the Standards by fostering a child-safe culture and developing relevant policies, procedures, processes and practices. </w:t>
            </w:r>
          </w:p>
          <w:p w14:paraId="021DE5CA" w14:textId="77777777" w:rsidR="004F668F" w:rsidRDefault="004F668F">
            <w:pPr>
              <w:pStyle w:val="Tabletext"/>
              <w:spacing w:before="0" w:after="0"/>
              <w:rPr>
                <w:color w:val="000000" w:themeColor="text1"/>
              </w:rPr>
            </w:pPr>
          </w:p>
          <w:p w14:paraId="50051E9E" w14:textId="77777777" w:rsidR="004F668F" w:rsidRDefault="004F668F">
            <w:pPr>
              <w:pStyle w:val="Tabletext"/>
              <w:spacing w:before="0" w:after="0"/>
              <w:rPr>
                <w:color w:val="000000" w:themeColor="text1"/>
              </w:rPr>
            </w:pPr>
            <w:r>
              <w:rPr>
                <w:color w:val="000000" w:themeColor="text1"/>
              </w:rPr>
              <w:t>Your entity must also ensure that any funding agreements for the delivery of child-related work with other Schedule 1 entities mandate their compliance with the Standards.</w:t>
            </w:r>
          </w:p>
          <w:p w14:paraId="6F7481FE" w14:textId="77777777" w:rsidR="004F668F" w:rsidRDefault="004F668F">
            <w:pPr>
              <w:pStyle w:val="Tabletext"/>
              <w:spacing w:before="0" w:after="0"/>
              <w:rPr>
                <w:color w:val="000000" w:themeColor="text1"/>
              </w:rPr>
            </w:pPr>
          </w:p>
          <w:p w14:paraId="63ABE203" w14:textId="77777777" w:rsidR="004F668F" w:rsidRPr="000D313F" w:rsidRDefault="004F668F">
            <w:pPr>
              <w:pStyle w:val="Tabletext"/>
              <w:spacing w:before="0" w:after="0"/>
              <w:rPr>
                <w:color w:val="000000" w:themeColor="text1"/>
              </w:rPr>
            </w:pPr>
            <w:r>
              <w:rPr>
                <w:color w:val="000000" w:themeColor="text1"/>
              </w:rPr>
              <w:t xml:space="preserve">See the </w:t>
            </w:r>
            <w:hyperlink r:id="rId76" w:history="1">
              <w:r w:rsidRPr="001319A7">
                <w:rPr>
                  <w:rStyle w:val="Hyperlink"/>
                </w:rPr>
                <w:t>online resources</w:t>
              </w:r>
            </w:hyperlink>
            <w:r>
              <w:rPr>
                <w:color w:val="000000" w:themeColor="text1"/>
              </w:rPr>
              <w:t xml:space="preserve"> from the Commission for Children and Young People (CCYP) for more detail.</w:t>
            </w:r>
          </w:p>
        </w:tc>
      </w:tr>
      <w:tr w:rsidR="004F668F" w14:paraId="7B00959C" w14:textId="77777777">
        <w:tc>
          <w:tcPr>
            <w:tcW w:w="1081" w:type="pct"/>
          </w:tcPr>
          <w:p w14:paraId="2E1B8A22" w14:textId="77777777" w:rsidR="004F668F" w:rsidRDefault="004F668F">
            <w:pPr>
              <w:pStyle w:val="Tabletext"/>
              <w:spacing w:before="0" w:after="0"/>
              <w:rPr>
                <w:color w:val="000000" w:themeColor="text1"/>
              </w:rPr>
            </w:pPr>
            <w:hyperlink r:id="rId77" w:history="1">
              <w:r w:rsidRPr="00E65CC6">
                <w:rPr>
                  <w:rStyle w:val="Hyperlink"/>
                </w:rPr>
                <w:t xml:space="preserve">Reportable Conduct </w:t>
              </w:r>
              <w:r w:rsidRPr="00E65CC6">
                <w:rPr>
                  <w:rStyle w:val="Hyperlink"/>
                </w:rPr>
                <w:br/>
                <w:t>Scheme</w:t>
              </w:r>
            </w:hyperlink>
          </w:p>
        </w:tc>
        <w:tc>
          <w:tcPr>
            <w:tcW w:w="2238" w:type="pct"/>
          </w:tcPr>
          <w:p w14:paraId="718F13BD" w14:textId="77777777" w:rsidR="004F668F" w:rsidRDefault="004F668F">
            <w:pPr>
              <w:pStyle w:val="Tabletext"/>
              <w:spacing w:before="0" w:after="0"/>
              <w:rPr>
                <w:color w:val="000000" w:themeColor="text1"/>
              </w:rPr>
            </w:pPr>
            <w:r>
              <w:rPr>
                <w:color w:val="000000" w:themeColor="text1"/>
              </w:rPr>
              <w:t>The Reportable Conduct Scheme aims to improve how organisations manage allegations of child abuse involving their employees, including volunteers. It applies to allegations of emotional or psychological abuse, neglect, physical abuse, sexual abuse and/or sexual misconduct committed by an adult against, with, or in the presence of a child.</w:t>
            </w:r>
          </w:p>
          <w:p w14:paraId="18F52E40" w14:textId="77777777" w:rsidR="004F668F" w:rsidRDefault="004F668F">
            <w:pPr>
              <w:pStyle w:val="Tabletext"/>
              <w:spacing w:before="0" w:after="0"/>
              <w:rPr>
                <w:color w:val="000000" w:themeColor="text1"/>
              </w:rPr>
            </w:pPr>
          </w:p>
          <w:p w14:paraId="10FC1901" w14:textId="77777777" w:rsidR="004F668F" w:rsidRDefault="004F668F">
            <w:pPr>
              <w:pStyle w:val="Tabletext"/>
              <w:spacing w:before="0" w:after="0"/>
              <w:rPr>
                <w:color w:val="000000" w:themeColor="text1"/>
              </w:rPr>
            </w:pPr>
            <w:r>
              <w:rPr>
                <w:color w:val="000000" w:themeColor="text1"/>
              </w:rPr>
              <w:t>Per the CWS Act, the Reportable Conduct Scheme applies to various types of organisations (see Schedules 3, 4 and 5), including:</w:t>
            </w:r>
          </w:p>
          <w:p w14:paraId="32580757" w14:textId="77777777" w:rsidR="004F668F" w:rsidRDefault="004F668F" w:rsidP="00735900">
            <w:pPr>
              <w:pStyle w:val="Tabletext"/>
              <w:numPr>
                <w:ilvl w:val="0"/>
                <w:numId w:val="47"/>
              </w:numPr>
              <w:spacing w:before="0" w:after="0"/>
              <w:rPr>
                <w:color w:val="000000" w:themeColor="text1"/>
              </w:rPr>
            </w:pPr>
            <w:r>
              <w:rPr>
                <w:color w:val="000000" w:themeColor="text1"/>
              </w:rPr>
              <w:t>government departments</w:t>
            </w:r>
          </w:p>
          <w:p w14:paraId="761E757C" w14:textId="77777777" w:rsidR="004F668F" w:rsidRPr="00922598" w:rsidRDefault="004F668F" w:rsidP="00735900">
            <w:pPr>
              <w:pStyle w:val="Tabletext"/>
              <w:numPr>
                <w:ilvl w:val="0"/>
                <w:numId w:val="47"/>
              </w:numPr>
              <w:spacing w:before="0" w:after="0"/>
              <w:rPr>
                <w:color w:val="000000" w:themeColor="text1"/>
              </w:rPr>
            </w:pPr>
            <w:r w:rsidRPr="00922598">
              <w:rPr>
                <w:color w:val="000000" w:themeColor="text1"/>
              </w:rPr>
              <w:t>other entities with public functions constituted by or under any Act.</w:t>
            </w:r>
          </w:p>
        </w:tc>
        <w:tc>
          <w:tcPr>
            <w:tcW w:w="1681" w:type="pct"/>
          </w:tcPr>
          <w:p w14:paraId="098E10EF" w14:textId="77777777" w:rsidR="004F668F" w:rsidRDefault="004F668F">
            <w:pPr>
              <w:pStyle w:val="Tabletext"/>
              <w:spacing w:before="0" w:after="0"/>
              <w:rPr>
                <w:color w:val="000000" w:themeColor="text1"/>
              </w:rPr>
            </w:pPr>
            <w:r>
              <w:rPr>
                <w:color w:val="000000" w:themeColor="text1"/>
              </w:rPr>
              <w:t>If your entity meets the criteria under the CWS Act, it must have systems in place to:</w:t>
            </w:r>
          </w:p>
          <w:p w14:paraId="2A2C501B" w14:textId="77777777" w:rsidR="004F668F" w:rsidRDefault="004F668F" w:rsidP="00735900">
            <w:pPr>
              <w:pStyle w:val="Tabletext"/>
              <w:numPr>
                <w:ilvl w:val="0"/>
                <w:numId w:val="48"/>
              </w:numPr>
              <w:spacing w:before="0" w:after="0"/>
              <w:rPr>
                <w:color w:val="000000" w:themeColor="text1"/>
              </w:rPr>
            </w:pPr>
            <w:r>
              <w:rPr>
                <w:color w:val="000000" w:themeColor="text1"/>
              </w:rPr>
              <w:t xml:space="preserve">prevent the commission of reportable conduct by staff </w:t>
            </w:r>
          </w:p>
          <w:p w14:paraId="0109E6E4" w14:textId="77777777" w:rsidR="004F668F" w:rsidRDefault="004F668F" w:rsidP="00735900">
            <w:pPr>
              <w:pStyle w:val="Tabletext"/>
              <w:numPr>
                <w:ilvl w:val="0"/>
                <w:numId w:val="48"/>
              </w:numPr>
              <w:spacing w:before="0" w:after="0"/>
              <w:rPr>
                <w:color w:val="000000" w:themeColor="text1"/>
              </w:rPr>
            </w:pPr>
            <w:r>
              <w:rPr>
                <w:color w:val="000000" w:themeColor="text1"/>
              </w:rPr>
              <w:t>investigate and respond to reportable allegations</w:t>
            </w:r>
          </w:p>
          <w:p w14:paraId="73EB6C73" w14:textId="77777777" w:rsidR="004F668F" w:rsidRDefault="004F668F" w:rsidP="00735900">
            <w:pPr>
              <w:pStyle w:val="Tabletext"/>
              <w:numPr>
                <w:ilvl w:val="0"/>
                <w:numId w:val="48"/>
              </w:numPr>
              <w:spacing w:before="0" w:after="0"/>
              <w:rPr>
                <w:color w:val="000000" w:themeColor="text1"/>
              </w:rPr>
            </w:pPr>
            <w:r w:rsidRPr="00922598">
              <w:rPr>
                <w:color w:val="000000" w:themeColor="text1"/>
              </w:rPr>
              <w:t xml:space="preserve">enable any person, including a staff member, to make a reportable allegation to your entity’s head or the CCYP.  </w:t>
            </w:r>
          </w:p>
          <w:p w14:paraId="29AC7DC1" w14:textId="77777777" w:rsidR="004F668F" w:rsidRDefault="004F668F">
            <w:pPr>
              <w:pStyle w:val="Tabletext"/>
              <w:spacing w:before="0" w:after="0"/>
              <w:rPr>
                <w:color w:val="000000" w:themeColor="text1"/>
              </w:rPr>
            </w:pPr>
          </w:p>
          <w:p w14:paraId="59610B6F" w14:textId="77777777" w:rsidR="004F668F" w:rsidRPr="00922598" w:rsidRDefault="004F668F">
            <w:pPr>
              <w:pStyle w:val="Tabletext"/>
              <w:spacing w:before="0" w:after="0"/>
              <w:rPr>
                <w:color w:val="000000" w:themeColor="text1"/>
              </w:rPr>
            </w:pPr>
            <w:r>
              <w:rPr>
                <w:color w:val="000000" w:themeColor="text1"/>
              </w:rPr>
              <w:t xml:space="preserve">See the </w:t>
            </w:r>
            <w:hyperlink r:id="rId78" w:history="1">
              <w:r w:rsidRPr="007E40FD">
                <w:rPr>
                  <w:rStyle w:val="Hyperlink"/>
                </w:rPr>
                <w:t>online resources</w:t>
              </w:r>
            </w:hyperlink>
            <w:r>
              <w:rPr>
                <w:color w:val="000000" w:themeColor="text1"/>
              </w:rPr>
              <w:t xml:space="preserve"> from the CCYP for more detail. </w:t>
            </w:r>
          </w:p>
        </w:tc>
      </w:tr>
      <w:tr w:rsidR="004F668F" w14:paraId="2EFFF29D" w14:textId="77777777">
        <w:tc>
          <w:tcPr>
            <w:tcW w:w="1081" w:type="pct"/>
          </w:tcPr>
          <w:p w14:paraId="60787E47" w14:textId="77777777" w:rsidR="004F668F" w:rsidRPr="00725199" w:rsidRDefault="004F668F">
            <w:pPr>
              <w:pStyle w:val="Tabletext"/>
              <w:spacing w:before="0" w:after="0"/>
              <w:rPr>
                <w:color w:val="000000" w:themeColor="text1"/>
              </w:rPr>
            </w:pPr>
            <w:r>
              <w:rPr>
                <w:color w:val="000000" w:themeColor="text1"/>
              </w:rPr>
              <w:t xml:space="preserve">Compliance with the </w:t>
            </w:r>
            <w:hyperlink r:id="rId79" w:history="1">
              <w:r>
                <w:rPr>
                  <w:rStyle w:val="Hyperlink"/>
                </w:rPr>
                <w:t>National Redress Scheme</w:t>
              </w:r>
            </w:hyperlink>
            <w:r>
              <w:rPr>
                <w:color w:val="000000" w:themeColor="text1"/>
              </w:rPr>
              <w:t xml:space="preserve"> (NRS)</w:t>
            </w:r>
          </w:p>
        </w:tc>
        <w:tc>
          <w:tcPr>
            <w:tcW w:w="2238" w:type="pct"/>
          </w:tcPr>
          <w:p w14:paraId="09914655" w14:textId="77777777" w:rsidR="004F668F" w:rsidRDefault="004F668F">
            <w:pPr>
              <w:pStyle w:val="Tabletext"/>
              <w:spacing w:before="0" w:after="0"/>
              <w:rPr>
                <w:color w:val="000000" w:themeColor="text1"/>
              </w:rPr>
            </w:pPr>
            <w:r>
              <w:rPr>
                <w:color w:val="000000" w:themeColor="text1"/>
              </w:rPr>
              <w:t>The NRS aims to ‘recognise and alleviate’ the impact of institutional child sexual abuse by offering support to survivors via 3 mechanisms:</w:t>
            </w:r>
          </w:p>
          <w:p w14:paraId="2543EADF" w14:textId="77777777" w:rsidR="004F668F" w:rsidRDefault="004F668F" w:rsidP="00735900">
            <w:pPr>
              <w:pStyle w:val="Tabletext"/>
              <w:numPr>
                <w:ilvl w:val="0"/>
                <w:numId w:val="50"/>
              </w:numPr>
              <w:spacing w:before="0" w:after="0"/>
              <w:rPr>
                <w:color w:val="000000" w:themeColor="text1"/>
              </w:rPr>
            </w:pPr>
            <w:r>
              <w:rPr>
                <w:color w:val="000000" w:themeColor="text1"/>
              </w:rPr>
              <w:t>financial compensation</w:t>
            </w:r>
          </w:p>
          <w:p w14:paraId="39962522" w14:textId="77777777" w:rsidR="004F668F" w:rsidRDefault="004F668F" w:rsidP="00735900">
            <w:pPr>
              <w:pStyle w:val="Tabletext"/>
              <w:numPr>
                <w:ilvl w:val="0"/>
                <w:numId w:val="50"/>
              </w:numPr>
              <w:spacing w:before="0" w:after="0"/>
              <w:rPr>
                <w:color w:val="000000" w:themeColor="text1"/>
              </w:rPr>
            </w:pPr>
            <w:r>
              <w:rPr>
                <w:color w:val="000000" w:themeColor="text1"/>
              </w:rPr>
              <w:t>access to counselling and psychological services</w:t>
            </w:r>
          </w:p>
          <w:p w14:paraId="501B6510" w14:textId="77777777" w:rsidR="004F668F" w:rsidRDefault="004F668F" w:rsidP="00735900">
            <w:pPr>
              <w:pStyle w:val="Tabletext"/>
              <w:numPr>
                <w:ilvl w:val="0"/>
                <w:numId w:val="50"/>
              </w:numPr>
              <w:spacing w:before="0" w:after="0"/>
              <w:rPr>
                <w:color w:val="000000" w:themeColor="text1"/>
              </w:rPr>
            </w:pPr>
            <w:r>
              <w:rPr>
                <w:color w:val="000000" w:themeColor="text1"/>
              </w:rPr>
              <w:t>statements of acknowledgement from the responsible entities.</w:t>
            </w:r>
          </w:p>
        </w:tc>
        <w:tc>
          <w:tcPr>
            <w:tcW w:w="1681" w:type="pct"/>
          </w:tcPr>
          <w:p w14:paraId="4600FD3D" w14:textId="77777777" w:rsidR="004F668F" w:rsidRDefault="004F668F">
            <w:pPr>
              <w:pStyle w:val="Tabletext"/>
              <w:spacing w:before="0" w:after="0"/>
              <w:rPr>
                <w:color w:val="000000" w:themeColor="text1"/>
              </w:rPr>
            </w:pPr>
            <w:r>
              <w:rPr>
                <w:color w:val="000000" w:themeColor="text1"/>
              </w:rPr>
              <w:t>If your entity receives a Notice of Redress Liability or Request for Information from the NRS Operator, it must comply with the NRS Operator’s requirements.</w:t>
            </w:r>
          </w:p>
        </w:tc>
      </w:tr>
      <w:tr w:rsidR="004F668F" w14:paraId="3710EF30" w14:textId="77777777">
        <w:tc>
          <w:tcPr>
            <w:tcW w:w="1081" w:type="pct"/>
          </w:tcPr>
          <w:p w14:paraId="2C0B48A1" w14:textId="77777777" w:rsidR="004F668F" w:rsidRPr="00366F29" w:rsidRDefault="004F668F">
            <w:pPr>
              <w:pStyle w:val="Tabletext"/>
              <w:spacing w:before="0" w:after="0"/>
              <w:rPr>
                <w:color w:val="000000" w:themeColor="text1"/>
              </w:rPr>
            </w:pPr>
            <w:hyperlink r:id="rId80" w:history="1">
              <w:r w:rsidRPr="00366F29">
                <w:rPr>
                  <w:rStyle w:val="Hyperlink"/>
                </w:rPr>
                <w:t>Victorian Government Policy on Institutional Participation in the National Redress Scheme for Institutional Child Sexual Abuse</w:t>
              </w:r>
            </w:hyperlink>
            <w:r>
              <w:rPr>
                <w:color w:val="000000" w:themeColor="text1"/>
              </w:rPr>
              <w:t xml:space="preserve"> (NRS Policy)</w:t>
            </w:r>
          </w:p>
        </w:tc>
        <w:tc>
          <w:tcPr>
            <w:tcW w:w="2238" w:type="pct"/>
          </w:tcPr>
          <w:p w14:paraId="47EE08ED" w14:textId="77777777" w:rsidR="004F668F" w:rsidRDefault="004F668F">
            <w:pPr>
              <w:pStyle w:val="Tabletext"/>
              <w:spacing w:before="0" w:after="0"/>
              <w:rPr>
                <w:color w:val="000000" w:themeColor="text1"/>
              </w:rPr>
            </w:pPr>
            <w:r>
              <w:rPr>
                <w:color w:val="000000" w:themeColor="text1"/>
              </w:rPr>
              <w:t xml:space="preserve">Per the NRS Policy, any institution that has received a Notice of Redress Liability, and is eligible to join the NRS, must do so as a condition of receiving Victorian Government funding. The NRS Policy applies to any situation where a non-government institution is receiving, or seeking to receive, Victorian Government funding. </w:t>
            </w:r>
          </w:p>
        </w:tc>
        <w:tc>
          <w:tcPr>
            <w:tcW w:w="1681" w:type="pct"/>
          </w:tcPr>
          <w:p w14:paraId="11D94E08" w14:textId="77777777" w:rsidR="004F668F" w:rsidRDefault="004F668F">
            <w:pPr>
              <w:pStyle w:val="Tabletext"/>
              <w:spacing w:before="0" w:after="0"/>
              <w:rPr>
                <w:color w:val="000000" w:themeColor="text1"/>
              </w:rPr>
            </w:pPr>
            <w:r>
              <w:rPr>
                <w:color w:val="000000" w:themeColor="text1"/>
              </w:rPr>
              <w:t>Before funding a non-government institution, your entity must:</w:t>
            </w:r>
          </w:p>
          <w:p w14:paraId="58934BE4" w14:textId="77777777" w:rsidR="004F668F" w:rsidRDefault="004F668F" w:rsidP="00735900">
            <w:pPr>
              <w:pStyle w:val="Tabletext"/>
              <w:numPr>
                <w:ilvl w:val="0"/>
                <w:numId w:val="49"/>
              </w:numPr>
              <w:spacing w:before="0" w:after="0"/>
              <w:rPr>
                <w:color w:val="000000" w:themeColor="text1"/>
              </w:rPr>
            </w:pPr>
            <w:r>
              <w:rPr>
                <w:color w:val="000000" w:themeColor="text1"/>
              </w:rPr>
              <w:t>check whether the institution complies with the NRS Policy</w:t>
            </w:r>
          </w:p>
          <w:p w14:paraId="25D35281" w14:textId="77777777" w:rsidR="004F668F" w:rsidRDefault="004F668F" w:rsidP="00735900">
            <w:pPr>
              <w:pStyle w:val="Tabletext"/>
              <w:numPr>
                <w:ilvl w:val="0"/>
                <w:numId w:val="49"/>
              </w:numPr>
              <w:spacing w:before="0" w:after="0"/>
              <w:rPr>
                <w:color w:val="000000" w:themeColor="text1"/>
              </w:rPr>
            </w:pPr>
            <w:r>
              <w:rPr>
                <w:color w:val="000000" w:themeColor="text1"/>
              </w:rPr>
              <w:t xml:space="preserve">ensure any funding agreement mandates the institution’s compliance with the NRS Policy. </w:t>
            </w:r>
          </w:p>
        </w:tc>
      </w:tr>
    </w:tbl>
    <w:p w14:paraId="6696F8C7" w14:textId="77777777" w:rsidR="004F668F" w:rsidRPr="00AA78CE" w:rsidRDefault="004F668F" w:rsidP="00FA035B">
      <w:pPr>
        <w:pStyle w:val="ListBullet"/>
        <w:numPr>
          <w:ilvl w:val="0"/>
          <w:numId w:val="0"/>
        </w:numPr>
        <w:rPr>
          <w:color w:val="000000" w:themeColor="text1"/>
        </w:rPr>
      </w:pPr>
    </w:p>
    <w:p w14:paraId="7ACE5CFD" w14:textId="77777777" w:rsidR="00C477B3" w:rsidRPr="00440D30" w:rsidRDefault="00C477B3" w:rsidP="00C477B3">
      <w:pPr>
        <w:suppressAutoHyphens w:val="0"/>
        <w:autoSpaceDE/>
        <w:autoSpaceDN/>
        <w:adjustRightInd/>
        <w:spacing w:after="0" w:line="240" w:lineRule="auto"/>
        <w:ind w:left="360"/>
        <w:textAlignment w:val="auto"/>
        <w:rPr>
          <w:color w:val="000000" w:themeColor="text1"/>
        </w:rPr>
      </w:pPr>
    </w:p>
    <w:p w14:paraId="59D2469A" w14:textId="7C844D78" w:rsidR="00C477B3" w:rsidRPr="007C3FAD" w:rsidRDefault="00C477B3" w:rsidP="00C477B3">
      <w:pPr>
        <w:pStyle w:val="Heading3"/>
        <w:spacing w:before="0"/>
      </w:pPr>
      <w:r w:rsidRPr="005A3CA4" w:rsidDel="00947860">
        <w:fldChar w:fldCharType="begin"/>
      </w:r>
      <w:r w:rsidRPr="005A3CA4" w:rsidDel="00947860">
        <w:fldChar w:fldCharType="separate"/>
      </w:r>
      <w:r w:rsidRPr="005A3CA4" w:rsidDel="00947860">
        <w:rPr>
          <w:rStyle w:val="Hyperlink"/>
          <w:lang w:val="en-AU"/>
        </w:rPr>
        <w:fldChar w:fldCharType="end"/>
      </w:r>
      <w:r w:rsidRPr="005A3CA4" w:rsidDel="00947860">
        <w:fldChar w:fldCharType="begin"/>
      </w:r>
      <w:r w:rsidRPr="005A3CA4" w:rsidDel="00947860">
        <w:fldChar w:fldCharType="separate"/>
      </w:r>
      <w:r w:rsidRPr="005A3CA4" w:rsidDel="00947860">
        <w:rPr>
          <w:rStyle w:val="Hyperlink"/>
          <w:lang w:val="en-AU"/>
        </w:rPr>
        <w:fldChar w:fldCharType="end"/>
      </w:r>
      <w:bookmarkStart w:id="107" w:name="_Toc194930416"/>
      <w:r w:rsidRPr="14667A63">
        <w:rPr>
          <w:sz w:val="18"/>
          <w:szCs w:val="18"/>
        </w:rPr>
        <w:t>5.</w:t>
      </w:r>
      <w:r w:rsidR="00703AFA">
        <w:rPr>
          <w:sz w:val="18"/>
          <w:szCs w:val="18"/>
        </w:rPr>
        <w:t>8</w:t>
      </w:r>
      <w:r w:rsidRPr="14667A63">
        <w:rPr>
          <w:sz w:val="18"/>
          <w:szCs w:val="18"/>
        </w:rPr>
        <w:t>.</w:t>
      </w:r>
      <w:r w:rsidR="00703AFA">
        <w:rPr>
          <w:sz w:val="18"/>
          <w:szCs w:val="18"/>
        </w:rPr>
        <w:t>8</w:t>
      </w:r>
      <w:r>
        <w:tab/>
      </w:r>
      <w:r w:rsidRPr="00703AFA">
        <w:t xml:space="preserve">Further </w:t>
      </w:r>
      <w:r w:rsidR="00B764DF" w:rsidRPr="00703AFA">
        <w:t>i</w:t>
      </w:r>
      <w:r w:rsidRPr="00703AFA">
        <w:t>nformation and guidance</w:t>
      </w:r>
      <w:r w:rsidR="0037268E" w:rsidRPr="00703AFA">
        <w:t xml:space="preserve"> on </w:t>
      </w:r>
      <w:r w:rsidR="0093021D" w:rsidRPr="00703AFA">
        <w:t>integrity</w:t>
      </w:r>
      <w:bookmarkEnd w:id="107"/>
    </w:p>
    <w:p w14:paraId="72EB62FA" w14:textId="6F238D6A" w:rsidR="00C477B3" w:rsidRPr="00011BB3" w:rsidRDefault="00C477B3" w:rsidP="003B7772">
      <w:pPr>
        <w:pStyle w:val="Heading4"/>
        <w:spacing w:before="0" w:after="160"/>
      </w:pPr>
      <w:bookmarkStart w:id="108" w:name="_Toc194930417"/>
      <w:r w:rsidRPr="002651F5">
        <w:t>5.</w:t>
      </w:r>
      <w:r w:rsidR="00703AFA">
        <w:t>8</w:t>
      </w:r>
      <w:r w:rsidRPr="002651F5">
        <w:t>.</w:t>
      </w:r>
      <w:r w:rsidR="00703AFA">
        <w:t>8</w:t>
      </w:r>
      <w:r w:rsidRPr="002651F5">
        <w:t>.1</w:t>
      </w:r>
      <w:r>
        <w:t xml:space="preserve"> Further information – DJSIR</w:t>
      </w:r>
      <w:bookmarkEnd w:id="108"/>
    </w:p>
    <w:p w14:paraId="4B40F347" w14:textId="140600AC" w:rsidR="00C477B3" w:rsidRDefault="00C477B3" w:rsidP="00C477B3">
      <w:r w:rsidRPr="00D03E27">
        <w:t xml:space="preserve">Further information on </w:t>
      </w:r>
      <w:r>
        <w:t>DJSIR’s</w:t>
      </w:r>
      <w:r w:rsidRPr="00D03E27">
        <w:t xml:space="preserve"> policies and procedures related to managing conflicts of interes</w:t>
      </w:r>
      <w:r>
        <w:t>t,</w:t>
      </w:r>
      <w:r w:rsidRPr="00D03E27">
        <w:t xml:space="preserve"> </w:t>
      </w:r>
      <w:hyperlink r:id="rId81">
        <w:r>
          <w:t>fraud and corruption control,</w:t>
        </w:r>
      </w:hyperlink>
      <w:r w:rsidRPr="00D03E27">
        <w:t xml:space="preserve"> </w:t>
      </w:r>
      <w:r>
        <w:t xml:space="preserve">gifts, benefits and hospitality, child safety or </w:t>
      </w:r>
      <w:r w:rsidR="00CA7949">
        <w:t>p</w:t>
      </w:r>
      <w:r>
        <w:t xml:space="preserve">ublic </w:t>
      </w:r>
      <w:r w:rsidR="00CA7949">
        <w:t>i</w:t>
      </w:r>
      <w:r>
        <w:t>nterest</w:t>
      </w:r>
      <w:r w:rsidR="00CA7949">
        <w:t xml:space="preserve"> d</w:t>
      </w:r>
      <w:r>
        <w:t>isclosures</w:t>
      </w:r>
      <w:r w:rsidRPr="00D03E27">
        <w:t xml:space="preserve"> can be obtained from the </w:t>
      </w:r>
      <w:r>
        <w:t>department’s</w:t>
      </w:r>
      <w:r w:rsidRPr="00D03E27">
        <w:t xml:space="preserve"> </w:t>
      </w:r>
      <w:r w:rsidRPr="00DA4757">
        <w:t xml:space="preserve">Integrity Services </w:t>
      </w:r>
      <w:r>
        <w:t>Unit</w:t>
      </w:r>
      <w:r w:rsidRPr="00DA4757">
        <w:t xml:space="preserve"> (</w:t>
      </w:r>
      <w:r w:rsidDel="00971350">
        <w:fldChar w:fldCharType="begin"/>
      </w:r>
      <w:r w:rsidDel="00971350">
        <w:fldChar w:fldCharType="separate"/>
      </w:r>
      <w:r w:rsidDel="00971350">
        <w:fldChar w:fldCharType="end"/>
      </w:r>
      <w:r>
        <w:t>integrity@ecodev.vic.gov.au).</w:t>
      </w:r>
    </w:p>
    <w:p w14:paraId="15C1B859" w14:textId="6EE51886" w:rsidR="00C477B3" w:rsidRPr="00574EA6" w:rsidRDefault="00C477B3" w:rsidP="003B7772">
      <w:pPr>
        <w:pStyle w:val="Heading4"/>
        <w:spacing w:before="0" w:after="160"/>
      </w:pPr>
      <w:bookmarkStart w:id="109" w:name="_Toc194930418"/>
      <w:r>
        <w:t>5.</w:t>
      </w:r>
      <w:r w:rsidR="00703AFA">
        <w:t>8</w:t>
      </w:r>
      <w:r>
        <w:t>.</w:t>
      </w:r>
      <w:r w:rsidR="00703AFA">
        <w:t>8</w:t>
      </w:r>
      <w:r>
        <w:t>.2 Further information – External Organisations</w:t>
      </w:r>
      <w:bookmarkEnd w:id="109"/>
    </w:p>
    <w:p w14:paraId="43C9E1BC" w14:textId="7562FF77" w:rsidR="00C477B3" w:rsidRPr="00882336" w:rsidRDefault="00C477B3" w:rsidP="00C477B3">
      <w:r w:rsidRPr="00882336">
        <w:t xml:space="preserve">Further information on </w:t>
      </w:r>
      <w:r w:rsidR="00FE71F2">
        <w:t>p</w:t>
      </w:r>
      <w:r w:rsidRPr="00882336">
        <w:t xml:space="preserve">ublic </w:t>
      </w:r>
      <w:r w:rsidR="00FE71F2">
        <w:t>i</w:t>
      </w:r>
      <w:r w:rsidRPr="00882336">
        <w:t xml:space="preserve">nterest </w:t>
      </w:r>
      <w:r w:rsidR="00FE71F2">
        <w:t>d</w:t>
      </w:r>
      <w:r w:rsidRPr="00882336">
        <w:t xml:space="preserve">isclosures can be obtained from the </w:t>
      </w:r>
      <w:r w:rsidRPr="00882336" w:rsidDel="00FA11BA">
        <w:t>IBAC</w:t>
      </w:r>
      <w:r w:rsidRPr="00882336">
        <w:t xml:space="preserve"> on 1300 735 135, or www.ibac.vic.gov.au</w:t>
      </w:r>
      <w:r>
        <w:t xml:space="preserve">. </w:t>
      </w:r>
      <w:r w:rsidRPr="00882336">
        <w:t xml:space="preserve"> </w:t>
      </w:r>
    </w:p>
    <w:p w14:paraId="32E5B400" w14:textId="29E00197" w:rsidR="00C477B3" w:rsidRPr="00882336" w:rsidRDefault="00C477B3" w:rsidP="00C477B3">
      <w:r>
        <w:t xml:space="preserve">Further information on </w:t>
      </w:r>
      <w:r w:rsidR="00FE71F2">
        <w:t>c</w:t>
      </w:r>
      <w:r>
        <w:t xml:space="preserve">hild </w:t>
      </w:r>
      <w:r w:rsidR="00FE71F2">
        <w:t>s</w:t>
      </w:r>
      <w:r>
        <w:t>afety can be obtained from the Commission for Children and Young People on 1300 782</w:t>
      </w:r>
      <w:r w:rsidR="009C186D">
        <w:t xml:space="preserve"> </w:t>
      </w:r>
      <w:r>
        <w:t>978, or www.ccyp.vic.gov.au.</w:t>
      </w:r>
    </w:p>
    <w:p w14:paraId="31374183" w14:textId="7AE29D8D" w:rsidR="00C477B3" w:rsidRDefault="00C477B3" w:rsidP="00C477B3">
      <w:r>
        <w:t xml:space="preserve">Further information on </w:t>
      </w:r>
      <w:r w:rsidR="00FE71F2">
        <w:t>g</w:t>
      </w:r>
      <w:r>
        <w:t xml:space="preserve">ifts, </w:t>
      </w:r>
      <w:r w:rsidR="00FE71F2">
        <w:t>b</w:t>
      </w:r>
      <w:r>
        <w:t xml:space="preserve">enefits and </w:t>
      </w:r>
      <w:r w:rsidR="00FE71F2">
        <w:t>h</w:t>
      </w:r>
      <w:r>
        <w:t xml:space="preserve">ospitality and </w:t>
      </w:r>
      <w:r w:rsidR="00FE71F2">
        <w:t>c</w:t>
      </w:r>
      <w:r>
        <w:t xml:space="preserve">onflicts of </w:t>
      </w:r>
      <w:r w:rsidR="00FE71F2">
        <w:t>i</w:t>
      </w:r>
      <w:r>
        <w:t xml:space="preserve">nterest can be obtained from the Victorian Public Sector Commission at </w:t>
      </w:r>
      <w:hyperlink r:id="rId82" w:history="1">
        <w:r>
          <w:t>info@vpsc.vic.gov.au</w:t>
        </w:r>
      </w:hyperlink>
      <w:r>
        <w:t>.</w:t>
      </w:r>
    </w:p>
    <w:p w14:paraId="00B1CF1B" w14:textId="513BB9C9" w:rsidR="00C06636" w:rsidRDefault="00C06636">
      <w:pPr>
        <w:suppressAutoHyphens w:val="0"/>
        <w:autoSpaceDE/>
        <w:autoSpaceDN/>
        <w:adjustRightInd/>
        <w:spacing w:after="0" w:line="240" w:lineRule="auto"/>
        <w:textAlignment w:val="auto"/>
        <w:rPr>
          <w:color w:val="004C97" w:themeColor="accent1"/>
          <w:sz w:val="28"/>
          <w:szCs w:val="28"/>
        </w:rPr>
      </w:pPr>
      <w:r>
        <w:br w:type="page"/>
      </w:r>
    </w:p>
    <w:p w14:paraId="671C5090" w14:textId="7969C37E" w:rsidR="00EC08A5" w:rsidRPr="00830F4C" w:rsidRDefault="00EC08A5" w:rsidP="00EC08A5">
      <w:pPr>
        <w:pStyle w:val="Heading1"/>
        <w:ind w:left="431" w:hanging="431"/>
      </w:pPr>
      <w:bookmarkStart w:id="110" w:name="_Toc15650742"/>
      <w:bookmarkStart w:id="111" w:name="_Toc15651066"/>
      <w:bookmarkStart w:id="112" w:name="_Toc5780015"/>
      <w:bookmarkStart w:id="113" w:name="_Toc5780016"/>
      <w:bookmarkStart w:id="114" w:name="_Toc5780017"/>
      <w:bookmarkStart w:id="115" w:name="_Toc5780018"/>
      <w:bookmarkStart w:id="116" w:name="_Toc5780019"/>
      <w:bookmarkStart w:id="117" w:name="_Toc5780020"/>
      <w:bookmarkStart w:id="118" w:name="_Toc5780021"/>
      <w:bookmarkStart w:id="119" w:name="_Toc15650744"/>
      <w:bookmarkStart w:id="120" w:name="_Toc15651068"/>
      <w:bookmarkStart w:id="121" w:name="_Toc15650745"/>
      <w:bookmarkStart w:id="122" w:name="_Toc15651069"/>
      <w:bookmarkStart w:id="123" w:name="_Toc15650746"/>
      <w:bookmarkStart w:id="124" w:name="_Toc15651070"/>
      <w:bookmarkStart w:id="125" w:name="_Toc15650747"/>
      <w:bookmarkStart w:id="126" w:name="_Toc15651071"/>
      <w:bookmarkStart w:id="127" w:name="_Toc15650748"/>
      <w:bookmarkStart w:id="128" w:name="_Toc15651072"/>
      <w:bookmarkStart w:id="129" w:name="_Toc15650749"/>
      <w:bookmarkStart w:id="130" w:name="_Toc15651073"/>
      <w:bookmarkStart w:id="131" w:name="_Toc15650750"/>
      <w:bookmarkStart w:id="132" w:name="_Toc15651074"/>
      <w:bookmarkStart w:id="133" w:name="_Toc15650751"/>
      <w:bookmarkStart w:id="134" w:name="_Toc15651075"/>
      <w:bookmarkStart w:id="135" w:name="_Toc15650752"/>
      <w:bookmarkStart w:id="136" w:name="_Toc15651076"/>
      <w:bookmarkStart w:id="137" w:name="_Toc15650753"/>
      <w:bookmarkStart w:id="138" w:name="_Toc15651077"/>
      <w:bookmarkStart w:id="139" w:name="_Toc15650754"/>
      <w:bookmarkStart w:id="140" w:name="_Toc15651078"/>
      <w:bookmarkStart w:id="141" w:name="_Toc15650755"/>
      <w:bookmarkStart w:id="142" w:name="_Toc15651079"/>
      <w:bookmarkStart w:id="143" w:name="_Toc15650782"/>
      <w:bookmarkStart w:id="144" w:name="_Toc15651106"/>
      <w:bookmarkStart w:id="145" w:name="_Toc15650784"/>
      <w:bookmarkStart w:id="146" w:name="_Toc15651108"/>
      <w:bookmarkStart w:id="147" w:name="_Toc15650785"/>
      <w:bookmarkStart w:id="148" w:name="_Toc15651109"/>
      <w:bookmarkStart w:id="149" w:name="_Toc15650786"/>
      <w:bookmarkStart w:id="150" w:name="_Toc15651110"/>
      <w:bookmarkStart w:id="151" w:name="_Toc456088171"/>
      <w:bookmarkStart w:id="152" w:name="_Toc520212435"/>
      <w:bookmarkStart w:id="153" w:name="_Toc39481548"/>
      <w:bookmarkStart w:id="154" w:name="_Toc194930419"/>
      <w:bookmarkEnd w:id="8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t xml:space="preserve">APPENDIX A: </w:t>
      </w:r>
      <w:r w:rsidRPr="00830F4C">
        <w:t>Legislation</w:t>
      </w:r>
      <w:bookmarkEnd w:id="151"/>
      <w:bookmarkEnd w:id="152"/>
      <w:bookmarkEnd w:id="153"/>
      <w:bookmarkEnd w:id="154"/>
      <w:r w:rsidR="00F65142">
        <w:t xml:space="preserve"> </w:t>
      </w:r>
    </w:p>
    <w:p w14:paraId="444B93E1" w14:textId="7D583CE4" w:rsidR="00EC08A5" w:rsidRPr="00C86CB8" w:rsidRDefault="00C81471" w:rsidP="00EC08A5">
      <w:pPr>
        <w:pStyle w:val="bodycopy"/>
      </w:pPr>
      <w:r>
        <w:t>Entities</w:t>
      </w:r>
      <w:r w:rsidR="00EC08A5" w:rsidRPr="00C86CB8">
        <w:t xml:space="preserve"> need to ensure compliance with all relevant legislation, including, but not limited to:</w:t>
      </w:r>
    </w:p>
    <w:p w14:paraId="22750A56" w14:textId="3C46B416" w:rsidR="00EC08A5" w:rsidRPr="00C86CB8" w:rsidRDefault="00EC08A5" w:rsidP="00EC08A5">
      <w:pPr>
        <w:pStyle w:val="ListBullet"/>
        <w:rPr>
          <w:i/>
        </w:rPr>
      </w:pPr>
      <w:hyperlink r:id="rId83" w:history="1">
        <w:r w:rsidRPr="00690763">
          <w:rPr>
            <w:rStyle w:val="Hyperlink"/>
            <w:i/>
          </w:rPr>
          <w:t>Audit Act 1994</w:t>
        </w:r>
      </w:hyperlink>
    </w:p>
    <w:p w14:paraId="7F1A58C9" w14:textId="70C482F0" w:rsidR="00EC08A5" w:rsidRDefault="00EC08A5" w:rsidP="00EC08A5">
      <w:pPr>
        <w:pStyle w:val="ListBullet"/>
        <w:rPr>
          <w:i/>
        </w:rPr>
      </w:pPr>
      <w:hyperlink r:id="rId84" w:history="1">
        <w:r w:rsidRPr="0038235F">
          <w:rPr>
            <w:rStyle w:val="Hyperlink"/>
            <w:i/>
          </w:rPr>
          <w:t>Charter of Human Rights and Responsibilities Act 2006</w:t>
        </w:r>
      </w:hyperlink>
    </w:p>
    <w:p w14:paraId="2E7790D7" w14:textId="77777777" w:rsidR="001E4802" w:rsidRDefault="001E4802" w:rsidP="001E4802">
      <w:pPr>
        <w:pStyle w:val="ListBullet"/>
      </w:pPr>
      <w:hyperlink r:id="rId85" w:history="1">
        <w:r w:rsidRPr="00A61776">
          <w:rPr>
            <w:rStyle w:val="Hyperlink"/>
            <w:i/>
            <w:iCs/>
          </w:rPr>
          <w:t>Child Wellbeing and Safety Act 2005 (Vic)</w:t>
        </w:r>
      </w:hyperlink>
      <w:r>
        <w:t xml:space="preserve"> </w:t>
      </w:r>
    </w:p>
    <w:p w14:paraId="238DEBBE" w14:textId="77777777" w:rsidR="000D5D56" w:rsidRPr="00882767" w:rsidRDefault="001E4802" w:rsidP="00EC08A5">
      <w:pPr>
        <w:pStyle w:val="ListBullet"/>
        <w:rPr>
          <w:i/>
        </w:rPr>
      </w:pPr>
      <w:hyperlink r:id="rId86" w:history="1">
        <w:r w:rsidRPr="008E0E7D">
          <w:rPr>
            <w:rStyle w:val="Hyperlink"/>
            <w:i/>
            <w:iCs/>
          </w:rPr>
          <w:t>Children Legislation Amendment (Reportable Conduct) Act 2017 (Vic)</w:t>
        </w:r>
      </w:hyperlink>
    </w:p>
    <w:p w14:paraId="30CD052A" w14:textId="25CC2400" w:rsidR="00EC08A5" w:rsidRPr="00C86CB8" w:rsidRDefault="00EC08A5" w:rsidP="00EC08A5">
      <w:pPr>
        <w:pStyle w:val="ListBullet"/>
        <w:rPr>
          <w:i/>
        </w:rPr>
      </w:pPr>
      <w:hyperlink r:id="rId87" w:history="1">
        <w:r w:rsidRPr="002438EF">
          <w:rPr>
            <w:rStyle w:val="Hyperlink"/>
            <w:i/>
          </w:rPr>
          <w:t>Corporations Act 2001(Cth)</w:t>
        </w:r>
      </w:hyperlink>
    </w:p>
    <w:p w14:paraId="444BF6B2" w14:textId="76B2EE75" w:rsidR="00EC08A5" w:rsidRPr="00C86CB8" w:rsidRDefault="00EC08A5" w:rsidP="00EC08A5">
      <w:pPr>
        <w:pStyle w:val="ListBullet"/>
        <w:rPr>
          <w:i/>
        </w:rPr>
      </w:pPr>
      <w:hyperlink r:id="rId88" w:history="1">
        <w:r w:rsidRPr="00461B45">
          <w:rPr>
            <w:rStyle w:val="Hyperlink"/>
            <w:i/>
          </w:rPr>
          <w:t>Disability Act 2006</w:t>
        </w:r>
      </w:hyperlink>
    </w:p>
    <w:p w14:paraId="3143EDB8" w14:textId="13997076" w:rsidR="00EC08A5" w:rsidRPr="00C86CB8" w:rsidRDefault="00EC08A5" w:rsidP="00EC08A5">
      <w:pPr>
        <w:pStyle w:val="ListBullet"/>
        <w:rPr>
          <w:i/>
        </w:rPr>
      </w:pPr>
      <w:hyperlink r:id="rId89" w:history="1">
        <w:r w:rsidRPr="00B14A2B">
          <w:rPr>
            <w:rStyle w:val="Hyperlink"/>
            <w:i/>
          </w:rPr>
          <w:t>Financial Management Act 1994</w:t>
        </w:r>
      </w:hyperlink>
    </w:p>
    <w:p w14:paraId="16038AA2" w14:textId="089369AC" w:rsidR="00EC08A5" w:rsidRPr="00C86CB8" w:rsidRDefault="00EC08A5" w:rsidP="00EC08A5">
      <w:pPr>
        <w:pStyle w:val="ListBullet"/>
        <w:rPr>
          <w:i/>
        </w:rPr>
      </w:pPr>
      <w:hyperlink r:id="rId90" w:history="1">
        <w:r w:rsidRPr="00555B12">
          <w:rPr>
            <w:rStyle w:val="Hyperlink"/>
            <w:i/>
          </w:rPr>
          <w:t>Freedom of Information Act 1982</w:t>
        </w:r>
      </w:hyperlink>
    </w:p>
    <w:p w14:paraId="20EA13B6" w14:textId="45F7BCE2" w:rsidR="00EC08A5" w:rsidRPr="00C86CB8" w:rsidRDefault="00EC08A5" w:rsidP="00EC08A5">
      <w:pPr>
        <w:pStyle w:val="ListBullet"/>
        <w:rPr>
          <w:i/>
        </w:rPr>
      </w:pPr>
      <w:hyperlink r:id="rId91" w:history="1">
        <w:r w:rsidRPr="005C4817">
          <w:rPr>
            <w:rStyle w:val="Hyperlink"/>
            <w:i/>
          </w:rPr>
          <w:t>Independent Broad-based Anti-corruption Commission Act 2011</w:t>
        </w:r>
      </w:hyperlink>
    </w:p>
    <w:p w14:paraId="4F03030F" w14:textId="15DBDB68" w:rsidR="00EC08A5" w:rsidRDefault="00EC08A5" w:rsidP="00EC08A5">
      <w:pPr>
        <w:pStyle w:val="ListBullet"/>
        <w:rPr>
          <w:i/>
        </w:rPr>
      </w:pPr>
      <w:hyperlink r:id="rId92" w:history="1">
        <w:r w:rsidRPr="002014E1">
          <w:rPr>
            <w:rStyle w:val="Hyperlink"/>
            <w:i/>
          </w:rPr>
          <w:t>Information Privacy Act 2000</w:t>
        </w:r>
      </w:hyperlink>
    </w:p>
    <w:p w14:paraId="0490510F" w14:textId="09AB8EFA" w:rsidR="009D2375" w:rsidRPr="001F2DAB" w:rsidRDefault="009D2375" w:rsidP="00530788">
      <w:pPr>
        <w:pStyle w:val="ListBullet"/>
      </w:pPr>
      <w:hyperlink r:id="rId93" w:history="1">
        <w:r w:rsidRPr="000437D8">
          <w:rPr>
            <w:rStyle w:val="Hyperlink"/>
            <w:i/>
            <w:iCs/>
          </w:rPr>
          <w:t>National Redress Scheme for Institutional Child Sexual Abuse Act 2018</w:t>
        </w:r>
      </w:hyperlink>
    </w:p>
    <w:p w14:paraId="41993D67" w14:textId="23671C2B" w:rsidR="00EC08A5" w:rsidRPr="00C86CB8" w:rsidRDefault="00EC08A5" w:rsidP="00EC08A5">
      <w:pPr>
        <w:pStyle w:val="ListBullet"/>
        <w:rPr>
          <w:i/>
        </w:rPr>
      </w:pPr>
      <w:hyperlink r:id="rId94" w:history="1">
        <w:r w:rsidRPr="00E9355E">
          <w:rPr>
            <w:rStyle w:val="Hyperlink"/>
            <w:i/>
          </w:rPr>
          <w:t>Ombudsman Act 1973</w:t>
        </w:r>
      </w:hyperlink>
    </w:p>
    <w:p w14:paraId="2ED561ED" w14:textId="6249B4CF" w:rsidR="00EC08A5" w:rsidRPr="00C86CB8" w:rsidRDefault="00EC08A5" w:rsidP="00EC08A5">
      <w:pPr>
        <w:pStyle w:val="ListBullet"/>
        <w:rPr>
          <w:i/>
        </w:rPr>
      </w:pPr>
      <w:hyperlink r:id="rId95" w:history="1">
        <w:r w:rsidRPr="00D45F48">
          <w:rPr>
            <w:rStyle w:val="Hyperlink"/>
            <w:i/>
          </w:rPr>
          <w:t>Protected Disclosures Act 2012</w:t>
        </w:r>
      </w:hyperlink>
    </w:p>
    <w:p w14:paraId="4B1A7BD7" w14:textId="39710375" w:rsidR="00EC08A5" w:rsidRPr="00C86CB8" w:rsidRDefault="00EC08A5" w:rsidP="00EC08A5">
      <w:pPr>
        <w:pStyle w:val="ListBullet"/>
        <w:rPr>
          <w:i/>
        </w:rPr>
      </w:pPr>
      <w:hyperlink r:id="rId96" w:history="1">
        <w:r w:rsidRPr="00FA23FD">
          <w:rPr>
            <w:rStyle w:val="Hyperlink"/>
            <w:i/>
          </w:rPr>
          <w:t>Project Development and Construction Management Act 1994</w:t>
        </w:r>
      </w:hyperlink>
    </w:p>
    <w:p w14:paraId="520DD087" w14:textId="1BD6DD9E" w:rsidR="00EC08A5" w:rsidRDefault="00EC08A5" w:rsidP="00EC08A5">
      <w:pPr>
        <w:pStyle w:val="ListBullet"/>
        <w:rPr>
          <w:i/>
        </w:rPr>
      </w:pPr>
      <w:hyperlink r:id="rId97" w:history="1">
        <w:r w:rsidRPr="000A572D">
          <w:rPr>
            <w:rStyle w:val="Hyperlink"/>
            <w:i/>
          </w:rPr>
          <w:t>Public Administration Act 2004</w:t>
        </w:r>
      </w:hyperlink>
    </w:p>
    <w:p w14:paraId="08685909" w14:textId="0CED06EE" w:rsidR="00DD0FD8" w:rsidRPr="00C86CB8" w:rsidRDefault="00DD0FD8" w:rsidP="00EC08A5">
      <w:pPr>
        <w:pStyle w:val="ListBullet"/>
        <w:rPr>
          <w:i/>
        </w:rPr>
      </w:pPr>
      <w:hyperlink r:id="rId98" w:history="1">
        <w:r w:rsidRPr="008D5E86">
          <w:rPr>
            <w:rStyle w:val="Hyperlink"/>
            <w:i/>
            <w:iCs/>
          </w:rPr>
          <w:t>Public Interest Disclosures Act 2012</w:t>
        </w:r>
      </w:hyperlink>
      <w:r>
        <w:rPr>
          <w:i/>
          <w:iCs/>
        </w:rPr>
        <w:t xml:space="preserve"> (Vic)</w:t>
      </w:r>
    </w:p>
    <w:p w14:paraId="7705BAAF" w14:textId="72707775" w:rsidR="00EC08A5" w:rsidRPr="00C86CB8" w:rsidRDefault="00EC08A5" w:rsidP="00EC08A5">
      <w:pPr>
        <w:pStyle w:val="ListBullet"/>
        <w:rPr>
          <w:i/>
        </w:rPr>
      </w:pPr>
      <w:hyperlink r:id="rId99" w:history="1">
        <w:r w:rsidRPr="008E236E">
          <w:rPr>
            <w:rStyle w:val="Hyperlink"/>
            <w:i/>
          </w:rPr>
          <w:t>Public Records Act 1973</w:t>
        </w:r>
      </w:hyperlink>
    </w:p>
    <w:p w14:paraId="31D7BE24" w14:textId="53805033" w:rsidR="00EC08A5" w:rsidRDefault="00EC08A5" w:rsidP="00EC08A5">
      <w:pPr>
        <w:pStyle w:val="ListBullet"/>
        <w:rPr>
          <w:i/>
        </w:rPr>
      </w:pPr>
      <w:hyperlink r:id="rId100" w:history="1">
        <w:r w:rsidRPr="00D9362B">
          <w:rPr>
            <w:rStyle w:val="Hyperlink"/>
            <w:i/>
          </w:rPr>
          <w:t>State Owned Enterprises Act 1992</w:t>
        </w:r>
      </w:hyperlink>
    </w:p>
    <w:p w14:paraId="45D1E9F9" w14:textId="7FD796CC" w:rsidR="00B14A2B" w:rsidRDefault="00B14A2B" w:rsidP="00EC08A5">
      <w:pPr>
        <w:pStyle w:val="ListBullet"/>
        <w:rPr>
          <w:i/>
        </w:rPr>
      </w:pPr>
      <w:hyperlink r:id="rId101" w:history="1">
        <w:r w:rsidRPr="00150E13">
          <w:rPr>
            <w:rStyle w:val="Hyperlink"/>
            <w:i/>
          </w:rPr>
          <w:t>Standing Directions 2018</w:t>
        </w:r>
      </w:hyperlink>
    </w:p>
    <w:p w14:paraId="60505EE6" w14:textId="77777777" w:rsidR="00CD0836" w:rsidRDefault="00CD0836" w:rsidP="00CD0836">
      <w:pPr>
        <w:pStyle w:val="ListBullet"/>
        <w:numPr>
          <w:ilvl w:val="0"/>
          <w:numId w:val="0"/>
        </w:numPr>
        <w:ind w:left="720"/>
        <w:rPr>
          <w:i/>
        </w:rPr>
      </w:pPr>
    </w:p>
    <w:p w14:paraId="379802AB" w14:textId="77777777" w:rsidR="00160D97" w:rsidRDefault="00160D97" w:rsidP="00160D97"/>
    <w:p w14:paraId="114C4692" w14:textId="77777777" w:rsidR="004A2591" w:rsidRDefault="004A2591" w:rsidP="00160D97"/>
    <w:p w14:paraId="5BF2C018" w14:textId="77777777" w:rsidR="004A2591" w:rsidRDefault="004A2591" w:rsidP="00160D97"/>
    <w:p w14:paraId="190FD178" w14:textId="77777777" w:rsidR="004A2591" w:rsidRDefault="004A2591" w:rsidP="00160D97"/>
    <w:p w14:paraId="1E8CAB71" w14:textId="77777777" w:rsidR="004A2591" w:rsidRDefault="004A2591" w:rsidP="00160D97"/>
    <w:p w14:paraId="0B5D3417" w14:textId="77777777" w:rsidR="004A2591" w:rsidRDefault="004A2591" w:rsidP="00160D97"/>
    <w:p w14:paraId="5E9B03E9" w14:textId="77777777" w:rsidR="004A2591" w:rsidRDefault="004A2591" w:rsidP="00160D97"/>
    <w:p w14:paraId="17DA0E75" w14:textId="77777777" w:rsidR="004A2591" w:rsidRDefault="004A2591" w:rsidP="00160D97"/>
    <w:p w14:paraId="07835848" w14:textId="77777777" w:rsidR="004A2591" w:rsidRDefault="004A2591" w:rsidP="00160D97"/>
    <w:p w14:paraId="2D03D682" w14:textId="77777777" w:rsidR="004A2591" w:rsidRDefault="004A2591" w:rsidP="00160D97"/>
    <w:p w14:paraId="41C436D9" w14:textId="77777777" w:rsidR="004A2591" w:rsidRDefault="004A2591" w:rsidP="00160D97"/>
    <w:p w14:paraId="67844465" w14:textId="77777777" w:rsidR="004A2591" w:rsidRDefault="004A2591" w:rsidP="00160D97"/>
    <w:p w14:paraId="17099862" w14:textId="77777777" w:rsidR="004A2591" w:rsidRDefault="004A2591" w:rsidP="00160D97"/>
    <w:p w14:paraId="7D562D14" w14:textId="77777777" w:rsidR="004A2591" w:rsidRDefault="004A2591" w:rsidP="00160D97"/>
    <w:p w14:paraId="084688B2" w14:textId="069EB76E" w:rsidR="00DF0893" w:rsidRPr="00DF0893" w:rsidRDefault="00DF0893" w:rsidP="0099608B"/>
    <w:p w14:paraId="24E3F015" w14:textId="77777777" w:rsidR="0000440C" w:rsidRDefault="0000440C" w:rsidP="00123BB4"/>
    <w:p w14:paraId="6601F2DC" w14:textId="77777777" w:rsidR="004A2591" w:rsidRDefault="004A2591" w:rsidP="00123BB4"/>
    <w:p w14:paraId="4EF4AF12" w14:textId="4B59490E" w:rsidR="005C005B" w:rsidRDefault="003E57FF" w:rsidP="003E57FF">
      <w:pPr>
        <w:pStyle w:val="Heading1"/>
        <w:ind w:left="431" w:hanging="431"/>
      </w:pPr>
      <w:bookmarkStart w:id="155" w:name="_Toc464206095"/>
      <w:bookmarkStart w:id="156" w:name="_Toc194930420"/>
      <w:bookmarkStart w:id="157" w:name="_Toc456088172"/>
      <w:bookmarkStart w:id="158" w:name="_Toc520212436"/>
      <w:bookmarkStart w:id="159" w:name="_Toc39481549"/>
      <w:r>
        <w:t xml:space="preserve">APPENDIX </w:t>
      </w:r>
      <w:bookmarkEnd w:id="155"/>
      <w:r>
        <w:t xml:space="preserve">B: </w:t>
      </w:r>
      <w:r w:rsidR="00303643">
        <w:t xml:space="preserve">Diversity </w:t>
      </w:r>
      <w:r w:rsidR="00BB14D2">
        <w:t xml:space="preserve">cohorts </w:t>
      </w:r>
      <w:r w:rsidR="00303643">
        <w:t xml:space="preserve">on </w:t>
      </w:r>
      <w:r w:rsidR="00CB10A6">
        <w:t>Victorian Government Boards</w:t>
      </w:r>
      <w:bookmarkEnd w:id="156"/>
    </w:p>
    <w:p w14:paraId="29F7A6BD" w14:textId="2823AAF1" w:rsidR="00203693" w:rsidRPr="00203693" w:rsidRDefault="00BB14D2" w:rsidP="0086246B">
      <w:r w:rsidRPr="00B37C6F">
        <w:t>This section provides advice on specific cohort considerations</w:t>
      </w:r>
      <w:r w:rsidR="00D36E95" w:rsidRPr="00B37C6F">
        <w:t xml:space="preserve"> in the </w:t>
      </w:r>
      <w:r w:rsidR="00C71032" w:rsidRPr="00B37C6F">
        <w:t>recruitment and selection board appointment process</w:t>
      </w:r>
      <w:r w:rsidR="00832838" w:rsidRPr="00B37C6F">
        <w:t xml:space="preserve">es </w:t>
      </w:r>
      <w:r w:rsidR="00F3776D" w:rsidRPr="00B37C6F">
        <w:t>from a</w:t>
      </w:r>
      <w:r w:rsidR="00832838" w:rsidRPr="00B37C6F">
        <w:t xml:space="preserve"> diversity</w:t>
      </w:r>
      <w:r w:rsidR="00F3776D" w:rsidRPr="00B37C6F">
        <w:t xml:space="preserve"> perspective</w:t>
      </w:r>
      <w:r w:rsidR="00A00DE2">
        <w:t xml:space="preserve">. It </w:t>
      </w:r>
      <w:r w:rsidR="007C04EC">
        <w:t xml:space="preserve">also </w:t>
      </w:r>
      <w:r w:rsidR="00F3776D" w:rsidRPr="00B37C6F">
        <w:t>recognises</w:t>
      </w:r>
      <w:r w:rsidR="009557DD">
        <w:t xml:space="preserve"> the importance</w:t>
      </w:r>
      <w:r w:rsidR="00606E30">
        <w:t xml:space="preserve"> of intersectionality</w:t>
      </w:r>
      <w:r w:rsidR="001B6835">
        <w:t>,</w:t>
      </w:r>
      <w:r w:rsidR="00606E30">
        <w:t xml:space="preserve"> acknowledging</w:t>
      </w:r>
      <w:r w:rsidR="00832838" w:rsidRPr="00B37C6F">
        <w:t xml:space="preserve"> that individual</w:t>
      </w:r>
      <w:r w:rsidR="00504A26">
        <w:t>s</w:t>
      </w:r>
      <w:r w:rsidR="00832838" w:rsidRPr="00B37C6F">
        <w:t xml:space="preserve"> </w:t>
      </w:r>
      <w:r w:rsidR="00176552" w:rsidRPr="00B37C6F">
        <w:t xml:space="preserve">may be part of more than one of the key cohorts listed in this </w:t>
      </w:r>
      <w:r w:rsidR="00A235B0" w:rsidRPr="00B37C6F">
        <w:t>appendix</w:t>
      </w:r>
      <w:r w:rsidR="00630166">
        <w:t xml:space="preserve">, </w:t>
      </w:r>
      <w:r w:rsidR="002E26B3">
        <w:t>which</w:t>
      </w:r>
      <w:r w:rsidR="00630166">
        <w:t xml:space="preserve"> can shape unique experiences and barriers</w:t>
      </w:r>
      <w:r w:rsidR="0094217D">
        <w:t>.</w:t>
      </w:r>
    </w:p>
    <w:p w14:paraId="296550A0" w14:textId="77777777" w:rsidR="00203693" w:rsidRPr="00300FCD" w:rsidRDefault="00203693" w:rsidP="00735900">
      <w:pPr>
        <w:pStyle w:val="ListParagraph"/>
        <w:numPr>
          <w:ilvl w:val="0"/>
          <w:numId w:val="26"/>
        </w:numPr>
        <w:spacing w:after="120"/>
        <w:ind w:left="357" w:hanging="357"/>
        <w:rPr>
          <w:rFonts w:asciiTheme="minorHAnsi" w:hAnsiTheme="minorHAnsi" w:cstheme="minorHAnsi"/>
          <w:color w:val="auto"/>
          <w:sz w:val="18"/>
          <w:szCs w:val="18"/>
        </w:rPr>
      </w:pPr>
      <w:r w:rsidRPr="00300FCD">
        <w:rPr>
          <w:rFonts w:asciiTheme="minorHAnsi" w:hAnsiTheme="minorHAnsi" w:cstheme="minorHAnsi"/>
          <w:b/>
          <w:bCs/>
          <w:color w:val="auto"/>
          <w:sz w:val="18"/>
          <w:szCs w:val="18"/>
        </w:rPr>
        <w:t>Women on Boards</w:t>
      </w:r>
      <w:r w:rsidRPr="00300FCD">
        <w:rPr>
          <w:rFonts w:asciiTheme="minorHAnsi" w:hAnsiTheme="minorHAnsi" w:cstheme="minorHAnsi"/>
          <w:color w:val="auto"/>
          <w:sz w:val="18"/>
          <w:szCs w:val="18"/>
        </w:rPr>
        <w:t xml:space="preserve"> – The </w:t>
      </w:r>
      <w:hyperlink r:id="rId102" w:history="1">
        <w:r w:rsidRPr="002F59A8">
          <w:rPr>
            <w:rStyle w:val="Hyperlink"/>
            <w:rFonts w:asciiTheme="minorHAnsi" w:hAnsiTheme="minorHAnsi" w:cstheme="minorHAnsi"/>
            <w:sz w:val="18"/>
            <w:szCs w:val="18"/>
          </w:rPr>
          <w:t>Victorian Government’s Women on Boards commitment</w:t>
        </w:r>
      </w:hyperlink>
      <w:r w:rsidRPr="00300FCD">
        <w:rPr>
          <w:rFonts w:asciiTheme="minorHAnsi" w:hAnsiTheme="minorHAnsi" w:cstheme="minorHAnsi"/>
          <w:color w:val="auto"/>
          <w:sz w:val="18"/>
          <w:szCs w:val="18"/>
        </w:rPr>
        <w:t xml:space="preserve"> was first introduced in March 2015, with its scope subsequently expanded in 2018. The commitment was refreshed in 2021 and currently requires that:</w:t>
      </w:r>
    </w:p>
    <w:p w14:paraId="2ED2E324" w14:textId="77777777" w:rsidR="00203693" w:rsidRPr="003B7772" w:rsidRDefault="00203693" w:rsidP="00735900">
      <w:pPr>
        <w:pStyle w:val="bullet1"/>
        <w:numPr>
          <w:ilvl w:val="0"/>
          <w:numId w:val="29"/>
        </w:numPr>
        <w:spacing w:after="120" w:line="240" w:lineRule="auto"/>
        <w:contextualSpacing w:val="0"/>
        <w:rPr>
          <w:rFonts w:asciiTheme="minorHAnsi" w:hAnsiTheme="minorHAnsi" w:cstheme="minorHAnsi"/>
        </w:rPr>
      </w:pPr>
      <w:r w:rsidRPr="003B7772">
        <w:rPr>
          <w:rFonts w:asciiTheme="minorHAnsi" w:hAnsiTheme="minorHAnsi" w:cstheme="minorHAnsi"/>
        </w:rPr>
        <w:t>50 per cent of new appointments be women for boards that do not have at least 50 per cent women. Once a board has reached 50 per cent women, this balance is to be maintained.</w:t>
      </w:r>
    </w:p>
    <w:p w14:paraId="6B60ADD3" w14:textId="77777777" w:rsidR="00203693" w:rsidRPr="00300FCD" w:rsidRDefault="00203693" w:rsidP="00735900">
      <w:pPr>
        <w:pStyle w:val="ListParagraph"/>
        <w:numPr>
          <w:ilvl w:val="0"/>
          <w:numId w:val="28"/>
        </w:numPr>
        <w:spacing w:after="120"/>
        <w:ind w:left="714" w:hanging="357"/>
        <w:contextualSpacing w:val="0"/>
        <w:rPr>
          <w:rFonts w:asciiTheme="minorHAnsi" w:hAnsiTheme="minorHAnsi" w:cstheme="minorHAnsi"/>
          <w:color w:val="auto"/>
          <w:sz w:val="18"/>
          <w:szCs w:val="18"/>
        </w:rPr>
      </w:pPr>
      <w:r w:rsidRPr="00300FCD">
        <w:rPr>
          <w:rFonts w:asciiTheme="minorHAnsi" w:hAnsiTheme="minorHAnsi" w:cstheme="minorHAnsi"/>
          <w:color w:val="auto"/>
          <w:sz w:val="18"/>
          <w:szCs w:val="18"/>
        </w:rPr>
        <w:t xml:space="preserve">Within a portfolio, 50 per cent of new </w:t>
      </w:r>
      <w:r>
        <w:rPr>
          <w:rFonts w:asciiTheme="minorHAnsi" w:hAnsiTheme="minorHAnsi" w:cstheme="minorHAnsi"/>
          <w:color w:val="auto"/>
          <w:sz w:val="18"/>
          <w:szCs w:val="18"/>
        </w:rPr>
        <w:t>c</w:t>
      </w:r>
      <w:r w:rsidRPr="00300FCD">
        <w:rPr>
          <w:rFonts w:asciiTheme="minorHAnsi" w:hAnsiTheme="minorHAnsi" w:cstheme="minorHAnsi"/>
          <w:color w:val="auto"/>
          <w:sz w:val="18"/>
          <w:szCs w:val="18"/>
        </w:rPr>
        <w:t>hair appointments should be women. Once a portfolio has reached 50 per cent women, this balance is to be maintained.</w:t>
      </w:r>
    </w:p>
    <w:p w14:paraId="76F95802" w14:textId="77777777" w:rsidR="00203693" w:rsidRDefault="00203693" w:rsidP="00203693">
      <w:pPr>
        <w:pStyle w:val="bullet1"/>
        <w:numPr>
          <w:ilvl w:val="0"/>
          <w:numId w:val="0"/>
        </w:numPr>
        <w:spacing w:after="120" w:line="240" w:lineRule="auto"/>
        <w:ind w:left="360"/>
        <w:contextualSpacing w:val="0"/>
        <w:rPr>
          <w:rFonts w:asciiTheme="minorHAnsi" w:hAnsiTheme="minorHAnsi" w:cstheme="minorHAnsi"/>
        </w:rPr>
      </w:pPr>
      <w:r w:rsidRPr="003054BC">
        <w:rPr>
          <w:rFonts w:asciiTheme="minorHAnsi" w:hAnsiTheme="minorHAnsi" w:cstheme="minorHAnsi"/>
        </w:rPr>
        <w:t xml:space="preserve">The refreshed Women on Boards commitment applies to Victorian courts and all boards, except for the following: </w:t>
      </w:r>
      <w:r>
        <w:rPr>
          <w:rFonts w:asciiTheme="minorHAnsi" w:hAnsiTheme="minorHAnsi" w:cstheme="minorHAnsi"/>
        </w:rPr>
        <w:t xml:space="preserve">  </w:t>
      </w:r>
    </w:p>
    <w:p w14:paraId="56B23558" w14:textId="77777777" w:rsidR="00203693" w:rsidRDefault="00203693" w:rsidP="00735900">
      <w:pPr>
        <w:pStyle w:val="bullet1"/>
        <w:numPr>
          <w:ilvl w:val="0"/>
          <w:numId w:val="27"/>
        </w:numPr>
        <w:spacing w:after="120" w:line="240" w:lineRule="auto"/>
        <w:contextualSpacing w:val="0"/>
        <w:rPr>
          <w:rFonts w:asciiTheme="minorHAnsi" w:hAnsiTheme="minorHAnsi" w:cstheme="minorHAnsi"/>
        </w:rPr>
      </w:pPr>
      <w:r w:rsidRPr="003054BC">
        <w:rPr>
          <w:rFonts w:asciiTheme="minorHAnsi" w:hAnsiTheme="minorHAnsi" w:cstheme="minorHAnsi"/>
        </w:rPr>
        <w:t>statutory offices or officers</w:t>
      </w:r>
    </w:p>
    <w:p w14:paraId="0DB54B1C" w14:textId="77777777" w:rsidR="00203693" w:rsidRDefault="00203693" w:rsidP="00735900">
      <w:pPr>
        <w:pStyle w:val="bullet1"/>
        <w:numPr>
          <w:ilvl w:val="0"/>
          <w:numId w:val="27"/>
        </w:numPr>
        <w:spacing w:after="120" w:line="240" w:lineRule="auto"/>
        <w:contextualSpacing w:val="0"/>
        <w:rPr>
          <w:rFonts w:asciiTheme="minorHAnsi" w:hAnsiTheme="minorHAnsi" w:cstheme="minorHAnsi"/>
        </w:rPr>
      </w:pPr>
      <w:r w:rsidRPr="003054BC">
        <w:rPr>
          <w:rFonts w:asciiTheme="minorHAnsi" w:hAnsiTheme="minorHAnsi" w:cstheme="minorHAnsi"/>
        </w:rPr>
        <w:t>small Crown land committees of management</w:t>
      </w:r>
    </w:p>
    <w:p w14:paraId="7F0F385A" w14:textId="77777777" w:rsidR="00203693" w:rsidRDefault="00203693" w:rsidP="00735900">
      <w:pPr>
        <w:pStyle w:val="bullet1"/>
        <w:numPr>
          <w:ilvl w:val="0"/>
          <w:numId w:val="27"/>
        </w:numPr>
        <w:spacing w:after="120" w:line="240" w:lineRule="auto"/>
        <w:contextualSpacing w:val="0"/>
        <w:rPr>
          <w:rFonts w:asciiTheme="minorHAnsi" w:hAnsiTheme="minorHAnsi" w:cstheme="minorHAnsi"/>
        </w:rPr>
      </w:pPr>
      <w:r>
        <w:rPr>
          <w:rFonts w:asciiTheme="minorHAnsi" w:hAnsiTheme="minorHAnsi" w:cstheme="minorHAnsi"/>
        </w:rPr>
        <w:t xml:space="preserve">small </w:t>
      </w:r>
      <w:r w:rsidRPr="003054BC">
        <w:rPr>
          <w:rFonts w:asciiTheme="minorHAnsi" w:hAnsiTheme="minorHAnsi" w:cstheme="minorHAnsi"/>
        </w:rPr>
        <w:t xml:space="preserve">cemetery trusts; and </w:t>
      </w:r>
    </w:p>
    <w:p w14:paraId="05F1C3F8" w14:textId="77777777" w:rsidR="00203693" w:rsidRDefault="00203693" w:rsidP="00735900">
      <w:pPr>
        <w:pStyle w:val="bullet1"/>
        <w:numPr>
          <w:ilvl w:val="0"/>
          <w:numId w:val="27"/>
        </w:numPr>
        <w:spacing w:after="120" w:line="240" w:lineRule="auto"/>
        <w:contextualSpacing w:val="0"/>
        <w:rPr>
          <w:rFonts w:asciiTheme="minorHAnsi" w:hAnsiTheme="minorHAnsi" w:cstheme="minorHAnsi"/>
        </w:rPr>
      </w:pPr>
      <w:r w:rsidRPr="003054BC">
        <w:rPr>
          <w:rFonts w:asciiTheme="minorHAnsi" w:hAnsiTheme="minorHAnsi" w:cstheme="minorHAnsi"/>
        </w:rPr>
        <w:t xml:space="preserve">school councils. </w:t>
      </w:r>
    </w:p>
    <w:p w14:paraId="26F7AA88" w14:textId="649777FB" w:rsidR="00203693" w:rsidRDefault="00203693" w:rsidP="00203693">
      <w:pPr>
        <w:pStyle w:val="bullet1"/>
        <w:numPr>
          <w:ilvl w:val="0"/>
          <w:numId w:val="0"/>
        </w:numPr>
        <w:spacing w:after="120" w:line="240" w:lineRule="auto"/>
        <w:ind w:left="360"/>
        <w:contextualSpacing w:val="0"/>
      </w:pPr>
      <w:r w:rsidRPr="003054BC">
        <w:t xml:space="preserve">DJSIR </w:t>
      </w:r>
      <w:r>
        <w:t xml:space="preserve">portfolio entities </w:t>
      </w:r>
      <w:r w:rsidRPr="003054BC">
        <w:t xml:space="preserve">must </w:t>
      </w:r>
      <w:r>
        <w:t xml:space="preserve">aim to </w:t>
      </w:r>
      <w:r w:rsidRPr="003054BC">
        <w:t xml:space="preserve">achieve or maintain the target of </w:t>
      </w:r>
      <w:r w:rsidRPr="003B7772">
        <w:t>50 per cent of women on boards</w:t>
      </w:r>
      <w:r w:rsidRPr="00756B85">
        <w:t>,</w:t>
      </w:r>
      <w:r w:rsidR="00722AC2">
        <w:t xml:space="preserve"> including </w:t>
      </w:r>
      <w:r w:rsidR="006D4EA4" w:rsidRPr="006D4EA4">
        <w:t xml:space="preserve">people who internally identify and/or publicly express as woman. This encompasses a range of gender expressions and identities, including cisgender, transgender, non-binary and gender conforming individuals who see themselves as woman. </w:t>
      </w:r>
      <w:r w:rsidR="008A0330">
        <w:t>However</w:t>
      </w:r>
      <w:r w:rsidR="005B58CA">
        <w:t>,</w:t>
      </w:r>
      <w:r w:rsidR="008A0330">
        <w:t xml:space="preserve"> </w:t>
      </w:r>
      <w:r w:rsidR="00864607">
        <w:t>it</w:t>
      </w:r>
      <w:r w:rsidR="008A0330">
        <w:t xml:space="preserve"> </w:t>
      </w:r>
      <w:r w:rsidR="00C35D5D">
        <w:t>is</w:t>
      </w:r>
      <w:r>
        <w:t xml:space="preserve"> subject to the following considerations:</w:t>
      </w:r>
    </w:p>
    <w:p w14:paraId="0655E80B" w14:textId="77777777" w:rsidR="00203693" w:rsidRDefault="00203693" w:rsidP="00735900">
      <w:pPr>
        <w:pStyle w:val="bullet1"/>
        <w:numPr>
          <w:ilvl w:val="0"/>
          <w:numId w:val="29"/>
        </w:numPr>
        <w:spacing w:after="120" w:line="240" w:lineRule="auto"/>
        <w:contextualSpacing w:val="0"/>
        <w:rPr>
          <w:rFonts w:asciiTheme="minorHAnsi" w:hAnsiTheme="minorHAnsi" w:cstheme="minorHAnsi"/>
        </w:rPr>
      </w:pPr>
      <w:r w:rsidRPr="00CF4FDF">
        <w:rPr>
          <w:rFonts w:asciiTheme="minorHAnsi" w:hAnsiTheme="minorHAnsi" w:cstheme="minorHAnsi"/>
        </w:rPr>
        <w:t>boards that have less than 50 per cent women solely due to an uneven number of board members</w:t>
      </w:r>
    </w:p>
    <w:p w14:paraId="28B3B029" w14:textId="6FD8CB64" w:rsidR="00203693" w:rsidRPr="00070090" w:rsidRDefault="00203693" w:rsidP="00735900">
      <w:pPr>
        <w:pStyle w:val="bullet1"/>
        <w:numPr>
          <w:ilvl w:val="0"/>
          <w:numId w:val="29"/>
        </w:numPr>
        <w:spacing w:after="120" w:line="240" w:lineRule="auto"/>
        <w:contextualSpacing w:val="0"/>
        <w:rPr>
          <w:rFonts w:asciiTheme="minorHAnsi" w:hAnsiTheme="minorHAnsi" w:cstheme="minorHAnsi"/>
        </w:rPr>
      </w:pPr>
      <w:r w:rsidRPr="00070090">
        <w:rPr>
          <w:rFonts w:asciiTheme="minorHAnsi" w:hAnsiTheme="minorHAnsi" w:cstheme="minorHAnsi"/>
        </w:rPr>
        <w:t xml:space="preserve">boards with a small number of members, where each person represents a large proportion of members and can significantly skew the gender balance </w:t>
      </w:r>
    </w:p>
    <w:p w14:paraId="1079D749" w14:textId="77777777" w:rsidR="00203693" w:rsidRDefault="00203693" w:rsidP="00735900">
      <w:pPr>
        <w:pStyle w:val="bullet1"/>
        <w:numPr>
          <w:ilvl w:val="0"/>
          <w:numId w:val="29"/>
        </w:numPr>
        <w:spacing w:after="120" w:line="240" w:lineRule="auto"/>
        <w:contextualSpacing w:val="0"/>
        <w:rPr>
          <w:rFonts w:asciiTheme="minorHAnsi" w:hAnsiTheme="minorHAnsi" w:cstheme="minorHAnsi"/>
        </w:rPr>
      </w:pPr>
      <w:r w:rsidRPr="00CF4FDF">
        <w:rPr>
          <w:rFonts w:asciiTheme="minorHAnsi" w:hAnsiTheme="minorHAnsi" w:cstheme="minorHAnsi"/>
        </w:rPr>
        <w:t>circumstances in which enforcing the commitment would prevent appointments of gender diverse and non</w:t>
      </w:r>
      <w:r w:rsidRPr="00CF4FDF">
        <w:rPr>
          <w:rFonts w:ascii="Cambria Math" w:hAnsi="Cambria Math" w:cs="Cambria Math"/>
        </w:rPr>
        <w:t>‐</w:t>
      </w:r>
      <w:r w:rsidRPr="00CF4FDF">
        <w:rPr>
          <w:rFonts w:asciiTheme="minorHAnsi" w:hAnsiTheme="minorHAnsi" w:cstheme="minorHAnsi"/>
        </w:rPr>
        <w:t>binary people to public boards, particularly boards that have direct bearing or clear impacts on LGBTIQ+ Victorians</w:t>
      </w:r>
    </w:p>
    <w:p w14:paraId="2D44BC73" w14:textId="77777777" w:rsidR="00203693" w:rsidRPr="00CF4FDF" w:rsidRDefault="00203693" w:rsidP="00735900">
      <w:pPr>
        <w:pStyle w:val="bullet1"/>
        <w:numPr>
          <w:ilvl w:val="0"/>
          <w:numId w:val="29"/>
        </w:numPr>
        <w:spacing w:after="120" w:line="240" w:lineRule="auto"/>
        <w:contextualSpacing w:val="0"/>
        <w:rPr>
          <w:rFonts w:asciiTheme="minorHAnsi" w:hAnsiTheme="minorHAnsi" w:cstheme="minorHAnsi"/>
        </w:rPr>
      </w:pPr>
      <w:r w:rsidRPr="00CF4FDF">
        <w:rPr>
          <w:rFonts w:asciiTheme="minorHAnsi" w:hAnsiTheme="minorHAnsi" w:cstheme="minorHAnsi"/>
        </w:rPr>
        <w:t>circumstances in which enforcing the commitment would prevent appointments of Aboriginal people to public boards or undermine self</w:t>
      </w:r>
      <w:r w:rsidRPr="00CF4FDF">
        <w:rPr>
          <w:rFonts w:ascii="Cambria Math" w:hAnsi="Cambria Math" w:cs="Cambria Math"/>
        </w:rPr>
        <w:t>‐</w:t>
      </w:r>
      <w:r w:rsidRPr="00CF4FDF">
        <w:rPr>
          <w:rFonts w:asciiTheme="minorHAnsi" w:hAnsiTheme="minorHAnsi" w:cstheme="minorHAnsi"/>
        </w:rPr>
        <w:t>determination principles, particularly boards that have direct bearing or clear impacts on Aboriginal Victorians.</w:t>
      </w:r>
    </w:p>
    <w:p w14:paraId="40FE52B5" w14:textId="77777777" w:rsidR="00203693" w:rsidRDefault="00203693" w:rsidP="00203693">
      <w:pPr>
        <w:pStyle w:val="ListParagraph"/>
        <w:ind w:left="360"/>
        <w:rPr>
          <w:rFonts w:asciiTheme="minorHAnsi" w:hAnsiTheme="minorHAnsi" w:cstheme="minorHAnsi"/>
          <w:b/>
          <w:bCs/>
          <w:color w:val="auto"/>
          <w:sz w:val="18"/>
          <w:szCs w:val="18"/>
        </w:rPr>
      </w:pPr>
      <w:r w:rsidRPr="00174CC4">
        <w:rPr>
          <w:rFonts w:asciiTheme="minorHAnsi" w:hAnsiTheme="minorHAnsi" w:cstheme="minorHAnsi"/>
          <w:b/>
          <w:bCs/>
          <w:color w:val="auto"/>
          <w:sz w:val="18"/>
          <w:szCs w:val="18"/>
        </w:rPr>
        <w:t>Key considerations</w:t>
      </w:r>
    </w:p>
    <w:p w14:paraId="77B7B5CE" w14:textId="77777777" w:rsidR="00203693" w:rsidRPr="00174CC4" w:rsidRDefault="00203693" w:rsidP="00203693">
      <w:pPr>
        <w:pStyle w:val="ListParagraph"/>
        <w:ind w:left="360"/>
        <w:rPr>
          <w:rFonts w:asciiTheme="minorHAnsi" w:hAnsiTheme="minorHAnsi" w:cstheme="minorHAnsi"/>
          <w:b/>
          <w:bCs/>
          <w:color w:val="auto"/>
          <w:sz w:val="18"/>
          <w:szCs w:val="18"/>
        </w:rPr>
      </w:pPr>
    </w:p>
    <w:p w14:paraId="5DC687AF" w14:textId="77777777" w:rsidR="00203693" w:rsidRPr="00174CC4" w:rsidRDefault="00203693" w:rsidP="00735900">
      <w:pPr>
        <w:pStyle w:val="ListParagraph"/>
        <w:numPr>
          <w:ilvl w:val="0"/>
          <w:numId w:val="30"/>
        </w:numPr>
        <w:spacing w:after="120"/>
        <w:ind w:left="714" w:hanging="357"/>
        <w:contextualSpacing w:val="0"/>
        <w:rPr>
          <w:rFonts w:asciiTheme="minorHAnsi" w:hAnsiTheme="minorHAnsi" w:cstheme="minorHAnsi"/>
          <w:color w:val="auto"/>
          <w:sz w:val="18"/>
          <w:szCs w:val="18"/>
        </w:rPr>
      </w:pPr>
      <w:r w:rsidRPr="00174CC4">
        <w:rPr>
          <w:rFonts w:asciiTheme="minorHAnsi" w:hAnsiTheme="minorHAnsi" w:cstheme="minorHAnsi"/>
          <w:color w:val="auto"/>
          <w:sz w:val="18"/>
          <w:szCs w:val="18"/>
        </w:rPr>
        <w:t>Review the gender composition of the board</w:t>
      </w:r>
      <w:r>
        <w:rPr>
          <w:rFonts w:asciiTheme="minorHAnsi" w:hAnsiTheme="minorHAnsi" w:cstheme="minorHAnsi"/>
          <w:color w:val="auto"/>
          <w:sz w:val="18"/>
          <w:szCs w:val="18"/>
        </w:rPr>
        <w:t>.</w:t>
      </w:r>
    </w:p>
    <w:p w14:paraId="24503B7D" w14:textId="77777777" w:rsidR="00203693" w:rsidRPr="00174CC4" w:rsidRDefault="00203693" w:rsidP="00735900">
      <w:pPr>
        <w:pStyle w:val="ListParagraph"/>
        <w:numPr>
          <w:ilvl w:val="0"/>
          <w:numId w:val="30"/>
        </w:numPr>
        <w:spacing w:after="120"/>
        <w:ind w:left="714" w:hanging="357"/>
        <w:contextualSpacing w:val="0"/>
        <w:rPr>
          <w:rFonts w:asciiTheme="minorHAnsi" w:hAnsiTheme="minorHAnsi" w:cstheme="minorHAnsi"/>
          <w:color w:val="auto"/>
          <w:sz w:val="18"/>
          <w:szCs w:val="18"/>
        </w:rPr>
      </w:pPr>
      <w:r w:rsidRPr="00174CC4">
        <w:rPr>
          <w:rFonts w:asciiTheme="minorHAnsi" w:hAnsiTheme="minorHAnsi" w:cstheme="minorHAnsi"/>
          <w:color w:val="auto"/>
          <w:sz w:val="18"/>
          <w:szCs w:val="18"/>
        </w:rPr>
        <w:t xml:space="preserve">Include gender diversity </w:t>
      </w:r>
      <w:r>
        <w:rPr>
          <w:rFonts w:asciiTheme="minorHAnsi" w:hAnsiTheme="minorHAnsi" w:cstheme="minorHAnsi"/>
          <w:color w:val="auto"/>
          <w:sz w:val="18"/>
          <w:szCs w:val="18"/>
        </w:rPr>
        <w:t>i</w:t>
      </w:r>
      <w:r w:rsidRPr="00174CC4">
        <w:rPr>
          <w:rFonts w:asciiTheme="minorHAnsi" w:hAnsiTheme="minorHAnsi" w:cstheme="minorHAnsi"/>
          <w:color w:val="auto"/>
          <w:sz w:val="18"/>
          <w:szCs w:val="18"/>
        </w:rPr>
        <w:t>n your board’s skills matrix</w:t>
      </w:r>
      <w:r>
        <w:rPr>
          <w:rFonts w:asciiTheme="minorHAnsi" w:hAnsiTheme="minorHAnsi" w:cstheme="minorHAnsi"/>
          <w:color w:val="auto"/>
          <w:sz w:val="18"/>
          <w:szCs w:val="18"/>
        </w:rPr>
        <w:t>.</w:t>
      </w:r>
    </w:p>
    <w:p w14:paraId="3506E801" w14:textId="77777777" w:rsidR="00203693" w:rsidRPr="00174CC4" w:rsidRDefault="00203693" w:rsidP="00735900">
      <w:pPr>
        <w:pStyle w:val="ListParagraph"/>
        <w:numPr>
          <w:ilvl w:val="0"/>
          <w:numId w:val="30"/>
        </w:numPr>
        <w:spacing w:after="120"/>
        <w:ind w:left="714" w:hanging="357"/>
        <w:contextualSpacing w:val="0"/>
        <w:rPr>
          <w:rFonts w:asciiTheme="minorHAnsi" w:hAnsiTheme="minorHAnsi" w:cstheme="minorHAnsi"/>
          <w:color w:val="auto"/>
          <w:sz w:val="18"/>
          <w:szCs w:val="18"/>
        </w:rPr>
      </w:pPr>
      <w:r w:rsidRPr="00174CC4">
        <w:rPr>
          <w:rFonts w:asciiTheme="minorHAnsi" w:hAnsiTheme="minorHAnsi" w:cstheme="minorHAnsi"/>
          <w:color w:val="auto"/>
          <w:sz w:val="18"/>
          <w:szCs w:val="18"/>
        </w:rPr>
        <w:t>Use open and competitive recruitment whenever possible</w:t>
      </w:r>
      <w:r>
        <w:rPr>
          <w:rFonts w:asciiTheme="minorHAnsi" w:hAnsiTheme="minorHAnsi" w:cstheme="minorHAnsi"/>
          <w:color w:val="auto"/>
          <w:sz w:val="18"/>
          <w:szCs w:val="18"/>
        </w:rPr>
        <w:t>.</w:t>
      </w:r>
    </w:p>
    <w:p w14:paraId="64FF2DAD" w14:textId="77777777" w:rsidR="00203693" w:rsidRPr="00174CC4" w:rsidRDefault="00203693" w:rsidP="00735900">
      <w:pPr>
        <w:pStyle w:val="ListParagraph"/>
        <w:numPr>
          <w:ilvl w:val="0"/>
          <w:numId w:val="30"/>
        </w:numPr>
        <w:spacing w:after="120"/>
        <w:ind w:left="714" w:hanging="357"/>
        <w:contextualSpacing w:val="0"/>
        <w:rPr>
          <w:rFonts w:asciiTheme="minorHAnsi" w:hAnsiTheme="minorHAnsi" w:cstheme="minorHAnsi"/>
          <w:color w:val="auto"/>
          <w:sz w:val="18"/>
          <w:szCs w:val="18"/>
        </w:rPr>
      </w:pPr>
      <w:r w:rsidRPr="00174CC4">
        <w:rPr>
          <w:rFonts w:asciiTheme="minorHAnsi" w:hAnsiTheme="minorHAnsi" w:cstheme="minorHAnsi"/>
          <w:color w:val="auto"/>
          <w:sz w:val="18"/>
          <w:szCs w:val="18"/>
        </w:rPr>
        <w:t>Provide flexible working arrangements to encourage women to apply for the role</w:t>
      </w:r>
      <w:r>
        <w:rPr>
          <w:rFonts w:asciiTheme="minorHAnsi" w:hAnsiTheme="minorHAnsi" w:cstheme="minorHAnsi"/>
          <w:color w:val="auto"/>
          <w:sz w:val="18"/>
          <w:szCs w:val="18"/>
        </w:rPr>
        <w:t>.</w:t>
      </w:r>
    </w:p>
    <w:p w14:paraId="2E0A52F3" w14:textId="1A934033" w:rsidR="001622A3" w:rsidRPr="00174CC4" w:rsidRDefault="00203693" w:rsidP="00735900">
      <w:pPr>
        <w:pStyle w:val="ListParagraph"/>
        <w:numPr>
          <w:ilvl w:val="0"/>
          <w:numId w:val="30"/>
        </w:numPr>
        <w:spacing w:after="120"/>
        <w:ind w:left="714" w:hanging="357"/>
        <w:contextualSpacing w:val="0"/>
        <w:rPr>
          <w:rFonts w:asciiTheme="minorHAnsi" w:hAnsiTheme="minorHAnsi" w:cstheme="minorHAnsi"/>
          <w:color w:val="auto"/>
          <w:sz w:val="18"/>
          <w:szCs w:val="18"/>
        </w:rPr>
      </w:pPr>
      <w:r w:rsidRPr="00174CC4">
        <w:rPr>
          <w:rFonts w:asciiTheme="minorHAnsi" w:hAnsiTheme="minorHAnsi" w:cstheme="minorHAnsi"/>
          <w:color w:val="auto"/>
          <w:sz w:val="18"/>
          <w:szCs w:val="18"/>
        </w:rPr>
        <w:t>Engage a gender diverse assessment and interview panel</w:t>
      </w:r>
      <w:r>
        <w:rPr>
          <w:rFonts w:asciiTheme="minorHAnsi" w:hAnsiTheme="minorHAnsi" w:cstheme="minorHAnsi"/>
          <w:color w:val="auto"/>
          <w:sz w:val="18"/>
          <w:szCs w:val="18"/>
        </w:rPr>
        <w:t>.</w:t>
      </w:r>
    </w:p>
    <w:p w14:paraId="00003469" w14:textId="77777777" w:rsidR="00203693" w:rsidRDefault="00203693" w:rsidP="00203693">
      <w:pPr>
        <w:pStyle w:val="ListParagraph"/>
        <w:ind w:left="360"/>
        <w:rPr>
          <w:rFonts w:asciiTheme="minorHAnsi" w:hAnsiTheme="minorHAnsi" w:cstheme="minorHAnsi"/>
          <w:sz w:val="18"/>
          <w:szCs w:val="18"/>
        </w:rPr>
      </w:pPr>
    </w:p>
    <w:p w14:paraId="22E75CD7" w14:textId="77777777" w:rsidR="00203693" w:rsidRDefault="00203693" w:rsidP="00203693">
      <w:pPr>
        <w:pStyle w:val="ListParagraph"/>
        <w:ind w:left="360"/>
        <w:rPr>
          <w:rFonts w:asciiTheme="minorHAnsi" w:hAnsiTheme="minorHAnsi" w:cstheme="minorHAnsi"/>
          <w:sz w:val="18"/>
          <w:szCs w:val="18"/>
        </w:rPr>
      </w:pPr>
      <w:r w:rsidRPr="008161BE">
        <w:rPr>
          <w:rFonts w:asciiTheme="minorHAnsi" w:hAnsiTheme="minorHAnsi" w:cstheme="minorHAnsi"/>
          <w:color w:val="auto"/>
          <w:sz w:val="18"/>
          <w:szCs w:val="18"/>
        </w:rPr>
        <w:t xml:space="preserve">For questions </w:t>
      </w:r>
      <w:r>
        <w:rPr>
          <w:rFonts w:asciiTheme="minorHAnsi" w:hAnsiTheme="minorHAnsi" w:cstheme="minorHAnsi"/>
          <w:color w:val="auto"/>
          <w:sz w:val="18"/>
          <w:szCs w:val="18"/>
        </w:rPr>
        <w:t>related</w:t>
      </w:r>
      <w:r w:rsidRPr="008161BE">
        <w:rPr>
          <w:rFonts w:asciiTheme="minorHAnsi" w:hAnsiTheme="minorHAnsi" w:cstheme="minorHAnsi"/>
          <w:color w:val="auto"/>
          <w:sz w:val="18"/>
          <w:szCs w:val="18"/>
        </w:rPr>
        <w:t xml:space="preserve"> to the Women on Boards commitment, contact DFFH at </w:t>
      </w:r>
      <w:hyperlink r:id="rId103" w:history="1">
        <w:r w:rsidRPr="00053B12">
          <w:rPr>
            <w:rStyle w:val="Hyperlink"/>
            <w:rFonts w:asciiTheme="minorHAnsi" w:hAnsiTheme="minorHAnsi" w:cstheme="minorHAnsi"/>
            <w:sz w:val="18"/>
            <w:szCs w:val="18"/>
          </w:rPr>
          <w:t>diversityonboards@dffh.vic.gov.au</w:t>
        </w:r>
      </w:hyperlink>
    </w:p>
    <w:p w14:paraId="20E15C88" w14:textId="77777777" w:rsidR="00203693" w:rsidRPr="00C32301" w:rsidRDefault="00203693" w:rsidP="00203693">
      <w:pPr>
        <w:pStyle w:val="ListParagraph"/>
        <w:ind w:left="360"/>
        <w:rPr>
          <w:rFonts w:asciiTheme="minorHAnsi" w:hAnsiTheme="minorHAnsi" w:cstheme="minorHAnsi"/>
          <w:sz w:val="18"/>
          <w:szCs w:val="18"/>
        </w:rPr>
      </w:pPr>
    </w:p>
    <w:p w14:paraId="00A7860E" w14:textId="5F231ADE" w:rsidR="00203693" w:rsidRPr="008161BE" w:rsidRDefault="00203693" w:rsidP="00735900">
      <w:pPr>
        <w:pStyle w:val="ListParagraph"/>
        <w:numPr>
          <w:ilvl w:val="0"/>
          <w:numId w:val="26"/>
        </w:numPr>
        <w:rPr>
          <w:rFonts w:asciiTheme="minorHAnsi" w:hAnsiTheme="minorHAnsi" w:cstheme="minorHAnsi"/>
          <w:color w:val="auto"/>
          <w:sz w:val="18"/>
          <w:szCs w:val="18"/>
        </w:rPr>
      </w:pPr>
      <w:r w:rsidRPr="008161BE">
        <w:rPr>
          <w:rFonts w:asciiTheme="minorHAnsi" w:hAnsiTheme="minorHAnsi" w:cstheme="minorHAnsi"/>
          <w:b/>
          <w:bCs/>
          <w:color w:val="auto"/>
          <w:sz w:val="18"/>
          <w:szCs w:val="18"/>
        </w:rPr>
        <w:t>Aboriginal people</w:t>
      </w:r>
      <w:r w:rsidRPr="008161BE">
        <w:rPr>
          <w:rFonts w:asciiTheme="minorHAnsi" w:hAnsiTheme="minorHAnsi" w:cstheme="minorHAnsi"/>
          <w:color w:val="auto"/>
          <w:sz w:val="18"/>
          <w:szCs w:val="18"/>
        </w:rPr>
        <w:t xml:space="preserve"> – Around one per</w:t>
      </w:r>
      <w:r w:rsidR="003E37F1">
        <w:rPr>
          <w:rFonts w:asciiTheme="minorHAnsi" w:hAnsiTheme="minorHAnsi" w:cstheme="minorHAnsi"/>
          <w:color w:val="auto"/>
          <w:sz w:val="18"/>
          <w:szCs w:val="18"/>
        </w:rPr>
        <w:t xml:space="preserve"> </w:t>
      </w:r>
      <w:r w:rsidRPr="008161BE">
        <w:rPr>
          <w:rFonts w:asciiTheme="minorHAnsi" w:hAnsiTheme="minorHAnsi" w:cstheme="minorHAnsi"/>
          <w:color w:val="auto"/>
          <w:sz w:val="18"/>
          <w:szCs w:val="18"/>
        </w:rPr>
        <w:t xml:space="preserve">cent of people on Victorian Government boards identify as Aboriginal. </w:t>
      </w:r>
    </w:p>
    <w:p w14:paraId="35CE86DA" w14:textId="77777777" w:rsidR="00203693" w:rsidRPr="008161BE" w:rsidRDefault="00203693" w:rsidP="00203693">
      <w:pPr>
        <w:pStyle w:val="ListParagraph"/>
        <w:ind w:left="360"/>
        <w:rPr>
          <w:rFonts w:asciiTheme="minorHAnsi" w:hAnsiTheme="minorHAnsi" w:cstheme="minorHAnsi"/>
          <w:b/>
          <w:bCs/>
          <w:color w:val="auto"/>
          <w:sz w:val="18"/>
          <w:szCs w:val="18"/>
        </w:rPr>
      </w:pPr>
    </w:p>
    <w:p w14:paraId="4F1822C7" w14:textId="6BA9C7E3" w:rsidR="00203693" w:rsidRPr="008161BE" w:rsidRDefault="00203693" w:rsidP="00203693">
      <w:pPr>
        <w:pStyle w:val="ListParagraph"/>
        <w:ind w:left="360"/>
        <w:rPr>
          <w:rFonts w:asciiTheme="minorHAnsi" w:hAnsiTheme="minorHAnsi" w:cstheme="minorHAnsi"/>
          <w:color w:val="auto"/>
          <w:sz w:val="18"/>
          <w:szCs w:val="18"/>
        </w:rPr>
      </w:pPr>
      <w:r w:rsidRPr="008161BE">
        <w:rPr>
          <w:rFonts w:asciiTheme="minorHAnsi" w:hAnsiTheme="minorHAnsi" w:cstheme="minorHAnsi"/>
          <w:color w:val="auto"/>
          <w:sz w:val="18"/>
          <w:szCs w:val="18"/>
        </w:rPr>
        <w:t>The Victorian Government is committed to self-determination as a guiding principle in Aboriginal affairs, which should reflect in</w:t>
      </w:r>
      <w:r>
        <w:rPr>
          <w:rFonts w:asciiTheme="minorHAnsi" w:hAnsiTheme="minorHAnsi" w:cstheme="minorHAnsi"/>
          <w:color w:val="auto"/>
          <w:sz w:val="18"/>
          <w:szCs w:val="18"/>
        </w:rPr>
        <w:t xml:space="preserve"> the</w:t>
      </w:r>
      <w:r w:rsidRPr="008161BE">
        <w:rPr>
          <w:rFonts w:asciiTheme="minorHAnsi" w:hAnsiTheme="minorHAnsi" w:cstheme="minorHAnsi"/>
          <w:color w:val="auto"/>
          <w:sz w:val="18"/>
          <w:szCs w:val="18"/>
        </w:rPr>
        <w:t xml:space="preserve"> representation of Aboriginal people on government boards. Entities should ensure that Aboriginal people</w:t>
      </w:r>
      <w:r w:rsidR="00C41896">
        <w:rPr>
          <w:rFonts w:asciiTheme="minorHAnsi" w:hAnsiTheme="minorHAnsi" w:cstheme="minorHAnsi"/>
          <w:color w:val="auto"/>
          <w:sz w:val="18"/>
          <w:szCs w:val="18"/>
        </w:rPr>
        <w:t xml:space="preserve">, including </w:t>
      </w:r>
      <w:r w:rsidR="00201333">
        <w:rPr>
          <w:rFonts w:asciiTheme="minorHAnsi" w:hAnsiTheme="minorHAnsi" w:cstheme="minorHAnsi"/>
          <w:color w:val="auto"/>
          <w:sz w:val="18"/>
          <w:szCs w:val="18"/>
        </w:rPr>
        <w:t xml:space="preserve">Torres Strait Islander </w:t>
      </w:r>
      <w:r w:rsidR="00926FD0">
        <w:rPr>
          <w:rFonts w:asciiTheme="minorHAnsi" w:hAnsiTheme="minorHAnsi" w:cstheme="minorHAnsi"/>
          <w:color w:val="auto"/>
          <w:sz w:val="18"/>
          <w:szCs w:val="18"/>
        </w:rPr>
        <w:t>people</w:t>
      </w:r>
      <w:r w:rsidR="00AC4D5F">
        <w:rPr>
          <w:rFonts w:asciiTheme="minorHAnsi" w:hAnsiTheme="minorHAnsi" w:cstheme="minorHAnsi"/>
          <w:color w:val="auto"/>
          <w:sz w:val="18"/>
          <w:szCs w:val="18"/>
        </w:rPr>
        <w:t>,</w:t>
      </w:r>
      <w:r w:rsidRPr="008161BE">
        <w:rPr>
          <w:rFonts w:asciiTheme="minorHAnsi" w:hAnsiTheme="minorHAnsi" w:cstheme="minorHAnsi"/>
          <w:color w:val="auto"/>
          <w:sz w:val="18"/>
          <w:szCs w:val="18"/>
        </w:rPr>
        <w:t xml:space="preserve"> </w:t>
      </w:r>
      <w:r>
        <w:rPr>
          <w:rFonts w:asciiTheme="minorHAnsi" w:hAnsiTheme="minorHAnsi" w:cstheme="minorHAnsi"/>
          <w:color w:val="auto"/>
          <w:sz w:val="18"/>
          <w:szCs w:val="18"/>
        </w:rPr>
        <w:t>are</w:t>
      </w:r>
      <w:r w:rsidRPr="008161BE">
        <w:rPr>
          <w:rFonts w:asciiTheme="minorHAnsi" w:hAnsiTheme="minorHAnsi" w:cstheme="minorHAnsi"/>
          <w:color w:val="auto"/>
          <w:sz w:val="18"/>
          <w:szCs w:val="18"/>
        </w:rPr>
        <w:t xml:space="preserve"> represented on both ‘mainstream boards’ and those with specific mandates for Aboriginal affairs. This is because all areas of policy impact Aboriginal Victorians. </w:t>
      </w:r>
    </w:p>
    <w:p w14:paraId="6BFAF977" w14:textId="77777777" w:rsidR="00203693" w:rsidRPr="008161BE" w:rsidRDefault="00203693" w:rsidP="00203693">
      <w:pPr>
        <w:pStyle w:val="ListParagraph"/>
        <w:ind w:left="360"/>
        <w:rPr>
          <w:rFonts w:asciiTheme="minorHAnsi" w:hAnsiTheme="minorHAnsi" w:cstheme="minorHAnsi"/>
          <w:color w:val="auto"/>
          <w:sz w:val="18"/>
          <w:szCs w:val="18"/>
        </w:rPr>
      </w:pPr>
    </w:p>
    <w:p w14:paraId="16414DE2" w14:textId="6C999F73" w:rsidR="00203693" w:rsidRPr="008161BE" w:rsidRDefault="00203693" w:rsidP="00203693">
      <w:pPr>
        <w:pStyle w:val="ListParagraph"/>
        <w:ind w:left="360"/>
        <w:rPr>
          <w:rFonts w:asciiTheme="minorHAnsi" w:hAnsiTheme="minorHAnsi" w:cstheme="minorHAnsi"/>
          <w:color w:val="auto"/>
          <w:sz w:val="18"/>
          <w:szCs w:val="18"/>
        </w:rPr>
      </w:pPr>
      <w:r w:rsidRPr="008161BE">
        <w:rPr>
          <w:rFonts w:asciiTheme="minorHAnsi" w:hAnsiTheme="minorHAnsi" w:cstheme="minorHAnsi"/>
          <w:color w:val="auto"/>
          <w:sz w:val="18"/>
          <w:szCs w:val="18"/>
        </w:rPr>
        <w:t xml:space="preserve">DJSIR must </w:t>
      </w:r>
      <w:r>
        <w:rPr>
          <w:rFonts w:asciiTheme="minorHAnsi" w:hAnsiTheme="minorHAnsi" w:cstheme="minorHAnsi"/>
          <w:color w:val="auto"/>
          <w:sz w:val="18"/>
          <w:szCs w:val="18"/>
        </w:rPr>
        <w:t xml:space="preserve">aim </w:t>
      </w:r>
      <w:r w:rsidRPr="008161BE">
        <w:rPr>
          <w:rFonts w:asciiTheme="minorHAnsi" w:hAnsiTheme="minorHAnsi" w:cstheme="minorHAnsi"/>
          <w:color w:val="auto"/>
          <w:sz w:val="18"/>
          <w:szCs w:val="18"/>
        </w:rPr>
        <w:t>to maintain or exceed its</w:t>
      </w:r>
      <w:r>
        <w:rPr>
          <w:rFonts w:asciiTheme="minorHAnsi" w:hAnsiTheme="minorHAnsi" w:cstheme="minorHAnsi"/>
          <w:color w:val="auto"/>
          <w:sz w:val="18"/>
          <w:szCs w:val="18"/>
        </w:rPr>
        <w:t xml:space="preserve"> WoVG</w:t>
      </w:r>
      <w:r w:rsidRPr="008161BE">
        <w:rPr>
          <w:rFonts w:asciiTheme="minorHAnsi" w:hAnsiTheme="minorHAnsi" w:cstheme="minorHAnsi"/>
          <w:color w:val="auto"/>
          <w:sz w:val="18"/>
          <w:szCs w:val="18"/>
        </w:rPr>
        <w:t xml:space="preserve"> targets </w:t>
      </w:r>
      <w:r>
        <w:rPr>
          <w:rFonts w:asciiTheme="minorHAnsi" w:hAnsiTheme="minorHAnsi" w:cstheme="minorHAnsi"/>
          <w:color w:val="auto"/>
          <w:sz w:val="18"/>
          <w:szCs w:val="18"/>
        </w:rPr>
        <w:t>for</w:t>
      </w:r>
      <w:r w:rsidRPr="008161BE">
        <w:rPr>
          <w:rFonts w:asciiTheme="minorHAnsi" w:hAnsiTheme="minorHAnsi" w:cstheme="minorHAnsi"/>
          <w:color w:val="auto"/>
          <w:sz w:val="18"/>
          <w:szCs w:val="18"/>
        </w:rPr>
        <w:t xml:space="preserve"> Aboriginal representation through board</w:t>
      </w:r>
      <w:r>
        <w:rPr>
          <w:rFonts w:asciiTheme="minorHAnsi" w:hAnsiTheme="minorHAnsi" w:cstheme="minorHAnsi"/>
          <w:color w:val="auto"/>
          <w:sz w:val="18"/>
          <w:szCs w:val="18"/>
        </w:rPr>
        <w:t xml:space="preserve"> recruitment</w:t>
      </w:r>
      <w:r w:rsidRPr="008161BE">
        <w:rPr>
          <w:rFonts w:asciiTheme="minorHAnsi" w:hAnsiTheme="minorHAnsi" w:cstheme="minorHAnsi"/>
          <w:color w:val="auto"/>
          <w:sz w:val="18"/>
          <w:szCs w:val="18"/>
        </w:rPr>
        <w:t>. This can be achieved</w:t>
      </w:r>
      <w:r>
        <w:rPr>
          <w:rFonts w:asciiTheme="minorHAnsi" w:hAnsiTheme="minorHAnsi" w:cstheme="minorHAnsi"/>
          <w:color w:val="auto"/>
          <w:sz w:val="18"/>
          <w:szCs w:val="18"/>
        </w:rPr>
        <w:t xml:space="preserve"> </w:t>
      </w:r>
      <w:r w:rsidR="00D56329">
        <w:rPr>
          <w:rFonts w:asciiTheme="minorHAnsi" w:hAnsiTheme="minorHAnsi" w:cstheme="minorHAnsi"/>
          <w:color w:val="auto"/>
          <w:sz w:val="18"/>
          <w:szCs w:val="18"/>
        </w:rPr>
        <w:t xml:space="preserve">during </w:t>
      </w:r>
      <w:r>
        <w:rPr>
          <w:rFonts w:asciiTheme="minorHAnsi" w:hAnsiTheme="minorHAnsi" w:cstheme="minorHAnsi"/>
          <w:color w:val="auto"/>
          <w:sz w:val="18"/>
          <w:szCs w:val="18"/>
        </w:rPr>
        <w:t>the</w:t>
      </w:r>
      <w:r w:rsidRPr="008161BE">
        <w:rPr>
          <w:rFonts w:asciiTheme="minorHAnsi" w:hAnsiTheme="minorHAnsi" w:cstheme="minorHAnsi"/>
          <w:color w:val="auto"/>
          <w:sz w:val="18"/>
          <w:szCs w:val="18"/>
        </w:rPr>
        <w:t xml:space="preserve"> appropriate strategic board recruitment goal</w:t>
      </w:r>
      <w:r>
        <w:rPr>
          <w:rFonts w:asciiTheme="minorHAnsi" w:hAnsiTheme="minorHAnsi" w:cstheme="minorHAnsi"/>
          <w:color w:val="auto"/>
          <w:sz w:val="18"/>
          <w:szCs w:val="18"/>
        </w:rPr>
        <w:t>-</w:t>
      </w:r>
      <w:r w:rsidRPr="008161BE">
        <w:rPr>
          <w:rFonts w:asciiTheme="minorHAnsi" w:hAnsiTheme="minorHAnsi" w:cstheme="minorHAnsi"/>
          <w:color w:val="auto"/>
          <w:sz w:val="18"/>
          <w:szCs w:val="18"/>
        </w:rPr>
        <w:t xml:space="preserve">setting </w:t>
      </w:r>
      <w:r>
        <w:rPr>
          <w:rFonts w:asciiTheme="minorHAnsi" w:hAnsiTheme="minorHAnsi" w:cstheme="minorHAnsi"/>
          <w:color w:val="auto"/>
          <w:sz w:val="18"/>
          <w:szCs w:val="18"/>
        </w:rPr>
        <w:t xml:space="preserve">phase </w:t>
      </w:r>
      <w:r w:rsidRPr="008161BE">
        <w:rPr>
          <w:rFonts w:asciiTheme="minorHAnsi" w:hAnsiTheme="minorHAnsi" w:cstheme="minorHAnsi"/>
          <w:color w:val="auto"/>
          <w:sz w:val="18"/>
          <w:szCs w:val="18"/>
        </w:rPr>
        <w:t xml:space="preserve">between departmental relationship managers and their board chairpersons, and in consultation with the responsible minister. </w:t>
      </w:r>
    </w:p>
    <w:p w14:paraId="6255901F" w14:textId="77777777" w:rsidR="00203693" w:rsidRPr="008161BE" w:rsidRDefault="00203693" w:rsidP="00203693">
      <w:pPr>
        <w:pStyle w:val="ListParagraph"/>
        <w:ind w:left="360"/>
        <w:rPr>
          <w:rFonts w:asciiTheme="minorHAnsi" w:hAnsiTheme="minorHAnsi" w:cstheme="minorHAnsi"/>
          <w:color w:val="auto"/>
          <w:sz w:val="18"/>
          <w:szCs w:val="18"/>
        </w:rPr>
      </w:pPr>
    </w:p>
    <w:p w14:paraId="0786D7DF" w14:textId="77777777" w:rsidR="00203693" w:rsidRDefault="00203693" w:rsidP="00203693">
      <w:pPr>
        <w:pStyle w:val="ListParagraph"/>
        <w:ind w:left="360"/>
        <w:rPr>
          <w:rFonts w:asciiTheme="minorHAnsi" w:hAnsiTheme="minorHAnsi" w:cstheme="minorHAnsi"/>
          <w:b/>
          <w:bCs/>
          <w:color w:val="auto"/>
          <w:sz w:val="18"/>
          <w:szCs w:val="18"/>
        </w:rPr>
      </w:pPr>
      <w:r>
        <w:rPr>
          <w:rFonts w:asciiTheme="minorHAnsi" w:hAnsiTheme="minorHAnsi" w:cstheme="minorHAnsi"/>
          <w:b/>
          <w:bCs/>
          <w:color w:val="auto"/>
          <w:sz w:val="18"/>
          <w:szCs w:val="18"/>
        </w:rPr>
        <w:t>Key considerations</w:t>
      </w:r>
    </w:p>
    <w:p w14:paraId="5B143AFC" w14:textId="77777777" w:rsidR="00203693" w:rsidRDefault="00203693" w:rsidP="00203693">
      <w:pPr>
        <w:pStyle w:val="ListParagraph"/>
        <w:ind w:left="360"/>
        <w:rPr>
          <w:rFonts w:asciiTheme="minorHAnsi" w:hAnsiTheme="minorHAnsi" w:cstheme="minorHAnsi"/>
          <w:b/>
          <w:bCs/>
          <w:color w:val="auto"/>
          <w:sz w:val="18"/>
          <w:szCs w:val="18"/>
        </w:rPr>
      </w:pPr>
    </w:p>
    <w:p w14:paraId="3227BF7F" w14:textId="77777777" w:rsidR="00203693" w:rsidRPr="00BD7563" w:rsidRDefault="00203693" w:rsidP="00735900">
      <w:pPr>
        <w:pStyle w:val="ListParagraph"/>
        <w:numPr>
          <w:ilvl w:val="0"/>
          <w:numId w:val="31"/>
        </w:numPr>
        <w:spacing w:after="120"/>
        <w:ind w:left="714" w:hanging="357"/>
        <w:contextualSpacing w:val="0"/>
        <w:rPr>
          <w:rFonts w:asciiTheme="minorHAnsi" w:hAnsiTheme="minorHAnsi" w:cstheme="minorHAnsi"/>
          <w:color w:val="auto"/>
          <w:sz w:val="18"/>
          <w:szCs w:val="18"/>
        </w:rPr>
      </w:pPr>
      <w:r w:rsidRPr="00BD7563">
        <w:rPr>
          <w:rFonts w:asciiTheme="minorHAnsi" w:hAnsiTheme="minorHAnsi" w:cstheme="minorHAnsi"/>
          <w:color w:val="auto"/>
          <w:sz w:val="18"/>
          <w:szCs w:val="18"/>
        </w:rPr>
        <w:t xml:space="preserve">Avoid considering </w:t>
      </w:r>
      <w:r>
        <w:rPr>
          <w:rFonts w:asciiTheme="minorHAnsi" w:hAnsiTheme="minorHAnsi" w:cstheme="minorHAnsi"/>
          <w:color w:val="auto"/>
          <w:sz w:val="18"/>
          <w:szCs w:val="18"/>
        </w:rPr>
        <w:t xml:space="preserve">just </w:t>
      </w:r>
      <w:r w:rsidRPr="00BD7563">
        <w:rPr>
          <w:rFonts w:asciiTheme="minorHAnsi" w:hAnsiTheme="minorHAnsi" w:cstheme="minorHAnsi"/>
          <w:color w:val="auto"/>
          <w:sz w:val="18"/>
          <w:szCs w:val="18"/>
        </w:rPr>
        <w:t>Aboriginal people for Aboriginal specific boards</w:t>
      </w:r>
      <w:r>
        <w:rPr>
          <w:rFonts w:asciiTheme="minorHAnsi" w:hAnsiTheme="minorHAnsi" w:cstheme="minorHAnsi"/>
          <w:color w:val="auto"/>
          <w:sz w:val="18"/>
          <w:szCs w:val="18"/>
        </w:rPr>
        <w:t>.</w:t>
      </w:r>
    </w:p>
    <w:p w14:paraId="39EA3ED5" w14:textId="77777777" w:rsidR="00203693" w:rsidRPr="00451DED" w:rsidRDefault="00203693" w:rsidP="00735900">
      <w:pPr>
        <w:pStyle w:val="ListParagraph"/>
        <w:numPr>
          <w:ilvl w:val="0"/>
          <w:numId w:val="31"/>
        </w:numPr>
        <w:spacing w:after="120"/>
        <w:ind w:left="714" w:hanging="357"/>
        <w:contextualSpacing w:val="0"/>
        <w:rPr>
          <w:rFonts w:asciiTheme="minorHAnsi" w:hAnsiTheme="minorHAnsi" w:cstheme="minorHAnsi"/>
          <w:color w:val="auto"/>
          <w:sz w:val="18"/>
          <w:szCs w:val="18"/>
        </w:rPr>
      </w:pPr>
      <w:r w:rsidRPr="00451DED">
        <w:rPr>
          <w:rFonts w:asciiTheme="minorHAnsi" w:hAnsiTheme="minorHAnsi" w:cstheme="minorHAnsi"/>
          <w:color w:val="auto"/>
          <w:sz w:val="18"/>
          <w:szCs w:val="18"/>
        </w:rPr>
        <w:t xml:space="preserve">Ensure that your board is culturally safe and </w:t>
      </w:r>
      <w:r w:rsidRPr="00973269">
        <w:rPr>
          <w:rFonts w:asciiTheme="minorHAnsi" w:hAnsiTheme="minorHAnsi" w:cstheme="minorHAnsi"/>
          <w:color w:val="auto"/>
          <w:sz w:val="18"/>
          <w:szCs w:val="18"/>
        </w:rPr>
        <w:t>can</w:t>
      </w:r>
      <w:r w:rsidRPr="00451DED">
        <w:rPr>
          <w:rFonts w:asciiTheme="minorHAnsi" w:hAnsiTheme="minorHAnsi" w:cstheme="minorHAnsi"/>
          <w:color w:val="auto"/>
          <w:sz w:val="18"/>
          <w:szCs w:val="18"/>
        </w:rPr>
        <w:t xml:space="preserve"> support Aboriginal members</w:t>
      </w:r>
      <w:r>
        <w:rPr>
          <w:rFonts w:asciiTheme="minorHAnsi" w:hAnsiTheme="minorHAnsi" w:cstheme="minorHAnsi"/>
          <w:color w:val="auto"/>
          <w:sz w:val="18"/>
          <w:szCs w:val="18"/>
        </w:rPr>
        <w:t>.</w:t>
      </w:r>
    </w:p>
    <w:p w14:paraId="6A794718" w14:textId="77777777" w:rsidR="00203693" w:rsidRDefault="00203693" w:rsidP="00735900">
      <w:pPr>
        <w:pStyle w:val="ListParagraph"/>
        <w:numPr>
          <w:ilvl w:val="0"/>
          <w:numId w:val="31"/>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Include lived experience or professional experience and practical knowledge, whenever possible, rather than formal qualifications.</w:t>
      </w:r>
    </w:p>
    <w:p w14:paraId="49A95C21" w14:textId="77777777" w:rsidR="00203693" w:rsidRDefault="00203693" w:rsidP="00735900">
      <w:pPr>
        <w:pStyle w:val="ListParagraph"/>
        <w:numPr>
          <w:ilvl w:val="0"/>
          <w:numId w:val="31"/>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Be flexible and do not rely solely on formal interview approaches.</w:t>
      </w:r>
    </w:p>
    <w:p w14:paraId="014033DC" w14:textId="77777777" w:rsidR="00203693" w:rsidRDefault="00203693" w:rsidP="00735900">
      <w:pPr>
        <w:pStyle w:val="ListParagraph"/>
        <w:numPr>
          <w:ilvl w:val="0"/>
          <w:numId w:val="31"/>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Provide support to applicants before the interview.</w:t>
      </w:r>
    </w:p>
    <w:p w14:paraId="1712388B" w14:textId="77777777" w:rsidR="00203693" w:rsidRDefault="00203693" w:rsidP="00735900">
      <w:pPr>
        <w:pStyle w:val="ListParagraph"/>
        <w:numPr>
          <w:ilvl w:val="0"/>
          <w:numId w:val="31"/>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Include an Aboriginal person on the selection panel.</w:t>
      </w:r>
    </w:p>
    <w:p w14:paraId="310FFA20" w14:textId="77777777" w:rsidR="00203693" w:rsidRPr="00451DED" w:rsidRDefault="00203693" w:rsidP="00735900">
      <w:pPr>
        <w:pStyle w:val="ListParagraph"/>
        <w:numPr>
          <w:ilvl w:val="0"/>
          <w:numId w:val="31"/>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Appreciate that Aboriginal cultural protocols may differ between individuals, communities, and regions.</w:t>
      </w:r>
    </w:p>
    <w:p w14:paraId="4CFB637F" w14:textId="77777777" w:rsidR="00203693" w:rsidRDefault="00203693" w:rsidP="00203693">
      <w:pPr>
        <w:pStyle w:val="ListParagraph"/>
        <w:ind w:left="360"/>
        <w:rPr>
          <w:rFonts w:asciiTheme="minorHAnsi" w:hAnsiTheme="minorHAnsi" w:cstheme="minorHAnsi"/>
          <w:b/>
          <w:bCs/>
          <w:color w:val="auto"/>
          <w:sz w:val="18"/>
          <w:szCs w:val="18"/>
        </w:rPr>
      </w:pPr>
    </w:p>
    <w:p w14:paraId="6324D45E" w14:textId="77777777" w:rsidR="00203693" w:rsidRPr="008161BE" w:rsidRDefault="00203693" w:rsidP="00203693">
      <w:pPr>
        <w:pStyle w:val="ListParagraph"/>
        <w:ind w:left="360"/>
        <w:rPr>
          <w:rFonts w:asciiTheme="minorHAnsi" w:hAnsiTheme="minorHAnsi" w:cstheme="minorHAnsi"/>
          <w:b/>
          <w:bCs/>
          <w:color w:val="auto"/>
          <w:sz w:val="18"/>
          <w:szCs w:val="18"/>
        </w:rPr>
      </w:pPr>
      <w:r w:rsidRPr="008161BE">
        <w:rPr>
          <w:rFonts w:asciiTheme="minorHAnsi" w:hAnsiTheme="minorHAnsi" w:cstheme="minorHAnsi"/>
          <w:b/>
          <w:bCs/>
          <w:color w:val="auto"/>
          <w:sz w:val="18"/>
          <w:szCs w:val="18"/>
        </w:rPr>
        <w:t>Additional information and useful links:</w:t>
      </w:r>
    </w:p>
    <w:p w14:paraId="16F3F869" w14:textId="77777777" w:rsidR="00203693" w:rsidRPr="008161BE" w:rsidRDefault="00203693" w:rsidP="00203693">
      <w:pPr>
        <w:pStyle w:val="ListParagraph"/>
        <w:ind w:left="360"/>
        <w:rPr>
          <w:rFonts w:asciiTheme="minorHAnsi" w:hAnsiTheme="minorHAnsi" w:cstheme="minorHAnsi"/>
          <w:color w:val="auto"/>
          <w:sz w:val="18"/>
          <w:szCs w:val="18"/>
        </w:rPr>
      </w:pPr>
    </w:p>
    <w:p w14:paraId="288D9AF4" w14:textId="158A83D0" w:rsidR="00203693" w:rsidRPr="00E7299D" w:rsidRDefault="00DF25F6" w:rsidP="00203693">
      <w:pPr>
        <w:pStyle w:val="ListParagraph"/>
        <w:ind w:left="360"/>
        <w:rPr>
          <w:rFonts w:asciiTheme="minorHAnsi" w:hAnsiTheme="minorHAnsi" w:cstheme="minorHAnsi"/>
          <w:sz w:val="18"/>
          <w:szCs w:val="18"/>
        </w:rPr>
      </w:pPr>
      <w:hyperlink r:id="rId104" w:history="1">
        <w:r w:rsidRPr="00E7299D">
          <w:rPr>
            <w:rStyle w:val="Hyperlink"/>
            <w:rFonts w:asciiTheme="minorHAnsi" w:hAnsiTheme="minorHAnsi" w:cstheme="minorHAnsi"/>
            <w:sz w:val="18"/>
            <w:szCs w:val="18"/>
          </w:rPr>
          <w:t>Aboriginal Cultural Capability Toolkit by the Victorian Public Sector Commission</w:t>
        </w:r>
      </w:hyperlink>
      <w:r w:rsidR="00203693" w:rsidRPr="00E7299D">
        <w:rPr>
          <w:rFonts w:asciiTheme="minorHAnsi" w:hAnsiTheme="minorHAnsi" w:cstheme="minorHAnsi"/>
          <w:sz w:val="18"/>
          <w:szCs w:val="18"/>
        </w:rPr>
        <w:t>.</w:t>
      </w:r>
    </w:p>
    <w:p w14:paraId="5B7E4F11" w14:textId="77777777" w:rsidR="00203693" w:rsidRPr="00E7299D" w:rsidRDefault="00203693" w:rsidP="00203693">
      <w:pPr>
        <w:pStyle w:val="ListParagraph"/>
        <w:ind w:left="360"/>
        <w:rPr>
          <w:rFonts w:asciiTheme="minorHAnsi" w:hAnsiTheme="minorHAnsi" w:cstheme="minorHAnsi"/>
          <w:sz w:val="18"/>
          <w:szCs w:val="18"/>
        </w:rPr>
      </w:pPr>
    </w:p>
    <w:p w14:paraId="17AC2382" w14:textId="6D1F00B5" w:rsidR="00203693" w:rsidRPr="00E7299D" w:rsidRDefault="00203693" w:rsidP="00203693">
      <w:pPr>
        <w:pStyle w:val="ListParagraph"/>
        <w:ind w:left="360"/>
        <w:rPr>
          <w:rFonts w:asciiTheme="minorHAnsi" w:hAnsiTheme="minorHAnsi" w:cstheme="minorHAnsi"/>
          <w:sz w:val="18"/>
          <w:szCs w:val="18"/>
        </w:rPr>
      </w:pPr>
      <w:r w:rsidRPr="00E7299D">
        <w:rPr>
          <w:rFonts w:asciiTheme="minorHAnsi" w:hAnsiTheme="minorHAnsi" w:cstheme="minorHAnsi"/>
          <w:color w:val="auto"/>
          <w:sz w:val="18"/>
          <w:szCs w:val="18"/>
        </w:rPr>
        <w:t>The Victorian Government’s approach to Aboriginal affairs guided by the Victorian Aboriginal Affairs Framework 2018-2023</w:t>
      </w:r>
      <w:r w:rsidR="00F92B16" w:rsidRPr="00E7299D">
        <w:rPr>
          <w:rFonts w:asciiTheme="minorHAnsi" w:hAnsiTheme="minorHAnsi" w:cstheme="minorHAnsi"/>
          <w:color w:val="auto"/>
          <w:sz w:val="18"/>
          <w:szCs w:val="18"/>
        </w:rPr>
        <w:t xml:space="preserve"> can be found </w:t>
      </w:r>
      <w:r w:rsidR="00AB3B78" w:rsidRPr="00E7299D">
        <w:rPr>
          <w:rFonts w:asciiTheme="minorHAnsi" w:hAnsiTheme="minorHAnsi" w:cstheme="minorHAnsi"/>
          <w:color w:val="auto"/>
          <w:sz w:val="18"/>
          <w:szCs w:val="18"/>
        </w:rPr>
        <w:t>here</w:t>
      </w:r>
      <w:r w:rsidR="00027554">
        <w:rPr>
          <w:rFonts w:asciiTheme="minorHAnsi" w:hAnsiTheme="minorHAnsi" w:cstheme="minorHAnsi"/>
          <w:color w:val="auto"/>
          <w:sz w:val="18"/>
          <w:szCs w:val="18"/>
        </w:rPr>
        <w:t>:</w:t>
      </w:r>
      <w:r w:rsidRPr="00E7299D">
        <w:rPr>
          <w:rFonts w:asciiTheme="minorHAnsi" w:hAnsiTheme="minorHAnsi" w:cstheme="minorHAnsi"/>
          <w:color w:val="auto"/>
          <w:sz w:val="18"/>
          <w:szCs w:val="18"/>
        </w:rPr>
        <w:t xml:space="preserve"> </w:t>
      </w:r>
      <w:hyperlink r:id="rId105" w:history="1">
        <w:r w:rsidRPr="00E7299D">
          <w:rPr>
            <w:rStyle w:val="Hyperlink"/>
            <w:rFonts w:asciiTheme="minorHAnsi" w:hAnsiTheme="minorHAnsi" w:cstheme="minorHAnsi"/>
            <w:sz w:val="18"/>
            <w:szCs w:val="18"/>
          </w:rPr>
          <w:t>https://www.firstpeoplesrelations.vic.gov.au/how-governments-working-close-gap-aboriginal-affairs-framework</w:t>
        </w:r>
      </w:hyperlink>
      <w:r w:rsidR="00027554">
        <w:t>.</w:t>
      </w:r>
    </w:p>
    <w:p w14:paraId="41DAEE05" w14:textId="77777777" w:rsidR="00203693" w:rsidRPr="00E7299D" w:rsidRDefault="00203693" w:rsidP="00203693">
      <w:pPr>
        <w:pStyle w:val="ListParagraph"/>
        <w:ind w:left="360"/>
        <w:rPr>
          <w:rFonts w:asciiTheme="minorHAnsi" w:hAnsiTheme="minorHAnsi" w:cstheme="minorHAnsi"/>
          <w:sz w:val="18"/>
          <w:szCs w:val="18"/>
        </w:rPr>
      </w:pPr>
    </w:p>
    <w:p w14:paraId="06EA0DB6" w14:textId="0A098C3C" w:rsidR="00203693" w:rsidRPr="00E7299D" w:rsidRDefault="00083BC5" w:rsidP="00203693">
      <w:pPr>
        <w:pStyle w:val="ListParagraph"/>
        <w:ind w:left="360"/>
        <w:rPr>
          <w:rFonts w:asciiTheme="minorHAnsi" w:hAnsiTheme="minorHAnsi" w:cstheme="minorHAnsi"/>
          <w:sz w:val="18"/>
          <w:szCs w:val="18"/>
        </w:rPr>
      </w:pPr>
      <w:r w:rsidRPr="00E7299D">
        <w:rPr>
          <w:rFonts w:asciiTheme="minorHAnsi" w:hAnsiTheme="minorHAnsi" w:cstheme="minorHAnsi"/>
          <w:color w:val="auto"/>
          <w:sz w:val="18"/>
          <w:szCs w:val="18"/>
        </w:rPr>
        <w:t xml:space="preserve">Information about the </w:t>
      </w:r>
      <w:hyperlink r:id="rId106" w:history="1">
        <w:r w:rsidRPr="00E7299D">
          <w:rPr>
            <w:rStyle w:val="Hyperlink"/>
            <w:rFonts w:asciiTheme="minorHAnsi" w:hAnsiTheme="minorHAnsi" w:cstheme="minorHAnsi"/>
            <w:sz w:val="18"/>
            <w:szCs w:val="18"/>
          </w:rPr>
          <w:t>Yoorrook Justice Commission</w:t>
        </w:r>
      </w:hyperlink>
      <w:r w:rsidRPr="00E7299D">
        <w:rPr>
          <w:rFonts w:asciiTheme="minorHAnsi" w:hAnsiTheme="minorHAnsi" w:cstheme="minorHAnsi"/>
          <w:color w:val="auto"/>
          <w:sz w:val="18"/>
          <w:szCs w:val="18"/>
        </w:rPr>
        <w:t xml:space="preserve"> which</w:t>
      </w:r>
      <w:r w:rsidR="00203693" w:rsidRPr="00E7299D">
        <w:rPr>
          <w:rFonts w:asciiTheme="minorHAnsi" w:hAnsiTheme="minorHAnsi" w:cstheme="minorHAnsi"/>
          <w:color w:val="auto"/>
          <w:sz w:val="18"/>
          <w:szCs w:val="18"/>
        </w:rPr>
        <w:t xml:space="preserve"> is the first formal truth-telling process into injustices experienced by First Peoples in Victoria. </w:t>
      </w:r>
    </w:p>
    <w:p w14:paraId="545B1E9F" w14:textId="77777777" w:rsidR="00203693" w:rsidRPr="008161BE" w:rsidRDefault="00203693" w:rsidP="00203693">
      <w:pPr>
        <w:pStyle w:val="ListParagraph"/>
        <w:ind w:left="360"/>
        <w:rPr>
          <w:rFonts w:asciiTheme="minorHAnsi" w:hAnsiTheme="minorHAnsi" w:cstheme="minorHAnsi"/>
          <w:sz w:val="18"/>
          <w:szCs w:val="18"/>
        </w:rPr>
      </w:pPr>
    </w:p>
    <w:p w14:paraId="46B2A49C" w14:textId="77777777" w:rsidR="00203693" w:rsidRDefault="00203693" w:rsidP="00735900">
      <w:pPr>
        <w:pStyle w:val="ListParagraph"/>
        <w:numPr>
          <w:ilvl w:val="0"/>
          <w:numId w:val="26"/>
        </w:numPr>
        <w:rPr>
          <w:rFonts w:asciiTheme="minorHAnsi" w:hAnsiTheme="minorHAnsi" w:cstheme="minorHAnsi"/>
          <w:color w:val="auto"/>
          <w:sz w:val="18"/>
          <w:szCs w:val="18"/>
        </w:rPr>
      </w:pPr>
      <w:r w:rsidRPr="008161BE">
        <w:rPr>
          <w:rFonts w:asciiTheme="minorHAnsi" w:hAnsiTheme="minorHAnsi" w:cstheme="minorHAnsi"/>
          <w:b/>
          <w:bCs/>
          <w:color w:val="auto"/>
          <w:sz w:val="18"/>
          <w:szCs w:val="18"/>
        </w:rPr>
        <w:t>Rural and regional communities</w:t>
      </w:r>
      <w:r w:rsidRPr="008161BE">
        <w:rPr>
          <w:rFonts w:asciiTheme="minorHAnsi" w:hAnsiTheme="minorHAnsi" w:cstheme="minorHAnsi"/>
          <w:color w:val="auto"/>
          <w:sz w:val="18"/>
          <w:szCs w:val="18"/>
        </w:rPr>
        <w:t xml:space="preserve"> – </w:t>
      </w:r>
      <w:r>
        <w:rPr>
          <w:rFonts w:asciiTheme="minorHAnsi" w:hAnsiTheme="minorHAnsi" w:cstheme="minorHAnsi"/>
          <w:color w:val="auto"/>
          <w:sz w:val="18"/>
          <w:szCs w:val="18"/>
        </w:rPr>
        <w:t xml:space="preserve">Government decisions can affect rural and regional Victorians in unexpected ways, and it is important to ensure that these decisions and impacts do not unfairly disadvantage these communities, noting that nearly 1.6 million Victorians live in rural and regional communities. </w:t>
      </w:r>
    </w:p>
    <w:p w14:paraId="4E61CF42" w14:textId="77777777" w:rsidR="00203693" w:rsidRDefault="00203693" w:rsidP="00203693">
      <w:pPr>
        <w:pStyle w:val="ListParagraph"/>
        <w:ind w:left="360"/>
        <w:rPr>
          <w:rFonts w:asciiTheme="minorHAnsi" w:hAnsiTheme="minorHAnsi" w:cstheme="minorHAnsi"/>
          <w:b/>
          <w:bCs/>
          <w:color w:val="auto"/>
          <w:sz w:val="18"/>
          <w:szCs w:val="18"/>
        </w:rPr>
      </w:pPr>
    </w:p>
    <w:p w14:paraId="195907F9" w14:textId="7C1EA292" w:rsidR="00203693" w:rsidRDefault="00203693" w:rsidP="00203693">
      <w:pPr>
        <w:pStyle w:val="ListParagraph"/>
        <w:ind w:left="360"/>
        <w:rPr>
          <w:rFonts w:asciiTheme="minorHAnsi" w:hAnsiTheme="minorHAnsi" w:cstheme="minorHAnsi"/>
          <w:color w:val="auto"/>
          <w:sz w:val="18"/>
          <w:szCs w:val="18"/>
        </w:rPr>
      </w:pPr>
      <w:r>
        <w:rPr>
          <w:rFonts w:asciiTheme="minorHAnsi" w:hAnsiTheme="minorHAnsi" w:cstheme="minorHAnsi"/>
          <w:color w:val="auto"/>
          <w:sz w:val="18"/>
          <w:szCs w:val="18"/>
        </w:rPr>
        <w:t>According to the</w:t>
      </w:r>
      <w:r w:rsidR="00E609AE">
        <w:rPr>
          <w:rFonts w:asciiTheme="minorHAnsi" w:hAnsiTheme="minorHAnsi" w:cstheme="minorHAnsi"/>
          <w:color w:val="auto"/>
          <w:sz w:val="18"/>
          <w:szCs w:val="18"/>
        </w:rPr>
        <w:t xml:space="preserve"> </w:t>
      </w:r>
      <w:hyperlink r:id="rId107" w:history="1">
        <w:r w:rsidR="00E609AE">
          <w:rPr>
            <w:rStyle w:val="Hyperlink"/>
            <w:rFonts w:asciiTheme="minorHAnsi" w:hAnsiTheme="minorHAnsi" w:cstheme="minorHAnsi"/>
            <w:sz w:val="18"/>
            <w:szCs w:val="18"/>
            <w:lang w:val="en-US"/>
          </w:rPr>
          <w:t>Diversity on Victorian Government Boards Guidelines</w:t>
        </w:r>
      </w:hyperlink>
      <w:r>
        <w:rPr>
          <w:rFonts w:asciiTheme="minorHAnsi" w:hAnsiTheme="minorHAnsi" w:cstheme="minorHAnsi"/>
          <w:color w:val="auto"/>
          <w:sz w:val="18"/>
          <w:szCs w:val="18"/>
        </w:rPr>
        <w:t>, e</w:t>
      </w:r>
      <w:r w:rsidRPr="00BD7563">
        <w:rPr>
          <w:rFonts w:asciiTheme="minorHAnsi" w:hAnsiTheme="minorHAnsi" w:cstheme="minorHAnsi"/>
          <w:color w:val="auto"/>
          <w:sz w:val="18"/>
          <w:szCs w:val="18"/>
        </w:rPr>
        <w:t xml:space="preserve">ntities with board members </w:t>
      </w:r>
      <w:r>
        <w:rPr>
          <w:rFonts w:asciiTheme="minorHAnsi" w:hAnsiTheme="minorHAnsi" w:cstheme="minorHAnsi"/>
          <w:color w:val="auto"/>
          <w:sz w:val="18"/>
          <w:szCs w:val="18"/>
        </w:rPr>
        <w:t>living</w:t>
      </w:r>
      <w:r w:rsidRPr="00BD7563">
        <w:rPr>
          <w:rFonts w:asciiTheme="minorHAnsi" w:hAnsiTheme="minorHAnsi" w:cstheme="minorHAnsi"/>
          <w:color w:val="auto"/>
          <w:sz w:val="18"/>
          <w:szCs w:val="18"/>
        </w:rPr>
        <w:t xml:space="preserve"> in rural and regional Victoria are </w:t>
      </w:r>
      <w:r w:rsidR="00153005">
        <w:rPr>
          <w:rFonts w:asciiTheme="minorHAnsi" w:hAnsiTheme="minorHAnsi" w:cstheme="minorHAnsi"/>
          <w:color w:val="auto"/>
          <w:sz w:val="18"/>
          <w:szCs w:val="18"/>
        </w:rPr>
        <w:t xml:space="preserve">highly </w:t>
      </w:r>
      <w:r w:rsidRPr="00BD7563">
        <w:rPr>
          <w:rFonts w:asciiTheme="minorHAnsi" w:hAnsiTheme="minorHAnsi" w:cstheme="minorHAnsi"/>
          <w:color w:val="auto"/>
          <w:sz w:val="18"/>
          <w:szCs w:val="18"/>
        </w:rPr>
        <w:t xml:space="preserve">resourceful and can often call on extensive local networks to achieve tangible outcomes for their communities. </w:t>
      </w:r>
    </w:p>
    <w:p w14:paraId="07938BA4" w14:textId="77777777" w:rsidR="00203693" w:rsidRDefault="00203693" w:rsidP="00203693">
      <w:pPr>
        <w:pStyle w:val="ListParagraph"/>
        <w:ind w:left="360"/>
        <w:rPr>
          <w:rFonts w:asciiTheme="minorHAnsi" w:hAnsiTheme="minorHAnsi" w:cstheme="minorHAnsi"/>
          <w:color w:val="auto"/>
          <w:sz w:val="18"/>
          <w:szCs w:val="18"/>
        </w:rPr>
      </w:pPr>
    </w:p>
    <w:p w14:paraId="4260BE30" w14:textId="77777777" w:rsidR="00203693" w:rsidRDefault="00203693" w:rsidP="00203693">
      <w:pPr>
        <w:pStyle w:val="ListParagraph"/>
        <w:ind w:left="360"/>
        <w:rPr>
          <w:rFonts w:asciiTheme="minorHAnsi" w:hAnsiTheme="minorHAnsi" w:cstheme="minorHAnsi"/>
          <w:color w:val="auto"/>
          <w:sz w:val="18"/>
          <w:szCs w:val="18"/>
        </w:rPr>
      </w:pPr>
      <w:r w:rsidRPr="008161BE">
        <w:rPr>
          <w:rFonts w:asciiTheme="minorHAnsi" w:hAnsiTheme="minorHAnsi" w:cstheme="minorHAnsi"/>
          <w:color w:val="auto"/>
          <w:sz w:val="18"/>
          <w:szCs w:val="18"/>
        </w:rPr>
        <w:t xml:space="preserve">DJSIR must </w:t>
      </w:r>
      <w:r>
        <w:rPr>
          <w:rFonts w:asciiTheme="minorHAnsi" w:hAnsiTheme="minorHAnsi" w:cstheme="minorHAnsi"/>
          <w:color w:val="auto"/>
          <w:sz w:val="18"/>
          <w:szCs w:val="18"/>
        </w:rPr>
        <w:t xml:space="preserve">aim </w:t>
      </w:r>
      <w:r w:rsidRPr="008161BE">
        <w:rPr>
          <w:rFonts w:asciiTheme="minorHAnsi" w:hAnsiTheme="minorHAnsi" w:cstheme="minorHAnsi"/>
          <w:color w:val="auto"/>
          <w:sz w:val="18"/>
          <w:szCs w:val="18"/>
        </w:rPr>
        <w:t>to maintain or exceed its</w:t>
      </w:r>
      <w:r>
        <w:rPr>
          <w:rFonts w:asciiTheme="minorHAnsi" w:hAnsiTheme="minorHAnsi" w:cstheme="minorHAnsi"/>
          <w:color w:val="auto"/>
          <w:sz w:val="18"/>
          <w:szCs w:val="18"/>
        </w:rPr>
        <w:t xml:space="preserve"> WoVG</w:t>
      </w:r>
      <w:r w:rsidRPr="008161BE">
        <w:rPr>
          <w:rFonts w:asciiTheme="minorHAnsi" w:hAnsiTheme="minorHAnsi" w:cstheme="minorHAnsi"/>
          <w:color w:val="auto"/>
          <w:sz w:val="18"/>
          <w:szCs w:val="18"/>
        </w:rPr>
        <w:t xml:space="preserve"> targets</w:t>
      </w:r>
      <w:r w:rsidRPr="008161BE" w:rsidDel="004143EB">
        <w:rPr>
          <w:rFonts w:asciiTheme="minorHAnsi" w:hAnsiTheme="minorHAnsi" w:cstheme="minorHAnsi"/>
          <w:color w:val="auto"/>
          <w:sz w:val="18"/>
          <w:szCs w:val="18"/>
        </w:rPr>
        <w:t xml:space="preserve"> </w:t>
      </w:r>
      <w:r w:rsidRPr="008161BE">
        <w:rPr>
          <w:rFonts w:asciiTheme="minorHAnsi" w:hAnsiTheme="minorHAnsi" w:cstheme="minorHAnsi"/>
          <w:color w:val="auto"/>
          <w:sz w:val="18"/>
          <w:szCs w:val="18"/>
        </w:rPr>
        <w:t xml:space="preserve">of </w:t>
      </w:r>
      <w:r>
        <w:rPr>
          <w:rFonts w:asciiTheme="minorHAnsi" w:hAnsiTheme="minorHAnsi" w:cstheme="minorHAnsi"/>
          <w:color w:val="auto"/>
          <w:sz w:val="18"/>
          <w:szCs w:val="18"/>
        </w:rPr>
        <w:t>rural and regional</w:t>
      </w:r>
      <w:r w:rsidRPr="008161BE">
        <w:rPr>
          <w:rFonts w:asciiTheme="minorHAnsi" w:hAnsiTheme="minorHAnsi" w:cstheme="minorHAnsi"/>
          <w:color w:val="auto"/>
          <w:sz w:val="18"/>
          <w:szCs w:val="18"/>
        </w:rPr>
        <w:t xml:space="preserve"> representation through all board</w:t>
      </w:r>
      <w:r>
        <w:rPr>
          <w:rFonts w:asciiTheme="minorHAnsi" w:hAnsiTheme="minorHAnsi" w:cstheme="minorHAnsi"/>
          <w:color w:val="auto"/>
          <w:sz w:val="18"/>
          <w:szCs w:val="18"/>
        </w:rPr>
        <w:t xml:space="preserve"> recruitment</w:t>
      </w:r>
      <w:r w:rsidRPr="008161BE">
        <w:rPr>
          <w:rFonts w:asciiTheme="minorHAnsi" w:hAnsiTheme="minorHAnsi" w:cstheme="minorHAnsi"/>
          <w:color w:val="auto"/>
          <w:sz w:val="18"/>
          <w:szCs w:val="18"/>
        </w:rPr>
        <w:t>.</w:t>
      </w:r>
    </w:p>
    <w:p w14:paraId="146D0657" w14:textId="77777777" w:rsidR="00203693" w:rsidRDefault="00203693" w:rsidP="00203693">
      <w:pPr>
        <w:pStyle w:val="ListParagraph"/>
        <w:ind w:left="360"/>
        <w:rPr>
          <w:rFonts w:asciiTheme="minorHAnsi" w:hAnsiTheme="minorHAnsi" w:cstheme="minorHAnsi"/>
          <w:color w:val="auto"/>
          <w:sz w:val="18"/>
          <w:szCs w:val="18"/>
        </w:rPr>
      </w:pPr>
    </w:p>
    <w:p w14:paraId="3598F559" w14:textId="77777777" w:rsidR="00203693" w:rsidRDefault="00203693" w:rsidP="00203693">
      <w:pPr>
        <w:pStyle w:val="ListParagraph"/>
        <w:ind w:left="360"/>
        <w:rPr>
          <w:rFonts w:asciiTheme="minorHAnsi" w:hAnsiTheme="minorHAnsi" w:cstheme="minorHAnsi"/>
          <w:b/>
          <w:bCs/>
          <w:color w:val="auto"/>
          <w:sz w:val="18"/>
          <w:szCs w:val="18"/>
        </w:rPr>
      </w:pPr>
      <w:r>
        <w:rPr>
          <w:rFonts w:asciiTheme="minorHAnsi" w:hAnsiTheme="minorHAnsi" w:cstheme="minorHAnsi"/>
          <w:b/>
          <w:bCs/>
          <w:color w:val="auto"/>
          <w:sz w:val="18"/>
          <w:szCs w:val="18"/>
        </w:rPr>
        <w:t>Key considerations</w:t>
      </w:r>
    </w:p>
    <w:p w14:paraId="48092495" w14:textId="77777777" w:rsidR="00203693" w:rsidRDefault="00203693" w:rsidP="00203693">
      <w:pPr>
        <w:pStyle w:val="ListParagraph"/>
        <w:ind w:left="360"/>
        <w:rPr>
          <w:rFonts w:asciiTheme="minorHAnsi" w:hAnsiTheme="minorHAnsi" w:cstheme="minorHAnsi"/>
          <w:b/>
          <w:bCs/>
          <w:color w:val="auto"/>
          <w:sz w:val="18"/>
          <w:szCs w:val="18"/>
        </w:rPr>
      </w:pPr>
    </w:p>
    <w:p w14:paraId="21CD4C63" w14:textId="77777777" w:rsidR="00203693" w:rsidRDefault="00203693" w:rsidP="00735900">
      <w:pPr>
        <w:pStyle w:val="ListParagraph"/>
        <w:numPr>
          <w:ilvl w:val="0"/>
          <w:numId w:val="31"/>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 xml:space="preserve">Rural and regional communities are not homogenous, some communities experience poorer social, educational and health outcomes. </w:t>
      </w:r>
    </w:p>
    <w:p w14:paraId="5BF826CA" w14:textId="77777777" w:rsidR="00203693" w:rsidRDefault="00203693" w:rsidP="00735900">
      <w:pPr>
        <w:pStyle w:val="ListParagraph"/>
        <w:numPr>
          <w:ilvl w:val="0"/>
          <w:numId w:val="31"/>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Issues that affect cohorts can be intensified when geographical isolation is a factor.</w:t>
      </w:r>
    </w:p>
    <w:p w14:paraId="59F4EF65" w14:textId="77777777" w:rsidR="00203693" w:rsidRDefault="00203693" w:rsidP="00735900">
      <w:pPr>
        <w:pStyle w:val="ListParagraph"/>
        <w:numPr>
          <w:ilvl w:val="0"/>
          <w:numId w:val="31"/>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Word-of-mouth plays a key part in advertising and recruitment for opportunities in rural and regional Victoria.</w:t>
      </w:r>
    </w:p>
    <w:p w14:paraId="2490D1A1" w14:textId="3E4FC5E2" w:rsidR="00203693" w:rsidRDefault="00203693" w:rsidP="00735900">
      <w:pPr>
        <w:pStyle w:val="ListParagraph"/>
        <w:numPr>
          <w:ilvl w:val="0"/>
          <w:numId w:val="31"/>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Reasonable adjustments, i.e. facilitating contact through virtual platforms, may be needed to accommodate regionally based candidates and members.</w:t>
      </w:r>
    </w:p>
    <w:p w14:paraId="62C6E275" w14:textId="77777777" w:rsidR="00203693" w:rsidRPr="00240812" w:rsidRDefault="00203693" w:rsidP="00203693">
      <w:pPr>
        <w:pStyle w:val="ListParagraph"/>
        <w:spacing w:after="120"/>
        <w:ind w:left="714"/>
        <w:contextualSpacing w:val="0"/>
        <w:rPr>
          <w:rFonts w:asciiTheme="minorHAnsi" w:hAnsiTheme="minorHAnsi" w:cstheme="minorHAnsi"/>
          <w:color w:val="auto"/>
          <w:sz w:val="18"/>
          <w:szCs w:val="18"/>
        </w:rPr>
      </w:pPr>
    </w:p>
    <w:p w14:paraId="02EA7B99" w14:textId="77777777" w:rsidR="00203693" w:rsidRDefault="00203693" w:rsidP="00735900">
      <w:pPr>
        <w:pStyle w:val="ListParagraph"/>
        <w:numPr>
          <w:ilvl w:val="0"/>
          <w:numId w:val="26"/>
        </w:numPr>
        <w:rPr>
          <w:rFonts w:asciiTheme="minorHAnsi" w:hAnsiTheme="minorHAnsi" w:cstheme="minorHAnsi"/>
          <w:color w:val="auto"/>
          <w:sz w:val="18"/>
          <w:szCs w:val="18"/>
        </w:rPr>
      </w:pPr>
      <w:r w:rsidRPr="008161BE">
        <w:rPr>
          <w:rFonts w:asciiTheme="minorHAnsi" w:hAnsiTheme="minorHAnsi" w:cstheme="minorHAnsi"/>
          <w:b/>
          <w:bCs/>
          <w:color w:val="auto"/>
          <w:sz w:val="18"/>
          <w:szCs w:val="18"/>
        </w:rPr>
        <w:t>Disability</w:t>
      </w:r>
      <w:r w:rsidRPr="008161BE">
        <w:rPr>
          <w:rFonts w:asciiTheme="minorHAnsi" w:hAnsiTheme="minorHAnsi" w:cstheme="minorHAnsi"/>
          <w:color w:val="auto"/>
          <w:sz w:val="18"/>
          <w:szCs w:val="18"/>
        </w:rPr>
        <w:t xml:space="preserve"> </w:t>
      </w:r>
      <w:r>
        <w:rPr>
          <w:rFonts w:asciiTheme="minorHAnsi" w:hAnsiTheme="minorHAnsi" w:cstheme="minorHAnsi"/>
          <w:color w:val="auto"/>
          <w:sz w:val="18"/>
          <w:szCs w:val="18"/>
        </w:rPr>
        <w:t>–</w:t>
      </w:r>
      <w:r w:rsidRPr="008161BE">
        <w:rPr>
          <w:rFonts w:asciiTheme="minorHAnsi" w:hAnsiTheme="minorHAnsi" w:cstheme="minorHAnsi"/>
          <w:color w:val="auto"/>
          <w:sz w:val="18"/>
          <w:szCs w:val="18"/>
        </w:rPr>
        <w:t xml:space="preserve"> </w:t>
      </w:r>
      <w:r>
        <w:rPr>
          <w:rFonts w:asciiTheme="minorHAnsi" w:hAnsiTheme="minorHAnsi" w:cstheme="minorHAnsi"/>
          <w:color w:val="auto"/>
          <w:sz w:val="18"/>
          <w:szCs w:val="18"/>
        </w:rPr>
        <w:t xml:space="preserve">With over a million people with disabilities living in Victoria, around 20% of Victorians identify as having a disability. </w:t>
      </w:r>
    </w:p>
    <w:p w14:paraId="78944EEE" w14:textId="77777777" w:rsidR="00203693" w:rsidRDefault="00203693" w:rsidP="00203693">
      <w:pPr>
        <w:spacing w:after="0"/>
        <w:ind w:left="357"/>
        <w:rPr>
          <w:rFonts w:asciiTheme="minorHAnsi" w:hAnsiTheme="minorHAnsi" w:cstheme="minorHAnsi"/>
          <w:color w:val="auto"/>
        </w:rPr>
      </w:pPr>
    </w:p>
    <w:p w14:paraId="6CA50310" w14:textId="77777777" w:rsidR="00203693" w:rsidRDefault="00203693" w:rsidP="00203693">
      <w:pPr>
        <w:spacing w:after="0"/>
        <w:ind w:left="357"/>
        <w:rPr>
          <w:rFonts w:asciiTheme="minorHAnsi" w:hAnsiTheme="minorHAnsi" w:cstheme="minorHAnsi"/>
          <w:color w:val="auto"/>
        </w:rPr>
      </w:pPr>
      <w:r>
        <w:rPr>
          <w:rFonts w:asciiTheme="minorHAnsi" w:hAnsiTheme="minorHAnsi" w:cstheme="minorHAnsi"/>
          <w:color w:val="auto"/>
        </w:rPr>
        <w:t>DJSIR will contribute towards the WoVG targets for people within the disability cohort. Although highly recommended, there is no expectation that each ministerial portfolio must adopt these targets.</w:t>
      </w:r>
    </w:p>
    <w:p w14:paraId="11735E4C" w14:textId="77777777" w:rsidR="00203693" w:rsidRDefault="00203693" w:rsidP="00203693">
      <w:pPr>
        <w:spacing w:after="0"/>
        <w:ind w:left="357"/>
        <w:rPr>
          <w:rFonts w:asciiTheme="minorHAnsi" w:hAnsiTheme="minorHAnsi" w:cstheme="minorHAnsi"/>
          <w:color w:val="auto"/>
        </w:rPr>
      </w:pPr>
    </w:p>
    <w:p w14:paraId="11F5493A" w14:textId="77777777" w:rsidR="00203693" w:rsidRDefault="00203693" w:rsidP="00203693">
      <w:pPr>
        <w:pStyle w:val="ListParagraph"/>
        <w:ind w:left="360"/>
        <w:rPr>
          <w:rFonts w:asciiTheme="minorHAnsi" w:hAnsiTheme="minorHAnsi" w:cstheme="minorHAnsi"/>
          <w:b/>
          <w:bCs/>
          <w:color w:val="auto"/>
          <w:sz w:val="18"/>
          <w:szCs w:val="18"/>
        </w:rPr>
      </w:pPr>
      <w:r>
        <w:rPr>
          <w:rFonts w:asciiTheme="minorHAnsi" w:hAnsiTheme="minorHAnsi" w:cstheme="minorHAnsi"/>
          <w:b/>
          <w:bCs/>
          <w:color w:val="auto"/>
          <w:sz w:val="18"/>
          <w:szCs w:val="18"/>
        </w:rPr>
        <w:t>Key considerations</w:t>
      </w:r>
    </w:p>
    <w:p w14:paraId="0A06F1B8" w14:textId="77777777" w:rsidR="00203693" w:rsidRDefault="00203693" w:rsidP="00203693">
      <w:pPr>
        <w:pStyle w:val="ListParagraph"/>
        <w:ind w:left="360"/>
        <w:rPr>
          <w:rFonts w:asciiTheme="minorHAnsi" w:hAnsiTheme="minorHAnsi" w:cstheme="minorHAnsi"/>
          <w:b/>
          <w:bCs/>
          <w:color w:val="auto"/>
          <w:sz w:val="18"/>
          <w:szCs w:val="18"/>
        </w:rPr>
      </w:pPr>
    </w:p>
    <w:p w14:paraId="4773C36F"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sidRPr="00240812">
        <w:rPr>
          <w:rFonts w:asciiTheme="minorHAnsi" w:hAnsiTheme="minorHAnsi" w:cstheme="minorHAnsi"/>
          <w:color w:val="auto"/>
          <w:sz w:val="18"/>
          <w:szCs w:val="18"/>
        </w:rPr>
        <w:t xml:space="preserve">Candidates are not required to </w:t>
      </w:r>
      <w:r>
        <w:rPr>
          <w:rFonts w:asciiTheme="minorHAnsi" w:hAnsiTheme="minorHAnsi" w:cstheme="minorHAnsi"/>
          <w:color w:val="auto"/>
          <w:sz w:val="18"/>
          <w:szCs w:val="18"/>
        </w:rPr>
        <w:t>disclose</w:t>
      </w:r>
      <w:r w:rsidRPr="00240812">
        <w:rPr>
          <w:rFonts w:asciiTheme="minorHAnsi" w:hAnsiTheme="minorHAnsi" w:cstheme="minorHAnsi"/>
          <w:color w:val="auto"/>
          <w:sz w:val="18"/>
          <w:szCs w:val="18"/>
        </w:rPr>
        <w:t xml:space="preserve"> their disability unless it is relevant to their ability to complete the inherent requirements of the role</w:t>
      </w:r>
      <w:r>
        <w:rPr>
          <w:rFonts w:asciiTheme="minorHAnsi" w:hAnsiTheme="minorHAnsi" w:cstheme="minorHAnsi"/>
          <w:color w:val="auto"/>
          <w:sz w:val="18"/>
          <w:szCs w:val="18"/>
        </w:rPr>
        <w:t>.</w:t>
      </w:r>
    </w:p>
    <w:p w14:paraId="3F1D5DE1" w14:textId="156738E9"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Do not make assumptions. Always ask what support and adjustments people with disabilities need to perform at their best throughout the process, noting that most people will not require any supports or adjustments.</w:t>
      </w:r>
    </w:p>
    <w:p w14:paraId="64A7516F"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Ensure all recruitment materials are available in an accessible format.</w:t>
      </w:r>
    </w:p>
    <w:p w14:paraId="01EC0138"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Ensure interviews are conducted in accessible venues.</w:t>
      </w:r>
    </w:p>
    <w:p w14:paraId="55F7786A" w14:textId="33FEF2E6" w:rsidR="00203693" w:rsidRDefault="00203693" w:rsidP="00735900">
      <w:pPr>
        <w:pStyle w:val="ListParagraph"/>
        <w:numPr>
          <w:ilvl w:val="0"/>
          <w:numId w:val="32"/>
        </w:numPr>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Ensure that discussions are accessible, i.e. consider the language, speed and order of conversation to ensure that the candidate can fully participate.</w:t>
      </w:r>
    </w:p>
    <w:p w14:paraId="11D367C2" w14:textId="77777777" w:rsidR="00203693" w:rsidRDefault="00203693" w:rsidP="00203693">
      <w:pPr>
        <w:pStyle w:val="ListParagraph"/>
        <w:ind w:left="714"/>
        <w:contextualSpacing w:val="0"/>
        <w:rPr>
          <w:rFonts w:asciiTheme="minorHAnsi" w:hAnsiTheme="minorHAnsi" w:cstheme="minorHAnsi"/>
          <w:color w:val="auto"/>
          <w:sz w:val="18"/>
          <w:szCs w:val="18"/>
        </w:rPr>
      </w:pPr>
    </w:p>
    <w:p w14:paraId="76404182" w14:textId="77777777" w:rsidR="00203693" w:rsidRDefault="00203693" w:rsidP="00203693">
      <w:pPr>
        <w:pStyle w:val="ListParagraph"/>
        <w:ind w:left="360"/>
        <w:rPr>
          <w:rFonts w:asciiTheme="minorHAnsi" w:hAnsiTheme="minorHAnsi" w:cstheme="minorHAnsi"/>
          <w:b/>
          <w:bCs/>
          <w:color w:val="auto"/>
          <w:sz w:val="18"/>
          <w:szCs w:val="18"/>
        </w:rPr>
      </w:pPr>
      <w:r w:rsidRPr="00705A1E">
        <w:rPr>
          <w:rFonts w:asciiTheme="minorHAnsi" w:hAnsiTheme="minorHAnsi" w:cstheme="minorHAnsi"/>
          <w:b/>
          <w:bCs/>
          <w:color w:val="auto"/>
          <w:sz w:val="18"/>
          <w:szCs w:val="18"/>
        </w:rPr>
        <w:t>Additional information and useful links:</w:t>
      </w:r>
    </w:p>
    <w:p w14:paraId="1A1E15BC" w14:textId="77777777" w:rsidR="00203693" w:rsidRPr="00705A1E" w:rsidRDefault="00203693" w:rsidP="00203693">
      <w:pPr>
        <w:pStyle w:val="ListParagraph"/>
        <w:ind w:left="360"/>
        <w:rPr>
          <w:rFonts w:asciiTheme="minorHAnsi" w:hAnsiTheme="minorHAnsi" w:cstheme="minorHAnsi"/>
          <w:b/>
          <w:bCs/>
          <w:color w:val="auto"/>
          <w:sz w:val="18"/>
          <w:szCs w:val="18"/>
        </w:rPr>
      </w:pPr>
    </w:p>
    <w:p w14:paraId="6DACED0C" w14:textId="7B3A1C9C" w:rsidR="00203693" w:rsidRDefault="00203693" w:rsidP="00203693">
      <w:pPr>
        <w:spacing w:after="0"/>
        <w:ind w:left="357"/>
        <w:rPr>
          <w:rFonts w:asciiTheme="minorHAnsi" w:hAnsiTheme="minorHAnsi" w:cstheme="minorHAnsi"/>
          <w:color w:val="auto"/>
        </w:rPr>
      </w:pPr>
      <w:r w:rsidRPr="00705A1E">
        <w:rPr>
          <w:rFonts w:asciiTheme="minorHAnsi" w:hAnsiTheme="minorHAnsi" w:cstheme="minorHAnsi"/>
          <w:color w:val="auto"/>
        </w:rPr>
        <w:t xml:space="preserve">The </w:t>
      </w:r>
      <w:hyperlink r:id="rId108" w:history="1">
        <w:r w:rsidR="00446D59">
          <w:rPr>
            <w:rStyle w:val="Hyperlink"/>
            <w:rFonts w:asciiTheme="minorHAnsi" w:hAnsiTheme="minorHAnsi" w:cstheme="minorHAnsi"/>
          </w:rPr>
          <w:t xml:space="preserve">VPSC Disability Employment Toolkit </w:t>
        </w:r>
      </w:hyperlink>
      <w:r w:rsidRPr="00705A1E">
        <w:rPr>
          <w:rFonts w:asciiTheme="minorHAnsi" w:hAnsiTheme="minorHAnsi" w:cstheme="minorHAnsi"/>
          <w:color w:val="auto"/>
        </w:rPr>
        <w:t xml:space="preserve">provides advice to public servants employing people with disability, which can </w:t>
      </w:r>
      <w:r w:rsidR="00446D59">
        <w:rPr>
          <w:rFonts w:asciiTheme="minorHAnsi" w:hAnsiTheme="minorHAnsi" w:cstheme="minorHAnsi"/>
          <w:color w:val="auto"/>
        </w:rPr>
        <w:t xml:space="preserve">also </w:t>
      </w:r>
      <w:r w:rsidRPr="00705A1E">
        <w:rPr>
          <w:rFonts w:asciiTheme="minorHAnsi" w:hAnsiTheme="minorHAnsi" w:cstheme="minorHAnsi"/>
          <w:color w:val="auto"/>
        </w:rPr>
        <w:t>be applied to boards</w:t>
      </w:r>
      <w:r w:rsidR="00446D59">
        <w:rPr>
          <w:rFonts w:asciiTheme="minorHAnsi" w:hAnsiTheme="minorHAnsi" w:cstheme="minorHAnsi"/>
          <w:color w:val="auto"/>
        </w:rPr>
        <w:t>.</w:t>
      </w:r>
    </w:p>
    <w:p w14:paraId="1E0EC858" w14:textId="77777777" w:rsidR="00203693" w:rsidRPr="003B4359" w:rsidRDefault="00203693" w:rsidP="00203693">
      <w:pPr>
        <w:spacing w:after="0"/>
        <w:ind w:left="357"/>
        <w:rPr>
          <w:rFonts w:asciiTheme="minorHAnsi" w:hAnsiTheme="minorHAnsi" w:cstheme="minorHAnsi"/>
          <w:color w:val="auto"/>
        </w:rPr>
      </w:pPr>
    </w:p>
    <w:p w14:paraId="3828897F" w14:textId="7F68915E" w:rsidR="00203693" w:rsidRDefault="00203693" w:rsidP="00735900">
      <w:pPr>
        <w:pStyle w:val="ListParagraph"/>
        <w:numPr>
          <w:ilvl w:val="0"/>
          <w:numId w:val="26"/>
        </w:numPr>
        <w:spacing w:line="220" w:lineRule="atLeast"/>
        <w:ind w:left="357"/>
        <w:rPr>
          <w:rFonts w:asciiTheme="minorHAnsi" w:hAnsiTheme="minorHAnsi" w:cstheme="minorHAnsi"/>
          <w:color w:val="auto"/>
          <w:sz w:val="18"/>
          <w:szCs w:val="18"/>
        </w:rPr>
      </w:pPr>
      <w:r w:rsidRPr="008161BE">
        <w:rPr>
          <w:rFonts w:asciiTheme="minorHAnsi" w:hAnsiTheme="minorHAnsi" w:cstheme="minorHAnsi"/>
          <w:b/>
          <w:bCs/>
          <w:color w:val="auto"/>
          <w:sz w:val="18"/>
          <w:szCs w:val="18"/>
        </w:rPr>
        <w:t>Youth</w:t>
      </w:r>
      <w:r w:rsidRPr="008161BE">
        <w:rPr>
          <w:rFonts w:asciiTheme="minorHAnsi" w:hAnsiTheme="minorHAnsi" w:cstheme="minorHAnsi"/>
          <w:color w:val="auto"/>
          <w:sz w:val="18"/>
          <w:szCs w:val="18"/>
        </w:rPr>
        <w:t xml:space="preserve"> </w:t>
      </w:r>
      <w:r>
        <w:rPr>
          <w:rFonts w:asciiTheme="minorHAnsi" w:hAnsiTheme="minorHAnsi" w:cstheme="minorHAnsi"/>
          <w:color w:val="auto"/>
          <w:sz w:val="18"/>
          <w:szCs w:val="18"/>
        </w:rPr>
        <w:t>–</w:t>
      </w:r>
      <w:r w:rsidRPr="008161BE">
        <w:rPr>
          <w:rFonts w:asciiTheme="minorHAnsi" w:hAnsiTheme="minorHAnsi" w:cstheme="minorHAnsi"/>
          <w:color w:val="auto"/>
          <w:sz w:val="18"/>
          <w:szCs w:val="18"/>
        </w:rPr>
        <w:t xml:space="preserve"> </w:t>
      </w:r>
      <w:r>
        <w:rPr>
          <w:rFonts w:asciiTheme="minorHAnsi" w:hAnsiTheme="minorHAnsi" w:cstheme="minorHAnsi"/>
          <w:color w:val="auto"/>
          <w:sz w:val="18"/>
          <w:szCs w:val="18"/>
        </w:rPr>
        <w:t>The government makes decisions that affect young people, and young people can bring valuable and fresh perspectives to improve decision making</w:t>
      </w:r>
      <w:r w:rsidRPr="001F5663">
        <w:rPr>
          <w:rFonts w:asciiTheme="minorHAnsi" w:hAnsiTheme="minorHAnsi" w:cstheme="minorHAnsi"/>
          <w:color w:val="auto"/>
          <w:sz w:val="18"/>
          <w:szCs w:val="18"/>
        </w:rPr>
        <w:t xml:space="preserve">. According to </w:t>
      </w:r>
      <w:r w:rsidRPr="00C21816">
        <w:rPr>
          <w:rFonts w:asciiTheme="minorHAnsi" w:hAnsiTheme="minorHAnsi" w:cstheme="minorHAnsi"/>
          <w:color w:val="auto"/>
          <w:sz w:val="18"/>
          <w:szCs w:val="18"/>
        </w:rPr>
        <w:t xml:space="preserve">the </w:t>
      </w:r>
      <w:hyperlink r:id="rId109" w:history="1">
        <w:r w:rsidRPr="00530788">
          <w:rPr>
            <w:rFonts w:asciiTheme="minorHAnsi" w:hAnsiTheme="minorHAnsi" w:cstheme="minorHAnsi"/>
            <w:color w:val="auto"/>
            <w:sz w:val="18"/>
            <w:szCs w:val="18"/>
          </w:rPr>
          <w:t>Diversity on Victorian Governments Board</w:t>
        </w:r>
      </w:hyperlink>
      <w:r w:rsidRPr="00530788">
        <w:rPr>
          <w:rFonts w:asciiTheme="minorHAnsi" w:hAnsiTheme="minorHAnsi" w:cstheme="minorHAnsi"/>
          <w:color w:val="auto"/>
          <w:sz w:val="18"/>
          <w:szCs w:val="18"/>
        </w:rPr>
        <w:t xml:space="preserve"> </w:t>
      </w:r>
      <w:r w:rsidRPr="001F5663">
        <w:rPr>
          <w:rFonts w:asciiTheme="minorHAnsi" w:hAnsiTheme="minorHAnsi" w:cstheme="minorHAnsi"/>
          <w:color w:val="auto"/>
          <w:sz w:val="18"/>
          <w:szCs w:val="18"/>
        </w:rPr>
        <w:t>Guidelines</w:t>
      </w:r>
      <w:r>
        <w:rPr>
          <w:rFonts w:asciiTheme="minorHAnsi" w:hAnsiTheme="minorHAnsi" w:cstheme="minorHAnsi"/>
          <w:color w:val="auto"/>
          <w:sz w:val="18"/>
          <w:szCs w:val="18"/>
        </w:rPr>
        <w:t>, young people aged 12-25 make up approximately 18</w:t>
      </w:r>
      <w:r w:rsidR="00606A9C">
        <w:rPr>
          <w:rFonts w:asciiTheme="minorHAnsi" w:hAnsiTheme="minorHAnsi" w:cstheme="minorHAnsi"/>
          <w:color w:val="auto"/>
          <w:sz w:val="18"/>
          <w:szCs w:val="18"/>
        </w:rPr>
        <w:t>%</w:t>
      </w:r>
      <w:r>
        <w:rPr>
          <w:rFonts w:asciiTheme="minorHAnsi" w:hAnsiTheme="minorHAnsi" w:cstheme="minorHAnsi"/>
          <w:color w:val="auto"/>
          <w:sz w:val="18"/>
          <w:szCs w:val="18"/>
        </w:rPr>
        <w:t xml:space="preserve"> of the Victorian population. </w:t>
      </w:r>
    </w:p>
    <w:p w14:paraId="062FA974" w14:textId="77777777" w:rsidR="00203693" w:rsidRDefault="00203693" w:rsidP="00203693">
      <w:pPr>
        <w:pStyle w:val="ListParagraph"/>
        <w:spacing w:line="220" w:lineRule="atLeast"/>
        <w:ind w:left="357"/>
        <w:rPr>
          <w:rFonts w:asciiTheme="minorHAnsi" w:hAnsiTheme="minorHAnsi" w:cstheme="minorHAnsi"/>
          <w:color w:val="auto"/>
          <w:sz w:val="18"/>
          <w:szCs w:val="18"/>
        </w:rPr>
      </w:pPr>
    </w:p>
    <w:p w14:paraId="6D847239" w14:textId="699DB75C" w:rsidR="00203693" w:rsidRDefault="00203693" w:rsidP="00203693">
      <w:pPr>
        <w:ind w:left="357"/>
        <w:rPr>
          <w:rFonts w:asciiTheme="minorHAnsi" w:hAnsiTheme="minorHAnsi" w:cstheme="minorHAnsi"/>
          <w:color w:val="auto"/>
        </w:rPr>
      </w:pPr>
      <w:r>
        <w:rPr>
          <w:rFonts w:asciiTheme="minorHAnsi" w:hAnsiTheme="minorHAnsi" w:cstheme="minorHAnsi"/>
          <w:color w:val="auto"/>
        </w:rPr>
        <w:t xml:space="preserve">DJSIR will ensure that any relevant legal requirements (e.g. minimum working age, child safety requirements) are complied with prior to proposing the appointment of a person under the age of 18. For entities established under the </w:t>
      </w:r>
      <w:r w:rsidRPr="000E2318">
        <w:rPr>
          <w:rFonts w:asciiTheme="minorHAnsi" w:hAnsiTheme="minorHAnsi" w:cstheme="minorHAnsi"/>
          <w:i/>
          <w:color w:val="auto"/>
        </w:rPr>
        <w:t>Corporations Act 2001</w:t>
      </w:r>
      <w:r>
        <w:rPr>
          <w:rFonts w:asciiTheme="minorHAnsi" w:hAnsiTheme="minorHAnsi" w:cstheme="minorHAnsi"/>
          <w:color w:val="auto"/>
        </w:rPr>
        <w:t xml:space="preserve"> (Cth), board members </w:t>
      </w:r>
      <w:r w:rsidRPr="000E2318">
        <w:rPr>
          <w:rFonts w:asciiTheme="minorHAnsi" w:hAnsiTheme="minorHAnsi" w:cstheme="minorHAnsi"/>
          <w:b/>
          <w:color w:val="auto"/>
        </w:rPr>
        <w:t xml:space="preserve">must </w:t>
      </w:r>
      <w:r w:rsidRPr="000E2318">
        <w:rPr>
          <w:rFonts w:asciiTheme="minorHAnsi" w:hAnsiTheme="minorHAnsi" w:cstheme="minorHAnsi"/>
          <w:color w:val="auto"/>
        </w:rPr>
        <w:t>b</w:t>
      </w:r>
      <w:r>
        <w:rPr>
          <w:rFonts w:asciiTheme="minorHAnsi" w:hAnsiTheme="minorHAnsi" w:cstheme="minorHAnsi"/>
          <w:color w:val="auto"/>
        </w:rPr>
        <w:t xml:space="preserve">e at least the age of 18 years. </w:t>
      </w:r>
    </w:p>
    <w:p w14:paraId="0D1EDF8F" w14:textId="62903A22" w:rsidR="00203693" w:rsidRDefault="00203693" w:rsidP="00203693">
      <w:pPr>
        <w:ind w:left="360"/>
        <w:rPr>
          <w:rFonts w:asciiTheme="minorHAnsi" w:hAnsiTheme="minorHAnsi" w:cstheme="minorHAnsi"/>
          <w:color w:val="auto"/>
        </w:rPr>
      </w:pPr>
      <w:r>
        <w:rPr>
          <w:rFonts w:asciiTheme="minorHAnsi" w:hAnsiTheme="minorHAnsi" w:cstheme="minorHAnsi"/>
          <w:color w:val="auto"/>
        </w:rPr>
        <w:t>Where legal requirements for board membership result in a barrier to appointing young candidates, the board and its committee can consider the Observership Program, or alternative mechanisms to ensure the youth perspective is heard and captured, e.g. youth sub committees, guest speakers or consultations.</w:t>
      </w:r>
    </w:p>
    <w:p w14:paraId="74732552" w14:textId="0DBFB3F4" w:rsidR="00203693" w:rsidRDefault="00203693" w:rsidP="00203693">
      <w:pPr>
        <w:spacing w:after="0"/>
        <w:ind w:left="357"/>
        <w:rPr>
          <w:rFonts w:asciiTheme="minorHAnsi" w:hAnsiTheme="minorHAnsi" w:cstheme="minorHAnsi"/>
          <w:color w:val="auto"/>
        </w:rPr>
      </w:pPr>
      <w:r>
        <w:rPr>
          <w:rFonts w:asciiTheme="minorHAnsi" w:hAnsiTheme="minorHAnsi" w:cstheme="minorHAnsi"/>
          <w:color w:val="auto"/>
        </w:rPr>
        <w:t>DJSIR will contribute towards the WoVG targets for the youth cohort. Although highly recommended, there is no expectation that each ministerial portfolio must adopt these targets.</w:t>
      </w:r>
    </w:p>
    <w:p w14:paraId="006BB9B9" w14:textId="77777777" w:rsidR="00203693" w:rsidRDefault="00203693" w:rsidP="00203693">
      <w:pPr>
        <w:pStyle w:val="ListParagraph"/>
        <w:ind w:left="360"/>
        <w:rPr>
          <w:rFonts w:asciiTheme="minorHAnsi" w:hAnsiTheme="minorHAnsi" w:cstheme="minorHAnsi"/>
          <w:color w:val="auto"/>
          <w:sz w:val="18"/>
          <w:szCs w:val="18"/>
        </w:rPr>
      </w:pPr>
    </w:p>
    <w:p w14:paraId="3FC0964B" w14:textId="77777777" w:rsidR="00203693" w:rsidRDefault="00203693" w:rsidP="00203693">
      <w:pPr>
        <w:pStyle w:val="ListParagraph"/>
        <w:ind w:left="360"/>
        <w:rPr>
          <w:rFonts w:asciiTheme="minorHAnsi" w:hAnsiTheme="minorHAnsi" w:cstheme="minorHAnsi"/>
          <w:b/>
          <w:bCs/>
          <w:color w:val="auto"/>
          <w:sz w:val="18"/>
          <w:szCs w:val="18"/>
        </w:rPr>
      </w:pPr>
      <w:r>
        <w:rPr>
          <w:rFonts w:asciiTheme="minorHAnsi" w:hAnsiTheme="minorHAnsi" w:cstheme="minorHAnsi"/>
          <w:b/>
          <w:bCs/>
          <w:color w:val="auto"/>
          <w:sz w:val="18"/>
          <w:szCs w:val="18"/>
        </w:rPr>
        <w:t>Key considerations</w:t>
      </w:r>
    </w:p>
    <w:p w14:paraId="5A529BE7" w14:textId="77777777" w:rsidR="00203693" w:rsidRDefault="00203693" w:rsidP="00203693">
      <w:pPr>
        <w:pStyle w:val="ListParagraph"/>
        <w:ind w:left="360"/>
        <w:rPr>
          <w:rFonts w:asciiTheme="minorHAnsi" w:hAnsiTheme="minorHAnsi" w:cstheme="minorHAnsi"/>
          <w:b/>
          <w:bCs/>
          <w:color w:val="auto"/>
          <w:sz w:val="18"/>
          <w:szCs w:val="18"/>
        </w:rPr>
      </w:pPr>
    </w:p>
    <w:p w14:paraId="2E33DE5C"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Consider lived experience and practical knowledge as well as professional experience, and where possible, avoid mandatory qualifications.</w:t>
      </w:r>
    </w:p>
    <w:p w14:paraId="16E6496A"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Consider inviting a third-party observer of similar age to participate in interviewing young candidates.</w:t>
      </w:r>
    </w:p>
    <w:p w14:paraId="1B9B20C1"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Acknowledge the learning and development that may be required by older members of the board, in particular the chairperson, to support a young person’s participation.</w:t>
      </w:r>
    </w:p>
    <w:p w14:paraId="29445D43"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Create a vision or mission statement for the young person to understand the purpose and direction of the board, outlining the board’s core values and goals.</w:t>
      </w:r>
    </w:p>
    <w:p w14:paraId="3EBAA251"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Consider adjustments that need to be made to accommodate a young board member.</w:t>
      </w:r>
    </w:p>
    <w:p w14:paraId="18F1C223"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Consider offering the young person purposeful engagement opportunities, where they have real and valued roles that influence outcomes.</w:t>
      </w:r>
    </w:p>
    <w:p w14:paraId="0DB181D9" w14:textId="57271A18"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 xml:space="preserve">If a young person </w:t>
      </w:r>
      <w:r w:rsidR="007C4C1C">
        <w:rPr>
          <w:rFonts w:asciiTheme="minorHAnsi" w:hAnsiTheme="minorHAnsi" w:cstheme="minorHAnsi"/>
          <w:color w:val="auto"/>
          <w:sz w:val="18"/>
          <w:szCs w:val="18"/>
        </w:rPr>
        <w:t>is under</w:t>
      </w:r>
      <w:r>
        <w:rPr>
          <w:rFonts w:asciiTheme="minorHAnsi" w:hAnsiTheme="minorHAnsi" w:cstheme="minorHAnsi"/>
          <w:color w:val="auto"/>
          <w:sz w:val="18"/>
          <w:szCs w:val="18"/>
        </w:rPr>
        <w:t xml:space="preserve"> 18, ensure child safety standards and legislation has been considered.</w:t>
      </w:r>
    </w:p>
    <w:p w14:paraId="6DCF2018" w14:textId="77777777" w:rsidR="00203693" w:rsidRDefault="00203693" w:rsidP="00735900">
      <w:pPr>
        <w:pStyle w:val="ListParagraph"/>
        <w:numPr>
          <w:ilvl w:val="0"/>
          <w:numId w:val="26"/>
        </w:numPr>
        <w:rPr>
          <w:rFonts w:asciiTheme="minorHAnsi" w:hAnsiTheme="minorHAnsi" w:cstheme="minorHAnsi"/>
          <w:color w:val="auto"/>
          <w:sz w:val="18"/>
          <w:szCs w:val="18"/>
        </w:rPr>
      </w:pPr>
      <w:r w:rsidRPr="008161BE">
        <w:rPr>
          <w:rFonts w:asciiTheme="minorHAnsi" w:hAnsiTheme="minorHAnsi" w:cstheme="minorHAnsi"/>
          <w:b/>
          <w:bCs/>
          <w:color w:val="auto"/>
          <w:sz w:val="18"/>
          <w:szCs w:val="18"/>
        </w:rPr>
        <w:t>Culturally and linguistically diverse backgrounds (CALD)</w:t>
      </w:r>
      <w:r w:rsidRPr="008161BE">
        <w:rPr>
          <w:rFonts w:asciiTheme="minorHAnsi" w:hAnsiTheme="minorHAnsi" w:cstheme="minorHAnsi"/>
          <w:color w:val="auto"/>
          <w:sz w:val="18"/>
          <w:szCs w:val="18"/>
        </w:rPr>
        <w:t xml:space="preserve"> </w:t>
      </w:r>
      <w:r>
        <w:rPr>
          <w:rFonts w:asciiTheme="minorHAnsi" w:hAnsiTheme="minorHAnsi" w:cstheme="minorHAnsi"/>
          <w:color w:val="auto"/>
          <w:sz w:val="18"/>
          <w:szCs w:val="18"/>
        </w:rPr>
        <w:t>–</w:t>
      </w:r>
      <w:r w:rsidRPr="008161BE">
        <w:rPr>
          <w:rFonts w:asciiTheme="minorHAnsi" w:hAnsiTheme="minorHAnsi" w:cstheme="minorHAnsi"/>
          <w:color w:val="auto"/>
          <w:sz w:val="18"/>
          <w:szCs w:val="18"/>
        </w:rPr>
        <w:t xml:space="preserve"> </w:t>
      </w:r>
      <w:r>
        <w:rPr>
          <w:rFonts w:asciiTheme="minorHAnsi" w:hAnsiTheme="minorHAnsi" w:cstheme="minorHAnsi"/>
          <w:color w:val="auto"/>
          <w:sz w:val="18"/>
          <w:szCs w:val="18"/>
        </w:rPr>
        <w:t xml:space="preserve">Cultural and linguistic diversity is broadly understood as a person who identifies with a culture or religion that is not predominantly represented in Australian society or speaks a language other than English at home. </w:t>
      </w:r>
      <w:r w:rsidRPr="00DA27FF">
        <w:rPr>
          <w:rFonts w:asciiTheme="minorHAnsi" w:hAnsiTheme="minorHAnsi" w:cstheme="minorHAnsi"/>
          <w:color w:val="auto"/>
          <w:sz w:val="18"/>
          <w:szCs w:val="18"/>
        </w:rPr>
        <w:t xml:space="preserve">Currently, just under 50% of Victorians were born overseas or have at least one parent who was born overseas, and around 26% of Victorians speak a language other than English at home.  </w:t>
      </w:r>
    </w:p>
    <w:p w14:paraId="3E0F36C0" w14:textId="77777777" w:rsidR="00203693" w:rsidRPr="00DA27FF" w:rsidRDefault="00203693" w:rsidP="00203693">
      <w:pPr>
        <w:pStyle w:val="ListParagraph"/>
        <w:ind w:left="360"/>
        <w:rPr>
          <w:rFonts w:asciiTheme="minorHAnsi" w:hAnsiTheme="minorHAnsi" w:cstheme="minorHAnsi"/>
          <w:color w:val="auto"/>
          <w:sz w:val="18"/>
          <w:szCs w:val="18"/>
        </w:rPr>
      </w:pPr>
    </w:p>
    <w:p w14:paraId="68B42B4E" w14:textId="77777777" w:rsidR="00203693" w:rsidRPr="00F6551C" w:rsidRDefault="00203693" w:rsidP="00203693">
      <w:pPr>
        <w:pStyle w:val="ListParagraph"/>
        <w:ind w:left="360"/>
        <w:rPr>
          <w:rFonts w:asciiTheme="minorHAnsi" w:hAnsiTheme="minorHAnsi" w:cstheme="minorHAnsi"/>
          <w:color w:val="auto"/>
          <w:sz w:val="18"/>
          <w:szCs w:val="18"/>
        </w:rPr>
      </w:pPr>
      <w:r>
        <w:rPr>
          <w:rFonts w:asciiTheme="minorHAnsi" w:hAnsiTheme="minorHAnsi" w:cstheme="minorHAnsi"/>
          <w:color w:val="auto"/>
          <w:sz w:val="18"/>
          <w:szCs w:val="18"/>
        </w:rPr>
        <w:t>DJSIR boards have a strong representation of members who speak a language other than English at home. DJSIR is above the WoVG target, which may be due to the strong multicultural cohort characteristics of Victorian boards in metropolitan areas, outer suburban communities and rural and regional Victorian communities.</w:t>
      </w:r>
    </w:p>
    <w:p w14:paraId="62EE3B15" w14:textId="77777777" w:rsidR="00203693" w:rsidRDefault="00203693" w:rsidP="00203693">
      <w:pPr>
        <w:pStyle w:val="ListParagraph"/>
        <w:ind w:left="360"/>
        <w:rPr>
          <w:rFonts w:asciiTheme="minorHAnsi" w:hAnsiTheme="minorHAnsi" w:cstheme="minorHAnsi"/>
          <w:color w:val="auto"/>
          <w:sz w:val="18"/>
          <w:szCs w:val="18"/>
        </w:rPr>
      </w:pPr>
    </w:p>
    <w:p w14:paraId="685D761C" w14:textId="77777777" w:rsidR="00203693" w:rsidRDefault="00203693" w:rsidP="00203693">
      <w:pPr>
        <w:pStyle w:val="ListParagraph"/>
        <w:ind w:left="360"/>
        <w:rPr>
          <w:rFonts w:asciiTheme="minorHAnsi" w:hAnsiTheme="minorHAnsi" w:cstheme="minorHAnsi"/>
          <w:b/>
          <w:bCs/>
          <w:color w:val="auto"/>
          <w:sz w:val="18"/>
          <w:szCs w:val="18"/>
        </w:rPr>
      </w:pPr>
      <w:r>
        <w:rPr>
          <w:rFonts w:asciiTheme="minorHAnsi" w:hAnsiTheme="minorHAnsi" w:cstheme="minorHAnsi"/>
          <w:b/>
          <w:bCs/>
          <w:color w:val="auto"/>
          <w:sz w:val="18"/>
          <w:szCs w:val="18"/>
        </w:rPr>
        <w:t>Key considerations</w:t>
      </w:r>
    </w:p>
    <w:p w14:paraId="6488F613" w14:textId="77777777" w:rsidR="00203693" w:rsidRDefault="00203693" w:rsidP="00203693">
      <w:pPr>
        <w:pStyle w:val="ListParagraph"/>
        <w:ind w:left="360"/>
        <w:rPr>
          <w:rFonts w:asciiTheme="minorHAnsi" w:hAnsiTheme="minorHAnsi" w:cstheme="minorHAnsi"/>
          <w:b/>
          <w:bCs/>
          <w:color w:val="auto"/>
          <w:sz w:val="18"/>
          <w:szCs w:val="18"/>
        </w:rPr>
      </w:pPr>
    </w:p>
    <w:p w14:paraId="755511F0" w14:textId="521311E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Be aware of bias and barriers to participation, e.g. lack of familiarity with formal interview processes can impact recruitment outcomes.</w:t>
      </w:r>
    </w:p>
    <w:p w14:paraId="5B9E18A0"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Understand cultural protocols and their impact on behaviour and action.</w:t>
      </w:r>
    </w:p>
    <w:p w14:paraId="5B239674"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Non-verbal communications can vary significantly across cultures and may sometimes even have the opposite meaning. There are several cultural differences relating to physical proximity, physical contact, postures and gestures.</w:t>
      </w:r>
    </w:p>
    <w:p w14:paraId="7F4FC24B"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Certain terminology or language can be misinterpreted or misrepresented.</w:t>
      </w:r>
    </w:p>
    <w:p w14:paraId="31DDB580"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Avoid making assumptions about cultures, religions and ethnic groups and recognise that cultural communities are not homogenous.</w:t>
      </w:r>
    </w:p>
    <w:p w14:paraId="2188CBE4"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Consider lived experience and practical knowledge as well as professional experience, and where possible, avoid mandatory qualifications.</w:t>
      </w:r>
    </w:p>
    <w:p w14:paraId="18029BE2"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 xml:space="preserve">Consider providing recruitment and other materials in a variety of languages and/or offering a plain English explanation or verbal overview. </w:t>
      </w:r>
    </w:p>
    <w:p w14:paraId="3722ED77" w14:textId="77777777" w:rsidR="00203693" w:rsidRDefault="00203693" w:rsidP="00203693">
      <w:pPr>
        <w:pStyle w:val="ListParagraph"/>
        <w:ind w:left="360"/>
        <w:rPr>
          <w:rFonts w:asciiTheme="minorHAnsi" w:hAnsiTheme="minorHAnsi" w:cstheme="minorHAnsi"/>
          <w:b/>
          <w:bCs/>
          <w:color w:val="auto"/>
          <w:sz w:val="18"/>
          <w:szCs w:val="18"/>
        </w:rPr>
      </w:pPr>
    </w:p>
    <w:p w14:paraId="51FCC931" w14:textId="77777777" w:rsidR="00203693" w:rsidRDefault="00203693" w:rsidP="00203693">
      <w:pPr>
        <w:pStyle w:val="ListParagraph"/>
        <w:ind w:left="360"/>
        <w:rPr>
          <w:rFonts w:asciiTheme="minorHAnsi" w:hAnsiTheme="minorHAnsi" w:cstheme="minorHAnsi"/>
          <w:b/>
          <w:bCs/>
          <w:color w:val="auto"/>
          <w:sz w:val="18"/>
          <w:szCs w:val="18"/>
        </w:rPr>
      </w:pPr>
      <w:r w:rsidRPr="008161BE">
        <w:rPr>
          <w:rFonts w:asciiTheme="minorHAnsi" w:hAnsiTheme="minorHAnsi" w:cstheme="minorHAnsi"/>
          <w:b/>
          <w:bCs/>
          <w:color w:val="auto"/>
          <w:sz w:val="18"/>
          <w:szCs w:val="18"/>
        </w:rPr>
        <w:t>Additional information and useful links:</w:t>
      </w:r>
    </w:p>
    <w:p w14:paraId="69BF4A45" w14:textId="77777777" w:rsidR="00203693" w:rsidRDefault="00203693" w:rsidP="00203693">
      <w:pPr>
        <w:pStyle w:val="ListParagraph"/>
        <w:ind w:left="360"/>
        <w:rPr>
          <w:rFonts w:asciiTheme="minorHAnsi" w:hAnsiTheme="minorHAnsi" w:cstheme="minorHAnsi"/>
          <w:color w:val="auto"/>
          <w:sz w:val="18"/>
          <w:szCs w:val="18"/>
        </w:rPr>
      </w:pPr>
    </w:p>
    <w:p w14:paraId="6A91215D" w14:textId="4F85F717" w:rsidR="00203693" w:rsidRDefault="00203693" w:rsidP="00203693">
      <w:pPr>
        <w:pStyle w:val="ListParagraph"/>
        <w:ind w:left="360"/>
        <w:rPr>
          <w:rFonts w:asciiTheme="minorHAnsi" w:hAnsiTheme="minorHAnsi" w:cstheme="minorHAnsi"/>
          <w:sz w:val="18"/>
          <w:szCs w:val="18"/>
        </w:rPr>
      </w:pPr>
      <w:r w:rsidRPr="00F33BBA">
        <w:rPr>
          <w:rFonts w:asciiTheme="minorHAnsi" w:hAnsiTheme="minorHAnsi" w:cstheme="minorHAnsi"/>
          <w:color w:val="auto"/>
          <w:sz w:val="18"/>
          <w:szCs w:val="18"/>
        </w:rPr>
        <w:t>Designing for Diversity</w:t>
      </w:r>
      <w:r>
        <w:rPr>
          <w:rFonts w:asciiTheme="minorHAnsi" w:hAnsiTheme="minorHAnsi" w:cstheme="minorHAnsi"/>
          <w:color w:val="auto"/>
          <w:sz w:val="18"/>
          <w:szCs w:val="18"/>
        </w:rPr>
        <w:t xml:space="preserve">, a blueprint for embedding responsiveness to diversity at the outset, at: </w:t>
      </w:r>
      <w:r w:rsidRPr="00F33BBA">
        <w:rPr>
          <w:rFonts w:asciiTheme="minorHAnsi" w:hAnsiTheme="minorHAnsi" w:cstheme="minorHAnsi"/>
          <w:color w:val="auto"/>
          <w:sz w:val="18"/>
          <w:szCs w:val="18"/>
        </w:rPr>
        <w:t xml:space="preserve"> </w:t>
      </w:r>
      <w:hyperlink r:id="rId110" w:history="1">
        <w:r w:rsidRPr="00F33BBA">
          <w:rPr>
            <w:rStyle w:val="Hyperlink"/>
            <w:rFonts w:asciiTheme="minorHAnsi" w:hAnsiTheme="minorHAnsi" w:cstheme="minorHAnsi"/>
            <w:sz w:val="18"/>
            <w:szCs w:val="18"/>
          </w:rPr>
          <w:t>https://www2.health.vic.gov.au/about/populations/designing-for-diversity</w:t>
        </w:r>
      </w:hyperlink>
      <w:r w:rsidR="00F87ABD">
        <w:rPr>
          <w:rFonts w:asciiTheme="minorHAnsi" w:hAnsiTheme="minorHAnsi" w:cstheme="minorHAnsi"/>
          <w:sz w:val="18"/>
          <w:szCs w:val="18"/>
        </w:rPr>
        <w:t>.</w:t>
      </w:r>
    </w:p>
    <w:p w14:paraId="5CB9E6FE" w14:textId="77777777" w:rsidR="00203693" w:rsidRDefault="00203693" w:rsidP="00203693">
      <w:pPr>
        <w:pStyle w:val="ListParagraph"/>
        <w:ind w:left="360"/>
        <w:rPr>
          <w:rFonts w:asciiTheme="minorHAnsi" w:hAnsiTheme="minorHAnsi" w:cstheme="minorHAnsi"/>
          <w:sz w:val="18"/>
          <w:szCs w:val="18"/>
        </w:rPr>
      </w:pPr>
    </w:p>
    <w:p w14:paraId="62DF81ED" w14:textId="40A2A5CE" w:rsidR="00203693" w:rsidRPr="00E50077" w:rsidRDefault="00203693" w:rsidP="00203693">
      <w:pPr>
        <w:pStyle w:val="ListParagraph"/>
        <w:ind w:left="360"/>
        <w:rPr>
          <w:rFonts w:asciiTheme="minorHAnsi" w:hAnsiTheme="minorHAnsi" w:cstheme="minorHAnsi"/>
          <w:color w:val="auto"/>
          <w:sz w:val="18"/>
          <w:szCs w:val="18"/>
        </w:rPr>
      </w:pPr>
      <w:r w:rsidRPr="00F33BBA">
        <w:rPr>
          <w:rFonts w:asciiTheme="minorHAnsi" w:hAnsiTheme="minorHAnsi" w:cstheme="minorHAnsi"/>
          <w:color w:val="auto"/>
          <w:sz w:val="18"/>
          <w:szCs w:val="18"/>
        </w:rPr>
        <w:t xml:space="preserve">Language services </w:t>
      </w:r>
      <w:r>
        <w:rPr>
          <w:rFonts w:asciiTheme="minorHAnsi" w:hAnsiTheme="minorHAnsi" w:cstheme="minorHAnsi"/>
          <w:color w:val="auto"/>
          <w:sz w:val="18"/>
          <w:szCs w:val="18"/>
        </w:rPr>
        <w:t>policy and guidelines, a support for departmental staff and funded organisations in the planning and provision of language services</w:t>
      </w:r>
      <w:r w:rsidR="00BB3411">
        <w:rPr>
          <w:rFonts w:asciiTheme="minorHAnsi" w:hAnsiTheme="minorHAnsi" w:cstheme="minorHAnsi"/>
          <w:color w:val="auto"/>
          <w:sz w:val="18"/>
          <w:szCs w:val="18"/>
        </w:rPr>
        <w:t>,</w:t>
      </w:r>
      <w:r>
        <w:rPr>
          <w:rFonts w:asciiTheme="minorHAnsi" w:hAnsiTheme="minorHAnsi" w:cstheme="minorHAnsi"/>
          <w:color w:val="auto"/>
          <w:sz w:val="18"/>
          <w:szCs w:val="18"/>
        </w:rPr>
        <w:t xml:space="preserve"> including how to work with interpreting and translation services, at:</w:t>
      </w:r>
      <w:r w:rsidRPr="00D21F1C">
        <w:t xml:space="preserve"> </w:t>
      </w:r>
      <w:hyperlink r:id="rId111" w:history="1">
        <w:r w:rsidR="007317B7" w:rsidRPr="00E24248">
          <w:rPr>
            <w:rStyle w:val="Hyperlink"/>
            <w:rFonts w:asciiTheme="minorHAnsi" w:hAnsiTheme="minorHAnsi" w:cstheme="minorHAnsi"/>
            <w:sz w:val="18"/>
            <w:szCs w:val="18"/>
          </w:rPr>
          <w:t>https://www.health.vic.gov.au/publications/language-services-policy</w:t>
        </w:r>
      </w:hyperlink>
      <w:r w:rsidR="00F87ABD">
        <w:rPr>
          <w:rFonts w:asciiTheme="minorHAnsi" w:hAnsiTheme="minorHAnsi" w:cstheme="minorHAnsi"/>
          <w:sz w:val="18"/>
          <w:szCs w:val="18"/>
        </w:rPr>
        <w:t>.</w:t>
      </w:r>
    </w:p>
    <w:p w14:paraId="33885144" w14:textId="77777777" w:rsidR="00203693" w:rsidRDefault="00203693" w:rsidP="00203693">
      <w:pPr>
        <w:pStyle w:val="ListParagraph"/>
        <w:ind w:left="360"/>
        <w:rPr>
          <w:rFonts w:asciiTheme="minorHAnsi" w:hAnsiTheme="minorHAnsi" w:cstheme="minorHAnsi"/>
          <w:color w:val="auto"/>
          <w:sz w:val="18"/>
          <w:szCs w:val="18"/>
        </w:rPr>
      </w:pPr>
    </w:p>
    <w:p w14:paraId="0FA27453" w14:textId="77777777" w:rsidR="00203693" w:rsidRPr="008161BE" w:rsidRDefault="00203693" w:rsidP="00203693">
      <w:pPr>
        <w:pStyle w:val="ListParagraph"/>
        <w:ind w:left="360"/>
        <w:rPr>
          <w:rFonts w:asciiTheme="minorHAnsi" w:hAnsiTheme="minorHAnsi" w:cstheme="minorHAnsi"/>
          <w:color w:val="auto"/>
          <w:sz w:val="18"/>
          <w:szCs w:val="18"/>
        </w:rPr>
      </w:pPr>
    </w:p>
    <w:p w14:paraId="665546BA" w14:textId="77777777" w:rsidR="00203693" w:rsidRDefault="00203693" w:rsidP="00735900">
      <w:pPr>
        <w:pStyle w:val="ListParagraph"/>
        <w:numPr>
          <w:ilvl w:val="0"/>
          <w:numId w:val="26"/>
        </w:numPr>
        <w:rPr>
          <w:rFonts w:asciiTheme="minorHAnsi" w:hAnsiTheme="minorHAnsi" w:cstheme="minorHAnsi"/>
          <w:color w:val="auto"/>
          <w:sz w:val="18"/>
          <w:szCs w:val="18"/>
        </w:rPr>
      </w:pPr>
      <w:r w:rsidRPr="00934C02">
        <w:rPr>
          <w:rFonts w:asciiTheme="minorHAnsi" w:hAnsiTheme="minorHAnsi" w:cstheme="minorHAnsi"/>
          <w:b/>
          <w:bCs/>
          <w:color w:val="auto"/>
          <w:sz w:val="18"/>
          <w:szCs w:val="18"/>
        </w:rPr>
        <w:t xml:space="preserve">Lesbian, Gay, Bisexual, Transgender, Intersex, Queer </w:t>
      </w:r>
      <w:r>
        <w:rPr>
          <w:rFonts w:asciiTheme="minorHAnsi" w:hAnsiTheme="minorHAnsi" w:cstheme="minorHAnsi"/>
          <w:b/>
          <w:bCs/>
          <w:color w:val="auto"/>
          <w:sz w:val="18"/>
          <w:szCs w:val="18"/>
        </w:rPr>
        <w:t>a</w:t>
      </w:r>
      <w:r w:rsidRPr="00934C02">
        <w:rPr>
          <w:rFonts w:asciiTheme="minorHAnsi" w:hAnsiTheme="minorHAnsi" w:cstheme="minorHAnsi"/>
          <w:b/>
          <w:bCs/>
          <w:color w:val="auto"/>
          <w:sz w:val="18"/>
          <w:szCs w:val="18"/>
        </w:rPr>
        <w:t xml:space="preserve">nd Other Sexually </w:t>
      </w:r>
      <w:r>
        <w:rPr>
          <w:rFonts w:asciiTheme="minorHAnsi" w:hAnsiTheme="minorHAnsi" w:cstheme="minorHAnsi"/>
          <w:b/>
          <w:bCs/>
          <w:color w:val="auto"/>
          <w:sz w:val="18"/>
          <w:szCs w:val="18"/>
        </w:rPr>
        <w:t>o</w:t>
      </w:r>
      <w:r w:rsidRPr="00934C02">
        <w:rPr>
          <w:rFonts w:asciiTheme="minorHAnsi" w:hAnsiTheme="minorHAnsi" w:cstheme="minorHAnsi"/>
          <w:b/>
          <w:bCs/>
          <w:color w:val="auto"/>
          <w:sz w:val="18"/>
          <w:szCs w:val="18"/>
        </w:rPr>
        <w:t xml:space="preserve">r Gender Diverse </w:t>
      </w:r>
      <w:r>
        <w:rPr>
          <w:rFonts w:asciiTheme="minorHAnsi" w:hAnsiTheme="minorHAnsi" w:cstheme="minorHAnsi"/>
          <w:b/>
          <w:bCs/>
          <w:color w:val="auto"/>
          <w:sz w:val="18"/>
          <w:szCs w:val="18"/>
        </w:rPr>
        <w:t>(</w:t>
      </w:r>
      <w:r w:rsidRPr="008161BE">
        <w:rPr>
          <w:rFonts w:asciiTheme="minorHAnsi" w:hAnsiTheme="minorHAnsi" w:cstheme="minorHAnsi"/>
          <w:b/>
          <w:bCs/>
          <w:color w:val="auto"/>
          <w:sz w:val="18"/>
          <w:szCs w:val="18"/>
        </w:rPr>
        <w:t>LGBTIQ+</w:t>
      </w:r>
      <w:r>
        <w:rPr>
          <w:rFonts w:asciiTheme="minorHAnsi" w:hAnsiTheme="minorHAnsi" w:cstheme="minorHAnsi"/>
          <w:b/>
          <w:bCs/>
          <w:color w:val="auto"/>
          <w:sz w:val="18"/>
          <w:szCs w:val="18"/>
        </w:rPr>
        <w:t>)</w:t>
      </w:r>
      <w:r w:rsidRPr="008161BE">
        <w:rPr>
          <w:rFonts w:asciiTheme="minorHAnsi" w:hAnsiTheme="minorHAnsi" w:cstheme="minorHAnsi"/>
          <w:color w:val="auto"/>
          <w:sz w:val="18"/>
          <w:szCs w:val="18"/>
        </w:rPr>
        <w:t xml:space="preserve"> </w:t>
      </w:r>
    </w:p>
    <w:p w14:paraId="70873EB6" w14:textId="77777777" w:rsidR="00203693" w:rsidRDefault="00203693" w:rsidP="00203693">
      <w:pPr>
        <w:pStyle w:val="ListParagraph"/>
        <w:ind w:left="360"/>
        <w:rPr>
          <w:rFonts w:asciiTheme="minorHAnsi" w:hAnsiTheme="minorHAnsi" w:cstheme="minorBidi"/>
          <w:color w:val="auto"/>
          <w:sz w:val="18"/>
          <w:szCs w:val="18"/>
        </w:rPr>
      </w:pPr>
    </w:p>
    <w:p w14:paraId="0F7DB099" w14:textId="3ABFB657" w:rsidR="00203693" w:rsidRDefault="00203693" w:rsidP="00203693">
      <w:pPr>
        <w:ind w:left="360"/>
        <w:rPr>
          <w:rFonts w:asciiTheme="minorHAnsi" w:hAnsiTheme="minorHAnsi" w:cstheme="minorHAnsi"/>
          <w:color w:val="auto"/>
        </w:rPr>
      </w:pPr>
      <w:r w:rsidRPr="00E72FD9">
        <w:rPr>
          <w:rFonts w:asciiTheme="minorHAnsi" w:hAnsiTheme="minorHAnsi" w:cstheme="minorHAnsi"/>
          <w:color w:val="auto"/>
        </w:rPr>
        <w:t>According to the Diversity on Victorian Government Boards Guidelines</w:t>
      </w:r>
      <w:r>
        <w:rPr>
          <w:rFonts w:asciiTheme="minorHAnsi" w:hAnsiTheme="minorHAnsi" w:cstheme="minorBidi"/>
          <w:color w:val="auto"/>
        </w:rPr>
        <w:t>, d</w:t>
      </w:r>
      <w:r w:rsidRPr="3C9369FD">
        <w:rPr>
          <w:rFonts w:asciiTheme="minorHAnsi" w:hAnsiTheme="minorHAnsi" w:cstheme="minorBidi"/>
          <w:color w:val="auto"/>
        </w:rPr>
        <w:t xml:space="preserve">ata regarding LGBTIQ+ status is scarce as members may not feel comfortable identifying as such for </w:t>
      </w:r>
      <w:r>
        <w:rPr>
          <w:rFonts w:asciiTheme="minorHAnsi" w:hAnsiTheme="minorHAnsi" w:cstheme="minorBidi"/>
          <w:color w:val="auto"/>
        </w:rPr>
        <w:t xml:space="preserve">various </w:t>
      </w:r>
      <w:r w:rsidRPr="3C9369FD">
        <w:rPr>
          <w:rFonts w:asciiTheme="minorHAnsi" w:hAnsiTheme="minorHAnsi" w:cstheme="minorBidi"/>
          <w:color w:val="auto"/>
        </w:rPr>
        <w:t>reasons</w:t>
      </w:r>
      <w:r>
        <w:rPr>
          <w:rFonts w:asciiTheme="minorHAnsi" w:hAnsiTheme="minorHAnsi" w:cstheme="minorBidi"/>
          <w:color w:val="auto"/>
        </w:rPr>
        <w:t>,</w:t>
      </w:r>
      <w:r w:rsidRPr="3C9369FD">
        <w:rPr>
          <w:rFonts w:asciiTheme="minorHAnsi" w:hAnsiTheme="minorHAnsi" w:cstheme="minorBidi"/>
          <w:color w:val="auto"/>
        </w:rPr>
        <w:t xml:space="preserve"> including privacy, confidentiality and safety. The government has recommended amend</w:t>
      </w:r>
      <w:r>
        <w:rPr>
          <w:rFonts w:asciiTheme="minorHAnsi" w:hAnsiTheme="minorHAnsi" w:cstheme="minorBidi"/>
          <w:color w:val="auto"/>
        </w:rPr>
        <w:t>ing</w:t>
      </w:r>
      <w:r w:rsidRPr="3C9369FD">
        <w:rPr>
          <w:rFonts w:asciiTheme="minorHAnsi" w:hAnsiTheme="minorHAnsi" w:cstheme="minorBidi"/>
          <w:color w:val="auto"/>
        </w:rPr>
        <w:t xml:space="preserve"> the DPC </w:t>
      </w:r>
      <w:r w:rsidRPr="00703B1A">
        <w:rPr>
          <w:rFonts w:asciiTheme="minorHAnsi" w:hAnsiTheme="minorHAnsi" w:cstheme="minorBidi"/>
          <w:color w:val="auto"/>
        </w:rPr>
        <w:t>Administrative Guidelines</w:t>
      </w:r>
      <w:r w:rsidRPr="3C9369FD">
        <w:rPr>
          <w:rFonts w:asciiTheme="minorHAnsi" w:hAnsiTheme="minorHAnsi" w:cstheme="minorBidi"/>
          <w:color w:val="auto"/>
        </w:rPr>
        <w:t xml:space="preserve"> to include LGBTIQ+ status as a mandatory data field, noting that preferred candidates can always elect to state “prefer not to say”.</w:t>
      </w:r>
    </w:p>
    <w:p w14:paraId="63ECA762" w14:textId="67C2EDA9" w:rsidR="00203693" w:rsidRPr="002B77AD" w:rsidRDefault="00203693" w:rsidP="00203693">
      <w:pPr>
        <w:ind w:left="360"/>
        <w:rPr>
          <w:rFonts w:asciiTheme="minorHAnsi" w:hAnsiTheme="minorHAnsi" w:cstheme="minorHAnsi"/>
          <w:color w:val="auto"/>
        </w:rPr>
      </w:pPr>
      <w:r>
        <w:rPr>
          <w:rFonts w:asciiTheme="minorHAnsi" w:hAnsiTheme="minorHAnsi" w:cstheme="minorHAnsi"/>
          <w:color w:val="auto"/>
        </w:rPr>
        <w:t>DJSIR will contribute towards the WoVG targets of the LGBTIQ+ target. While there is no mandatory requirement for each ministerial portfolio to adopt these targets, it is highly recommended.</w:t>
      </w:r>
    </w:p>
    <w:p w14:paraId="08DE5796" w14:textId="77777777" w:rsidR="00203693" w:rsidRDefault="00203693" w:rsidP="00203693">
      <w:pPr>
        <w:pStyle w:val="ListParagraph"/>
        <w:ind w:left="360"/>
        <w:rPr>
          <w:rFonts w:asciiTheme="minorHAnsi" w:hAnsiTheme="minorHAnsi" w:cstheme="minorHAnsi"/>
          <w:b/>
          <w:bCs/>
          <w:color w:val="auto"/>
          <w:sz w:val="18"/>
          <w:szCs w:val="18"/>
        </w:rPr>
      </w:pPr>
      <w:r>
        <w:rPr>
          <w:rFonts w:asciiTheme="minorHAnsi" w:hAnsiTheme="minorHAnsi" w:cstheme="minorHAnsi"/>
          <w:b/>
          <w:bCs/>
          <w:color w:val="auto"/>
          <w:sz w:val="18"/>
          <w:szCs w:val="18"/>
        </w:rPr>
        <w:t>Key considerations</w:t>
      </w:r>
    </w:p>
    <w:p w14:paraId="54D2C811" w14:textId="77777777" w:rsidR="00203693" w:rsidRDefault="00203693" w:rsidP="00203693">
      <w:pPr>
        <w:pStyle w:val="ListParagraph"/>
        <w:ind w:left="360"/>
        <w:rPr>
          <w:rFonts w:asciiTheme="minorHAnsi" w:hAnsiTheme="minorHAnsi" w:cstheme="minorHAnsi"/>
          <w:b/>
          <w:bCs/>
          <w:color w:val="auto"/>
          <w:sz w:val="18"/>
          <w:szCs w:val="18"/>
        </w:rPr>
      </w:pPr>
    </w:p>
    <w:p w14:paraId="35522552"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LGBTIQ+ people still face discrimination and stigma.</w:t>
      </w:r>
    </w:p>
    <w:p w14:paraId="2B6E78E8"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Do not assume heterosexuality or gender. Recognise that gender, sex and sexuality are different concepts.</w:t>
      </w:r>
    </w:p>
    <w:p w14:paraId="48212603" w14:textId="77777777" w:rsidR="00203693" w:rsidRDefault="00203693" w:rsidP="00735900">
      <w:pPr>
        <w:pStyle w:val="ListParagraph"/>
        <w:numPr>
          <w:ilvl w:val="0"/>
          <w:numId w:val="32"/>
        </w:numPr>
        <w:spacing w:after="120"/>
        <w:ind w:left="714" w:hanging="357"/>
        <w:contextualSpacing w:val="0"/>
        <w:rPr>
          <w:rFonts w:asciiTheme="minorHAnsi" w:hAnsiTheme="minorHAnsi" w:cstheme="minorHAnsi"/>
          <w:color w:val="auto"/>
          <w:sz w:val="18"/>
          <w:szCs w:val="18"/>
        </w:rPr>
      </w:pPr>
      <w:r>
        <w:rPr>
          <w:rFonts w:asciiTheme="minorHAnsi" w:hAnsiTheme="minorHAnsi" w:cstheme="minorHAnsi"/>
          <w:color w:val="auto"/>
          <w:sz w:val="18"/>
          <w:szCs w:val="18"/>
        </w:rPr>
        <w:t>Provide practical examples of your board’s commitment to diversity and inclusion.</w:t>
      </w:r>
    </w:p>
    <w:p w14:paraId="3ABC10BD" w14:textId="3C24663A" w:rsidR="00203693" w:rsidRPr="007B7F94" w:rsidRDefault="00203693" w:rsidP="00735900">
      <w:pPr>
        <w:pStyle w:val="ListParagraph"/>
        <w:numPr>
          <w:ilvl w:val="0"/>
          <w:numId w:val="32"/>
        </w:numPr>
        <w:spacing w:after="120"/>
        <w:ind w:left="714" w:hanging="357"/>
        <w:rPr>
          <w:rFonts w:asciiTheme="minorHAnsi" w:hAnsiTheme="minorHAnsi" w:cstheme="minorHAnsi"/>
          <w:color w:val="auto"/>
          <w:sz w:val="18"/>
          <w:szCs w:val="18"/>
        </w:rPr>
      </w:pPr>
      <w:r>
        <w:rPr>
          <w:rFonts w:asciiTheme="minorHAnsi" w:hAnsiTheme="minorHAnsi" w:cstheme="minorHAnsi"/>
          <w:color w:val="auto"/>
          <w:sz w:val="18"/>
          <w:szCs w:val="18"/>
        </w:rPr>
        <w:t xml:space="preserve">Ensure that staff involved </w:t>
      </w:r>
      <w:r w:rsidR="008F794F">
        <w:rPr>
          <w:rFonts w:asciiTheme="minorHAnsi" w:hAnsiTheme="minorHAnsi" w:cstheme="minorHAnsi"/>
          <w:color w:val="auto"/>
          <w:sz w:val="18"/>
          <w:szCs w:val="18"/>
        </w:rPr>
        <w:t xml:space="preserve">in </w:t>
      </w:r>
      <w:r>
        <w:rPr>
          <w:rFonts w:asciiTheme="minorHAnsi" w:hAnsiTheme="minorHAnsi" w:cstheme="minorHAnsi"/>
          <w:color w:val="auto"/>
          <w:sz w:val="18"/>
          <w:szCs w:val="18"/>
        </w:rPr>
        <w:t xml:space="preserve">the recruitment and appointment processes are trained in and demonstrate, </w:t>
      </w:r>
      <w:r w:rsidRPr="00534E67">
        <w:rPr>
          <w:rFonts w:asciiTheme="minorHAnsi" w:hAnsiTheme="minorHAnsi" w:cstheme="minorHAnsi"/>
          <w:color w:val="auto"/>
          <w:sz w:val="18"/>
          <w:szCs w:val="18"/>
        </w:rPr>
        <w:t>inclusive practices</w:t>
      </w:r>
      <w:r>
        <w:rPr>
          <w:rFonts w:asciiTheme="minorHAnsi" w:hAnsiTheme="minorHAnsi" w:cstheme="minorHAnsi"/>
          <w:color w:val="auto"/>
          <w:sz w:val="18"/>
          <w:szCs w:val="18"/>
        </w:rPr>
        <w:t>.</w:t>
      </w:r>
    </w:p>
    <w:p w14:paraId="5BDAFFB8" w14:textId="77777777" w:rsidR="00203693" w:rsidRPr="007B7F94" w:rsidRDefault="00203693" w:rsidP="00735900">
      <w:pPr>
        <w:numPr>
          <w:ilvl w:val="0"/>
          <w:numId w:val="32"/>
        </w:numPr>
        <w:suppressAutoHyphens w:val="0"/>
        <w:spacing w:after="120" w:line="240" w:lineRule="auto"/>
        <w:ind w:left="714" w:hanging="357"/>
        <w:textAlignment w:val="auto"/>
        <w:rPr>
          <w:rFonts w:asciiTheme="minorHAnsi" w:hAnsiTheme="minorHAnsi" w:cstheme="minorHAnsi"/>
          <w:lang w:val="en-AU"/>
        </w:rPr>
      </w:pPr>
      <w:r w:rsidRPr="007B7F94">
        <w:rPr>
          <w:rFonts w:asciiTheme="minorHAnsi" w:hAnsiTheme="minorHAnsi" w:cstheme="minorHAnsi"/>
          <w:lang w:val="en-AU"/>
        </w:rPr>
        <w:t xml:space="preserve">Demonstrate zero tolerance </w:t>
      </w:r>
      <w:r>
        <w:rPr>
          <w:rFonts w:asciiTheme="minorHAnsi" w:hAnsiTheme="minorHAnsi" w:cstheme="minorHAnsi"/>
          <w:lang w:val="en-AU"/>
        </w:rPr>
        <w:t>for</w:t>
      </w:r>
      <w:r w:rsidRPr="007B7F94">
        <w:rPr>
          <w:rFonts w:asciiTheme="minorHAnsi" w:hAnsiTheme="minorHAnsi" w:cstheme="minorHAnsi"/>
          <w:lang w:val="en-AU"/>
        </w:rPr>
        <w:t xml:space="preserve"> homophobia, transphobia, biphobia and discrimination against people with an intersex variation. </w:t>
      </w:r>
    </w:p>
    <w:p w14:paraId="7B91269C" w14:textId="77777777" w:rsidR="00203693" w:rsidRPr="007B7F94" w:rsidRDefault="00203693" w:rsidP="00735900">
      <w:pPr>
        <w:numPr>
          <w:ilvl w:val="0"/>
          <w:numId w:val="32"/>
        </w:numPr>
        <w:suppressAutoHyphens w:val="0"/>
        <w:spacing w:after="120" w:line="240" w:lineRule="auto"/>
        <w:ind w:left="714" w:hanging="357"/>
        <w:textAlignment w:val="auto"/>
        <w:rPr>
          <w:rFonts w:asciiTheme="minorHAnsi" w:hAnsiTheme="minorHAnsi" w:cstheme="minorHAnsi"/>
          <w:lang w:val="en-AU"/>
        </w:rPr>
      </w:pPr>
      <w:r w:rsidRPr="007B7F94">
        <w:rPr>
          <w:rFonts w:asciiTheme="minorHAnsi" w:hAnsiTheme="minorHAnsi" w:cstheme="minorHAnsi"/>
          <w:lang w:val="en-AU"/>
        </w:rPr>
        <w:t xml:space="preserve">Be sensitive about disclosure. </w:t>
      </w:r>
    </w:p>
    <w:p w14:paraId="0A8316AD" w14:textId="77777777" w:rsidR="00203693" w:rsidRPr="007B7F94" w:rsidRDefault="00203693" w:rsidP="00735900">
      <w:pPr>
        <w:numPr>
          <w:ilvl w:val="0"/>
          <w:numId w:val="32"/>
        </w:numPr>
        <w:suppressAutoHyphens w:val="0"/>
        <w:spacing w:after="120" w:line="240" w:lineRule="auto"/>
        <w:contextualSpacing/>
        <w:textAlignment w:val="auto"/>
        <w:rPr>
          <w:rFonts w:asciiTheme="minorHAnsi" w:hAnsiTheme="minorHAnsi" w:cstheme="minorHAnsi"/>
          <w:lang w:val="en-AU"/>
        </w:rPr>
      </w:pPr>
      <w:r w:rsidRPr="007B7F94">
        <w:rPr>
          <w:rFonts w:asciiTheme="minorHAnsi" w:hAnsiTheme="minorHAnsi" w:cstheme="minorHAnsi"/>
          <w:lang w:val="en-AU"/>
        </w:rPr>
        <w:t xml:space="preserve">There is a significant level of diversity within and between LGBTIQ+ communities. </w:t>
      </w:r>
    </w:p>
    <w:p w14:paraId="728081EB" w14:textId="77777777" w:rsidR="005C005B" w:rsidRDefault="005C005B">
      <w:pPr>
        <w:suppressAutoHyphens w:val="0"/>
        <w:autoSpaceDE/>
        <w:autoSpaceDN/>
        <w:adjustRightInd/>
        <w:spacing w:after="0" w:line="240" w:lineRule="auto"/>
        <w:textAlignment w:val="auto"/>
        <w:rPr>
          <w:color w:val="004C97" w:themeColor="accent1"/>
          <w:sz w:val="28"/>
          <w:szCs w:val="28"/>
        </w:rPr>
      </w:pPr>
      <w:r>
        <w:br w:type="page"/>
      </w:r>
    </w:p>
    <w:p w14:paraId="738022B8" w14:textId="29F98395" w:rsidR="003E57FF" w:rsidRPr="00830F4C" w:rsidRDefault="005C005B" w:rsidP="00A6764F">
      <w:pPr>
        <w:pStyle w:val="Heading1"/>
      </w:pPr>
      <w:bookmarkStart w:id="160" w:name="_Toc194930421"/>
      <w:r>
        <w:t xml:space="preserve">APPENDIX C: </w:t>
      </w:r>
      <w:r w:rsidR="003E57FF">
        <w:t>S</w:t>
      </w:r>
      <w:r w:rsidR="003E57FF" w:rsidRPr="00830F4C">
        <w:t>upport and resources</w:t>
      </w:r>
      <w:bookmarkEnd w:id="157"/>
      <w:bookmarkEnd w:id="158"/>
      <w:bookmarkEnd w:id="159"/>
      <w:bookmarkEnd w:id="160"/>
    </w:p>
    <w:p w14:paraId="15C0F4EB" w14:textId="216DFC81" w:rsidR="003E57FF" w:rsidRPr="00D52C3C" w:rsidRDefault="003E57FF" w:rsidP="003E57FF">
      <w:pPr>
        <w:pStyle w:val="bodycopy"/>
      </w:pPr>
      <w:r w:rsidRPr="00D52C3C">
        <w:t>An indicative outline of</w:t>
      </w:r>
      <w:r>
        <w:t xml:space="preserve"> support and resources provided by </w:t>
      </w:r>
      <w:r w:rsidR="008E250C">
        <w:t>DJSIR</w:t>
      </w:r>
      <w:r>
        <w:t xml:space="preserve">, other departments and integrity-related bodies is provided below. </w:t>
      </w:r>
    </w:p>
    <w:tbl>
      <w:tblPr>
        <w:tblW w:w="9356" w:type="dxa"/>
        <w:tblInd w:w="108"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Look w:val="04A0" w:firstRow="1" w:lastRow="0" w:firstColumn="1" w:lastColumn="0" w:noHBand="0" w:noVBand="1"/>
      </w:tblPr>
      <w:tblGrid>
        <w:gridCol w:w="2410"/>
        <w:gridCol w:w="6946"/>
      </w:tblGrid>
      <w:tr w:rsidR="003E57FF" w:rsidRPr="005F45DE" w14:paraId="47542220" w14:textId="77777777" w:rsidTr="004033A2">
        <w:trPr>
          <w:cantSplit/>
          <w:tblHeader/>
        </w:trPr>
        <w:tc>
          <w:tcPr>
            <w:tcW w:w="2410" w:type="dxa"/>
            <w:shd w:val="clear" w:color="auto" w:fill="000000" w:themeFill="text1"/>
          </w:tcPr>
          <w:p w14:paraId="26808974" w14:textId="77777777" w:rsidR="003E57FF" w:rsidRPr="00827AFE" w:rsidRDefault="003E57FF" w:rsidP="004033A2">
            <w:pPr>
              <w:pStyle w:val="bodycopy"/>
              <w:rPr>
                <w:b/>
                <w:color w:val="FFFFFF" w:themeColor="background1"/>
              </w:rPr>
            </w:pPr>
            <w:r w:rsidRPr="00827AFE">
              <w:rPr>
                <w:b/>
                <w:color w:val="FFFFFF" w:themeColor="background1"/>
              </w:rPr>
              <w:t>Governance Element</w:t>
            </w:r>
          </w:p>
        </w:tc>
        <w:tc>
          <w:tcPr>
            <w:tcW w:w="6946" w:type="dxa"/>
            <w:shd w:val="clear" w:color="auto" w:fill="000000" w:themeFill="text1"/>
          </w:tcPr>
          <w:p w14:paraId="2C25F5D1" w14:textId="77777777" w:rsidR="003E57FF" w:rsidRPr="00827AFE" w:rsidRDefault="003E57FF" w:rsidP="004033A2">
            <w:pPr>
              <w:pStyle w:val="bodycopy"/>
              <w:rPr>
                <w:b/>
                <w:color w:val="FFFFFF" w:themeColor="background1"/>
              </w:rPr>
            </w:pPr>
            <w:r w:rsidRPr="00827AFE">
              <w:rPr>
                <w:b/>
                <w:color w:val="FFFFFF" w:themeColor="background1"/>
              </w:rPr>
              <w:t>Support and Resources</w:t>
            </w:r>
          </w:p>
        </w:tc>
      </w:tr>
      <w:tr w:rsidR="003E57FF" w:rsidRPr="00CE0A4D" w14:paraId="4824F14C" w14:textId="77777777" w:rsidTr="004033A2">
        <w:trPr>
          <w:cantSplit/>
        </w:trPr>
        <w:tc>
          <w:tcPr>
            <w:tcW w:w="2410" w:type="dxa"/>
            <w:shd w:val="clear" w:color="auto" w:fill="auto"/>
          </w:tcPr>
          <w:p w14:paraId="01ADFF3E" w14:textId="77777777" w:rsidR="003E57FF" w:rsidRPr="00CE0A4D" w:rsidRDefault="003E57FF" w:rsidP="004033A2">
            <w:pPr>
              <w:pStyle w:val="bodycopy"/>
            </w:pPr>
            <w:r w:rsidRPr="00CE0A4D">
              <w:t>Planning</w:t>
            </w:r>
          </w:p>
        </w:tc>
        <w:tc>
          <w:tcPr>
            <w:tcW w:w="6946" w:type="dxa"/>
            <w:shd w:val="clear" w:color="auto" w:fill="auto"/>
          </w:tcPr>
          <w:p w14:paraId="2E19A8A2" w14:textId="55163D49" w:rsidR="00BE0E70" w:rsidRPr="00EC42A9" w:rsidRDefault="00BE0E70" w:rsidP="00BE0E70">
            <w:pPr>
              <w:pStyle w:val="ListBullet"/>
            </w:pPr>
            <w:hyperlink r:id="rId112" w:history="1">
              <w:r w:rsidRPr="00ED349D">
                <w:rPr>
                  <w:rStyle w:val="Hyperlink"/>
                  <w:i/>
                </w:rPr>
                <w:t>Resource Management Framework for Victorian Government Departments</w:t>
              </w:r>
            </w:hyperlink>
            <w:r w:rsidRPr="00EC42A9">
              <w:rPr>
                <w:i/>
              </w:rPr>
              <w:t>,</w:t>
            </w:r>
            <w:r>
              <w:rPr>
                <w:i/>
              </w:rPr>
              <w:t xml:space="preserve"> </w:t>
            </w:r>
            <w:r w:rsidRPr="00EC42A9">
              <w:t xml:space="preserve">Department of Treasury and Finance, </w:t>
            </w:r>
            <w:hyperlink r:id="rId113">
              <w:r w:rsidRPr="3C9369FD">
                <w:rPr>
                  <w:rStyle w:val="Hyperlink"/>
                  <w:color w:val="1F4E79"/>
                </w:rPr>
                <w:t>www.dtf.vic.gov.au</w:t>
              </w:r>
            </w:hyperlink>
          </w:p>
          <w:p w14:paraId="7EEBC3D6" w14:textId="04D11915" w:rsidR="00BE0E70" w:rsidRPr="00C3221B" w:rsidRDefault="00BE0E70" w:rsidP="00BE0E70">
            <w:pPr>
              <w:pStyle w:val="ListBullet"/>
            </w:pPr>
            <w:r w:rsidRPr="00C3221B">
              <w:t>D</w:t>
            </w:r>
            <w:r>
              <w:t>JSIR</w:t>
            </w:r>
            <w:r w:rsidRPr="00C3221B">
              <w:t xml:space="preserve"> </w:t>
            </w:r>
            <w:r>
              <w:t xml:space="preserve">Portfolio Entity </w:t>
            </w:r>
            <w:r w:rsidRPr="00C3221B">
              <w:t>Corporate Planning Guidelines and template</w:t>
            </w:r>
            <w:r>
              <w:t xml:space="preserve">, </w:t>
            </w:r>
            <w:hyperlink r:id="rId114" w:history="1">
              <w:r w:rsidRPr="00875965">
                <w:rPr>
                  <w:rStyle w:val="Hyperlink"/>
                </w:rPr>
                <w:t>Portfolio Governance Framework</w:t>
              </w:r>
            </w:hyperlink>
          </w:p>
          <w:p w14:paraId="5B0F970A" w14:textId="6DD4E65D" w:rsidR="00BE0E70" w:rsidRPr="009006C2" w:rsidRDefault="00BE0E70" w:rsidP="00735900">
            <w:pPr>
              <w:pStyle w:val="ListBullet"/>
              <w:numPr>
                <w:ilvl w:val="0"/>
                <w:numId w:val="42"/>
              </w:numPr>
            </w:pPr>
            <w:hyperlink r:id="rId115" w:history="1">
              <w:r w:rsidRPr="003D743E">
                <w:rPr>
                  <w:rStyle w:val="Hyperlink"/>
                  <w:i/>
                </w:rPr>
                <w:t>Corporate planning and performance reporting requirements</w:t>
              </w:r>
            </w:hyperlink>
            <w:r w:rsidRPr="00C3221B">
              <w:rPr>
                <w:i/>
              </w:rPr>
              <w:t>,</w:t>
            </w:r>
            <w:r w:rsidRPr="00C3221B">
              <w:t xml:space="preserve"> Department of Treasury and Finance</w:t>
            </w:r>
          </w:p>
          <w:p w14:paraId="3F02BEA3" w14:textId="1198B3F7" w:rsidR="003E57FF" w:rsidRPr="009006C2" w:rsidRDefault="003E57FF" w:rsidP="00735900">
            <w:pPr>
              <w:pStyle w:val="ListBullet"/>
              <w:numPr>
                <w:ilvl w:val="0"/>
                <w:numId w:val="43"/>
              </w:numPr>
              <w:ind w:left="714" w:hanging="357"/>
            </w:pPr>
            <w:hyperlink r:id="rId116" w:history="1">
              <w:r w:rsidRPr="001B1613">
                <w:rPr>
                  <w:rStyle w:val="Hyperlink"/>
                  <w:i/>
                </w:rPr>
                <w:t>Statement of Expectations Framework for Regulators</w:t>
              </w:r>
            </w:hyperlink>
            <w:r w:rsidRPr="00C3221B">
              <w:rPr>
                <w:i/>
              </w:rPr>
              <w:t xml:space="preserve">, </w:t>
            </w:r>
            <w:r w:rsidRPr="00C3221B">
              <w:t>Department of Treasury and Finance</w:t>
            </w:r>
            <w:r w:rsidR="001B1613" w:rsidDel="001B1613">
              <w:t xml:space="preserve"> </w:t>
            </w:r>
          </w:p>
          <w:p w14:paraId="45E5D2AA" w14:textId="46B9AF0A" w:rsidR="003E57FF" w:rsidRPr="006712CD" w:rsidRDefault="006E550A" w:rsidP="00735900">
            <w:pPr>
              <w:pStyle w:val="ListBullet"/>
              <w:numPr>
                <w:ilvl w:val="0"/>
                <w:numId w:val="43"/>
              </w:numPr>
              <w:ind w:left="714" w:hanging="357"/>
              <w:rPr>
                <w:rStyle w:val="Hyperlink"/>
                <w:rFonts w:eastAsiaTheme="minorHAnsi" w:cs="Arial"/>
                <w:i/>
                <w:color w:val="1F4E79"/>
                <w:sz w:val="22"/>
                <w:szCs w:val="18"/>
                <w:lang w:val="en-US"/>
              </w:rPr>
            </w:pPr>
            <w:r w:rsidRPr="006712CD">
              <w:rPr>
                <w:i/>
              </w:rPr>
              <w:t>Practitioner</w:t>
            </w:r>
            <w:r w:rsidR="002174FA" w:rsidRPr="006712CD">
              <w:rPr>
                <w:i/>
              </w:rPr>
              <w:t xml:space="preserve">s </w:t>
            </w:r>
            <w:r w:rsidR="003E57FF" w:rsidRPr="006712CD">
              <w:rPr>
                <w:i/>
              </w:rPr>
              <w:t xml:space="preserve">Professionals Toolkit, </w:t>
            </w:r>
            <w:r w:rsidR="003E57FF" w:rsidRPr="00D82EC0">
              <w:t xml:space="preserve">Department of Treasury and Finance, </w:t>
            </w:r>
            <w:hyperlink r:id="rId117">
              <w:r w:rsidR="003E57FF" w:rsidRPr="006712CD">
                <w:rPr>
                  <w:rStyle w:val="Hyperlink"/>
                  <w:color w:val="1F4E79"/>
                </w:rPr>
                <w:t>www.dtf.vic.gov.au</w:t>
              </w:r>
            </w:hyperlink>
            <w:r w:rsidR="003E57FF" w:rsidRPr="00D82EC0">
              <w:t xml:space="preserve"> </w:t>
            </w:r>
          </w:p>
          <w:p w14:paraId="1CCF9E59" w14:textId="44203789" w:rsidR="003E57FF" w:rsidRPr="00C3221B" w:rsidRDefault="003E57FF" w:rsidP="004033A2">
            <w:pPr>
              <w:pStyle w:val="ListBullet"/>
              <w:rPr>
                <w:rStyle w:val="Hyperlink"/>
                <w:i/>
                <w:color w:val="1F4E79"/>
                <w:sz w:val="22"/>
              </w:rPr>
            </w:pPr>
            <w:hyperlink r:id="rId118" w:history="1">
              <w:r w:rsidRPr="00ED349D">
                <w:rPr>
                  <w:rStyle w:val="Hyperlink"/>
                  <w:i/>
                </w:rPr>
                <w:t>Investment Lifecycle and High Value High Risk (HVHR) Guidelines</w:t>
              </w:r>
            </w:hyperlink>
            <w:r w:rsidRPr="00C3221B">
              <w:t xml:space="preserve">, Department of Treasury and Finance, </w:t>
            </w:r>
            <w:hyperlink r:id="rId119">
              <w:r w:rsidRPr="3C9369FD">
                <w:rPr>
                  <w:rStyle w:val="Hyperlink"/>
                  <w:color w:val="1F4E79"/>
                </w:rPr>
                <w:t>www.dtf.vic.gov.au</w:t>
              </w:r>
            </w:hyperlink>
            <w:r>
              <w:t xml:space="preserve"> </w:t>
            </w:r>
          </w:p>
          <w:p w14:paraId="63FA86F5" w14:textId="5C7CFB62" w:rsidR="003E57FF" w:rsidRPr="00C3221B" w:rsidRDefault="003E57FF" w:rsidP="004033A2">
            <w:pPr>
              <w:pStyle w:val="ListBullet"/>
              <w:rPr>
                <w:u w:val="single"/>
              </w:rPr>
            </w:pPr>
            <w:r w:rsidRPr="00C3221B">
              <w:rPr>
                <w:i/>
              </w:rPr>
              <w:t xml:space="preserve">‘Is your </w:t>
            </w:r>
            <w:r w:rsidR="009D2779">
              <w:rPr>
                <w:i/>
              </w:rPr>
              <w:t>entity</w:t>
            </w:r>
            <w:r w:rsidR="009D2779" w:rsidRPr="00C3221B">
              <w:rPr>
                <w:i/>
              </w:rPr>
              <w:t xml:space="preserve"> </w:t>
            </w:r>
            <w:r w:rsidRPr="00C3221B">
              <w:rPr>
                <w:i/>
              </w:rPr>
              <w:t>subject to the Standing Directions of the Minister for Finance?</w:t>
            </w:r>
            <w:r w:rsidRPr="00C3221B">
              <w:t xml:space="preserve">’ Department of Treasury and Finance, </w:t>
            </w:r>
            <w:hyperlink r:id="rId120">
              <w:r w:rsidRPr="3C9369FD">
                <w:rPr>
                  <w:rStyle w:val="Hyperlink"/>
                  <w:color w:val="1F4E79"/>
                </w:rPr>
                <w:t>www.dtf.vic.gov.au</w:t>
              </w:r>
            </w:hyperlink>
          </w:p>
          <w:p w14:paraId="4B70F99E" w14:textId="4D69364A" w:rsidR="003E57FF" w:rsidRPr="00C3221B" w:rsidRDefault="003E57FF" w:rsidP="004033A2">
            <w:pPr>
              <w:pStyle w:val="ListBullet"/>
              <w:rPr>
                <w:u w:val="single"/>
              </w:rPr>
            </w:pPr>
            <w:hyperlink r:id="rId121" w:history="1">
              <w:r w:rsidRPr="00ED349D">
                <w:rPr>
                  <w:rStyle w:val="Hyperlink"/>
                </w:rPr>
                <w:t>Victorian Government Purchasing Board policies, guides and tools</w:t>
              </w:r>
            </w:hyperlink>
            <w:r w:rsidRPr="00C3221B">
              <w:t xml:space="preserve">, </w:t>
            </w:r>
            <w:hyperlink r:id="rId122">
              <w:r w:rsidRPr="3C9369FD">
                <w:rPr>
                  <w:rStyle w:val="Hyperlink"/>
                </w:rPr>
                <w:t>www.procurement.vic.gov.au</w:t>
              </w:r>
            </w:hyperlink>
          </w:p>
        </w:tc>
      </w:tr>
      <w:tr w:rsidR="003E57FF" w:rsidRPr="00CE0A4D" w14:paraId="3A3CA3A7" w14:textId="77777777" w:rsidTr="004033A2">
        <w:trPr>
          <w:cantSplit/>
        </w:trPr>
        <w:tc>
          <w:tcPr>
            <w:tcW w:w="2410" w:type="dxa"/>
            <w:shd w:val="clear" w:color="auto" w:fill="auto"/>
          </w:tcPr>
          <w:p w14:paraId="4C49D4B7" w14:textId="77777777" w:rsidR="003E57FF" w:rsidRPr="00827AFE" w:rsidRDefault="003E57FF" w:rsidP="004033A2">
            <w:pPr>
              <w:pStyle w:val="bodycopy"/>
            </w:pPr>
            <w:r w:rsidRPr="00827AFE">
              <w:t>Analyse and Monitor</w:t>
            </w:r>
          </w:p>
        </w:tc>
        <w:tc>
          <w:tcPr>
            <w:tcW w:w="6946" w:type="dxa"/>
            <w:shd w:val="clear" w:color="auto" w:fill="auto"/>
          </w:tcPr>
          <w:p w14:paraId="47723DBB" w14:textId="25F478D4" w:rsidR="003E57FF" w:rsidRPr="00827AFE" w:rsidRDefault="003E57FF" w:rsidP="004033A2">
            <w:pPr>
              <w:pStyle w:val="ListBullet"/>
            </w:pPr>
            <w:hyperlink r:id="rId123" w:history="1">
              <w:r w:rsidRPr="00676B94">
                <w:rPr>
                  <w:rStyle w:val="Hyperlink"/>
                </w:rPr>
                <w:t>Premier’s Circular No. 2013/2</w:t>
              </w:r>
            </w:hyperlink>
            <w:r w:rsidRPr="00827AFE">
              <w:t>, Creation and Review of Non-departmental Entities</w:t>
            </w:r>
          </w:p>
          <w:p w14:paraId="7E67F39F" w14:textId="6B3D15E3" w:rsidR="003E57FF" w:rsidRPr="00827AFE" w:rsidRDefault="009A5748" w:rsidP="004033A2">
            <w:pPr>
              <w:pStyle w:val="ListBullet"/>
            </w:pPr>
            <w:r>
              <w:t>DJSIR</w:t>
            </w:r>
            <w:r w:rsidR="003E57FF">
              <w:t xml:space="preserve"> </w:t>
            </w:r>
            <w:r w:rsidR="003E57FF" w:rsidRPr="00827AFE">
              <w:t>Monitoring and Evaluation Policy and standards</w:t>
            </w:r>
          </w:p>
          <w:p w14:paraId="74FA1D22" w14:textId="75D7D0E8" w:rsidR="003E57FF" w:rsidRPr="00827AFE" w:rsidRDefault="003E57FF" w:rsidP="004033A2">
            <w:pPr>
              <w:pStyle w:val="ListBullet"/>
            </w:pPr>
            <w:hyperlink r:id="rId124" w:history="1">
              <w:r w:rsidRPr="00ED349D">
                <w:rPr>
                  <w:rStyle w:val="Hyperlink"/>
                  <w:i/>
                </w:rPr>
                <w:t>Resource Management Framework for Victorian Government Departments</w:t>
              </w:r>
            </w:hyperlink>
            <w:r w:rsidRPr="00EC42A9">
              <w:rPr>
                <w:i/>
              </w:rPr>
              <w:t xml:space="preserve">, </w:t>
            </w:r>
            <w:r w:rsidRPr="00EC42A9">
              <w:t xml:space="preserve">Department of Treasury and Finance, </w:t>
            </w:r>
            <w:hyperlink r:id="rId125">
              <w:r w:rsidRPr="3C9369FD">
                <w:rPr>
                  <w:rStyle w:val="Hyperlink"/>
                  <w:color w:val="1F4E79"/>
                </w:rPr>
                <w:t>www.dtf.vic.gov.au</w:t>
              </w:r>
            </w:hyperlink>
          </w:p>
        </w:tc>
      </w:tr>
      <w:tr w:rsidR="003E57FF" w:rsidRPr="00CE0A4D" w14:paraId="1C75F638" w14:textId="77777777" w:rsidTr="004033A2">
        <w:trPr>
          <w:cantSplit/>
        </w:trPr>
        <w:tc>
          <w:tcPr>
            <w:tcW w:w="2410" w:type="dxa"/>
            <w:shd w:val="clear" w:color="auto" w:fill="auto"/>
          </w:tcPr>
          <w:p w14:paraId="435F12B6" w14:textId="77777777" w:rsidR="003E57FF" w:rsidRPr="00827AFE" w:rsidRDefault="003E57FF" w:rsidP="004033A2">
            <w:pPr>
              <w:pStyle w:val="bodycopy"/>
            </w:pPr>
            <w:r w:rsidRPr="00827AFE">
              <w:t>Reporting</w:t>
            </w:r>
          </w:p>
        </w:tc>
        <w:tc>
          <w:tcPr>
            <w:tcW w:w="6946" w:type="dxa"/>
            <w:shd w:val="clear" w:color="auto" w:fill="auto"/>
          </w:tcPr>
          <w:p w14:paraId="434467C2" w14:textId="276757C5" w:rsidR="00D260AA" w:rsidRDefault="00D260AA" w:rsidP="004033A2">
            <w:pPr>
              <w:pStyle w:val="ListBullet"/>
            </w:pPr>
            <w:hyperlink r:id="rId126" w:history="1">
              <w:r w:rsidRPr="00ED349D">
                <w:rPr>
                  <w:rStyle w:val="Hyperlink"/>
                </w:rPr>
                <w:t xml:space="preserve">Standing Directions 2018 under the </w:t>
              </w:r>
              <w:r w:rsidRPr="00ED349D">
                <w:rPr>
                  <w:rStyle w:val="Hyperlink"/>
                  <w:i/>
                  <w:iCs/>
                </w:rPr>
                <w:t>Financial Management Act 1994</w:t>
              </w:r>
            </w:hyperlink>
            <w:r w:rsidRPr="00827AFE">
              <w:t xml:space="preserve">, </w:t>
            </w:r>
            <w:hyperlink r:id="rId127">
              <w:r w:rsidRPr="3C9369FD">
                <w:rPr>
                  <w:rStyle w:val="Hyperlink"/>
                  <w:color w:val="1F4E79"/>
                </w:rPr>
                <w:t>www.dtf.vic.gov.au</w:t>
              </w:r>
            </w:hyperlink>
          </w:p>
          <w:p w14:paraId="315DB02D" w14:textId="1AAEABB6" w:rsidR="003E57FF" w:rsidRPr="00827AFE" w:rsidRDefault="003E57FF" w:rsidP="004033A2">
            <w:pPr>
              <w:pStyle w:val="ListBullet"/>
            </w:pPr>
            <w:hyperlink r:id="rId128" w:history="1">
              <w:r w:rsidRPr="00ED349D">
                <w:rPr>
                  <w:rStyle w:val="Hyperlink"/>
                </w:rPr>
                <w:t>Asset Management and Accountability Framework</w:t>
              </w:r>
            </w:hyperlink>
            <w:r w:rsidRPr="00827AFE">
              <w:t>, Department of Treasury and Finance,</w:t>
            </w:r>
            <w:r w:rsidRPr="00827AFE">
              <w:rPr>
                <w:rStyle w:val="Hyperlink"/>
                <w:color w:val="1F4E79"/>
              </w:rPr>
              <w:t xml:space="preserve"> </w:t>
            </w:r>
            <w:hyperlink r:id="rId129">
              <w:r w:rsidRPr="3C9369FD">
                <w:rPr>
                  <w:rStyle w:val="Hyperlink"/>
                  <w:color w:val="1F4E79"/>
                </w:rPr>
                <w:t>www.dtf.vic.gov.au</w:t>
              </w:r>
            </w:hyperlink>
          </w:p>
          <w:p w14:paraId="1678342A" w14:textId="6A3FC789" w:rsidR="003E57FF" w:rsidRPr="00827AFE" w:rsidRDefault="004235DC" w:rsidP="005D48FB">
            <w:pPr>
              <w:pStyle w:val="ListBullet"/>
            </w:pPr>
            <w:hyperlink r:id="rId130" w:history="1">
              <w:r>
                <w:rPr>
                  <w:rStyle w:val="Hyperlink"/>
                </w:rPr>
                <w:t>Model Reports</w:t>
              </w:r>
            </w:hyperlink>
            <w:r w:rsidR="003E57FF" w:rsidRPr="00827AFE">
              <w:t xml:space="preserve">, Department of Treasury and Finance, </w:t>
            </w:r>
            <w:hyperlink r:id="rId131">
              <w:r w:rsidR="003E57FF" w:rsidRPr="3C9369FD">
                <w:rPr>
                  <w:rStyle w:val="Hyperlink"/>
                  <w:color w:val="1F4E79"/>
                </w:rPr>
                <w:t>www.dtf.vic.gov.au</w:t>
              </w:r>
            </w:hyperlink>
          </w:p>
        </w:tc>
      </w:tr>
      <w:tr w:rsidR="003E57FF" w:rsidRPr="00CE0A4D" w14:paraId="0812FE12" w14:textId="77777777" w:rsidTr="004033A2">
        <w:trPr>
          <w:cantSplit/>
        </w:trPr>
        <w:tc>
          <w:tcPr>
            <w:tcW w:w="2410" w:type="dxa"/>
            <w:shd w:val="clear" w:color="auto" w:fill="auto"/>
          </w:tcPr>
          <w:p w14:paraId="74737657" w14:textId="77777777" w:rsidR="003E57FF" w:rsidRPr="00827AFE" w:rsidRDefault="003E57FF" w:rsidP="004033A2">
            <w:pPr>
              <w:pStyle w:val="bodycopy"/>
            </w:pPr>
            <w:r w:rsidRPr="00827AFE">
              <w:t>Risk</w:t>
            </w:r>
          </w:p>
        </w:tc>
        <w:tc>
          <w:tcPr>
            <w:tcW w:w="6946" w:type="dxa"/>
            <w:shd w:val="clear" w:color="auto" w:fill="auto"/>
          </w:tcPr>
          <w:p w14:paraId="0C8FEA0F" w14:textId="0CAF7B33" w:rsidR="005B045B" w:rsidRPr="00827AFE" w:rsidRDefault="003E57FF" w:rsidP="004033A2">
            <w:pPr>
              <w:pStyle w:val="ListBullet"/>
            </w:pPr>
            <w:hyperlink r:id="rId132" w:history="1">
              <w:r w:rsidRPr="008A1D2B">
                <w:rPr>
                  <w:rStyle w:val="Hyperlink"/>
                </w:rPr>
                <w:t>Victorian Risk Management Framework</w:t>
              </w:r>
              <w:r w:rsidR="00292B92" w:rsidRPr="008A1D2B">
                <w:rPr>
                  <w:rStyle w:val="Hyperlink"/>
                </w:rPr>
                <w:t xml:space="preserve"> and Insurance Management Policy</w:t>
              </w:r>
            </w:hyperlink>
            <w:r w:rsidRPr="00827AFE">
              <w:t>, Department of Treasury and Finance</w:t>
            </w:r>
          </w:p>
        </w:tc>
      </w:tr>
      <w:tr w:rsidR="003E57FF" w:rsidRPr="00CE0A4D" w14:paraId="4D204234" w14:textId="77777777" w:rsidTr="005D48FB">
        <w:trPr>
          <w:cantSplit/>
          <w:trHeight w:val="1208"/>
        </w:trPr>
        <w:tc>
          <w:tcPr>
            <w:tcW w:w="2410" w:type="dxa"/>
            <w:shd w:val="clear" w:color="auto" w:fill="auto"/>
          </w:tcPr>
          <w:p w14:paraId="5BA9A9FE" w14:textId="77777777" w:rsidR="003E57FF" w:rsidRPr="00827AFE" w:rsidRDefault="003E57FF" w:rsidP="004033A2">
            <w:pPr>
              <w:pStyle w:val="bodycopy"/>
            </w:pPr>
            <w:r w:rsidRPr="00827AFE">
              <w:t>Communication and Engagement</w:t>
            </w:r>
          </w:p>
        </w:tc>
        <w:tc>
          <w:tcPr>
            <w:tcW w:w="6946" w:type="dxa"/>
            <w:shd w:val="clear" w:color="auto" w:fill="auto"/>
          </w:tcPr>
          <w:p w14:paraId="75117751" w14:textId="0CADFA7D" w:rsidR="00FA0534" w:rsidRDefault="00FA0534" w:rsidP="004033A2">
            <w:pPr>
              <w:pStyle w:val="ListBullet"/>
            </w:pPr>
            <w:hyperlink r:id="rId133" w:history="1">
              <w:r w:rsidRPr="00ED349D">
                <w:rPr>
                  <w:rStyle w:val="Hyperlink"/>
                </w:rPr>
                <w:t xml:space="preserve">Establishing portfolio </w:t>
              </w:r>
              <w:r w:rsidR="00ED349D" w:rsidRPr="00ED349D">
                <w:rPr>
                  <w:rStyle w:val="Hyperlink"/>
                </w:rPr>
                <w:t>governance</w:t>
              </w:r>
              <w:r w:rsidRPr="00ED349D">
                <w:rPr>
                  <w:rStyle w:val="Hyperlink"/>
                </w:rPr>
                <w:t xml:space="preserve"> arrangements</w:t>
              </w:r>
            </w:hyperlink>
            <w:r>
              <w:t>, Victorian Public Sector Commission</w:t>
            </w:r>
            <w:r w:rsidR="00293A39">
              <w:t xml:space="preserve">, </w:t>
            </w:r>
            <w:hyperlink r:id="rId134" w:history="1">
              <w:r w:rsidR="00293A39" w:rsidRPr="00660B9E">
                <w:rPr>
                  <w:rStyle w:val="Hyperlink"/>
                </w:rPr>
                <w:t>www.vpsc.vic.gov.au</w:t>
              </w:r>
            </w:hyperlink>
          </w:p>
          <w:p w14:paraId="16EB4A9F" w14:textId="4287F6BD" w:rsidR="003E57FF" w:rsidRPr="00827AFE" w:rsidRDefault="003E57FF" w:rsidP="004033A2">
            <w:pPr>
              <w:pStyle w:val="ListBullet"/>
            </w:pPr>
            <w:r w:rsidRPr="00827AFE">
              <w:t>Ministerial Briefing Template</w:t>
            </w:r>
          </w:p>
          <w:p w14:paraId="5B9A64F7" w14:textId="77777777" w:rsidR="003E57FF" w:rsidRPr="00827AFE" w:rsidRDefault="003E57FF" w:rsidP="004033A2">
            <w:pPr>
              <w:pStyle w:val="ListBullet"/>
            </w:pPr>
            <w:r w:rsidRPr="00827AFE">
              <w:t>Ministerial Correspondence Template</w:t>
            </w:r>
          </w:p>
        </w:tc>
      </w:tr>
      <w:tr w:rsidR="003E57FF" w:rsidRPr="00CE0A4D" w14:paraId="311721CB" w14:textId="77777777" w:rsidTr="004033A2">
        <w:trPr>
          <w:cantSplit/>
        </w:trPr>
        <w:tc>
          <w:tcPr>
            <w:tcW w:w="2410" w:type="dxa"/>
            <w:shd w:val="clear" w:color="auto" w:fill="auto"/>
          </w:tcPr>
          <w:p w14:paraId="6998A300" w14:textId="77777777" w:rsidR="003E57FF" w:rsidRPr="00827AFE" w:rsidRDefault="003E57FF" w:rsidP="004033A2">
            <w:pPr>
              <w:pStyle w:val="bodycopy"/>
            </w:pPr>
            <w:r w:rsidRPr="00827AFE">
              <w:t>Board appointments and meetings</w:t>
            </w:r>
          </w:p>
        </w:tc>
        <w:tc>
          <w:tcPr>
            <w:tcW w:w="6946" w:type="dxa"/>
            <w:shd w:val="clear" w:color="auto" w:fill="auto"/>
          </w:tcPr>
          <w:p w14:paraId="171566E7" w14:textId="2EE78E80" w:rsidR="00686E58" w:rsidRDefault="00686E58" w:rsidP="004033A2">
            <w:pPr>
              <w:pStyle w:val="ListBullet"/>
            </w:pPr>
            <w:hyperlink r:id="rId135" w:history="1">
              <w:r w:rsidRPr="004B6295">
                <w:rPr>
                  <w:rStyle w:val="Hyperlink"/>
                </w:rPr>
                <w:t>Premier’s Circular No. 2015/2</w:t>
              </w:r>
            </w:hyperlink>
            <w:r w:rsidRPr="00827AFE">
              <w:t>, Good Board Governance</w:t>
            </w:r>
          </w:p>
          <w:p w14:paraId="03EBD26D" w14:textId="4F9F1598" w:rsidR="005C7F73" w:rsidRPr="00827AFE" w:rsidRDefault="005C7F73" w:rsidP="005C7F73">
            <w:pPr>
              <w:pStyle w:val="ListBullet"/>
            </w:pPr>
            <w:hyperlink r:id="rId136" w:history="1">
              <w:r w:rsidRPr="00ED349D">
                <w:rPr>
                  <w:rStyle w:val="Hyperlink"/>
                </w:rPr>
                <w:t>Recruitment and Appointment to the Board: A Governance Officer’s Toolkit</w:t>
              </w:r>
            </w:hyperlink>
            <w:r w:rsidRPr="00827AFE">
              <w:t xml:space="preserve">, Victorian Public Sector Commission, </w:t>
            </w:r>
            <w:hyperlink r:id="rId137">
              <w:r w:rsidRPr="3C9369FD">
                <w:rPr>
                  <w:rStyle w:val="Hyperlink"/>
                </w:rPr>
                <w:t>www.vpsc.vic.gov.au</w:t>
              </w:r>
            </w:hyperlink>
          </w:p>
          <w:p w14:paraId="70064F68" w14:textId="780BFE69" w:rsidR="005C7F73" w:rsidRDefault="005C7F73" w:rsidP="005C7F73">
            <w:pPr>
              <w:pStyle w:val="ListBullet"/>
            </w:pPr>
            <w:hyperlink r:id="rId138" w:history="1">
              <w:r w:rsidRPr="00ED349D">
                <w:rPr>
                  <w:rStyle w:val="Hyperlink"/>
                </w:rPr>
                <w:t>Appointment and Remuneration Guidelines</w:t>
              </w:r>
            </w:hyperlink>
            <w:r w:rsidRPr="00827AFE">
              <w:t xml:space="preserve">, Department of Premier and Cabinet (DPC), </w:t>
            </w:r>
            <w:hyperlink r:id="rId139" w:history="1">
              <w:r w:rsidRPr="000A7CB1">
                <w:rPr>
                  <w:rStyle w:val="Hyperlink"/>
                </w:rPr>
                <w:t>www.dpc.vic.gov.au</w:t>
              </w:r>
            </w:hyperlink>
            <w:r>
              <w:t xml:space="preserve"> </w:t>
            </w:r>
          </w:p>
          <w:p w14:paraId="4B4A3BE4" w14:textId="62ECA9E9" w:rsidR="00E87F86" w:rsidRDefault="00E87F86" w:rsidP="005C7F73">
            <w:pPr>
              <w:pStyle w:val="ListBullet"/>
            </w:pPr>
            <w:hyperlink r:id="rId140" w:anchor="who-assesses-board-performance" w:history="1">
              <w:r w:rsidRPr="00E87F86">
                <w:rPr>
                  <w:rStyle w:val="Hyperlink"/>
                </w:rPr>
                <w:t>Assessing public board performance</w:t>
              </w:r>
            </w:hyperlink>
            <w:r>
              <w:t xml:space="preserve">, Victorian Public Sector Commission, </w:t>
            </w:r>
            <w:hyperlink r:id="rId141" w:history="1">
              <w:r w:rsidRPr="007E4837">
                <w:rPr>
                  <w:rStyle w:val="Hyperlink"/>
                </w:rPr>
                <w:t>www.vpsc.vic.gov.au</w:t>
              </w:r>
            </w:hyperlink>
          </w:p>
          <w:p w14:paraId="4721E944" w14:textId="1F9DEF38" w:rsidR="006B3494" w:rsidRDefault="005F7E6D" w:rsidP="004033A2">
            <w:pPr>
              <w:pStyle w:val="ListBullet"/>
            </w:pPr>
            <w:r>
              <w:t xml:space="preserve">Women – </w:t>
            </w:r>
            <w:hyperlink r:id="rId142" w:history="1">
              <w:r w:rsidRPr="006B602E">
                <w:rPr>
                  <w:rStyle w:val="Hyperlink"/>
                </w:rPr>
                <w:t>Diversity on Victorian Government Bo</w:t>
              </w:r>
              <w:r w:rsidR="00542C90" w:rsidRPr="006B602E">
                <w:rPr>
                  <w:rStyle w:val="Hyperlink"/>
                </w:rPr>
                <w:t>ards Guid</w:t>
              </w:r>
              <w:r w:rsidR="00AE55FB" w:rsidRPr="006B602E">
                <w:rPr>
                  <w:rStyle w:val="Hyperlink"/>
                </w:rPr>
                <w:t>elines</w:t>
              </w:r>
            </w:hyperlink>
            <w:r w:rsidR="00C0179D">
              <w:t xml:space="preserve">, </w:t>
            </w:r>
            <w:r w:rsidR="00B248BE">
              <w:t>Dep</w:t>
            </w:r>
            <w:r w:rsidR="006B602E">
              <w:t>artment of Premier and Cabinet (DPC)</w:t>
            </w:r>
          </w:p>
          <w:p w14:paraId="635CFF08" w14:textId="73E8C0E1" w:rsidR="006229A6" w:rsidRPr="005D48FB" w:rsidRDefault="006229A6" w:rsidP="004033A2">
            <w:pPr>
              <w:pStyle w:val="ListBullet"/>
              <w:rPr>
                <w:rStyle w:val="Hyperlink"/>
                <w:color w:val="53565A"/>
                <w:u w:val="none"/>
              </w:rPr>
            </w:pPr>
            <w:hyperlink r:id="rId143" w:history="1">
              <w:r w:rsidRPr="00ED349D">
                <w:rPr>
                  <w:rStyle w:val="Hyperlink"/>
                </w:rPr>
                <w:t>Aboriginal Cultural Capability Tookit</w:t>
              </w:r>
            </w:hyperlink>
            <w:r w:rsidR="00DE2E74">
              <w:t>,</w:t>
            </w:r>
            <w:r w:rsidR="00EB4409">
              <w:t xml:space="preserve"> </w:t>
            </w:r>
            <w:r w:rsidR="00FA1645" w:rsidRPr="00827AFE">
              <w:t xml:space="preserve">Victorian Public Sector Commission, </w:t>
            </w:r>
            <w:hyperlink r:id="rId144">
              <w:r w:rsidR="00FA1645" w:rsidRPr="3C9369FD">
                <w:rPr>
                  <w:rStyle w:val="Hyperlink"/>
                </w:rPr>
                <w:t>www.vpsc.vic.gov.au</w:t>
              </w:r>
            </w:hyperlink>
          </w:p>
          <w:p w14:paraId="6F871B71" w14:textId="71D457BD" w:rsidR="00FA1645" w:rsidRDefault="00FA1645" w:rsidP="004033A2">
            <w:pPr>
              <w:pStyle w:val="ListBullet"/>
            </w:pPr>
            <w:hyperlink r:id="rId145" w:history="1">
              <w:r w:rsidRPr="00ED349D">
                <w:rPr>
                  <w:rStyle w:val="Hyperlink"/>
                </w:rPr>
                <w:t>Victorian Aboriginal Affairs Framework 2018-2023</w:t>
              </w:r>
            </w:hyperlink>
            <w:r w:rsidR="00846C17">
              <w:t xml:space="preserve">, First Peoples State Relations, </w:t>
            </w:r>
            <w:hyperlink r:id="rId146" w:history="1">
              <w:r w:rsidR="00846C17" w:rsidRPr="005D48FB">
                <w:rPr>
                  <w:rStyle w:val="Hyperlink"/>
                </w:rPr>
                <w:t>www.firstpeoples</w:t>
              </w:r>
              <w:r w:rsidR="00846C17" w:rsidRPr="00660B9E">
                <w:rPr>
                  <w:rStyle w:val="Hyperlink"/>
                </w:rPr>
                <w:t>relations.vic.gov.au</w:t>
              </w:r>
            </w:hyperlink>
          </w:p>
          <w:p w14:paraId="16A46633" w14:textId="3DF51835" w:rsidR="00846C17" w:rsidRDefault="00EF79CD" w:rsidP="004033A2">
            <w:pPr>
              <w:pStyle w:val="ListBullet"/>
            </w:pPr>
            <w:hyperlink r:id="rId147" w:history="1">
              <w:r w:rsidRPr="00ED349D">
                <w:rPr>
                  <w:rStyle w:val="Hyperlink"/>
                </w:rPr>
                <w:t xml:space="preserve">Yoorrook </w:t>
              </w:r>
              <w:r w:rsidR="00ED349D" w:rsidRPr="00ED349D">
                <w:rPr>
                  <w:rStyle w:val="Hyperlink"/>
                </w:rPr>
                <w:t>Justice</w:t>
              </w:r>
              <w:r w:rsidR="001344BF" w:rsidRPr="00ED349D">
                <w:rPr>
                  <w:rStyle w:val="Hyperlink"/>
                </w:rPr>
                <w:t xml:space="preserve"> Com</w:t>
              </w:r>
              <w:r w:rsidR="002165FB" w:rsidRPr="00ED349D">
                <w:rPr>
                  <w:rStyle w:val="Hyperlink"/>
                </w:rPr>
                <w:t>mission</w:t>
              </w:r>
            </w:hyperlink>
            <w:r w:rsidR="00D35F09">
              <w:t>, First P</w:t>
            </w:r>
            <w:r w:rsidR="002A03EA">
              <w:t xml:space="preserve">eople, </w:t>
            </w:r>
            <w:hyperlink r:id="rId148" w:history="1">
              <w:r w:rsidR="002A03EA" w:rsidRPr="00660B9E">
                <w:rPr>
                  <w:rStyle w:val="Hyperlink"/>
                </w:rPr>
                <w:t>www.yoorrookjusticecommission.org.au</w:t>
              </w:r>
            </w:hyperlink>
          </w:p>
          <w:p w14:paraId="4A949B75" w14:textId="582FE776" w:rsidR="002A03EA" w:rsidRPr="005D48FB" w:rsidRDefault="002A03EA" w:rsidP="002A03EA">
            <w:pPr>
              <w:pStyle w:val="ListBullet"/>
              <w:rPr>
                <w:rStyle w:val="Hyperlink"/>
                <w:color w:val="53565A"/>
                <w:u w:val="none"/>
              </w:rPr>
            </w:pPr>
            <w:hyperlink r:id="rId149" w:history="1">
              <w:r w:rsidRPr="00ED349D">
                <w:rPr>
                  <w:rStyle w:val="Hyperlink"/>
                </w:rPr>
                <w:t>VPSC Disability Employment Toolkit</w:t>
              </w:r>
            </w:hyperlink>
            <w:r>
              <w:t xml:space="preserve">, </w:t>
            </w:r>
            <w:r w:rsidRPr="00827AFE">
              <w:t xml:space="preserve">Victorian Public Sector Commission, </w:t>
            </w:r>
            <w:hyperlink r:id="rId150">
              <w:r w:rsidRPr="3C9369FD">
                <w:rPr>
                  <w:rStyle w:val="Hyperlink"/>
                </w:rPr>
                <w:t>www.vpsc.vic.gov.au</w:t>
              </w:r>
            </w:hyperlink>
          </w:p>
          <w:p w14:paraId="751DFF75" w14:textId="73398050" w:rsidR="005D2153" w:rsidRPr="00827AFE" w:rsidRDefault="005D2153" w:rsidP="005D2153">
            <w:pPr>
              <w:pStyle w:val="ListBullet"/>
            </w:pPr>
            <w:hyperlink r:id="rId151" w:history="1">
              <w:r w:rsidRPr="00ED349D">
                <w:rPr>
                  <w:rStyle w:val="Hyperlink"/>
                </w:rPr>
                <w:t>Diversity on Victorian Government Boards Guidelines</w:t>
              </w:r>
            </w:hyperlink>
            <w:r>
              <w:t xml:space="preserve">, Department of Premier and Cabinet (DPC), </w:t>
            </w:r>
            <w:hyperlink r:id="rId152" w:history="1">
              <w:r w:rsidRPr="000A7CB1">
                <w:rPr>
                  <w:rStyle w:val="Hyperlink"/>
                </w:rPr>
                <w:t>www.dpc.vic.gov.au</w:t>
              </w:r>
            </w:hyperlink>
          </w:p>
          <w:p w14:paraId="359032FA" w14:textId="462DBB03" w:rsidR="002A03EA" w:rsidRDefault="002A03EA" w:rsidP="004033A2">
            <w:pPr>
              <w:pStyle w:val="ListBullet"/>
            </w:pPr>
            <w:hyperlink r:id="rId153" w:history="1">
              <w:r w:rsidRPr="00ED349D">
                <w:rPr>
                  <w:rStyle w:val="Hyperlink"/>
                </w:rPr>
                <w:t>Designing for Diversity</w:t>
              </w:r>
            </w:hyperlink>
            <w:r>
              <w:t xml:space="preserve">, Department of Health, </w:t>
            </w:r>
            <w:hyperlink r:id="rId154" w:history="1">
              <w:r w:rsidR="0052155E" w:rsidRPr="00660B9E">
                <w:rPr>
                  <w:rStyle w:val="Hyperlink"/>
                </w:rPr>
                <w:t>www.health.vic.gov.au</w:t>
              </w:r>
            </w:hyperlink>
          </w:p>
          <w:p w14:paraId="1D08588E" w14:textId="70021518" w:rsidR="007B31E2" w:rsidRDefault="009620DA" w:rsidP="007B31E2">
            <w:pPr>
              <w:pStyle w:val="ListBullet"/>
            </w:pPr>
            <w:hyperlink r:id="rId155" w:history="1">
              <w:r w:rsidRPr="00ED349D">
                <w:rPr>
                  <w:rStyle w:val="Hyperlink"/>
                </w:rPr>
                <w:t>Language services policy and gui</w:t>
              </w:r>
              <w:r w:rsidR="0099634D" w:rsidRPr="00ED349D">
                <w:rPr>
                  <w:rStyle w:val="Hyperlink"/>
                </w:rPr>
                <w:t>delines</w:t>
              </w:r>
            </w:hyperlink>
            <w:r w:rsidR="00CE2054">
              <w:t xml:space="preserve">, </w:t>
            </w:r>
            <w:r w:rsidR="007B31E2">
              <w:t xml:space="preserve">Department of Health, </w:t>
            </w:r>
            <w:hyperlink r:id="rId156" w:history="1">
              <w:r w:rsidR="007B31E2" w:rsidRPr="00660B9E">
                <w:rPr>
                  <w:rStyle w:val="Hyperlink"/>
                </w:rPr>
                <w:t>www.health.vic.gov.au</w:t>
              </w:r>
            </w:hyperlink>
          </w:p>
          <w:p w14:paraId="3B96B34A" w14:textId="6B430DCF" w:rsidR="0052155E" w:rsidRDefault="004D0DC8" w:rsidP="004033A2">
            <w:pPr>
              <w:pStyle w:val="ListBullet"/>
            </w:pPr>
            <w:hyperlink r:id="rId157" w:history="1">
              <w:r>
                <w:rPr>
                  <w:rStyle w:val="Hyperlink"/>
                  <w:lang w:val="en-US"/>
                </w:rPr>
                <w:t>Board appointment, remuneration and diversity guidance</w:t>
              </w:r>
            </w:hyperlink>
            <w:r w:rsidR="00F62810">
              <w:t xml:space="preserve">, </w:t>
            </w:r>
            <w:r w:rsidR="005D2153" w:rsidRPr="00827AFE">
              <w:t xml:space="preserve">Department of Premier and Cabinet (DPC), </w:t>
            </w:r>
            <w:hyperlink r:id="rId158" w:history="1">
              <w:r w:rsidR="005D2153" w:rsidRPr="000A7CB1">
                <w:rPr>
                  <w:rStyle w:val="Hyperlink"/>
                </w:rPr>
                <w:t>www.dpc.vic.gov.au</w:t>
              </w:r>
            </w:hyperlink>
          </w:p>
          <w:p w14:paraId="1FB2163C" w14:textId="370DCB30" w:rsidR="003E57FF" w:rsidRPr="00827AFE" w:rsidRDefault="00EF75F8" w:rsidP="004033A2">
            <w:pPr>
              <w:pStyle w:val="ListBullet"/>
            </w:pPr>
            <w:hyperlink r:id="rId159" w:history="1">
              <w:r>
                <w:rPr>
                  <w:rStyle w:val="Hyperlink"/>
                  <w:lang w:val="en-US"/>
                </w:rPr>
                <w:t>Guide to public entity board governance</w:t>
              </w:r>
            </w:hyperlink>
            <w:r w:rsidR="003E57FF" w:rsidRPr="00827AFE">
              <w:t xml:space="preserve">, </w:t>
            </w:r>
            <w:hyperlink r:id="rId160">
              <w:r w:rsidR="003E57FF" w:rsidRPr="3C9369FD">
                <w:rPr>
                  <w:rStyle w:val="Hyperlink"/>
                </w:rPr>
                <w:t>www.vpsc.vic.gov.au</w:t>
              </w:r>
            </w:hyperlink>
          </w:p>
          <w:p w14:paraId="1C3C16DC" w14:textId="5816F37D" w:rsidR="005D2153" w:rsidRPr="00334B59" w:rsidRDefault="005D2153" w:rsidP="005D2153">
            <w:pPr>
              <w:pStyle w:val="ListBullet"/>
              <w:rPr>
                <w:rStyle w:val="Hyperlink"/>
                <w:color w:val="53565A"/>
                <w:u w:val="none"/>
              </w:rPr>
            </w:pPr>
            <w:hyperlink r:id="rId161" w:history="1">
              <w:r w:rsidRPr="00FC2615">
                <w:rPr>
                  <w:rStyle w:val="Hyperlink"/>
                </w:rPr>
                <w:t>Code of Conduct for Director of Victorian Public Entities</w:t>
              </w:r>
            </w:hyperlink>
            <w:r>
              <w:t xml:space="preserve">, </w:t>
            </w:r>
            <w:r w:rsidRPr="00827AFE">
              <w:t xml:space="preserve">Victorian Public Sector Commission, </w:t>
            </w:r>
            <w:hyperlink r:id="rId162">
              <w:r w:rsidRPr="3C9369FD">
                <w:rPr>
                  <w:rStyle w:val="Hyperlink"/>
                </w:rPr>
                <w:t>www.vpsc.vic.gov.au</w:t>
              </w:r>
            </w:hyperlink>
          </w:p>
          <w:p w14:paraId="6BE2C16F" w14:textId="531FE5FB" w:rsidR="007755BF" w:rsidRPr="00334B59" w:rsidRDefault="007755BF" w:rsidP="007755BF">
            <w:pPr>
              <w:pStyle w:val="ListBullet"/>
              <w:rPr>
                <w:rStyle w:val="Hyperlink"/>
                <w:color w:val="53565A"/>
                <w:u w:val="none"/>
              </w:rPr>
            </w:pPr>
            <w:hyperlink r:id="rId163" w:history="1">
              <w:r w:rsidRPr="00FC2615">
                <w:rPr>
                  <w:rStyle w:val="Hyperlink"/>
                </w:rPr>
                <w:t>Conflict of Interest and Duty Guidance for Directors</w:t>
              </w:r>
            </w:hyperlink>
            <w:r>
              <w:t xml:space="preserve">, </w:t>
            </w:r>
            <w:r w:rsidRPr="00827AFE">
              <w:t xml:space="preserve">Victorian Public Sector Commission, </w:t>
            </w:r>
            <w:hyperlink r:id="rId164">
              <w:r w:rsidRPr="3C9369FD">
                <w:rPr>
                  <w:rStyle w:val="Hyperlink"/>
                </w:rPr>
                <w:t>www.vpsc.vic.gov.au</w:t>
              </w:r>
            </w:hyperlink>
          </w:p>
          <w:p w14:paraId="747B1665" w14:textId="7CB8B16A" w:rsidR="003E57FF" w:rsidRPr="00827AFE" w:rsidRDefault="003E57FF" w:rsidP="005D48FB">
            <w:pPr>
              <w:pStyle w:val="ListBullet"/>
              <w:numPr>
                <w:ilvl w:val="0"/>
                <w:numId w:val="0"/>
              </w:numPr>
              <w:ind w:left="360"/>
            </w:pPr>
          </w:p>
        </w:tc>
      </w:tr>
      <w:tr w:rsidR="003E57FF" w:rsidRPr="00CE0A4D" w14:paraId="3B32D7FF" w14:textId="77777777" w:rsidTr="004033A2">
        <w:trPr>
          <w:cantSplit/>
        </w:trPr>
        <w:tc>
          <w:tcPr>
            <w:tcW w:w="2410" w:type="dxa"/>
            <w:shd w:val="clear" w:color="auto" w:fill="auto"/>
          </w:tcPr>
          <w:p w14:paraId="5F784162" w14:textId="77777777" w:rsidR="003E57FF" w:rsidRPr="00827AFE" w:rsidRDefault="003E57FF" w:rsidP="004033A2">
            <w:pPr>
              <w:pStyle w:val="bodycopy"/>
            </w:pPr>
            <w:r w:rsidRPr="00827AFE">
              <w:t xml:space="preserve">Integrity </w:t>
            </w:r>
          </w:p>
          <w:p w14:paraId="2371483C" w14:textId="77777777" w:rsidR="003E57FF" w:rsidRPr="00827AFE" w:rsidRDefault="003E57FF" w:rsidP="004033A2">
            <w:pPr>
              <w:pStyle w:val="bodycopy"/>
            </w:pPr>
          </w:p>
        </w:tc>
        <w:tc>
          <w:tcPr>
            <w:tcW w:w="6946" w:type="dxa"/>
            <w:shd w:val="clear" w:color="auto" w:fill="auto"/>
          </w:tcPr>
          <w:p w14:paraId="54290201" w14:textId="1DD6F4E7" w:rsidR="000108BA" w:rsidRDefault="000108BA" w:rsidP="004033A2">
            <w:pPr>
              <w:pStyle w:val="ListBullet"/>
            </w:pPr>
            <w:hyperlink r:id="rId165" w:history="1">
              <w:r w:rsidRPr="00155D7B">
                <w:rPr>
                  <w:rStyle w:val="Hyperlink"/>
                </w:rPr>
                <w:t>Supplier Code of Conduct</w:t>
              </w:r>
              <w:r w:rsidR="00FA1696" w:rsidRPr="00155D7B">
                <w:rPr>
                  <w:rStyle w:val="Hyperlink"/>
                </w:rPr>
                <w:t>,</w:t>
              </w:r>
            </w:hyperlink>
            <w:r w:rsidR="00FA1696">
              <w:t xml:space="preserve"> </w:t>
            </w:r>
            <w:r w:rsidR="008352B4">
              <w:t xml:space="preserve">Buying for Victoria, </w:t>
            </w:r>
            <w:hyperlink r:id="rId166" w:history="1">
              <w:r w:rsidR="0037514E" w:rsidRPr="005D48FB">
                <w:rPr>
                  <w:rStyle w:val="Hyperlink"/>
                </w:rPr>
                <w:t>www.buying</w:t>
              </w:r>
              <w:r w:rsidR="0037514E" w:rsidRPr="00660B9E">
                <w:rPr>
                  <w:rStyle w:val="Hyperlink"/>
                </w:rPr>
                <w:t>for.vic.gov.au</w:t>
              </w:r>
            </w:hyperlink>
          </w:p>
          <w:p w14:paraId="4BECF465" w14:textId="529B26D6" w:rsidR="003E57FF" w:rsidRPr="00827AFE" w:rsidRDefault="003E57FF" w:rsidP="004033A2">
            <w:pPr>
              <w:pStyle w:val="ListBullet"/>
            </w:pPr>
            <w:hyperlink r:id="rId167" w:history="1">
              <w:r w:rsidRPr="00E128F4">
                <w:rPr>
                  <w:rStyle w:val="Hyperlink"/>
                </w:rPr>
                <w:t>Code of Conduct for Victorian Public Sector Employees</w:t>
              </w:r>
            </w:hyperlink>
            <w:r w:rsidRPr="00827AFE">
              <w:t xml:space="preserve">, Victorian Public Sector Commission, </w:t>
            </w:r>
            <w:hyperlink r:id="rId168">
              <w:r w:rsidRPr="3C9369FD">
                <w:rPr>
                  <w:rStyle w:val="Hyperlink"/>
                </w:rPr>
                <w:t>www.vpsc.vic.gov.au</w:t>
              </w:r>
            </w:hyperlink>
          </w:p>
          <w:p w14:paraId="3C4E0FFF" w14:textId="455827BB" w:rsidR="00230824" w:rsidRPr="00827AFE" w:rsidRDefault="003E57FF" w:rsidP="003B7772">
            <w:pPr>
              <w:pStyle w:val="ListBullet"/>
              <w:rPr>
                <w:rStyle w:val="Hyperlink"/>
                <w:rFonts w:eastAsiaTheme="minorHAnsi" w:cs="Arial"/>
                <w:szCs w:val="18"/>
                <w:lang w:val="en-US"/>
              </w:rPr>
            </w:pPr>
            <w:hyperlink r:id="rId169" w:history="1">
              <w:r w:rsidRPr="00171DB1">
                <w:rPr>
                  <w:rStyle w:val="Hyperlink"/>
                </w:rPr>
                <w:t>Code of Conduct for Directors of Victorian Public Entities</w:t>
              </w:r>
            </w:hyperlink>
            <w:r w:rsidRPr="00827AFE">
              <w:t xml:space="preserve">, Victorian Public Sector Commission, </w:t>
            </w:r>
            <w:hyperlink r:id="rId170">
              <w:r w:rsidRPr="3C9369FD">
                <w:rPr>
                  <w:rStyle w:val="Hyperlink"/>
                </w:rPr>
                <w:t>www.vpsc.vic.gov.au</w:t>
              </w:r>
            </w:hyperlink>
          </w:p>
          <w:p w14:paraId="7940A5A4" w14:textId="2738BBBE" w:rsidR="00C9442A" w:rsidRPr="00530788" w:rsidRDefault="00AD26DD" w:rsidP="003B7772">
            <w:pPr>
              <w:pStyle w:val="ListBullet"/>
              <w:rPr>
                <w:rStyle w:val="Hyperlink"/>
              </w:rPr>
            </w:pPr>
            <w:hyperlink r:id="rId171" w:history="1">
              <w:r>
                <w:rPr>
                  <w:rStyle w:val="Hyperlink"/>
                  <w:lang w:val="en-US"/>
                </w:rPr>
                <w:t>Conflict of interest guidance for organisations</w:t>
              </w:r>
            </w:hyperlink>
            <w:r w:rsidR="00ED1C65">
              <w:t>,</w:t>
            </w:r>
            <w:r w:rsidR="003E57FF" w:rsidRPr="00827AFE">
              <w:t xml:space="preserve"> Victorian Public Sector Commission, </w:t>
            </w:r>
            <w:hyperlink r:id="rId172">
              <w:r w:rsidR="003E57FF" w:rsidRPr="3C9369FD">
                <w:rPr>
                  <w:rStyle w:val="Hyperlink"/>
                </w:rPr>
                <w:t>www.vpsc.vic.gov.au</w:t>
              </w:r>
            </w:hyperlink>
          </w:p>
          <w:p w14:paraId="178D2EA2" w14:textId="5308C257" w:rsidR="0033635B" w:rsidRDefault="00451644" w:rsidP="0033635B">
            <w:pPr>
              <w:pStyle w:val="ListBullet"/>
            </w:pPr>
            <w:r>
              <w:t>Conflict of Interest Policy</w:t>
            </w:r>
            <w:r w:rsidR="00052C42">
              <w:t xml:space="preserve">, </w:t>
            </w:r>
            <w:r w:rsidR="0033635B">
              <w:t xml:space="preserve">Department of Jobs, Skills, Industry and Regions, </w:t>
            </w:r>
            <w:hyperlink r:id="rId173" w:history="1">
              <w:r w:rsidR="0033635B" w:rsidRPr="00455F31">
                <w:rPr>
                  <w:rStyle w:val="Hyperlink"/>
                </w:rPr>
                <w:t>www.djsir.vic.gov.au</w:t>
              </w:r>
            </w:hyperlink>
            <w:r w:rsidR="0033635B">
              <w:t xml:space="preserve"> </w:t>
            </w:r>
          </w:p>
          <w:p w14:paraId="492AE795" w14:textId="456F3D71" w:rsidR="00C9442A" w:rsidRPr="00334B59" w:rsidRDefault="00C9442A" w:rsidP="00C9442A">
            <w:pPr>
              <w:pStyle w:val="ListBullet"/>
              <w:rPr>
                <w:rStyle w:val="Hyperlink"/>
                <w:color w:val="53565A"/>
                <w:u w:val="none"/>
              </w:rPr>
            </w:pPr>
            <w:hyperlink r:id="rId174" w:history="1">
              <w:r w:rsidRPr="00DE7CCD">
                <w:rPr>
                  <w:rStyle w:val="Hyperlink"/>
                </w:rPr>
                <w:t xml:space="preserve">Integrity </w:t>
              </w:r>
              <w:r w:rsidR="00D07FEC" w:rsidRPr="00DE7CCD">
                <w:rPr>
                  <w:rStyle w:val="Hyperlink"/>
                </w:rPr>
                <w:t>g</w:t>
              </w:r>
              <w:r w:rsidRPr="00DE7CCD">
                <w:rPr>
                  <w:rStyle w:val="Hyperlink"/>
                </w:rPr>
                <w:t>uid</w:t>
              </w:r>
              <w:r w:rsidR="00D07FEC" w:rsidRPr="00DE7CCD">
                <w:rPr>
                  <w:rStyle w:val="Hyperlink"/>
                </w:rPr>
                <w:t>e</w:t>
              </w:r>
              <w:r w:rsidRPr="00DE7CCD">
                <w:rPr>
                  <w:rStyle w:val="Hyperlink"/>
                </w:rPr>
                <w:t xml:space="preserve"> for </w:t>
              </w:r>
              <w:r w:rsidR="00D07FEC" w:rsidRPr="00DE7CCD">
                <w:rPr>
                  <w:rStyle w:val="Hyperlink"/>
                </w:rPr>
                <w:t>n</w:t>
              </w:r>
              <w:r w:rsidRPr="00DE7CCD">
                <w:rPr>
                  <w:rStyle w:val="Hyperlink"/>
                </w:rPr>
                <w:t xml:space="preserve">ew </w:t>
              </w:r>
              <w:r w:rsidR="00D07FEC" w:rsidRPr="00DE7CCD">
                <w:rPr>
                  <w:rStyle w:val="Hyperlink"/>
                </w:rPr>
                <w:t>b</w:t>
              </w:r>
              <w:r w:rsidRPr="00DE7CCD">
                <w:rPr>
                  <w:rStyle w:val="Hyperlink"/>
                </w:rPr>
                <w:t xml:space="preserve">oard </w:t>
              </w:r>
              <w:r w:rsidR="00D07FEC" w:rsidRPr="00DE7CCD">
                <w:rPr>
                  <w:rStyle w:val="Hyperlink"/>
                </w:rPr>
                <w:t>d</w:t>
              </w:r>
              <w:r w:rsidRPr="00DE7CCD">
                <w:rPr>
                  <w:rStyle w:val="Hyperlink"/>
                </w:rPr>
                <w:t>irectors</w:t>
              </w:r>
            </w:hyperlink>
            <w:r>
              <w:t xml:space="preserve">, </w:t>
            </w:r>
            <w:r w:rsidRPr="00827AFE">
              <w:t xml:space="preserve">Victorian Public Sector Commission, </w:t>
            </w:r>
            <w:hyperlink r:id="rId175">
              <w:r w:rsidRPr="3C9369FD">
                <w:rPr>
                  <w:rStyle w:val="Hyperlink"/>
                </w:rPr>
                <w:t>www.vpsc.vic.gov.au</w:t>
              </w:r>
            </w:hyperlink>
          </w:p>
          <w:p w14:paraId="1FCB33EF" w14:textId="2C5F742F" w:rsidR="0033635B" w:rsidRDefault="003E57FF" w:rsidP="004033A2">
            <w:pPr>
              <w:pStyle w:val="ListBullet"/>
            </w:pPr>
            <w:r w:rsidRPr="00827AFE">
              <w:t xml:space="preserve">Fraud and Corruption </w:t>
            </w:r>
            <w:r w:rsidR="00451644">
              <w:t xml:space="preserve">Control </w:t>
            </w:r>
            <w:r w:rsidRPr="00827AFE">
              <w:t>Policy</w:t>
            </w:r>
            <w:r w:rsidR="00052C42">
              <w:t xml:space="preserve">, </w:t>
            </w:r>
            <w:r w:rsidR="0033635B">
              <w:t xml:space="preserve">Department of Jobs, Skills, Industry and Regions, </w:t>
            </w:r>
            <w:hyperlink r:id="rId176" w:history="1">
              <w:r w:rsidR="0033635B" w:rsidRPr="00455F31">
                <w:rPr>
                  <w:rStyle w:val="Hyperlink"/>
                </w:rPr>
                <w:t>www.djsir.vic.gov.au</w:t>
              </w:r>
            </w:hyperlink>
          </w:p>
          <w:p w14:paraId="6227935E" w14:textId="15A40CC1" w:rsidR="003E57FF" w:rsidRDefault="003E57FF" w:rsidP="004033A2">
            <w:pPr>
              <w:pStyle w:val="ListBullet"/>
            </w:pPr>
            <w:r w:rsidRPr="00827AFE">
              <w:t xml:space="preserve">Fraud and Corruption </w:t>
            </w:r>
            <w:r w:rsidR="00451644">
              <w:t>Control</w:t>
            </w:r>
            <w:r w:rsidRPr="00827AFE">
              <w:t xml:space="preserve"> Plan</w:t>
            </w:r>
            <w:r w:rsidR="00537034">
              <w:t xml:space="preserve"> and Procedures</w:t>
            </w:r>
            <w:r w:rsidR="00052C42">
              <w:t xml:space="preserve">, </w:t>
            </w:r>
            <w:r w:rsidR="0033635B">
              <w:t xml:space="preserve">Department of Jobs, Skills, Industry and Regions, </w:t>
            </w:r>
            <w:hyperlink r:id="rId177" w:history="1">
              <w:r w:rsidR="0033635B" w:rsidRPr="00455F31">
                <w:rPr>
                  <w:rStyle w:val="Hyperlink"/>
                </w:rPr>
                <w:t>www.djsir.vic.gov.au</w:t>
              </w:r>
            </w:hyperlink>
          </w:p>
          <w:p w14:paraId="73BB910D" w14:textId="518A10B8" w:rsidR="00C9442A" w:rsidRPr="00827AFE" w:rsidRDefault="00C9442A" w:rsidP="004033A2">
            <w:pPr>
              <w:pStyle w:val="ListBullet"/>
            </w:pPr>
            <w:r>
              <w:t>Thefts and Losses Policy</w:t>
            </w:r>
            <w:r w:rsidR="00052C42">
              <w:t>,</w:t>
            </w:r>
            <w:r w:rsidR="0033635B">
              <w:t xml:space="preserve"> Department of Jobs, Skills, Industry and Regions, </w:t>
            </w:r>
            <w:hyperlink r:id="rId178" w:history="1">
              <w:r w:rsidR="0033635B" w:rsidRPr="00455F31">
                <w:rPr>
                  <w:rStyle w:val="Hyperlink"/>
                </w:rPr>
                <w:t>www.djsir.vic.gov.au</w:t>
              </w:r>
            </w:hyperlink>
          </w:p>
          <w:p w14:paraId="1F3A98C8" w14:textId="29AE1613" w:rsidR="001744E9" w:rsidRPr="00334B59" w:rsidRDefault="001744E9" w:rsidP="001744E9">
            <w:pPr>
              <w:pStyle w:val="ListBullet"/>
              <w:rPr>
                <w:rStyle w:val="Hyperlink"/>
                <w:color w:val="53565A"/>
                <w:u w:val="none"/>
              </w:rPr>
            </w:pPr>
            <w:hyperlink r:id="rId179" w:history="1">
              <w:r w:rsidRPr="00801517">
                <w:rPr>
                  <w:rStyle w:val="Hyperlink"/>
                </w:rPr>
                <w:t>G</w:t>
              </w:r>
              <w:r w:rsidR="002E79E7" w:rsidRPr="00801517">
                <w:rPr>
                  <w:rStyle w:val="Hyperlink"/>
                </w:rPr>
                <w:t>i</w:t>
              </w:r>
              <w:r w:rsidRPr="00801517">
                <w:rPr>
                  <w:rStyle w:val="Hyperlink"/>
                </w:rPr>
                <w:t>fts, Benefits and Hospitality Policy Guide,</w:t>
              </w:r>
            </w:hyperlink>
            <w:r>
              <w:t xml:space="preserve"> </w:t>
            </w:r>
            <w:r w:rsidRPr="00827AFE">
              <w:t xml:space="preserve">Victorian Public Sector Commission, </w:t>
            </w:r>
            <w:hyperlink r:id="rId180">
              <w:r w:rsidRPr="3C9369FD">
                <w:rPr>
                  <w:rStyle w:val="Hyperlink"/>
                </w:rPr>
                <w:t>www.vpsc.vic.gov.au</w:t>
              </w:r>
            </w:hyperlink>
          </w:p>
          <w:p w14:paraId="060FF512" w14:textId="5D05F58C" w:rsidR="001744E9" w:rsidRPr="00827AFE" w:rsidRDefault="00FC3D1F" w:rsidP="00735900">
            <w:pPr>
              <w:pStyle w:val="ListBullet"/>
              <w:numPr>
                <w:ilvl w:val="0"/>
                <w:numId w:val="44"/>
              </w:numPr>
            </w:pPr>
            <w:hyperlink r:id="rId181" w:history="1">
              <w:r w:rsidRPr="00DA7B39">
                <w:rPr>
                  <w:rStyle w:val="Hyperlink"/>
                </w:rPr>
                <w:t>Gifts, Benefits and Hospitality Policy</w:t>
              </w:r>
            </w:hyperlink>
            <w:r w:rsidR="00DA7B39">
              <w:t>, Department of Jobs, Skills, Industry and Regions</w:t>
            </w:r>
            <w:r w:rsidR="00891B38">
              <w:t xml:space="preserve">, </w:t>
            </w:r>
            <w:hyperlink r:id="rId182" w:history="1">
              <w:r w:rsidR="00891B38" w:rsidRPr="00455F31">
                <w:rPr>
                  <w:rStyle w:val="Hyperlink"/>
                </w:rPr>
                <w:t>www.djsir.vic.gov.au</w:t>
              </w:r>
            </w:hyperlink>
          </w:p>
          <w:p w14:paraId="4362C6E3" w14:textId="4B6F08A5" w:rsidR="003E57FF" w:rsidRDefault="003E57FF" w:rsidP="004033A2">
            <w:pPr>
              <w:pStyle w:val="ListBullet"/>
            </w:pPr>
            <w:hyperlink r:id="rId183" w:history="1">
              <w:r w:rsidRPr="009436B9">
                <w:rPr>
                  <w:rStyle w:val="Hyperlink"/>
                </w:rPr>
                <w:t xml:space="preserve">Guidelines for </w:t>
              </w:r>
              <w:r w:rsidR="003F00E1" w:rsidRPr="009436B9">
                <w:rPr>
                  <w:rStyle w:val="Hyperlink"/>
                </w:rPr>
                <w:t>H</w:t>
              </w:r>
              <w:r w:rsidRPr="009436B9">
                <w:rPr>
                  <w:rStyle w:val="Hyperlink"/>
                </w:rPr>
                <w:t xml:space="preserve">andling </w:t>
              </w:r>
              <w:r w:rsidR="003F00E1" w:rsidRPr="009436B9">
                <w:rPr>
                  <w:rStyle w:val="Hyperlink"/>
                </w:rPr>
                <w:t>Public Interest Disclosures</w:t>
              </w:r>
            </w:hyperlink>
            <w:r w:rsidR="003F00E1">
              <w:t>, In</w:t>
            </w:r>
            <w:r w:rsidRPr="00827AFE">
              <w:t>dependent Broad-Based Anti-Corruption Commission,</w:t>
            </w:r>
            <w:r>
              <w:t xml:space="preserve"> </w:t>
            </w:r>
            <w:hyperlink r:id="rId184" w:history="1">
              <w:r w:rsidR="003F00E1" w:rsidRPr="00660B9E">
                <w:rPr>
                  <w:rStyle w:val="Hyperlink"/>
                </w:rPr>
                <w:t>www.ibac.vic.gov.au</w:t>
              </w:r>
            </w:hyperlink>
          </w:p>
          <w:p w14:paraId="212DE9F3" w14:textId="16A55C23" w:rsidR="00377BEF" w:rsidRDefault="003E62BE" w:rsidP="00377BEF">
            <w:pPr>
              <w:pStyle w:val="ListBullet"/>
            </w:pPr>
            <w:hyperlink r:id="rId185" w:history="1">
              <w:r w:rsidRPr="00452F61">
                <w:rPr>
                  <w:rStyle w:val="Hyperlink"/>
                </w:rPr>
                <w:t>Guidelines for Public Interest Disclosure Welfare Management</w:t>
              </w:r>
            </w:hyperlink>
            <w:r w:rsidR="00377BEF">
              <w:t xml:space="preserve">. Independent Broad- Based Anti-Corruption Commission, </w:t>
            </w:r>
            <w:hyperlink r:id="rId186" w:history="1">
              <w:r w:rsidR="00377BEF" w:rsidRPr="00455F31">
                <w:rPr>
                  <w:rStyle w:val="Hyperlink"/>
                </w:rPr>
                <w:t>www.ibac.vic.gov.au</w:t>
              </w:r>
            </w:hyperlink>
            <w:r w:rsidR="00377BEF">
              <w:t xml:space="preserve"> </w:t>
            </w:r>
          </w:p>
          <w:p w14:paraId="4B078914" w14:textId="760F41FA" w:rsidR="000D6DE1" w:rsidRDefault="000D6DE1" w:rsidP="003F00E1">
            <w:pPr>
              <w:pStyle w:val="ListBullet"/>
            </w:pPr>
            <w:r>
              <w:t>Public Interest Disclosure Procedure</w:t>
            </w:r>
            <w:r w:rsidR="00377BEF">
              <w:t xml:space="preserve">, Department of Jobs, Skills, Industry and Regions, </w:t>
            </w:r>
            <w:hyperlink r:id="rId187" w:history="1">
              <w:r w:rsidR="00377BEF" w:rsidRPr="00455F31">
                <w:rPr>
                  <w:rStyle w:val="Hyperlink"/>
                </w:rPr>
                <w:t>www.djsir.vic.gov.au</w:t>
              </w:r>
            </w:hyperlink>
            <w:r w:rsidR="00377BEF">
              <w:t xml:space="preserve"> </w:t>
            </w:r>
          </w:p>
          <w:p w14:paraId="00566C38" w14:textId="073C19C7" w:rsidR="003F00E1" w:rsidRDefault="00787A70" w:rsidP="004033A2">
            <w:pPr>
              <w:pStyle w:val="ListBullet"/>
            </w:pPr>
            <w:hyperlink r:id="rId188" w:history="1">
              <w:r w:rsidRPr="0009341C">
                <w:rPr>
                  <w:rStyle w:val="Hyperlink"/>
                </w:rPr>
                <w:t>Child Safe Standards</w:t>
              </w:r>
            </w:hyperlink>
            <w:r>
              <w:t xml:space="preserve">, </w:t>
            </w:r>
            <w:r w:rsidR="00F77F5A">
              <w:t xml:space="preserve">Commission for Children and Young People, </w:t>
            </w:r>
            <w:hyperlink r:id="rId189" w:history="1">
              <w:r w:rsidR="00F739C9" w:rsidRPr="00660B9E">
                <w:rPr>
                  <w:rStyle w:val="Hyperlink"/>
                </w:rPr>
                <w:t>www.ccyp.vic.gov.au</w:t>
              </w:r>
            </w:hyperlink>
          </w:p>
          <w:p w14:paraId="0AB7A619" w14:textId="0274BDE3" w:rsidR="003204FF" w:rsidRDefault="003204FF" w:rsidP="003204FF">
            <w:pPr>
              <w:pStyle w:val="ListBullet"/>
            </w:pPr>
            <w:hyperlink r:id="rId190" w:history="1">
              <w:r w:rsidRPr="00557AF5">
                <w:rPr>
                  <w:rStyle w:val="Hyperlink"/>
                </w:rPr>
                <w:t>Reportable Conduct Scheme</w:t>
              </w:r>
            </w:hyperlink>
            <w:r>
              <w:t xml:space="preserve">, Commission for Children and Young People, </w:t>
            </w:r>
            <w:hyperlink r:id="rId191" w:history="1">
              <w:r w:rsidRPr="00660B9E">
                <w:rPr>
                  <w:rStyle w:val="Hyperlink"/>
                </w:rPr>
                <w:t>www.ccyp.vic.gov.au</w:t>
              </w:r>
            </w:hyperlink>
          </w:p>
          <w:p w14:paraId="01106DEF" w14:textId="783707EF" w:rsidR="00F739C9" w:rsidRDefault="00342137" w:rsidP="004033A2">
            <w:pPr>
              <w:pStyle w:val="ListBullet"/>
            </w:pPr>
            <w:hyperlink r:id="rId192" w:history="1">
              <w:r w:rsidRPr="00C22403">
                <w:rPr>
                  <w:rStyle w:val="Hyperlink"/>
                </w:rPr>
                <w:t>National Redress Scheme</w:t>
              </w:r>
            </w:hyperlink>
            <w:r>
              <w:t xml:space="preserve">, </w:t>
            </w:r>
            <w:hyperlink r:id="rId193" w:history="1">
              <w:r w:rsidRPr="00660B9E">
                <w:rPr>
                  <w:rStyle w:val="Hyperlink"/>
                </w:rPr>
                <w:t>www.nationalredress.gov.au</w:t>
              </w:r>
            </w:hyperlink>
          </w:p>
          <w:p w14:paraId="58ED2762" w14:textId="2F1643C4" w:rsidR="00342137" w:rsidRDefault="004204FE" w:rsidP="004033A2">
            <w:pPr>
              <w:pStyle w:val="ListBullet"/>
            </w:pPr>
            <w:hyperlink r:id="rId194" w:history="1">
              <w:r w:rsidRPr="00147EA0">
                <w:rPr>
                  <w:rStyle w:val="Hyperlink"/>
                </w:rPr>
                <w:t>Victorian Funding Guideline for Services to Children</w:t>
              </w:r>
            </w:hyperlink>
            <w:r>
              <w:t xml:space="preserve">, </w:t>
            </w:r>
            <w:r w:rsidR="001936A0">
              <w:t xml:space="preserve">Department of Justice and Community Safety, </w:t>
            </w:r>
            <w:hyperlink r:id="rId195" w:history="1">
              <w:r w:rsidR="00176322" w:rsidRPr="00660B9E">
                <w:rPr>
                  <w:rStyle w:val="Hyperlink"/>
                </w:rPr>
                <w:t>www.justice.vic.gov.au</w:t>
              </w:r>
            </w:hyperlink>
          </w:p>
          <w:p w14:paraId="6B5F1EF0" w14:textId="496DBA4F" w:rsidR="00D82F8D" w:rsidRPr="00827AFE" w:rsidRDefault="001923F6" w:rsidP="00C86E12">
            <w:pPr>
              <w:pStyle w:val="ListBullet"/>
            </w:pPr>
            <w:hyperlink r:id="rId196" w:anchor="child-safe-standards" w:history="1">
              <w:r w:rsidRPr="00C36A80">
                <w:rPr>
                  <w:rStyle w:val="Hyperlink"/>
                </w:rPr>
                <w:t>Child</w:t>
              </w:r>
              <w:r w:rsidR="00F21506" w:rsidRPr="00C36A80">
                <w:rPr>
                  <w:rStyle w:val="Hyperlink"/>
                </w:rPr>
                <w:t xml:space="preserve"> Safe</w:t>
              </w:r>
              <w:r w:rsidR="00EA445A" w:rsidRPr="00C36A80">
                <w:rPr>
                  <w:rStyle w:val="Hyperlink"/>
                </w:rPr>
                <w:t>ty at DJSIR</w:t>
              </w:r>
            </w:hyperlink>
            <w:r w:rsidR="00C22403">
              <w:t xml:space="preserve">, Department of Jobs, Skills, Industry and Regions, </w:t>
            </w:r>
            <w:hyperlink r:id="rId197" w:history="1">
              <w:r w:rsidR="00C22403" w:rsidRPr="00455F31">
                <w:rPr>
                  <w:rStyle w:val="Hyperlink"/>
                </w:rPr>
                <w:t>www.djsir.vic.gov.au</w:t>
              </w:r>
            </w:hyperlink>
            <w:r w:rsidR="00C22403">
              <w:t xml:space="preserve"> </w:t>
            </w:r>
          </w:p>
        </w:tc>
      </w:tr>
    </w:tbl>
    <w:p w14:paraId="28952063" w14:textId="77777777" w:rsidR="003E57FF" w:rsidRPr="00175CAC" w:rsidRDefault="003E57FF" w:rsidP="003E57FF">
      <w:pPr>
        <w:pStyle w:val="Heading1"/>
      </w:pPr>
      <w:r>
        <w:rPr>
          <w:color w:val="535659" w:themeColor="text2"/>
          <w:szCs w:val="36"/>
        </w:rPr>
        <w:br w:type="page"/>
      </w:r>
    </w:p>
    <w:p w14:paraId="49BECC3C" w14:textId="119151D4" w:rsidR="00155AC5" w:rsidRDefault="00155AC5" w:rsidP="00155AC5">
      <w:pPr>
        <w:pStyle w:val="Heading1"/>
      </w:pPr>
      <w:bookmarkStart w:id="161" w:name="_Toc520212437"/>
      <w:bookmarkStart w:id="162" w:name="_Toc39481550"/>
      <w:bookmarkStart w:id="163" w:name="_Toc194930422"/>
      <w:r w:rsidRPr="00D12327">
        <w:t xml:space="preserve">APPENDIX </w:t>
      </w:r>
      <w:r w:rsidR="00303643">
        <w:t>D</w:t>
      </w:r>
      <w:r w:rsidRPr="00D12327">
        <w:t>: Glossary</w:t>
      </w:r>
      <w:bookmarkEnd w:id="161"/>
      <w:bookmarkEnd w:id="162"/>
      <w:bookmarkEnd w:id="163"/>
    </w:p>
    <w:tbl>
      <w:tblPr>
        <w:tblStyle w:val="LightList"/>
        <w:tblW w:w="9478" w:type="dxa"/>
        <w:tblLook w:val="04A0" w:firstRow="1" w:lastRow="0" w:firstColumn="1" w:lastColumn="0" w:noHBand="0" w:noVBand="1"/>
      </w:tblPr>
      <w:tblGrid>
        <w:gridCol w:w="3085"/>
        <w:gridCol w:w="6393"/>
      </w:tblGrid>
      <w:tr w:rsidR="00155AC5" w:rsidRPr="001072B7" w14:paraId="0B021C2E" w14:textId="77777777" w:rsidTr="004033A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37AE05EB" w14:textId="1F22520A" w:rsidR="00155AC5" w:rsidRPr="00CE186D" w:rsidRDefault="00BB7187" w:rsidP="004033A2">
            <w:pPr>
              <w:pStyle w:val="bodycopy"/>
              <w:rPr>
                <w:color w:val="FFFFFF" w:themeColor="background1"/>
              </w:rPr>
            </w:pPr>
            <w:r>
              <w:rPr>
                <w:color w:val="FFFFFF" w:themeColor="background1"/>
              </w:rPr>
              <w:t xml:space="preserve">Relevant terms </w:t>
            </w:r>
            <w:r w:rsidR="00357428">
              <w:rPr>
                <w:color w:val="FFFFFF" w:themeColor="background1"/>
              </w:rPr>
              <w:t xml:space="preserve"> </w:t>
            </w:r>
          </w:p>
        </w:tc>
        <w:tc>
          <w:tcPr>
            <w:tcW w:w="6393" w:type="dxa"/>
          </w:tcPr>
          <w:p w14:paraId="2A25E655" w14:textId="2A4F7373" w:rsidR="00155AC5" w:rsidRPr="00CE186D" w:rsidRDefault="00A91DBF" w:rsidP="004033A2">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Definitions</w:t>
            </w:r>
          </w:p>
        </w:tc>
      </w:tr>
      <w:tr w:rsidR="00155AC5" w:rsidRPr="00C3221B" w14:paraId="7F1E91C6"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6AFFC742" w14:textId="77777777" w:rsidR="00155AC5" w:rsidRPr="00CF176F" w:rsidRDefault="00155AC5" w:rsidP="004033A2">
            <w:pPr>
              <w:pStyle w:val="bodycopy"/>
              <w:rPr>
                <w:b w:val="0"/>
                <w:color w:val="auto"/>
              </w:rPr>
            </w:pPr>
            <w:r w:rsidRPr="00CF176F">
              <w:rPr>
                <w:color w:val="auto"/>
              </w:rPr>
              <w:t>Accountable officer</w:t>
            </w:r>
          </w:p>
        </w:tc>
        <w:tc>
          <w:tcPr>
            <w:tcW w:w="6393" w:type="dxa"/>
          </w:tcPr>
          <w:p w14:paraId="718C11CE" w14:textId="388B2D17"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The </w:t>
            </w:r>
            <w:r w:rsidR="00EF111E">
              <w:rPr>
                <w:color w:val="auto"/>
                <w:sz w:val="18"/>
              </w:rPr>
              <w:t>a</w:t>
            </w:r>
            <w:r w:rsidRPr="00CF176F">
              <w:rPr>
                <w:color w:val="auto"/>
                <w:sz w:val="18"/>
              </w:rPr>
              <w:t xml:space="preserve">ccountable </w:t>
            </w:r>
            <w:r w:rsidR="00EF111E">
              <w:rPr>
                <w:color w:val="auto"/>
                <w:sz w:val="18"/>
              </w:rPr>
              <w:t>o</w:t>
            </w:r>
            <w:r w:rsidRPr="00CF176F">
              <w:rPr>
                <w:color w:val="auto"/>
                <w:sz w:val="18"/>
              </w:rPr>
              <w:t xml:space="preserve">fficer is the head of the </w:t>
            </w:r>
            <w:r w:rsidR="00C81471">
              <w:rPr>
                <w:color w:val="auto"/>
                <w:sz w:val="18"/>
              </w:rPr>
              <w:t>entity</w:t>
            </w:r>
            <w:r w:rsidRPr="00CF176F">
              <w:rPr>
                <w:color w:val="auto"/>
                <w:sz w:val="18"/>
              </w:rPr>
              <w:t xml:space="preserve">. </w:t>
            </w:r>
          </w:p>
          <w:p w14:paraId="2593FC28" w14:textId="13F92F5A"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For most of the department’s </w:t>
            </w:r>
            <w:r w:rsidR="00C81471">
              <w:rPr>
                <w:color w:val="auto"/>
                <w:sz w:val="18"/>
              </w:rPr>
              <w:t>entities</w:t>
            </w:r>
            <w:r w:rsidRPr="00CF176F">
              <w:rPr>
                <w:color w:val="auto"/>
                <w:sz w:val="18"/>
              </w:rPr>
              <w:t xml:space="preserve"> it is usually the chief executive officer. </w:t>
            </w:r>
          </w:p>
          <w:p w14:paraId="393D48CC" w14:textId="77777777"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As per definition in the </w:t>
            </w:r>
            <w:r w:rsidRPr="00CF176F">
              <w:rPr>
                <w:i/>
                <w:color w:val="auto"/>
                <w:sz w:val="18"/>
              </w:rPr>
              <w:t>Financial Management Act 1994</w:t>
            </w:r>
            <w:r w:rsidRPr="00CF176F">
              <w:rPr>
                <w:color w:val="auto"/>
                <w:sz w:val="18"/>
              </w:rPr>
              <w:t xml:space="preserve"> (Vic) s 3.</w:t>
            </w:r>
          </w:p>
        </w:tc>
      </w:tr>
      <w:tr w:rsidR="00155AC5" w:rsidRPr="00C3221B" w14:paraId="048AFDDF" w14:textId="77777777" w:rsidTr="004033A2">
        <w:trPr>
          <w:cantSplit/>
          <w:trHeight w:val="2241"/>
        </w:trPr>
        <w:tc>
          <w:tcPr>
            <w:cnfStyle w:val="001000000000" w:firstRow="0" w:lastRow="0" w:firstColumn="1" w:lastColumn="0" w:oddVBand="0" w:evenVBand="0" w:oddHBand="0" w:evenHBand="0" w:firstRowFirstColumn="0" w:firstRowLastColumn="0" w:lastRowFirstColumn="0" w:lastRowLastColumn="0"/>
            <w:tcW w:w="3085" w:type="dxa"/>
          </w:tcPr>
          <w:p w14:paraId="52CB46B3" w14:textId="77777777" w:rsidR="00155AC5" w:rsidRPr="00CF176F" w:rsidRDefault="00155AC5" w:rsidP="004033A2">
            <w:pPr>
              <w:pStyle w:val="bodycopy"/>
              <w:rPr>
                <w:color w:val="auto"/>
              </w:rPr>
            </w:pPr>
            <w:r w:rsidRPr="00CF176F">
              <w:rPr>
                <w:color w:val="auto"/>
              </w:rPr>
              <w:t>Administrative office</w:t>
            </w:r>
          </w:p>
        </w:tc>
        <w:tc>
          <w:tcPr>
            <w:tcW w:w="6393" w:type="dxa"/>
          </w:tcPr>
          <w:p w14:paraId="5B641EE9" w14:textId="7777777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Administrative offices are a Victorian public service organisational form created under section 11 of the </w:t>
            </w:r>
            <w:r w:rsidRPr="00CF176F">
              <w:rPr>
                <w:i/>
                <w:color w:val="auto"/>
                <w:sz w:val="18"/>
              </w:rPr>
              <w:t>Public Administration Act 2004</w:t>
            </w:r>
            <w:r w:rsidRPr="00CF176F">
              <w:rPr>
                <w:color w:val="auto"/>
                <w:sz w:val="18"/>
              </w:rPr>
              <w:t xml:space="preserve">. They are typically established to undertake specific tasks and are formally related to a department and are part of the public service.  </w:t>
            </w:r>
          </w:p>
          <w:p w14:paraId="2B02C157" w14:textId="7777777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Administrative offices have a degree of autonomy from their parent department.</w:t>
            </w:r>
          </w:p>
          <w:p w14:paraId="23BFE147" w14:textId="7FF006BB"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The </w:t>
            </w:r>
            <w:r w:rsidR="009F5FFF">
              <w:rPr>
                <w:color w:val="auto"/>
                <w:sz w:val="18"/>
              </w:rPr>
              <w:t>p</w:t>
            </w:r>
            <w:r w:rsidRPr="00CF176F">
              <w:rPr>
                <w:color w:val="auto"/>
                <w:sz w:val="18"/>
              </w:rPr>
              <w:t xml:space="preserve">remier employs the </w:t>
            </w:r>
            <w:r w:rsidR="00EF111E">
              <w:rPr>
                <w:color w:val="auto"/>
                <w:sz w:val="18"/>
              </w:rPr>
              <w:t>h</w:t>
            </w:r>
            <w:r w:rsidRPr="00CF176F">
              <w:rPr>
                <w:color w:val="auto"/>
                <w:sz w:val="18"/>
              </w:rPr>
              <w:t>ead of an administrative office.</w:t>
            </w:r>
          </w:p>
          <w:p w14:paraId="13321CE3" w14:textId="4687308E"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An example is the </w:t>
            </w:r>
            <w:r w:rsidR="00E9785C" w:rsidRPr="00E9785C">
              <w:rPr>
                <w:color w:val="auto"/>
                <w:sz w:val="18"/>
              </w:rPr>
              <w:t>Victorian Skills Authority</w:t>
            </w:r>
            <w:r w:rsidRPr="00CF176F">
              <w:rPr>
                <w:color w:val="auto"/>
                <w:sz w:val="18"/>
              </w:rPr>
              <w:t xml:space="preserve">. </w:t>
            </w:r>
          </w:p>
        </w:tc>
      </w:tr>
      <w:tr w:rsidR="00155AC5" w:rsidRPr="00C3221B" w14:paraId="0FBF5D78"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6339F979" w14:textId="599A5B5F" w:rsidR="00155AC5" w:rsidRPr="00CF176F" w:rsidRDefault="00C81471" w:rsidP="004033A2">
            <w:pPr>
              <w:pStyle w:val="bodycopy"/>
              <w:rPr>
                <w:b w:val="0"/>
                <w:color w:val="auto"/>
              </w:rPr>
            </w:pPr>
            <w:r>
              <w:rPr>
                <w:color w:val="auto"/>
              </w:rPr>
              <w:t>Entity</w:t>
            </w:r>
          </w:p>
        </w:tc>
        <w:tc>
          <w:tcPr>
            <w:tcW w:w="6393" w:type="dxa"/>
          </w:tcPr>
          <w:p w14:paraId="42249044" w14:textId="37EEEAD5"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General term for the department’s portfolio entities. Most </w:t>
            </w:r>
            <w:r w:rsidR="00C81471">
              <w:rPr>
                <w:color w:val="auto"/>
                <w:sz w:val="18"/>
              </w:rPr>
              <w:t>entities</w:t>
            </w:r>
            <w:r w:rsidRPr="00CF176F">
              <w:rPr>
                <w:color w:val="auto"/>
                <w:sz w:val="18"/>
              </w:rPr>
              <w:t xml:space="preserve"> operate at ‘arm’s length’ from the department depending on their form and function. Has oversight by the same responsible </w:t>
            </w:r>
            <w:r w:rsidR="009F5FFF">
              <w:rPr>
                <w:color w:val="auto"/>
                <w:sz w:val="18"/>
              </w:rPr>
              <w:t>m</w:t>
            </w:r>
            <w:r w:rsidRPr="00CF176F">
              <w:rPr>
                <w:color w:val="auto"/>
                <w:sz w:val="18"/>
              </w:rPr>
              <w:t>inister as a portfolio within the department.</w:t>
            </w:r>
          </w:p>
        </w:tc>
      </w:tr>
      <w:tr w:rsidR="00155AC5" w:rsidRPr="00C3221B" w14:paraId="48D7D039"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3B717320" w14:textId="77777777" w:rsidR="00155AC5" w:rsidRPr="00CF176F" w:rsidRDefault="00155AC5" w:rsidP="004033A2">
            <w:pPr>
              <w:pStyle w:val="bodycopy"/>
              <w:rPr>
                <w:color w:val="auto"/>
              </w:rPr>
            </w:pPr>
            <w:r w:rsidRPr="00CF176F">
              <w:rPr>
                <w:color w:val="auto"/>
              </w:rPr>
              <w:t>Annual report</w:t>
            </w:r>
          </w:p>
        </w:tc>
        <w:tc>
          <w:tcPr>
            <w:tcW w:w="6393" w:type="dxa"/>
          </w:tcPr>
          <w:p w14:paraId="0A5A64C0" w14:textId="3036611B"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A report of an </w:t>
            </w:r>
            <w:r w:rsidR="00C81471">
              <w:rPr>
                <w:color w:val="auto"/>
                <w:sz w:val="18"/>
              </w:rPr>
              <w:t>entity</w:t>
            </w:r>
            <w:r w:rsidRPr="00CF176F">
              <w:rPr>
                <w:color w:val="auto"/>
                <w:sz w:val="18"/>
              </w:rPr>
              <w:t xml:space="preserve">’s operations and financial statements, as per the </w:t>
            </w:r>
            <w:r w:rsidRPr="00CF176F">
              <w:rPr>
                <w:i/>
                <w:color w:val="auto"/>
                <w:sz w:val="18"/>
              </w:rPr>
              <w:t>Financial Management Act</w:t>
            </w:r>
            <w:r w:rsidRPr="00CF176F">
              <w:rPr>
                <w:color w:val="auto"/>
                <w:sz w:val="18"/>
              </w:rPr>
              <w:t xml:space="preserve"> </w:t>
            </w:r>
            <w:r w:rsidRPr="00CF176F">
              <w:rPr>
                <w:i/>
                <w:color w:val="auto"/>
                <w:sz w:val="18"/>
              </w:rPr>
              <w:t xml:space="preserve">1994 </w:t>
            </w:r>
            <w:r w:rsidRPr="00CF176F">
              <w:rPr>
                <w:color w:val="auto"/>
                <w:sz w:val="18"/>
              </w:rPr>
              <w:t>(Vic)</w:t>
            </w:r>
            <w:r w:rsidRPr="00CF176F">
              <w:rPr>
                <w:i/>
                <w:color w:val="auto"/>
                <w:sz w:val="18"/>
              </w:rPr>
              <w:t xml:space="preserve"> </w:t>
            </w:r>
            <w:r w:rsidRPr="00CF176F">
              <w:rPr>
                <w:color w:val="auto"/>
                <w:sz w:val="18"/>
              </w:rPr>
              <w:t>s 45, Corporations Act or establishing legislation.</w:t>
            </w:r>
          </w:p>
        </w:tc>
      </w:tr>
      <w:tr w:rsidR="00155AC5" w:rsidRPr="00C3221B" w14:paraId="3D7415D8"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1A5BF692" w14:textId="77777777" w:rsidR="00155AC5" w:rsidRPr="00CF176F" w:rsidRDefault="00155AC5" w:rsidP="004033A2">
            <w:pPr>
              <w:pStyle w:val="bodycopy"/>
              <w:rPr>
                <w:color w:val="auto"/>
              </w:rPr>
            </w:pPr>
            <w:r w:rsidRPr="00CF176F">
              <w:rPr>
                <w:color w:val="auto"/>
              </w:rPr>
              <w:t xml:space="preserve">Board </w:t>
            </w:r>
          </w:p>
        </w:tc>
        <w:tc>
          <w:tcPr>
            <w:tcW w:w="6393" w:type="dxa"/>
          </w:tcPr>
          <w:p w14:paraId="550F0D0A" w14:textId="4B5E8AD5"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The board is a governing body of a portfolio </w:t>
            </w:r>
            <w:r w:rsidR="00C81471">
              <w:rPr>
                <w:color w:val="auto"/>
                <w:sz w:val="18"/>
              </w:rPr>
              <w:t>entity</w:t>
            </w:r>
            <w:r w:rsidRPr="00CF176F">
              <w:rPr>
                <w:color w:val="auto"/>
                <w:sz w:val="18"/>
              </w:rPr>
              <w:t>. The role of the board is one of governance and strategy.</w:t>
            </w:r>
            <w:r w:rsidRPr="00CF176F">
              <w:rPr>
                <w:color w:val="auto"/>
                <w:sz w:val="18"/>
                <w:szCs w:val="23"/>
              </w:rPr>
              <w:t xml:space="preserve"> </w:t>
            </w:r>
            <w:r w:rsidRPr="00CF176F">
              <w:rPr>
                <w:color w:val="auto"/>
                <w:sz w:val="18"/>
              </w:rPr>
              <w:t xml:space="preserve">The board is accountable to the </w:t>
            </w:r>
            <w:r w:rsidR="009F5FFF">
              <w:rPr>
                <w:color w:val="auto"/>
                <w:sz w:val="18"/>
              </w:rPr>
              <w:t>m</w:t>
            </w:r>
            <w:r w:rsidRPr="00CF176F">
              <w:rPr>
                <w:color w:val="auto"/>
                <w:sz w:val="18"/>
              </w:rPr>
              <w:t xml:space="preserve">inister responsible for the </w:t>
            </w:r>
            <w:r w:rsidR="00C81471">
              <w:rPr>
                <w:color w:val="auto"/>
                <w:sz w:val="18"/>
              </w:rPr>
              <w:t>entity</w:t>
            </w:r>
            <w:r w:rsidRPr="00CF176F">
              <w:rPr>
                <w:color w:val="auto"/>
                <w:sz w:val="18"/>
              </w:rPr>
              <w:t xml:space="preserve"> </w:t>
            </w:r>
            <w:r w:rsidR="00814E13">
              <w:rPr>
                <w:color w:val="auto"/>
                <w:sz w:val="18"/>
              </w:rPr>
              <w:t>in</w:t>
            </w:r>
            <w:r w:rsidRPr="00CF176F">
              <w:rPr>
                <w:color w:val="auto"/>
                <w:sz w:val="18"/>
              </w:rPr>
              <w:t xml:space="preserve"> the exercise of its functions.</w:t>
            </w:r>
          </w:p>
        </w:tc>
      </w:tr>
      <w:tr w:rsidR="00155AC5" w:rsidRPr="00C3221B" w14:paraId="32053917"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2976D7D0" w14:textId="77777777" w:rsidR="00155AC5" w:rsidRPr="00CF176F" w:rsidRDefault="00155AC5" w:rsidP="004033A2">
            <w:pPr>
              <w:pStyle w:val="bodycopy"/>
              <w:rPr>
                <w:color w:val="auto"/>
              </w:rPr>
            </w:pPr>
            <w:r w:rsidRPr="00CF176F">
              <w:rPr>
                <w:color w:val="auto"/>
              </w:rPr>
              <w:t>Business plan</w:t>
            </w:r>
          </w:p>
        </w:tc>
        <w:tc>
          <w:tcPr>
            <w:tcW w:w="6393" w:type="dxa"/>
          </w:tcPr>
          <w:p w14:paraId="4F41FFF5" w14:textId="0381C970"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An annual document that sets out achievable and measurable targets to ensure the </w:t>
            </w:r>
            <w:r w:rsidR="00C81471">
              <w:rPr>
                <w:color w:val="auto"/>
                <w:sz w:val="18"/>
              </w:rPr>
              <w:t>entity</w:t>
            </w:r>
            <w:r w:rsidRPr="00CF176F">
              <w:rPr>
                <w:color w:val="auto"/>
                <w:sz w:val="18"/>
              </w:rPr>
              <w:t xml:space="preserve"> is on track to deliver the medium-term strategy as described in the </w:t>
            </w:r>
            <w:r w:rsidR="00C81471">
              <w:rPr>
                <w:color w:val="auto"/>
                <w:sz w:val="18"/>
              </w:rPr>
              <w:t>entity</w:t>
            </w:r>
            <w:r w:rsidRPr="00CF176F">
              <w:rPr>
                <w:color w:val="auto"/>
                <w:sz w:val="18"/>
              </w:rPr>
              <w:t>’s corporate plan.</w:t>
            </w:r>
          </w:p>
        </w:tc>
      </w:tr>
      <w:tr w:rsidR="00155AC5" w:rsidRPr="00C3221B" w14:paraId="22ADED04"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0D6BEE17" w14:textId="77777777" w:rsidR="00155AC5" w:rsidRPr="00CF176F" w:rsidRDefault="00155AC5" w:rsidP="004033A2">
            <w:pPr>
              <w:pStyle w:val="bodycopy"/>
              <w:rPr>
                <w:color w:val="auto"/>
              </w:rPr>
            </w:pPr>
            <w:r w:rsidRPr="00CF176F">
              <w:rPr>
                <w:color w:val="auto"/>
              </w:rPr>
              <w:t>Corporate plan</w:t>
            </w:r>
          </w:p>
        </w:tc>
        <w:tc>
          <w:tcPr>
            <w:tcW w:w="6393" w:type="dxa"/>
          </w:tcPr>
          <w:p w14:paraId="0099ADD1" w14:textId="77777777"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A document which outlines and formalises an organisation’s method for achieving and measuring its strategic objectives over the medium term. </w:t>
            </w:r>
          </w:p>
        </w:tc>
      </w:tr>
      <w:tr w:rsidR="00155AC5" w:rsidRPr="00C3221B" w14:paraId="01125F4E"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056A6DE0" w14:textId="77777777" w:rsidR="00155AC5" w:rsidRPr="00CF176F" w:rsidRDefault="00155AC5" w:rsidP="004033A2">
            <w:pPr>
              <w:pStyle w:val="bodycopy"/>
              <w:rPr>
                <w:color w:val="auto"/>
              </w:rPr>
            </w:pPr>
            <w:r w:rsidRPr="00CF176F">
              <w:rPr>
                <w:color w:val="auto"/>
              </w:rPr>
              <w:t>Corporate Services Group</w:t>
            </w:r>
          </w:p>
        </w:tc>
        <w:tc>
          <w:tcPr>
            <w:tcW w:w="6393" w:type="dxa"/>
          </w:tcPr>
          <w:p w14:paraId="5F05EAED" w14:textId="2519722E"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A department group that provides strategic cross-portfolio advice and services to drive the performance of the department and portfolio </w:t>
            </w:r>
            <w:r w:rsidR="00C81471">
              <w:rPr>
                <w:color w:val="auto"/>
                <w:sz w:val="18"/>
              </w:rPr>
              <w:t>entities</w:t>
            </w:r>
            <w:r w:rsidRPr="00CF176F">
              <w:rPr>
                <w:color w:val="auto"/>
                <w:sz w:val="18"/>
              </w:rPr>
              <w:t>.</w:t>
            </w:r>
          </w:p>
        </w:tc>
      </w:tr>
      <w:tr w:rsidR="00155AC5" w:rsidRPr="00C3221B" w14:paraId="646731F9"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38DEDCFF" w14:textId="77777777" w:rsidR="00155AC5" w:rsidRPr="00CF176F" w:rsidRDefault="00155AC5" w:rsidP="004033A2">
            <w:pPr>
              <w:pStyle w:val="bodycopy"/>
              <w:rPr>
                <w:color w:val="auto"/>
              </w:rPr>
            </w:pPr>
            <w:r w:rsidRPr="00CF176F">
              <w:rPr>
                <w:color w:val="auto"/>
              </w:rPr>
              <w:t>Department</w:t>
            </w:r>
          </w:p>
        </w:tc>
        <w:tc>
          <w:tcPr>
            <w:tcW w:w="6393" w:type="dxa"/>
          </w:tcPr>
          <w:p w14:paraId="58D0FC2D" w14:textId="51981EB5"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Refers to the Department of Jobs, </w:t>
            </w:r>
            <w:r w:rsidR="00A15490">
              <w:rPr>
                <w:color w:val="auto"/>
                <w:sz w:val="18"/>
              </w:rPr>
              <w:t>S</w:t>
            </w:r>
            <w:r w:rsidR="002C7044">
              <w:rPr>
                <w:color w:val="auto"/>
                <w:sz w:val="18"/>
              </w:rPr>
              <w:t>kills, Industry</w:t>
            </w:r>
            <w:r w:rsidR="00A15490" w:rsidRPr="00CF176F">
              <w:rPr>
                <w:color w:val="auto"/>
                <w:sz w:val="18"/>
              </w:rPr>
              <w:t xml:space="preserve"> </w:t>
            </w:r>
            <w:r w:rsidRPr="00CF176F">
              <w:rPr>
                <w:color w:val="auto"/>
                <w:sz w:val="18"/>
              </w:rPr>
              <w:t>and Regions (</w:t>
            </w:r>
            <w:r w:rsidR="00A15490">
              <w:rPr>
                <w:color w:val="auto"/>
                <w:sz w:val="18"/>
              </w:rPr>
              <w:t>DJSIR</w:t>
            </w:r>
            <w:r w:rsidRPr="00CF176F">
              <w:rPr>
                <w:color w:val="auto"/>
                <w:sz w:val="18"/>
              </w:rPr>
              <w:t>).</w:t>
            </w:r>
          </w:p>
        </w:tc>
      </w:tr>
      <w:tr w:rsidR="00155AC5" w:rsidRPr="00C3221B" w14:paraId="52E015D9"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65F4FF50" w14:textId="77777777" w:rsidR="00155AC5" w:rsidRPr="00CF176F" w:rsidRDefault="00155AC5" w:rsidP="004033A2">
            <w:pPr>
              <w:pStyle w:val="bodycopy"/>
              <w:rPr>
                <w:color w:val="auto"/>
              </w:rPr>
            </w:pPr>
            <w:r w:rsidRPr="00CF176F">
              <w:rPr>
                <w:color w:val="auto"/>
              </w:rPr>
              <w:t>DTF</w:t>
            </w:r>
          </w:p>
        </w:tc>
        <w:tc>
          <w:tcPr>
            <w:tcW w:w="6393" w:type="dxa"/>
          </w:tcPr>
          <w:p w14:paraId="02F38273" w14:textId="7777777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Department of Treasury and Finance</w:t>
            </w:r>
          </w:p>
        </w:tc>
      </w:tr>
      <w:tr w:rsidR="00155AC5" w:rsidRPr="00C3221B" w14:paraId="4E9925B9"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79B2F5C8" w14:textId="77777777" w:rsidR="00155AC5" w:rsidRPr="00CF176F" w:rsidRDefault="00155AC5" w:rsidP="004033A2">
            <w:pPr>
              <w:pStyle w:val="bodycopy"/>
              <w:rPr>
                <w:color w:val="auto"/>
              </w:rPr>
            </w:pPr>
            <w:r w:rsidRPr="00CF176F">
              <w:rPr>
                <w:color w:val="auto"/>
              </w:rPr>
              <w:t>EBITDA</w:t>
            </w:r>
          </w:p>
        </w:tc>
        <w:tc>
          <w:tcPr>
            <w:tcW w:w="6393" w:type="dxa"/>
          </w:tcPr>
          <w:p w14:paraId="618BE33A" w14:textId="77777777"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Earnings before interest, tax, depreciation and amortisation</w:t>
            </w:r>
          </w:p>
        </w:tc>
      </w:tr>
      <w:tr w:rsidR="00155AC5" w:rsidRPr="00C3221B" w14:paraId="249B9493"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64491B7F" w14:textId="77777777" w:rsidR="00155AC5" w:rsidRPr="00CF176F" w:rsidRDefault="00155AC5" w:rsidP="004033A2">
            <w:pPr>
              <w:pStyle w:val="bodycopy"/>
              <w:rPr>
                <w:color w:val="auto"/>
              </w:rPr>
            </w:pPr>
            <w:r w:rsidRPr="00CF176F">
              <w:rPr>
                <w:color w:val="auto"/>
              </w:rPr>
              <w:t>End of year report</w:t>
            </w:r>
          </w:p>
        </w:tc>
        <w:tc>
          <w:tcPr>
            <w:tcW w:w="6393" w:type="dxa"/>
          </w:tcPr>
          <w:p w14:paraId="63B0C98D" w14:textId="5C3E13CB"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A financial report by the </w:t>
            </w:r>
            <w:r w:rsidR="00C81471">
              <w:rPr>
                <w:color w:val="auto"/>
                <w:sz w:val="18"/>
              </w:rPr>
              <w:t>entity</w:t>
            </w:r>
            <w:r w:rsidRPr="00CF176F">
              <w:rPr>
                <w:color w:val="auto"/>
                <w:sz w:val="18"/>
              </w:rPr>
              <w:t xml:space="preserve"> to the department which comprises of:</w:t>
            </w:r>
          </w:p>
          <w:p w14:paraId="10310E14" w14:textId="77777777" w:rsidR="00155AC5" w:rsidRPr="00CF176F" w:rsidRDefault="00155AC5" w:rsidP="004033A2">
            <w:pPr>
              <w:pStyle w:val="ListBullet"/>
              <w:cnfStyle w:val="000000000000" w:firstRow="0" w:lastRow="0" w:firstColumn="0" w:lastColumn="0" w:oddVBand="0" w:evenVBand="0" w:oddHBand="0" w:evenHBand="0" w:firstRowFirstColumn="0" w:firstRowLastColumn="0" w:lastRowFirstColumn="0" w:lastRowLastColumn="0"/>
              <w:rPr>
                <w:color w:val="auto"/>
              </w:rPr>
            </w:pPr>
            <w:r w:rsidRPr="00CF176F">
              <w:rPr>
                <w:color w:val="auto"/>
              </w:rPr>
              <w:t>periodic financial reporting during the year</w:t>
            </w:r>
          </w:p>
          <w:p w14:paraId="44F5BF4D" w14:textId="548A3EB8" w:rsidR="00155AC5" w:rsidRPr="00CF176F" w:rsidRDefault="00C81471" w:rsidP="004033A2">
            <w:pPr>
              <w:pStyle w:val="ListBullet"/>
              <w:cnfStyle w:val="000000000000" w:firstRow="0" w:lastRow="0" w:firstColumn="0" w:lastColumn="0" w:oddVBand="0" w:evenVBand="0" w:oddHBand="0" w:evenHBand="0" w:firstRowFirstColumn="0" w:firstRowLastColumn="0" w:lastRowFirstColumn="0" w:lastRowLastColumn="0"/>
              <w:rPr>
                <w:color w:val="auto"/>
              </w:rPr>
            </w:pPr>
            <w:r>
              <w:rPr>
                <w:color w:val="auto"/>
              </w:rPr>
              <w:t>entity</w:t>
            </w:r>
            <w:r w:rsidR="00155AC5" w:rsidRPr="00CF176F">
              <w:rPr>
                <w:color w:val="auto"/>
              </w:rPr>
              <w:t>’s achievements against budget and the previous year</w:t>
            </w:r>
          </w:p>
          <w:p w14:paraId="22B8C2FE" w14:textId="77777777" w:rsidR="00155AC5" w:rsidRPr="00CF176F" w:rsidRDefault="00155AC5" w:rsidP="004033A2">
            <w:pPr>
              <w:pStyle w:val="ListBullet"/>
              <w:cnfStyle w:val="000000000000" w:firstRow="0" w:lastRow="0" w:firstColumn="0" w:lastColumn="0" w:oddVBand="0" w:evenVBand="0" w:oddHBand="0" w:evenHBand="0" w:firstRowFirstColumn="0" w:firstRowLastColumn="0" w:lastRowFirstColumn="0" w:lastRowLastColumn="0"/>
              <w:rPr>
                <w:color w:val="auto"/>
              </w:rPr>
            </w:pPr>
            <w:r w:rsidRPr="00CF176F">
              <w:rPr>
                <w:color w:val="auto"/>
              </w:rPr>
              <w:t>the calculation of the following five metrics:</w:t>
            </w:r>
          </w:p>
          <w:p w14:paraId="251D51D5" w14:textId="77777777" w:rsidR="00155AC5" w:rsidRPr="00CF176F" w:rsidRDefault="00155AC5" w:rsidP="004033A2">
            <w:pPr>
              <w:pStyle w:val="ListBullet"/>
              <w:cnfStyle w:val="000000000000" w:firstRow="0" w:lastRow="0" w:firstColumn="0" w:lastColumn="0" w:oddVBand="0" w:evenVBand="0" w:oddHBand="0" w:evenHBand="0" w:firstRowFirstColumn="0" w:firstRowLastColumn="0" w:lastRowFirstColumn="0" w:lastRowLastColumn="0"/>
              <w:rPr>
                <w:color w:val="auto"/>
              </w:rPr>
            </w:pPr>
            <w:r w:rsidRPr="00CF176F">
              <w:rPr>
                <w:color w:val="auto"/>
              </w:rPr>
              <w:t>liquidity</w:t>
            </w:r>
          </w:p>
          <w:p w14:paraId="70D91DC3" w14:textId="77777777" w:rsidR="00155AC5" w:rsidRPr="00CF176F" w:rsidRDefault="00155AC5" w:rsidP="004033A2">
            <w:pPr>
              <w:pStyle w:val="ListBullet"/>
              <w:cnfStyle w:val="000000000000" w:firstRow="0" w:lastRow="0" w:firstColumn="0" w:lastColumn="0" w:oddVBand="0" w:evenVBand="0" w:oddHBand="0" w:evenHBand="0" w:firstRowFirstColumn="0" w:firstRowLastColumn="0" w:lastRowFirstColumn="0" w:lastRowLastColumn="0"/>
              <w:rPr>
                <w:color w:val="auto"/>
              </w:rPr>
            </w:pPr>
            <w:r w:rsidRPr="00CF176F">
              <w:rPr>
                <w:color w:val="auto"/>
              </w:rPr>
              <w:t>working capital</w:t>
            </w:r>
          </w:p>
          <w:p w14:paraId="5457A352" w14:textId="77777777" w:rsidR="00155AC5" w:rsidRPr="00CF176F" w:rsidRDefault="00155AC5" w:rsidP="004033A2">
            <w:pPr>
              <w:pStyle w:val="ListBullet"/>
              <w:cnfStyle w:val="000000000000" w:firstRow="0" w:lastRow="0" w:firstColumn="0" w:lastColumn="0" w:oddVBand="0" w:evenVBand="0" w:oddHBand="0" w:evenHBand="0" w:firstRowFirstColumn="0" w:firstRowLastColumn="0" w:lastRowFirstColumn="0" w:lastRowLastColumn="0"/>
              <w:rPr>
                <w:color w:val="auto"/>
              </w:rPr>
            </w:pPr>
            <w:r w:rsidRPr="00CF176F">
              <w:rPr>
                <w:color w:val="auto"/>
              </w:rPr>
              <w:t>capex replacement</w:t>
            </w:r>
          </w:p>
          <w:p w14:paraId="412166C4" w14:textId="77777777" w:rsidR="00155AC5" w:rsidRPr="00CF176F" w:rsidRDefault="00155AC5" w:rsidP="004033A2">
            <w:pPr>
              <w:pStyle w:val="ListBullet"/>
              <w:cnfStyle w:val="000000000000" w:firstRow="0" w:lastRow="0" w:firstColumn="0" w:lastColumn="0" w:oddVBand="0" w:evenVBand="0" w:oddHBand="0" w:evenHBand="0" w:firstRowFirstColumn="0" w:firstRowLastColumn="0" w:lastRowFirstColumn="0" w:lastRowLastColumn="0"/>
              <w:rPr>
                <w:color w:val="auto"/>
              </w:rPr>
            </w:pPr>
            <w:r w:rsidRPr="00CF176F">
              <w:rPr>
                <w:color w:val="auto"/>
              </w:rPr>
              <w:t>revenue growth</w:t>
            </w:r>
          </w:p>
          <w:p w14:paraId="39704F36" w14:textId="77777777" w:rsidR="00155AC5" w:rsidRPr="00CF176F" w:rsidRDefault="00155AC5" w:rsidP="004033A2">
            <w:pPr>
              <w:pStyle w:val="ListBullet"/>
              <w:cnfStyle w:val="000000000000" w:firstRow="0" w:lastRow="0" w:firstColumn="0" w:lastColumn="0" w:oddVBand="0" w:evenVBand="0" w:oddHBand="0" w:evenHBand="0" w:firstRowFirstColumn="0" w:firstRowLastColumn="0" w:lastRowFirstColumn="0" w:lastRowLastColumn="0"/>
              <w:rPr>
                <w:color w:val="auto"/>
              </w:rPr>
            </w:pPr>
            <w:r w:rsidRPr="00CF176F">
              <w:rPr>
                <w:color w:val="auto"/>
              </w:rPr>
              <w:t>labour growth.</w:t>
            </w:r>
          </w:p>
        </w:tc>
      </w:tr>
      <w:tr w:rsidR="00155AC5" w:rsidRPr="00C3221B" w14:paraId="72EF6EF9"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7F9F8997" w14:textId="77777777" w:rsidR="00155AC5" w:rsidRPr="00CF176F" w:rsidRDefault="00155AC5" w:rsidP="004033A2">
            <w:pPr>
              <w:pStyle w:val="bodycopy"/>
              <w:rPr>
                <w:b w:val="0"/>
                <w:color w:val="auto"/>
              </w:rPr>
            </w:pPr>
            <w:r w:rsidRPr="00CF176F">
              <w:rPr>
                <w:color w:val="auto"/>
              </w:rPr>
              <w:t>Executive Board dashboard report</w:t>
            </w:r>
          </w:p>
        </w:tc>
        <w:tc>
          <w:tcPr>
            <w:tcW w:w="6393" w:type="dxa"/>
          </w:tcPr>
          <w:p w14:paraId="266E5CEB" w14:textId="0500DFA7"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A tool for the Executive Board to monitor and assess portfolio performance. The dashboard provides a system-wide view of performance and reporting against outcomes, outputs, inputs and emerging risks and issues. It also contains progress reports against treatment plans established for </w:t>
            </w:r>
            <w:r w:rsidR="00C81471">
              <w:rPr>
                <w:color w:val="auto"/>
                <w:sz w:val="18"/>
              </w:rPr>
              <w:t>entities</w:t>
            </w:r>
            <w:r w:rsidRPr="00CF176F">
              <w:rPr>
                <w:color w:val="auto"/>
                <w:sz w:val="18"/>
              </w:rPr>
              <w:t xml:space="preserve"> that received ‘high’ ratings.</w:t>
            </w:r>
          </w:p>
        </w:tc>
      </w:tr>
      <w:tr w:rsidR="00155AC5" w:rsidRPr="00C3221B" w14:paraId="778B5720"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66812ADC" w14:textId="77777777" w:rsidR="00155AC5" w:rsidRPr="00CF176F" w:rsidRDefault="00155AC5" w:rsidP="004033A2">
            <w:pPr>
              <w:pStyle w:val="bodycopy"/>
              <w:rPr>
                <w:color w:val="auto"/>
              </w:rPr>
            </w:pPr>
            <w:r w:rsidRPr="00CF176F">
              <w:rPr>
                <w:color w:val="auto"/>
              </w:rPr>
              <w:t>General government (GG)</w:t>
            </w:r>
          </w:p>
        </w:tc>
        <w:tc>
          <w:tcPr>
            <w:tcW w:w="6393" w:type="dxa"/>
          </w:tcPr>
          <w:p w14:paraId="0456230D" w14:textId="0D90CE15"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Includes all government departments, offices and other bodies engaged in providing services free of charge or at prices significantly below their cost of production. They typically provide products and services that are non-market in nature and/or are for the collective consumption of the community, and those which involve the transfer or redistribution of income financed mainly through taxes and other compulsory levies.</w:t>
            </w:r>
          </w:p>
        </w:tc>
      </w:tr>
      <w:tr w:rsidR="00155AC5" w:rsidRPr="00C3221B" w14:paraId="369C650B"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379A69AD" w14:textId="77777777" w:rsidR="00155AC5" w:rsidRPr="00CF176F" w:rsidRDefault="00155AC5" w:rsidP="004033A2">
            <w:pPr>
              <w:pStyle w:val="bodycopy"/>
              <w:rPr>
                <w:color w:val="auto"/>
              </w:rPr>
            </w:pPr>
            <w:r w:rsidRPr="00CF176F">
              <w:rPr>
                <w:color w:val="auto"/>
              </w:rPr>
              <w:t>Governance</w:t>
            </w:r>
          </w:p>
        </w:tc>
        <w:tc>
          <w:tcPr>
            <w:tcW w:w="6393" w:type="dxa"/>
          </w:tcPr>
          <w:p w14:paraId="39D4DFD9" w14:textId="77777777"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The processes and structures by which public entities are directed, controlled and held into account, to enable it to achieve its strategic goals and objectives.  </w:t>
            </w:r>
          </w:p>
        </w:tc>
      </w:tr>
      <w:tr w:rsidR="00155AC5" w:rsidRPr="00C3221B" w14:paraId="38B79D16"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28DD2F57" w14:textId="77777777" w:rsidR="00155AC5" w:rsidRPr="00CF176F" w:rsidRDefault="00155AC5" w:rsidP="004033A2">
            <w:pPr>
              <w:pStyle w:val="bodycopy"/>
              <w:rPr>
                <w:color w:val="auto"/>
              </w:rPr>
            </w:pPr>
            <w:r w:rsidRPr="00CF176F">
              <w:rPr>
                <w:color w:val="auto"/>
              </w:rPr>
              <w:t>Governance Framework</w:t>
            </w:r>
          </w:p>
        </w:tc>
        <w:tc>
          <w:tcPr>
            <w:tcW w:w="6393" w:type="dxa"/>
          </w:tcPr>
          <w:p w14:paraId="486DD600" w14:textId="073EA8E4"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Abbreviated term for </w:t>
            </w:r>
            <w:r w:rsidR="000603F0">
              <w:rPr>
                <w:color w:val="auto"/>
                <w:sz w:val="18"/>
              </w:rPr>
              <w:t>DJSIR</w:t>
            </w:r>
            <w:r w:rsidRPr="00CF176F">
              <w:rPr>
                <w:color w:val="auto"/>
                <w:sz w:val="18"/>
              </w:rPr>
              <w:t>’s Governance Framework for Portfolio Performance, which comprises a range of tools and processes (</w:t>
            </w:r>
            <w:r w:rsidR="007C4C1C" w:rsidRPr="00CF176F">
              <w:rPr>
                <w:color w:val="auto"/>
                <w:sz w:val="18"/>
              </w:rPr>
              <w:t>e.g.</w:t>
            </w:r>
            <w:r w:rsidRPr="00CF176F">
              <w:rPr>
                <w:color w:val="auto"/>
                <w:sz w:val="18"/>
              </w:rPr>
              <w:t xml:space="preserve"> </w:t>
            </w:r>
            <w:r w:rsidR="008F1D6E">
              <w:rPr>
                <w:color w:val="auto"/>
                <w:sz w:val="18"/>
              </w:rPr>
              <w:t xml:space="preserve">the </w:t>
            </w:r>
            <w:r w:rsidRPr="00CF176F">
              <w:rPr>
                <w:color w:val="auto"/>
                <w:sz w:val="18"/>
              </w:rPr>
              <w:t xml:space="preserve">guide, health assessment and the Executive Board Dashboard) across a broad range of areas relating to planning and performance, financial sustainability and accountability applicable to the department and </w:t>
            </w:r>
            <w:r w:rsidR="00C81471">
              <w:rPr>
                <w:color w:val="auto"/>
                <w:sz w:val="18"/>
              </w:rPr>
              <w:t>entities</w:t>
            </w:r>
            <w:r w:rsidRPr="00CF176F">
              <w:rPr>
                <w:color w:val="auto"/>
                <w:sz w:val="18"/>
              </w:rPr>
              <w:t>.</w:t>
            </w:r>
          </w:p>
        </w:tc>
      </w:tr>
      <w:tr w:rsidR="00155AC5" w:rsidRPr="00C3221B" w14:paraId="01761912"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77121BB9" w14:textId="77777777" w:rsidR="00155AC5" w:rsidRPr="00CF176F" w:rsidRDefault="00155AC5" w:rsidP="004033A2">
            <w:pPr>
              <w:pStyle w:val="bodycopy"/>
              <w:rPr>
                <w:color w:val="auto"/>
              </w:rPr>
            </w:pPr>
            <w:r w:rsidRPr="00CF176F">
              <w:rPr>
                <w:color w:val="auto"/>
              </w:rPr>
              <w:t>Guide to Good Governance and Portfolio Performance (the Guide)</w:t>
            </w:r>
          </w:p>
        </w:tc>
        <w:tc>
          <w:tcPr>
            <w:tcW w:w="6393" w:type="dxa"/>
          </w:tcPr>
          <w:p w14:paraId="0CBE7408" w14:textId="38A3A326"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A document outlining governance and performance requirements and expectations for all </w:t>
            </w:r>
            <w:r w:rsidR="00C81471">
              <w:rPr>
                <w:color w:val="auto"/>
                <w:sz w:val="18"/>
              </w:rPr>
              <w:t>entities</w:t>
            </w:r>
            <w:r w:rsidRPr="00CF176F">
              <w:rPr>
                <w:color w:val="auto"/>
                <w:sz w:val="18"/>
              </w:rPr>
              <w:t xml:space="preserve">. The </w:t>
            </w:r>
            <w:r w:rsidR="006F43A4">
              <w:rPr>
                <w:color w:val="auto"/>
                <w:sz w:val="18"/>
              </w:rPr>
              <w:t>g</w:t>
            </w:r>
            <w:r w:rsidRPr="00CF176F">
              <w:rPr>
                <w:color w:val="auto"/>
                <w:sz w:val="18"/>
              </w:rPr>
              <w:t xml:space="preserve">uide contains a set of requirements that apply to all </w:t>
            </w:r>
            <w:r w:rsidR="00C81471">
              <w:rPr>
                <w:color w:val="auto"/>
                <w:sz w:val="18"/>
              </w:rPr>
              <w:t>entities</w:t>
            </w:r>
            <w:r w:rsidR="007D2D91">
              <w:rPr>
                <w:color w:val="auto"/>
                <w:sz w:val="18"/>
              </w:rPr>
              <w:t xml:space="preserve"> along with the </w:t>
            </w:r>
            <w:r w:rsidRPr="00CF176F">
              <w:rPr>
                <w:color w:val="auto"/>
                <w:sz w:val="18"/>
              </w:rPr>
              <w:t xml:space="preserve">requirements that apply to specific </w:t>
            </w:r>
            <w:r w:rsidR="00C81471">
              <w:rPr>
                <w:color w:val="auto"/>
                <w:sz w:val="18"/>
              </w:rPr>
              <w:t>entities</w:t>
            </w:r>
            <w:r w:rsidR="002E0A4B">
              <w:rPr>
                <w:color w:val="auto"/>
                <w:sz w:val="18"/>
              </w:rPr>
              <w:t xml:space="preserve"> only</w:t>
            </w:r>
            <w:r w:rsidRPr="00CF176F">
              <w:rPr>
                <w:color w:val="auto"/>
                <w:sz w:val="18"/>
              </w:rPr>
              <w:t xml:space="preserve">. </w:t>
            </w:r>
          </w:p>
        </w:tc>
      </w:tr>
      <w:tr w:rsidR="00155AC5" w:rsidRPr="00C3221B" w14:paraId="42CB72C2"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2AAC89ED" w14:textId="77777777" w:rsidR="00155AC5" w:rsidRPr="00CF176F" w:rsidRDefault="00155AC5" w:rsidP="004033A2">
            <w:pPr>
              <w:pStyle w:val="bodycopy"/>
              <w:rPr>
                <w:color w:val="auto"/>
              </w:rPr>
            </w:pPr>
            <w:r w:rsidRPr="00CF176F">
              <w:rPr>
                <w:color w:val="auto"/>
              </w:rPr>
              <w:t>Health assessment</w:t>
            </w:r>
          </w:p>
        </w:tc>
        <w:tc>
          <w:tcPr>
            <w:tcW w:w="6393" w:type="dxa"/>
          </w:tcPr>
          <w:p w14:paraId="38342064" w14:textId="121B28F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An assessment of each </w:t>
            </w:r>
            <w:r w:rsidR="00C81471">
              <w:rPr>
                <w:color w:val="auto"/>
                <w:sz w:val="18"/>
              </w:rPr>
              <w:t>entity</w:t>
            </w:r>
            <w:r w:rsidRPr="00CF176F">
              <w:rPr>
                <w:color w:val="auto"/>
                <w:sz w:val="18"/>
              </w:rPr>
              <w:t xml:space="preserve">, which assesses a number of factors and metrics </w:t>
            </w:r>
            <w:r w:rsidRPr="00383BE4">
              <w:rPr>
                <w:color w:val="auto"/>
                <w:sz w:val="18"/>
              </w:rPr>
              <w:t xml:space="preserve">to identify, </w:t>
            </w:r>
            <w:r w:rsidRPr="00CF176F">
              <w:rPr>
                <w:color w:val="auto"/>
                <w:sz w:val="18"/>
              </w:rPr>
              <w:t xml:space="preserve">through an evidence-based process, where to target the department’s oversight and support </w:t>
            </w:r>
            <w:r w:rsidR="00364BAF">
              <w:rPr>
                <w:color w:val="auto"/>
                <w:sz w:val="18"/>
              </w:rPr>
              <w:t xml:space="preserve">for </w:t>
            </w:r>
            <w:r w:rsidR="00C81471">
              <w:rPr>
                <w:color w:val="auto"/>
                <w:sz w:val="18"/>
              </w:rPr>
              <w:t>entities</w:t>
            </w:r>
            <w:r w:rsidRPr="00CF176F">
              <w:rPr>
                <w:color w:val="auto"/>
                <w:sz w:val="18"/>
              </w:rPr>
              <w:t>.</w:t>
            </w:r>
          </w:p>
        </w:tc>
      </w:tr>
      <w:tr w:rsidR="00155AC5" w:rsidRPr="00C3221B" w14:paraId="25AB19E9"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11FE5725" w14:textId="77777777" w:rsidR="00155AC5" w:rsidRPr="00CF176F" w:rsidRDefault="00155AC5" w:rsidP="004033A2">
            <w:pPr>
              <w:pStyle w:val="bodycopy"/>
              <w:rPr>
                <w:color w:val="auto"/>
              </w:rPr>
            </w:pPr>
            <w:r w:rsidRPr="00CF176F">
              <w:rPr>
                <w:color w:val="auto"/>
              </w:rPr>
              <w:t>Independent Broad-based Anti-Corruption Commission (IBAC)</w:t>
            </w:r>
          </w:p>
        </w:tc>
        <w:tc>
          <w:tcPr>
            <w:tcW w:w="6393" w:type="dxa"/>
          </w:tcPr>
          <w:p w14:paraId="6561D1AC" w14:textId="6ABA25BE"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As Victoria’s anti-corruption </w:t>
            </w:r>
            <w:r w:rsidR="00C81471">
              <w:rPr>
                <w:color w:val="auto"/>
                <w:sz w:val="18"/>
              </w:rPr>
              <w:t>entity</w:t>
            </w:r>
            <w:r w:rsidRPr="00CF176F">
              <w:rPr>
                <w:color w:val="auto"/>
                <w:sz w:val="18"/>
              </w:rPr>
              <w:t>, IBAC:</w:t>
            </w:r>
          </w:p>
          <w:p w14:paraId="74B5AC44" w14:textId="77777777" w:rsidR="00155AC5" w:rsidRPr="00CF176F" w:rsidRDefault="00155AC5" w:rsidP="004033A2">
            <w:pPr>
              <w:pStyle w:val="ListBullet"/>
              <w:cnfStyle w:val="000000100000" w:firstRow="0" w:lastRow="0" w:firstColumn="0" w:lastColumn="0" w:oddVBand="0" w:evenVBand="0" w:oddHBand="1" w:evenHBand="0" w:firstRowFirstColumn="0" w:firstRowLastColumn="0" w:lastRowFirstColumn="0" w:lastRowLastColumn="0"/>
              <w:rPr>
                <w:color w:val="auto"/>
              </w:rPr>
            </w:pPr>
            <w:r w:rsidRPr="3C9369FD">
              <w:rPr>
                <w:color w:val="auto"/>
              </w:rPr>
              <w:t>receives complaints and notifications of </w:t>
            </w:r>
            <w:hyperlink r:id="rId198">
              <w:r w:rsidRPr="3C9369FD">
                <w:rPr>
                  <w:color w:val="auto"/>
                </w:rPr>
                <w:t>public sector corruption</w:t>
              </w:r>
            </w:hyperlink>
            <w:r w:rsidRPr="3C9369FD">
              <w:rPr>
                <w:color w:val="auto"/>
              </w:rPr>
              <w:t xml:space="preserve"> and </w:t>
            </w:r>
            <w:hyperlink r:id="rId199">
              <w:r w:rsidRPr="3C9369FD">
                <w:rPr>
                  <w:color w:val="auto"/>
                </w:rPr>
                <w:t xml:space="preserve">police misconduct </w:t>
              </w:r>
            </w:hyperlink>
          </w:p>
          <w:p w14:paraId="789EA569" w14:textId="77777777" w:rsidR="00155AC5" w:rsidRPr="00CF176F" w:rsidRDefault="00155AC5" w:rsidP="004033A2">
            <w:pPr>
              <w:pStyle w:val="ListBullet"/>
              <w:cnfStyle w:val="000000100000" w:firstRow="0" w:lastRow="0" w:firstColumn="0" w:lastColumn="0" w:oddVBand="0" w:evenVBand="0" w:oddHBand="1" w:evenHBand="0" w:firstRowFirstColumn="0" w:firstRowLastColumn="0" w:lastRowFirstColumn="0" w:lastRowLastColumn="0"/>
              <w:rPr>
                <w:color w:val="auto"/>
              </w:rPr>
            </w:pPr>
            <w:hyperlink r:id="rId200">
              <w:r w:rsidRPr="3C9369FD">
                <w:rPr>
                  <w:color w:val="auto"/>
                </w:rPr>
                <w:t xml:space="preserve">investigates </w:t>
              </w:r>
            </w:hyperlink>
            <w:r w:rsidRPr="3C9369FD">
              <w:rPr>
                <w:color w:val="auto"/>
              </w:rPr>
              <w:t>and exposes corruption and police misconduct</w:t>
            </w:r>
          </w:p>
          <w:p w14:paraId="793C9EF5" w14:textId="77777777" w:rsidR="00155AC5" w:rsidRPr="00CF176F" w:rsidRDefault="00155AC5" w:rsidP="004033A2">
            <w:pPr>
              <w:pStyle w:val="ListBullet"/>
              <w:cnfStyle w:val="000000100000" w:firstRow="0" w:lastRow="0" w:firstColumn="0" w:lastColumn="0" w:oddVBand="0" w:evenVBand="0" w:oddHBand="1" w:evenHBand="0" w:firstRowFirstColumn="0" w:firstRowLastColumn="0" w:lastRowFirstColumn="0" w:lastRowLastColumn="0"/>
              <w:rPr>
                <w:color w:val="auto"/>
              </w:rPr>
            </w:pPr>
            <w:r w:rsidRPr="00CF176F">
              <w:rPr>
                <w:color w:val="auto"/>
              </w:rPr>
              <w:t xml:space="preserve">informs the public sector and community about the </w:t>
            </w:r>
            <w:hyperlink r:id="rId201">
              <w:r w:rsidRPr="3C9369FD">
                <w:rPr>
                  <w:color w:val="auto"/>
                </w:rPr>
                <w:t>risks and impacts of corruption and police misconduct</w:t>
              </w:r>
            </w:hyperlink>
            <w:r w:rsidRPr="00CF176F">
              <w:rPr>
                <w:color w:val="auto"/>
              </w:rPr>
              <w:t>, and ways it can be prevented.</w:t>
            </w:r>
          </w:p>
        </w:tc>
      </w:tr>
      <w:tr w:rsidR="00155AC5" w:rsidRPr="00C3221B" w14:paraId="4A4C428E"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300DD1B1" w14:textId="77777777" w:rsidR="00155AC5" w:rsidRPr="00CF176F" w:rsidRDefault="00155AC5" w:rsidP="004033A2">
            <w:pPr>
              <w:pStyle w:val="bodycopy"/>
              <w:rPr>
                <w:color w:val="auto"/>
              </w:rPr>
            </w:pPr>
            <w:r w:rsidRPr="00CF176F">
              <w:rPr>
                <w:color w:val="auto"/>
              </w:rPr>
              <w:t>Industry Development Committee</w:t>
            </w:r>
          </w:p>
        </w:tc>
        <w:tc>
          <w:tcPr>
            <w:tcW w:w="6393" w:type="dxa"/>
          </w:tcPr>
          <w:p w14:paraId="1D32492C" w14:textId="15AF4D1E"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Refers to a form of a committee whose purpose is to promote the best interests of the industry it represents, improve competitiveness of the industry and provide services where appropriate. </w:t>
            </w:r>
          </w:p>
          <w:p w14:paraId="2D2DD69B" w14:textId="7777777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Examples include the Murray Valley Wine Grape Industry Development Committee and the Victorian Strawberry Industry Development Committee. </w:t>
            </w:r>
          </w:p>
          <w:p w14:paraId="528EC5EF" w14:textId="7777777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As per the definition in the </w:t>
            </w:r>
            <w:r w:rsidRPr="00CF176F">
              <w:rPr>
                <w:i/>
                <w:color w:val="auto"/>
                <w:sz w:val="18"/>
              </w:rPr>
              <w:t>Agricultural Industry Development Act 1990</w:t>
            </w:r>
            <w:r w:rsidRPr="00CF176F">
              <w:rPr>
                <w:color w:val="auto"/>
                <w:sz w:val="18"/>
              </w:rPr>
              <w:t xml:space="preserve"> (Vic) s 3.</w:t>
            </w:r>
          </w:p>
        </w:tc>
      </w:tr>
      <w:tr w:rsidR="00155AC5" w:rsidRPr="00C3221B" w14:paraId="2CD20894"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6AA22E88" w14:textId="0246DA0C" w:rsidR="00155AC5" w:rsidRPr="00CF176F" w:rsidRDefault="00155AC5" w:rsidP="004033A2">
            <w:pPr>
              <w:pStyle w:val="bodycopy"/>
              <w:rPr>
                <w:color w:val="auto"/>
              </w:rPr>
            </w:pPr>
            <w:r w:rsidRPr="00CF176F">
              <w:rPr>
                <w:color w:val="auto"/>
              </w:rPr>
              <w:t>Inter-</w:t>
            </w:r>
            <w:r w:rsidR="00C81471">
              <w:rPr>
                <w:color w:val="auto"/>
              </w:rPr>
              <w:t>entity</w:t>
            </w:r>
            <w:r w:rsidRPr="00CF176F">
              <w:rPr>
                <w:color w:val="auto"/>
              </w:rPr>
              <w:t xml:space="preserve"> risk</w:t>
            </w:r>
          </w:p>
        </w:tc>
        <w:tc>
          <w:tcPr>
            <w:tcW w:w="6393" w:type="dxa"/>
          </w:tcPr>
          <w:p w14:paraId="6ADFF54A" w14:textId="1F7A36A7"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Risks shared by two or more </w:t>
            </w:r>
            <w:r w:rsidR="00C81471">
              <w:rPr>
                <w:color w:val="auto"/>
                <w:sz w:val="18"/>
              </w:rPr>
              <w:t>entities</w:t>
            </w:r>
            <w:r w:rsidRPr="00CF176F">
              <w:rPr>
                <w:color w:val="auto"/>
                <w:sz w:val="18"/>
              </w:rPr>
              <w:t xml:space="preserve"> that require coordinated management and may include systemic risks. The responsibility for managing an inter-</w:t>
            </w:r>
            <w:r w:rsidR="00C81471">
              <w:rPr>
                <w:color w:val="auto"/>
                <w:sz w:val="18"/>
              </w:rPr>
              <w:t>entity</w:t>
            </w:r>
            <w:r w:rsidRPr="00CF176F">
              <w:rPr>
                <w:color w:val="auto"/>
                <w:sz w:val="18"/>
              </w:rPr>
              <w:t xml:space="preserve"> risk is shared by all the relevant </w:t>
            </w:r>
            <w:r w:rsidR="00C81471">
              <w:rPr>
                <w:color w:val="auto"/>
                <w:sz w:val="18"/>
              </w:rPr>
              <w:t>entities</w:t>
            </w:r>
            <w:r w:rsidRPr="00CF176F">
              <w:rPr>
                <w:color w:val="auto"/>
                <w:sz w:val="18"/>
              </w:rPr>
              <w:t xml:space="preserve"> and will benefit from a coordinated response where one </w:t>
            </w:r>
            <w:r w:rsidR="00C81471">
              <w:rPr>
                <w:color w:val="auto"/>
                <w:sz w:val="18"/>
              </w:rPr>
              <w:t>entity</w:t>
            </w:r>
            <w:r w:rsidRPr="00CF176F">
              <w:rPr>
                <w:color w:val="auto"/>
                <w:sz w:val="18"/>
              </w:rPr>
              <w:t xml:space="preserve"> takes a lead role.</w:t>
            </w:r>
          </w:p>
        </w:tc>
      </w:tr>
      <w:tr w:rsidR="00155AC5" w:rsidRPr="00C3221B" w14:paraId="10860A0F"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109FD070" w14:textId="77777777" w:rsidR="00155AC5" w:rsidRPr="00CF176F" w:rsidRDefault="00155AC5" w:rsidP="004033A2">
            <w:pPr>
              <w:pStyle w:val="bodycopy"/>
              <w:rPr>
                <w:color w:val="auto"/>
              </w:rPr>
            </w:pPr>
            <w:r w:rsidRPr="00CF176F">
              <w:rPr>
                <w:color w:val="auto"/>
              </w:rPr>
              <w:t>Issue</w:t>
            </w:r>
          </w:p>
        </w:tc>
        <w:tc>
          <w:tcPr>
            <w:tcW w:w="6393" w:type="dxa"/>
          </w:tcPr>
          <w:p w14:paraId="5E0C14C7" w14:textId="7777777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Refers to an immediate problem that needs to be solved or addressed. </w:t>
            </w:r>
          </w:p>
        </w:tc>
      </w:tr>
      <w:tr w:rsidR="00155AC5" w:rsidRPr="00C3221B" w14:paraId="458FE26C"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013CAD48" w14:textId="77777777" w:rsidR="00155AC5" w:rsidRPr="00CF176F" w:rsidRDefault="00155AC5" w:rsidP="004033A2">
            <w:pPr>
              <w:pStyle w:val="bodycopy"/>
              <w:rPr>
                <w:color w:val="auto"/>
                <w:highlight w:val="yellow"/>
              </w:rPr>
            </w:pPr>
            <w:r w:rsidRPr="00CF176F">
              <w:rPr>
                <w:color w:val="auto"/>
              </w:rPr>
              <w:t>Head / Deputy Secretary</w:t>
            </w:r>
          </w:p>
        </w:tc>
        <w:tc>
          <w:tcPr>
            <w:tcW w:w="6393" w:type="dxa"/>
          </w:tcPr>
          <w:p w14:paraId="0FD04FBE" w14:textId="56703F51"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The most senior executive of the portfolio group. In the context of the governance framework</w:t>
            </w:r>
            <w:r w:rsidR="0016654A" w:rsidRPr="00CF176F">
              <w:rPr>
                <w:color w:val="auto"/>
                <w:sz w:val="18"/>
              </w:rPr>
              <w:t>,</w:t>
            </w:r>
            <w:r w:rsidRPr="00CF176F">
              <w:rPr>
                <w:color w:val="auto"/>
                <w:sz w:val="18"/>
              </w:rPr>
              <w:t xml:space="preserve"> they approve the health assessment and treatment plan on behalf of a portfolio group. </w:t>
            </w:r>
          </w:p>
        </w:tc>
      </w:tr>
      <w:tr w:rsidR="00155AC5" w:rsidRPr="00C3221B" w14:paraId="6EF2BF28"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3BEE29A1" w14:textId="77777777" w:rsidR="00155AC5" w:rsidRPr="00CF176F" w:rsidRDefault="00155AC5" w:rsidP="004033A2">
            <w:pPr>
              <w:pStyle w:val="bodycopy"/>
              <w:rPr>
                <w:color w:val="auto"/>
              </w:rPr>
            </w:pPr>
            <w:r w:rsidRPr="00CF176F">
              <w:rPr>
                <w:color w:val="auto"/>
              </w:rPr>
              <w:t>MOU</w:t>
            </w:r>
          </w:p>
        </w:tc>
        <w:tc>
          <w:tcPr>
            <w:tcW w:w="6393" w:type="dxa"/>
          </w:tcPr>
          <w:p w14:paraId="3ABFE64C" w14:textId="7777777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Memorandum of Understanding</w:t>
            </w:r>
          </w:p>
        </w:tc>
      </w:tr>
      <w:tr w:rsidR="00155AC5" w:rsidRPr="00C3221B" w14:paraId="71CD67B8"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719C61A8" w14:textId="77777777" w:rsidR="00155AC5" w:rsidRPr="00CF176F" w:rsidRDefault="00155AC5" w:rsidP="004033A2">
            <w:pPr>
              <w:pStyle w:val="bodycopy"/>
              <w:rPr>
                <w:color w:val="auto"/>
                <w:highlight w:val="yellow"/>
              </w:rPr>
            </w:pPr>
            <w:r w:rsidRPr="00CF176F">
              <w:rPr>
                <w:color w:val="auto"/>
              </w:rPr>
              <w:t>Minister</w:t>
            </w:r>
          </w:p>
        </w:tc>
        <w:tc>
          <w:tcPr>
            <w:tcW w:w="6393" w:type="dxa"/>
          </w:tcPr>
          <w:p w14:paraId="26C86B69" w14:textId="0F18BB21" w:rsidR="00155AC5" w:rsidRPr="00CF176F" w:rsidRDefault="00155AC5" w:rsidP="0055644F">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The person appointed by the </w:t>
            </w:r>
            <w:r w:rsidR="00D43DC6">
              <w:rPr>
                <w:color w:val="auto"/>
                <w:sz w:val="18"/>
              </w:rPr>
              <w:t>p</w:t>
            </w:r>
            <w:r w:rsidRPr="00CF176F">
              <w:rPr>
                <w:color w:val="auto"/>
                <w:sz w:val="18"/>
              </w:rPr>
              <w:t xml:space="preserve">remier as the government official responsible for a particular portfolio, including oversight of </w:t>
            </w:r>
            <w:r w:rsidR="00C81471">
              <w:rPr>
                <w:color w:val="auto"/>
                <w:sz w:val="18"/>
              </w:rPr>
              <w:t>entities</w:t>
            </w:r>
            <w:r w:rsidRPr="00CF176F">
              <w:rPr>
                <w:color w:val="auto"/>
                <w:sz w:val="18"/>
              </w:rPr>
              <w:t xml:space="preserve"> under that portfolio. Primary functions of a minister in respect to an </w:t>
            </w:r>
            <w:r w:rsidR="00C81471">
              <w:rPr>
                <w:color w:val="auto"/>
                <w:sz w:val="18"/>
              </w:rPr>
              <w:t>entity</w:t>
            </w:r>
            <w:r w:rsidRPr="00CF176F">
              <w:rPr>
                <w:color w:val="auto"/>
                <w:sz w:val="18"/>
              </w:rPr>
              <w:t xml:space="preserve"> include directing an </w:t>
            </w:r>
            <w:r w:rsidR="00C81471">
              <w:rPr>
                <w:color w:val="auto"/>
                <w:sz w:val="18"/>
              </w:rPr>
              <w:t>entity</w:t>
            </w:r>
            <w:r w:rsidRPr="00CF176F">
              <w:rPr>
                <w:color w:val="auto"/>
                <w:sz w:val="18"/>
              </w:rPr>
              <w:t xml:space="preserve">, appointing directors to the board, controlling or effecting its operations, and initiating a review of the </w:t>
            </w:r>
            <w:r w:rsidR="00C81471">
              <w:rPr>
                <w:color w:val="auto"/>
                <w:sz w:val="18"/>
              </w:rPr>
              <w:t>entity</w:t>
            </w:r>
            <w:r w:rsidRPr="00CF176F">
              <w:rPr>
                <w:color w:val="auto"/>
                <w:sz w:val="18"/>
              </w:rPr>
              <w:t xml:space="preserve">’s management systems, structures and processes. </w:t>
            </w:r>
          </w:p>
        </w:tc>
      </w:tr>
      <w:tr w:rsidR="00155AC5" w:rsidRPr="00C3221B" w14:paraId="0688D095"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7010F01B" w14:textId="77777777" w:rsidR="00155AC5" w:rsidRPr="00CF176F" w:rsidRDefault="00155AC5" w:rsidP="004033A2">
            <w:pPr>
              <w:pStyle w:val="bodycopy"/>
              <w:rPr>
                <w:color w:val="auto"/>
              </w:rPr>
            </w:pPr>
            <w:r w:rsidRPr="00CF176F">
              <w:rPr>
                <w:color w:val="auto"/>
              </w:rPr>
              <w:t xml:space="preserve">Portfolio </w:t>
            </w:r>
          </w:p>
        </w:tc>
        <w:tc>
          <w:tcPr>
            <w:tcW w:w="6393" w:type="dxa"/>
          </w:tcPr>
          <w:p w14:paraId="54D83C29" w14:textId="42CF91D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Refers to a </w:t>
            </w:r>
            <w:r w:rsidR="00D43DC6">
              <w:rPr>
                <w:color w:val="auto"/>
                <w:sz w:val="18"/>
              </w:rPr>
              <w:t>m</w:t>
            </w:r>
            <w:r w:rsidRPr="00CF176F">
              <w:rPr>
                <w:color w:val="auto"/>
                <w:sz w:val="18"/>
              </w:rPr>
              <w:t xml:space="preserve">inister’s area of responsibility and includes the </w:t>
            </w:r>
            <w:r w:rsidR="00D43DC6">
              <w:rPr>
                <w:color w:val="auto"/>
                <w:sz w:val="18"/>
              </w:rPr>
              <w:t>a</w:t>
            </w:r>
            <w:r w:rsidRPr="00CF176F">
              <w:rPr>
                <w:color w:val="auto"/>
                <w:sz w:val="18"/>
              </w:rPr>
              <w:t xml:space="preserve">cts that the </w:t>
            </w:r>
            <w:r w:rsidR="00D43DC6">
              <w:rPr>
                <w:color w:val="auto"/>
                <w:sz w:val="18"/>
              </w:rPr>
              <w:t>m</w:t>
            </w:r>
            <w:r w:rsidRPr="00CF176F">
              <w:rPr>
                <w:color w:val="auto"/>
                <w:sz w:val="18"/>
              </w:rPr>
              <w:t>inister administrat</w:t>
            </w:r>
            <w:r w:rsidR="00D43DC6">
              <w:rPr>
                <w:color w:val="auto"/>
                <w:sz w:val="18"/>
              </w:rPr>
              <w:t>e</w:t>
            </w:r>
            <w:r w:rsidRPr="00CF176F">
              <w:rPr>
                <w:color w:val="auto"/>
                <w:sz w:val="18"/>
              </w:rPr>
              <w:t>s</w:t>
            </w:r>
            <w:r w:rsidR="009D1B04">
              <w:rPr>
                <w:color w:val="auto"/>
                <w:sz w:val="18"/>
              </w:rPr>
              <w:t>, as well as</w:t>
            </w:r>
            <w:r w:rsidRPr="00CF176F">
              <w:rPr>
                <w:color w:val="auto"/>
                <w:sz w:val="18"/>
              </w:rPr>
              <w:t xml:space="preserve"> the relevant </w:t>
            </w:r>
            <w:r w:rsidR="00C81471">
              <w:rPr>
                <w:color w:val="auto"/>
                <w:sz w:val="18"/>
              </w:rPr>
              <w:t>entities</w:t>
            </w:r>
            <w:r w:rsidRPr="00CF176F">
              <w:rPr>
                <w:color w:val="auto"/>
                <w:sz w:val="18"/>
              </w:rPr>
              <w:t xml:space="preserve"> in the portfolio</w:t>
            </w:r>
            <w:r w:rsidR="00C01DC4">
              <w:rPr>
                <w:color w:val="auto"/>
                <w:sz w:val="18"/>
              </w:rPr>
              <w:t>,</w:t>
            </w:r>
            <w:r w:rsidRPr="00CF176F">
              <w:rPr>
                <w:color w:val="auto"/>
                <w:sz w:val="18"/>
              </w:rPr>
              <w:t xml:space="preserve"> such as the department and portfolio </w:t>
            </w:r>
            <w:r w:rsidR="00C81471">
              <w:rPr>
                <w:color w:val="auto"/>
                <w:sz w:val="18"/>
              </w:rPr>
              <w:t>entities</w:t>
            </w:r>
            <w:r w:rsidRPr="00CF176F">
              <w:rPr>
                <w:color w:val="auto"/>
                <w:sz w:val="18"/>
              </w:rPr>
              <w:t>.</w:t>
            </w:r>
          </w:p>
        </w:tc>
      </w:tr>
      <w:tr w:rsidR="00155AC5" w:rsidRPr="00C3221B" w14:paraId="3F708117"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49B695E2" w14:textId="77777777" w:rsidR="00155AC5" w:rsidRPr="00CF176F" w:rsidRDefault="00155AC5" w:rsidP="004033A2">
            <w:pPr>
              <w:pStyle w:val="bodycopy"/>
              <w:rPr>
                <w:color w:val="auto"/>
              </w:rPr>
            </w:pPr>
            <w:r w:rsidRPr="00CF176F">
              <w:rPr>
                <w:color w:val="auto"/>
              </w:rPr>
              <w:t>Procurement</w:t>
            </w:r>
          </w:p>
        </w:tc>
        <w:tc>
          <w:tcPr>
            <w:tcW w:w="6393" w:type="dxa"/>
          </w:tcPr>
          <w:p w14:paraId="7CA0C9F4" w14:textId="4C794C29"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The acquisition, whether under formal contract or otherwise, of goods and/or services from third parties</w:t>
            </w:r>
            <w:r w:rsidR="00C01DC4">
              <w:rPr>
                <w:color w:val="auto"/>
                <w:sz w:val="18"/>
              </w:rPr>
              <w:t>.</w:t>
            </w:r>
          </w:p>
        </w:tc>
      </w:tr>
      <w:tr w:rsidR="00155AC5" w:rsidRPr="00C3221B" w14:paraId="7472F46E"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5A15151D" w14:textId="77777777" w:rsidR="00155AC5" w:rsidRPr="00CF176F" w:rsidRDefault="00155AC5" w:rsidP="004033A2">
            <w:pPr>
              <w:pStyle w:val="bodycopy"/>
              <w:rPr>
                <w:color w:val="auto"/>
              </w:rPr>
            </w:pPr>
            <w:r w:rsidRPr="00CF176F">
              <w:rPr>
                <w:color w:val="auto"/>
              </w:rPr>
              <w:t>Program evaluation</w:t>
            </w:r>
          </w:p>
        </w:tc>
        <w:tc>
          <w:tcPr>
            <w:tcW w:w="6393" w:type="dxa"/>
          </w:tcPr>
          <w:p w14:paraId="75D7D77E" w14:textId="7777777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A means by which a program is judged to determine its effectiveness, appropriateness and efficiency.</w:t>
            </w:r>
          </w:p>
        </w:tc>
      </w:tr>
      <w:tr w:rsidR="00155AC5" w:rsidRPr="00C3221B" w14:paraId="4790FB7F"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7918234F" w14:textId="77777777" w:rsidR="00155AC5" w:rsidRPr="00CF176F" w:rsidRDefault="00155AC5" w:rsidP="004033A2">
            <w:pPr>
              <w:pStyle w:val="bodycopy"/>
              <w:rPr>
                <w:color w:val="auto"/>
              </w:rPr>
            </w:pPr>
            <w:r w:rsidRPr="00CF176F">
              <w:rPr>
                <w:color w:val="auto"/>
              </w:rPr>
              <w:t>Public Financial Corporation (PFC)</w:t>
            </w:r>
          </w:p>
        </w:tc>
        <w:tc>
          <w:tcPr>
            <w:tcW w:w="6393" w:type="dxa"/>
          </w:tcPr>
          <w:p w14:paraId="2E0F7793" w14:textId="0F947F23"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The PFC sector comprises entities engaged primarily in providing financial intermediation services or auxiliary financial services </w:t>
            </w:r>
            <w:r w:rsidR="00E6466F">
              <w:rPr>
                <w:color w:val="auto"/>
                <w:sz w:val="18"/>
              </w:rPr>
              <w:t>with</w:t>
            </w:r>
            <w:r w:rsidRPr="00CF176F">
              <w:rPr>
                <w:color w:val="auto"/>
                <w:sz w:val="18"/>
              </w:rPr>
              <w:t xml:space="preserve"> one or more of the following characteristics:</w:t>
            </w:r>
          </w:p>
          <w:p w14:paraId="226B0F35" w14:textId="77777777" w:rsidR="00155AC5" w:rsidRPr="00CF176F" w:rsidRDefault="00155AC5" w:rsidP="004033A2">
            <w:pPr>
              <w:pStyle w:val="ListBullet"/>
              <w:cnfStyle w:val="000000100000" w:firstRow="0" w:lastRow="0" w:firstColumn="0" w:lastColumn="0" w:oddVBand="0" w:evenVBand="0" w:oddHBand="1" w:evenHBand="0" w:firstRowFirstColumn="0" w:firstRowLastColumn="0" w:lastRowFirstColumn="0" w:lastRowLastColumn="0"/>
              <w:rPr>
                <w:color w:val="auto"/>
              </w:rPr>
            </w:pPr>
            <w:r w:rsidRPr="00CF176F">
              <w:rPr>
                <w:color w:val="auto"/>
              </w:rPr>
              <w:t>they perform a central borrowing function;</w:t>
            </w:r>
          </w:p>
          <w:p w14:paraId="00331EB4" w14:textId="77777777" w:rsidR="00155AC5" w:rsidRPr="00CF176F" w:rsidRDefault="00155AC5" w:rsidP="004033A2">
            <w:pPr>
              <w:pStyle w:val="ListBullet"/>
              <w:cnfStyle w:val="000000100000" w:firstRow="0" w:lastRow="0" w:firstColumn="0" w:lastColumn="0" w:oddVBand="0" w:evenVBand="0" w:oddHBand="1" w:evenHBand="0" w:firstRowFirstColumn="0" w:firstRowLastColumn="0" w:lastRowFirstColumn="0" w:lastRowLastColumn="0"/>
              <w:rPr>
                <w:color w:val="auto"/>
              </w:rPr>
            </w:pPr>
            <w:r w:rsidRPr="00CF176F">
              <w:rPr>
                <w:color w:val="auto"/>
              </w:rPr>
              <w:t>they provide insurance services;</w:t>
            </w:r>
          </w:p>
          <w:p w14:paraId="442D8694" w14:textId="77777777" w:rsidR="00155AC5" w:rsidRPr="00CF176F" w:rsidRDefault="00155AC5" w:rsidP="004033A2">
            <w:pPr>
              <w:pStyle w:val="ListBullet"/>
              <w:cnfStyle w:val="000000100000" w:firstRow="0" w:lastRow="0" w:firstColumn="0" w:lastColumn="0" w:oddVBand="0" w:evenVBand="0" w:oddHBand="1" w:evenHBand="0" w:firstRowFirstColumn="0" w:firstRowLastColumn="0" w:lastRowFirstColumn="0" w:lastRowLastColumn="0"/>
              <w:rPr>
                <w:color w:val="auto"/>
              </w:rPr>
            </w:pPr>
            <w:r w:rsidRPr="00CF176F">
              <w:rPr>
                <w:color w:val="auto"/>
              </w:rPr>
              <w:t>they accept call, term or savings deposits; or</w:t>
            </w:r>
          </w:p>
          <w:p w14:paraId="2190B589" w14:textId="77777777" w:rsidR="00155AC5" w:rsidRPr="00CF176F" w:rsidRDefault="00155AC5" w:rsidP="004033A2">
            <w:pPr>
              <w:pStyle w:val="ListBullet"/>
              <w:cnfStyle w:val="000000100000" w:firstRow="0" w:lastRow="0" w:firstColumn="0" w:lastColumn="0" w:oddVBand="0" w:evenVBand="0" w:oddHBand="1" w:evenHBand="0" w:firstRowFirstColumn="0" w:firstRowLastColumn="0" w:lastRowFirstColumn="0" w:lastRowLastColumn="0"/>
              <w:rPr>
                <w:color w:val="auto"/>
              </w:rPr>
            </w:pPr>
            <w:r w:rsidRPr="00CF176F">
              <w:rPr>
                <w:color w:val="auto"/>
              </w:rPr>
              <w:t>they have the ability to incur liabilities and acquire financial assets in the market on their own account.</w:t>
            </w:r>
          </w:p>
        </w:tc>
      </w:tr>
      <w:tr w:rsidR="00155AC5" w:rsidRPr="00C3221B" w14:paraId="3C053ECE"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200D0FDB" w14:textId="77777777" w:rsidR="00155AC5" w:rsidRPr="00CF176F" w:rsidRDefault="00155AC5" w:rsidP="004033A2">
            <w:pPr>
              <w:pStyle w:val="bodycopy"/>
              <w:rPr>
                <w:color w:val="auto"/>
                <w:lang w:val="fr-FR"/>
              </w:rPr>
            </w:pPr>
            <w:r w:rsidRPr="00CF176F">
              <w:rPr>
                <w:color w:val="auto"/>
                <w:lang w:val="fr-FR"/>
              </w:rPr>
              <w:t>Public Non-Financial Corporation (PNFC)</w:t>
            </w:r>
          </w:p>
        </w:tc>
        <w:tc>
          <w:tcPr>
            <w:tcW w:w="6393" w:type="dxa"/>
          </w:tcPr>
          <w:p w14:paraId="3025FA6F" w14:textId="7777777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The primary function of entities in the PNFC sector is to provide goods and services in a competitive market that is non-regulatory and non-financial in nature. Such entities are financed mainly through sales to the consumer of these goods and services.</w:t>
            </w:r>
          </w:p>
        </w:tc>
      </w:tr>
      <w:tr w:rsidR="00155AC5" w:rsidRPr="00C3221B" w14:paraId="67DA58DA"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30472D71" w14:textId="77777777" w:rsidR="00155AC5" w:rsidRPr="00CF176F" w:rsidRDefault="00155AC5" w:rsidP="004033A2">
            <w:pPr>
              <w:pStyle w:val="bodycopy"/>
              <w:rPr>
                <w:color w:val="auto"/>
              </w:rPr>
            </w:pPr>
            <w:r w:rsidRPr="00CF176F">
              <w:rPr>
                <w:color w:val="auto"/>
              </w:rPr>
              <w:t>Relationship managers</w:t>
            </w:r>
          </w:p>
        </w:tc>
        <w:tc>
          <w:tcPr>
            <w:tcW w:w="6393" w:type="dxa"/>
          </w:tcPr>
          <w:p w14:paraId="35A72244" w14:textId="6B2E4780"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Refers to the individuals from the department and </w:t>
            </w:r>
            <w:r w:rsidR="00C81471">
              <w:rPr>
                <w:color w:val="auto"/>
                <w:sz w:val="18"/>
              </w:rPr>
              <w:t>entities</w:t>
            </w:r>
            <w:r w:rsidRPr="00CF176F">
              <w:rPr>
                <w:color w:val="auto"/>
                <w:sz w:val="18"/>
              </w:rPr>
              <w:t xml:space="preserve"> who act as the key point of contact between the portfolio group and the relevant </w:t>
            </w:r>
            <w:r w:rsidR="00C81471">
              <w:rPr>
                <w:color w:val="auto"/>
                <w:sz w:val="18"/>
              </w:rPr>
              <w:t>entity</w:t>
            </w:r>
            <w:r w:rsidRPr="00CF176F">
              <w:rPr>
                <w:color w:val="auto"/>
                <w:sz w:val="18"/>
              </w:rPr>
              <w:t>.</w:t>
            </w:r>
          </w:p>
        </w:tc>
      </w:tr>
      <w:tr w:rsidR="00155AC5" w:rsidRPr="00C3221B" w14:paraId="1CF1139E"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3E8F8E58" w14:textId="77777777" w:rsidR="00155AC5" w:rsidRPr="00CF176F" w:rsidRDefault="00155AC5" w:rsidP="004033A2">
            <w:pPr>
              <w:pStyle w:val="bodycopy"/>
              <w:rPr>
                <w:color w:val="auto"/>
              </w:rPr>
            </w:pPr>
            <w:r w:rsidRPr="00CF176F">
              <w:rPr>
                <w:color w:val="auto"/>
              </w:rPr>
              <w:t>Responsible body</w:t>
            </w:r>
          </w:p>
        </w:tc>
        <w:tc>
          <w:tcPr>
            <w:tcW w:w="6393" w:type="dxa"/>
          </w:tcPr>
          <w:p w14:paraId="24549612" w14:textId="6979FA4D"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In relation to an </w:t>
            </w:r>
            <w:r w:rsidR="00C81471">
              <w:rPr>
                <w:color w:val="auto"/>
                <w:sz w:val="18"/>
              </w:rPr>
              <w:t>entity</w:t>
            </w:r>
            <w:r w:rsidRPr="00CF176F">
              <w:rPr>
                <w:color w:val="auto"/>
                <w:sz w:val="18"/>
              </w:rPr>
              <w:t xml:space="preserve"> with a statutory board or equivalent governing body established by or under statute, that board or governing body; and</w:t>
            </w:r>
          </w:p>
          <w:p w14:paraId="5C0DEAAF" w14:textId="563ECC34"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in relation to an </w:t>
            </w:r>
            <w:r w:rsidR="00C81471">
              <w:rPr>
                <w:color w:val="auto"/>
                <w:sz w:val="18"/>
              </w:rPr>
              <w:t>entity</w:t>
            </w:r>
            <w:r w:rsidRPr="00CF176F">
              <w:rPr>
                <w:color w:val="auto"/>
                <w:sz w:val="18"/>
              </w:rPr>
              <w:t xml:space="preserve"> without a statutory board or equivalent governing body established by or under statute, that </w:t>
            </w:r>
            <w:r w:rsidR="00C81471">
              <w:rPr>
                <w:color w:val="auto"/>
                <w:sz w:val="18"/>
              </w:rPr>
              <w:t>entity</w:t>
            </w:r>
            <w:r w:rsidRPr="00CF176F">
              <w:rPr>
                <w:color w:val="auto"/>
                <w:sz w:val="18"/>
              </w:rPr>
              <w:t xml:space="preserve">’s </w:t>
            </w:r>
            <w:r w:rsidR="00D43DC6">
              <w:rPr>
                <w:color w:val="auto"/>
                <w:sz w:val="18"/>
              </w:rPr>
              <w:t>a</w:t>
            </w:r>
            <w:r w:rsidRPr="00CF176F">
              <w:rPr>
                <w:color w:val="auto"/>
                <w:sz w:val="18"/>
              </w:rPr>
              <w:t xml:space="preserve">ccountable </w:t>
            </w:r>
            <w:r w:rsidR="00D43DC6">
              <w:rPr>
                <w:color w:val="auto"/>
                <w:sz w:val="18"/>
              </w:rPr>
              <w:t>o</w:t>
            </w:r>
            <w:r w:rsidRPr="00CF176F">
              <w:rPr>
                <w:color w:val="auto"/>
                <w:sz w:val="18"/>
              </w:rPr>
              <w:t>fficer.</w:t>
            </w:r>
          </w:p>
        </w:tc>
      </w:tr>
      <w:tr w:rsidR="00155AC5" w:rsidRPr="00C3221B" w14:paraId="0ED3F1CF"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678A5848" w14:textId="77777777" w:rsidR="00155AC5" w:rsidRPr="00CF176F" w:rsidRDefault="00155AC5" w:rsidP="004033A2">
            <w:pPr>
              <w:pStyle w:val="bodycopy"/>
              <w:rPr>
                <w:color w:val="auto"/>
              </w:rPr>
            </w:pPr>
            <w:r w:rsidRPr="00CF176F">
              <w:rPr>
                <w:color w:val="auto"/>
              </w:rPr>
              <w:t>Risk</w:t>
            </w:r>
          </w:p>
        </w:tc>
        <w:tc>
          <w:tcPr>
            <w:tcW w:w="6393" w:type="dxa"/>
          </w:tcPr>
          <w:p w14:paraId="4169B1BA" w14:textId="26DA7CDF"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Effect of uncertainty on objectives. An effect may be positive or negative. Objectives may be related to aspects such as financial, health and safety or environmental and may apply at strategic, operational</w:t>
            </w:r>
            <w:r w:rsidR="00B306FC">
              <w:rPr>
                <w:color w:val="auto"/>
                <w:sz w:val="18"/>
              </w:rPr>
              <w:t>,</w:t>
            </w:r>
            <w:r w:rsidRPr="00CF176F">
              <w:rPr>
                <w:color w:val="auto"/>
                <w:sz w:val="18"/>
              </w:rPr>
              <w:t xml:space="preserve"> project or process related levels.</w:t>
            </w:r>
          </w:p>
        </w:tc>
      </w:tr>
      <w:tr w:rsidR="00155AC5" w:rsidRPr="00C3221B" w14:paraId="6EE43C0A"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73F03F61" w14:textId="77777777" w:rsidR="00155AC5" w:rsidRPr="00CF176F" w:rsidRDefault="00155AC5" w:rsidP="004033A2">
            <w:pPr>
              <w:pStyle w:val="bodycopy"/>
              <w:rPr>
                <w:b w:val="0"/>
                <w:color w:val="auto"/>
              </w:rPr>
            </w:pPr>
            <w:r w:rsidRPr="00CF176F">
              <w:rPr>
                <w:color w:val="auto"/>
              </w:rPr>
              <w:t>Risk Management</w:t>
            </w:r>
          </w:p>
        </w:tc>
        <w:tc>
          <w:tcPr>
            <w:tcW w:w="6393" w:type="dxa"/>
          </w:tcPr>
          <w:p w14:paraId="62BC5A62" w14:textId="4EDE22D4"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The combination of organisational systems, processes and culture which facilitate the identification, assessment, evaluation and treatment of risk to achieve an appropriate balance between realising opportunities </w:t>
            </w:r>
            <w:r w:rsidR="00407B3B">
              <w:rPr>
                <w:color w:val="auto"/>
                <w:sz w:val="18"/>
              </w:rPr>
              <w:t>and</w:t>
            </w:r>
            <w:r w:rsidR="00407B3B" w:rsidRPr="00CF176F">
              <w:rPr>
                <w:color w:val="auto"/>
                <w:sz w:val="18"/>
              </w:rPr>
              <w:t xml:space="preserve"> </w:t>
            </w:r>
            <w:r w:rsidRPr="00CF176F">
              <w:rPr>
                <w:color w:val="auto"/>
                <w:sz w:val="18"/>
              </w:rPr>
              <w:t>minimising losses in the pursuit of strategic objectives.</w:t>
            </w:r>
          </w:p>
        </w:tc>
      </w:tr>
      <w:tr w:rsidR="00155AC5" w:rsidRPr="00C3221B" w14:paraId="339DEE2C"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44E02EB0" w14:textId="77777777" w:rsidR="00155AC5" w:rsidRPr="00CF176F" w:rsidRDefault="00155AC5" w:rsidP="004033A2">
            <w:pPr>
              <w:pStyle w:val="bodycopy"/>
              <w:rPr>
                <w:color w:val="auto"/>
              </w:rPr>
            </w:pPr>
            <w:r w:rsidRPr="00CF176F">
              <w:rPr>
                <w:color w:val="auto"/>
              </w:rPr>
              <w:t xml:space="preserve">Risk Management Framework  </w:t>
            </w:r>
          </w:p>
        </w:tc>
        <w:tc>
          <w:tcPr>
            <w:tcW w:w="6393" w:type="dxa"/>
          </w:tcPr>
          <w:p w14:paraId="676BF4DF" w14:textId="77777777"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Set of components that provide the foundations and organisational arrangements for designing, implementing, monitoring, reviewing and continually improving risk management throughout the organisation. </w:t>
            </w:r>
          </w:p>
        </w:tc>
      </w:tr>
      <w:tr w:rsidR="00155AC5" w:rsidRPr="00C3221B" w14:paraId="1BCAD9E0"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4CC6DBAF" w14:textId="77777777" w:rsidR="00155AC5" w:rsidRPr="00CF176F" w:rsidRDefault="00155AC5" w:rsidP="004033A2">
            <w:pPr>
              <w:pStyle w:val="bodycopy"/>
              <w:rPr>
                <w:color w:val="auto"/>
              </w:rPr>
            </w:pPr>
            <w:r w:rsidRPr="00CF176F">
              <w:rPr>
                <w:color w:val="auto"/>
              </w:rPr>
              <w:t>Secretary</w:t>
            </w:r>
          </w:p>
        </w:tc>
        <w:tc>
          <w:tcPr>
            <w:tcW w:w="6393" w:type="dxa"/>
          </w:tcPr>
          <w:p w14:paraId="03E6B047" w14:textId="6276A572"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The head of a department responsible to their </w:t>
            </w:r>
            <w:r w:rsidR="00D43DC6">
              <w:rPr>
                <w:color w:val="auto"/>
                <w:sz w:val="18"/>
              </w:rPr>
              <w:t>m</w:t>
            </w:r>
            <w:r w:rsidRPr="00CF176F">
              <w:rPr>
                <w:color w:val="auto"/>
                <w:sz w:val="18"/>
              </w:rPr>
              <w:t xml:space="preserve">inisters for the general conduct and the effective, efficient and economical management of the functions and activities of the department and administrative offices in relation to the department. </w:t>
            </w:r>
          </w:p>
          <w:p w14:paraId="44055641" w14:textId="7B5B2B2B"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Secretaries are the principal portfolio advisers to the </w:t>
            </w:r>
            <w:r w:rsidR="00D43DC6">
              <w:rPr>
                <w:color w:val="auto"/>
                <w:sz w:val="18"/>
              </w:rPr>
              <w:t>g</w:t>
            </w:r>
            <w:r w:rsidRPr="00CF176F">
              <w:rPr>
                <w:color w:val="auto"/>
                <w:sz w:val="18"/>
              </w:rPr>
              <w:t xml:space="preserve">overnment. They provide advice on policy matters and assist ministers to maintain an awareness of operations within their portfolios, often acting as the interface between ministers, public entities, administrative offices and stakeholders. See ‘public service body head’ as per definition in the </w:t>
            </w:r>
            <w:r w:rsidRPr="00CF176F">
              <w:rPr>
                <w:i/>
                <w:color w:val="auto"/>
                <w:sz w:val="18"/>
              </w:rPr>
              <w:t>Public Administration Act 2004</w:t>
            </w:r>
            <w:r w:rsidRPr="00CF176F">
              <w:rPr>
                <w:color w:val="auto"/>
                <w:sz w:val="18"/>
              </w:rPr>
              <w:t xml:space="preserve"> (Vic) s 4 and s 13.</w:t>
            </w:r>
          </w:p>
        </w:tc>
      </w:tr>
      <w:tr w:rsidR="00155AC5" w:rsidRPr="00C3221B" w14:paraId="791882D3"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50152D2E" w14:textId="77777777" w:rsidR="00155AC5" w:rsidRPr="00CF176F" w:rsidRDefault="00155AC5" w:rsidP="004033A2">
            <w:pPr>
              <w:pStyle w:val="bodycopy"/>
              <w:rPr>
                <w:color w:val="auto"/>
              </w:rPr>
            </w:pPr>
            <w:r w:rsidRPr="00CF176F">
              <w:rPr>
                <w:color w:val="auto"/>
              </w:rPr>
              <w:t>Service Agreement (SA)</w:t>
            </w:r>
          </w:p>
        </w:tc>
        <w:tc>
          <w:tcPr>
            <w:tcW w:w="6393" w:type="dxa"/>
          </w:tcPr>
          <w:p w14:paraId="57733080" w14:textId="5FF26A02"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Agreements (including Portfolio Service Agreements) between </w:t>
            </w:r>
            <w:r w:rsidR="000603F0">
              <w:rPr>
                <w:color w:val="auto"/>
                <w:sz w:val="18"/>
              </w:rPr>
              <w:t>DJSIR</w:t>
            </w:r>
            <w:r w:rsidRPr="00CF176F">
              <w:rPr>
                <w:color w:val="auto"/>
                <w:sz w:val="18"/>
              </w:rPr>
              <w:t xml:space="preserve"> and portfolio </w:t>
            </w:r>
            <w:r w:rsidR="00C81471">
              <w:rPr>
                <w:color w:val="auto"/>
                <w:sz w:val="18"/>
              </w:rPr>
              <w:t>entities</w:t>
            </w:r>
            <w:r w:rsidRPr="00CF176F">
              <w:rPr>
                <w:color w:val="auto"/>
                <w:sz w:val="18"/>
              </w:rPr>
              <w:t xml:space="preserve">, or the relevant </w:t>
            </w:r>
            <w:r w:rsidR="00D43DC6">
              <w:rPr>
                <w:color w:val="auto"/>
                <w:sz w:val="18"/>
              </w:rPr>
              <w:t>m</w:t>
            </w:r>
            <w:r w:rsidRPr="00CF176F">
              <w:rPr>
                <w:color w:val="auto"/>
                <w:sz w:val="18"/>
              </w:rPr>
              <w:t xml:space="preserve">inister and portfolio </w:t>
            </w:r>
            <w:r w:rsidR="00C81471">
              <w:rPr>
                <w:color w:val="auto"/>
                <w:sz w:val="18"/>
              </w:rPr>
              <w:t>entity</w:t>
            </w:r>
            <w:r w:rsidRPr="00CF176F">
              <w:rPr>
                <w:color w:val="auto"/>
                <w:sz w:val="18"/>
              </w:rPr>
              <w:t>/board that formalises the expectations on governance, planning and reporting</w:t>
            </w:r>
            <w:r w:rsidR="00911903">
              <w:rPr>
                <w:color w:val="auto"/>
                <w:sz w:val="18"/>
              </w:rPr>
              <w:t>.</w:t>
            </w:r>
          </w:p>
        </w:tc>
      </w:tr>
      <w:tr w:rsidR="00155AC5" w:rsidRPr="00C3221B" w14:paraId="6322296D"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3C5FE12C" w14:textId="77777777" w:rsidR="00155AC5" w:rsidRPr="00CF176F" w:rsidRDefault="00155AC5" w:rsidP="004033A2">
            <w:pPr>
              <w:pStyle w:val="bodycopy"/>
              <w:rPr>
                <w:color w:val="auto"/>
              </w:rPr>
            </w:pPr>
            <w:r w:rsidRPr="00CF176F">
              <w:rPr>
                <w:color w:val="auto"/>
              </w:rPr>
              <w:t>Service level agreement (SLA)</w:t>
            </w:r>
          </w:p>
        </w:tc>
        <w:tc>
          <w:tcPr>
            <w:tcW w:w="6393" w:type="dxa"/>
          </w:tcPr>
          <w:p w14:paraId="454E2D06" w14:textId="0F416C19"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bookmarkStart w:id="164" w:name="_Hlk514223906"/>
            <w:r w:rsidRPr="00CF176F">
              <w:rPr>
                <w:color w:val="auto"/>
                <w:sz w:val="18"/>
              </w:rPr>
              <w:t xml:space="preserve">A document that formalises an agreement between the department and an </w:t>
            </w:r>
            <w:r w:rsidR="00C81471">
              <w:rPr>
                <w:color w:val="auto"/>
                <w:sz w:val="18"/>
              </w:rPr>
              <w:t>entity</w:t>
            </w:r>
            <w:r w:rsidRPr="00CF176F">
              <w:rPr>
                <w:color w:val="auto"/>
                <w:sz w:val="18"/>
              </w:rPr>
              <w:t xml:space="preserve"> which defines the scope and governs the provision of services (such as information technology, legal services, human resources, etc.).</w:t>
            </w:r>
            <w:bookmarkEnd w:id="164"/>
          </w:p>
        </w:tc>
      </w:tr>
      <w:tr w:rsidR="00155AC5" w:rsidRPr="00C3221B" w14:paraId="16CB3D1B"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309C2A2B" w14:textId="77777777" w:rsidR="00155AC5" w:rsidRPr="00CF176F" w:rsidRDefault="00155AC5" w:rsidP="004033A2">
            <w:pPr>
              <w:pStyle w:val="bodycopy"/>
              <w:rPr>
                <w:color w:val="auto"/>
              </w:rPr>
            </w:pPr>
            <w:r w:rsidRPr="00CF176F">
              <w:rPr>
                <w:color w:val="auto"/>
              </w:rPr>
              <w:t>Standing Directions</w:t>
            </w:r>
          </w:p>
        </w:tc>
        <w:tc>
          <w:tcPr>
            <w:tcW w:w="6393" w:type="dxa"/>
          </w:tcPr>
          <w:p w14:paraId="720A78DA" w14:textId="1293FBF9"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Refers to the </w:t>
            </w:r>
            <w:r w:rsidRPr="00CF176F">
              <w:rPr>
                <w:i/>
                <w:color w:val="auto"/>
                <w:sz w:val="18"/>
              </w:rPr>
              <w:t xml:space="preserve">Standing Directions under the Financial Management Act 1994 </w:t>
            </w:r>
            <w:r w:rsidRPr="00CF176F">
              <w:rPr>
                <w:color w:val="auto"/>
                <w:sz w:val="18"/>
              </w:rPr>
              <w:t xml:space="preserve">issued under section 8 of the </w:t>
            </w:r>
            <w:r w:rsidRPr="00CF176F">
              <w:rPr>
                <w:i/>
                <w:color w:val="auto"/>
                <w:sz w:val="18"/>
              </w:rPr>
              <w:t xml:space="preserve">Financial Management Act 1994 (FMA), </w:t>
            </w:r>
            <w:r w:rsidRPr="00CF176F">
              <w:rPr>
                <w:color w:val="auto"/>
                <w:sz w:val="18"/>
              </w:rPr>
              <w:t xml:space="preserve">which sets the standard for financial management by Victorian Government </w:t>
            </w:r>
            <w:r w:rsidR="00C81471">
              <w:rPr>
                <w:color w:val="auto"/>
                <w:sz w:val="18"/>
              </w:rPr>
              <w:t>entities</w:t>
            </w:r>
            <w:r w:rsidRPr="00CF176F">
              <w:rPr>
                <w:color w:val="auto"/>
                <w:sz w:val="18"/>
              </w:rPr>
              <w:t xml:space="preserve">. </w:t>
            </w:r>
          </w:p>
        </w:tc>
      </w:tr>
      <w:tr w:rsidR="00155AC5" w:rsidRPr="00C3221B" w14:paraId="55593163"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0DF3FCAB" w14:textId="77777777" w:rsidR="00155AC5" w:rsidRPr="00CF176F" w:rsidRDefault="00155AC5" w:rsidP="004033A2">
            <w:pPr>
              <w:pStyle w:val="bodycopy"/>
              <w:rPr>
                <w:color w:val="auto"/>
              </w:rPr>
            </w:pPr>
            <w:r w:rsidRPr="00CF176F">
              <w:rPr>
                <w:color w:val="auto"/>
              </w:rPr>
              <w:t>State owned enterprise</w:t>
            </w:r>
          </w:p>
        </w:tc>
        <w:tc>
          <w:tcPr>
            <w:tcW w:w="6393" w:type="dxa"/>
          </w:tcPr>
          <w:p w14:paraId="6430E703" w14:textId="7777777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State owned enterprises are a public sector form of entity. They are established under the </w:t>
            </w:r>
            <w:r w:rsidRPr="00CF176F">
              <w:rPr>
                <w:i/>
                <w:color w:val="auto"/>
                <w:sz w:val="18"/>
              </w:rPr>
              <w:t>State Owned Enterprises Act 1992</w:t>
            </w:r>
            <w:r w:rsidRPr="00CF176F">
              <w:rPr>
                <w:color w:val="auto"/>
                <w:sz w:val="18"/>
              </w:rPr>
              <w:t xml:space="preserve">. There are four types: </w:t>
            </w:r>
          </w:p>
          <w:p w14:paraId="431B5573" w14:textId="0C798E17" w:rsidR="00155AC5" w:rsidRPr="00CF176F" w:rsidRDefault="00155AC5" w:rsidP="004033A2">
            <w:pPr>
              <w:pStyle w:val="ListBullet"/>
              <w:cnfStyle w:val="000000000000" w:firstRow="0" w:lastRow="0" w:firstColumn="0" w:lastColumn="0" w:oddVBand="0" w:evenVBand="0" w:oddHBand="0" w:evenHBand="0" w:firstRowFirstColumn="0" w:firstRowLastColumn="0" w:lastRowFirstColumn="0" w:lastRowLastColumn="0"/>
              <w:rPr>
                <w:color w:val="auto"/>
                <w:sz w:val="20"/>
              </w:rPr>
            </w:pPr>
            <w:r w:rsidRPr="00CF176F">
              <w:rPr>
                <w:b/>
                <w:color w:val="auto"/>
              </w:rPr>
              <w:t>State body:</w:t>
            </w:r>
            <w:r w:rsidRPr="00CF176F">
              <w:rPr>
                <w:color w:val="auto"/>
              </w:rPr>
              <w:t xml:space="preserve"> a general form of entity that does not have a specific purpose: rather the purpose, functions and powers of a </w:t>
            </w:r>
            <w:r w:rsidR="00D43DC6">
              <w:rPr>
                <w:color w:val="auto"/>
              </w:rPr>
              <w:t>s</w:t>
            </w:r>
            <w:r w:rsidRPr="00CF176F">
              <w:rPr>
                <w:color w:val="auto"/>
              </w:rPr>
              <w:t>tate body are described in the Order which establishes the body</w:t>
            </w:r>
            <w:r w:rsidR="007C2A3D">
              <w:rPr>
                <w:color w:val="auto"/>
              </w:rPr>
              <w:t>.</w:t>
            </w:r>
          </w:p>
          <w:p w14:paraId="0AAA042F" w14:textId="7CB5F275" w:rsidR="00155AC5" w:rsidRPr="00CF176F" w:rsidRDefault="00155AC5" w:rsidP="004033A2">
            <w:pPr>
              <w:pStyle w:val="ListBullet"/>
              <w:cnfStyle w:val="000000000000" w:firstRow="0" w:lastRow="0" w:firstColumn="0" w:lastColumn="0" w:oddVBand="0" w:evenVBand="0" w:oddHBand="0" w:evenHBand="0" w:firstRowFirstColumn="0" w:firstRowLastColumn="0" w:lastRowFirstColumn="0" w:lastRowLastColumn="0"/>
              <w:rPr>
                <w:color w:val="auto"/>
                <w:sz w:val="20"/>
              </w:rPr>
            </w:pPr>
            <w:r w:rsidRPr="00CF176F">
              <w:rPr>
                <w:b/>
                <w:color w:val="auto"/>
              </w:rPr>
              <w:t>State business corporation:</w:t>
            </w:r>
            <w:r w:rsidRPr="00CF176F">
              <w:rPr>
                <w:color w:val="auto"/>
              </w:rPr>
              <w:t xml:space="preserve"> an entity that in general has a commercial focus and has a skills-based board that operates its business as efficiently as possible.</w:t>
            </w:r>
          </w:p>
          <w:p w14:paraId="376F25AA" w14:textId="6B236FDB" w:rsidR="00155AC5" w:rsidRPr="00CF176F" w:rsidRDefault="00155AC5" w:rsidP="004033A2">
            <w:pPr>
              <w:pStyle w:val="ListBullet"/>
              <w:cnfStyle w:val="000000000000" w:firstRow="0" w:lastRow="0" w:firstColumn="0" w:lastColumn="0" w:oddVBand="0" w:evenVBand="0" w:oddHBand="0" w:evenHBand="0" w:firstRowFirstColumn="0" w:firstRowLastColumn="0" w:lastRowFirstColumn="0" w:lastRowLastColumn="0"/>
              <w:rPr>
                <w:color w:val="auto"/>
                <w:sz w:val="20"/>
              </w:rPr>
            </w:pPr>
            <w:r w:rsidRPr="00CF176F">
              <w:rPr>
                <w:b/>
                <w:color w:val="auto"/>
              </w:rPr>
              <w:t>State owned company:</w:t>
            </w:r>
            <w:r w:rsidRPr="00CF176F">
              <w:rPr>
                <w:color w:val="auto"/>
              </w:rPr>
              <w:t xml:space="preserve"> a </w:t>
            </w:r>
            <w:r w:rsidRPr="00CF176F">
              <w:rPr>
                <w:i/>
                <w:color w:val="auto"/>
              </w:rPr>
              <w:t>Corporations Act</w:t>
            </w:r>
            <w:r w:rsidRPr="00CF176F">
              <w:rPr>
                <w:color w:val="auto"/>
              </w:rPr>
              <w:t xml:space="preserve"> company declared as a </w:t>
            </w:r>
            <w:r w:rsidR="00D43DC6">
              <w:rPr>
                <w:color w:val="auto"/>
              </w:rPr>
              <w:t>s</w:t>
            </w:r>
            <w:r w:rsidRPr="00CF176F">
              <w:rPr>
                <w:color w:val="auto"/>
              </w:rPr>
              <w:t>tate owned company under the State Owned Enterprises Act. This is the most commercial structure available under the Act.</w:t>
            </w:r>
          </w:p>
          <w:p w14:paraId="3E04B324" w14:textId="77A34C7F" w:rsidR="00155AC5" w:rsidRPr="00CF176F" w:rsidRDefault="00155AC5" w:rsidP="004033A2">
            <w:pPr>
              <w:pStyle w:val="ListBullet"/>
              <w:cnfStyle w:val="000000000000" w:firstRow="0" w:lastRow="0" w:firstColumn="0" w:lastColumn="0" w:oddVBand="0" w:evenVBand="0" w:oddHBand="0" w:evenHBand="0" w:firstRowFirstColumn="0" w:firstRowLastColumn="0" w:lastRowFirstColumn="0" w:lastRowLastColumn="0"/>
              <w:rPr>
                <w:color w:val="auto"/>
                <w:sz w:val="20"/>
              </w:rPr>
            </w:pPr>
            <w:r w:rsidRPr="00CF176F">
              <w:rPr>
                <w:b/>
                <w:color w:val="auto"/>
              </w:rPr>
              <w:t>Reorganising body:</w:t>
            </w:r>
            <w:r w:rsidRPr="00CF176F">
              <w:rPr>
                <w:color w:val="auto"/>
              </w:rPr>
              <w:t xml:space="preserve"> a public entity can be declared to be a reorganising body in order to conduct or to facilitate a reorganisation of the entity. This type of </w:t>
            </w:r>
            <w:r w:rsidR="00D43DC6">
              <w:rPr>
                <w:color w:val="auto"/>
              </w:rPr>
              <w:t>s</w:t>
            </w:r>
            <w:r w:rsidRPr="00CF176F">
              <w:rPr>
                <w:color w:val="auto"/>
              </w:rPr>
              <w:t xml:space="preserve">tate owned enterprise allows the </w:t>
            </w:r>
            <w:r w:rsidR="00D43DC6">
              <w:rPr>
                <w:color w:val="auto"/>
              </w:rPr>
              <w:t>g</w:t>
            </w:r>
            <w:r w:rsidRPr="00CF176F">
              <w:rPr>
                <w:color w:val="auto"/>
              </w:rPr>
              <w:t xml:space="preserve">overnor in </w:t>
            </w:r>
            <w:r w:rsidR="00D43DC6">
              <w:rPr>
                <w:color w:val="auto"/>
              </w:rPr>
              <w:t>c</w:t>
            </w:r>
            <w:r w:rsidRPr="00CF176F">
              <w:rPr>
                <w:color w:val="auto"/>
              </w:rPr>
              <w:t>ouncil to make changes to its constitution, governance arrangements and capital structure.</w:t>
            </w:r>
          </w:p>
        </w:tc>
      </w:tr>
      <w:tr w:rsidR="00155AC5" w:rsidRPr="00C3221B" w14:paraId="5C8E59A1"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59C87D7A" w14:textId="77777777" w:rsidR="00155AC5" w:rsidRPr="00CF176F" w:rsidRDefault="00155AC5" w:rsidP="004033A2">
            <w:pPr>
              <w:pStyle w:val="bodycopy"/>
              <w:rPr>
                <w:color w:val="auto"/>
              </w:rPr>
            </w:pPr>
            <w:r w:rsidRPr="00CF176F">
              <w:rPr>
                <w:color w:val="auto"/>
              </w:rPr>
              <w:t>Statement of Expectations (SOE)</w:t>
            </w:r>
          </w:p>
        </w:tc>
        <w:tc>
          <w:tcPr>
            <w:tcW w:w="6393" w:type="dxa"/>
          </w:tcPr>
          <w:p w14:paraId="7B829B57" w14:textId="04B167F9"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A governing document setting out a minister’s expectations of an </w:t>
            </w:r>
            <w:r w:rsidR="00C81471">
              <w:rPr>
                <w:color w:val="auto"/>
                <w:sz w:val="18"/>
              </w:rPr>
              <w:t>entity</w:t>
            </w:r>
            <w:r w:rsidRPr="00CF176F">
              <w:rPr>
                <w:color w:val="auto"/>
                <w:sz w:val="18"/>
              </w:rPr>
              <w:t>, in areas such as relevant government objectives and performance targets.</w:t>
            </w:r>
          </w:p>
        </w:tc>
      </w:tr>
      <w:tr w:rsidR="00155AC5" w:rsidRPr="00C3221B" w14:paraId="2F27FA29"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5C116D99" w14:textId="77777777" w:rsidR="00155AC5" w:rsidRPr="00CF176F" w:rsidRDefault="00155AC5" w:rsidP="004033A2">
            <w:pPr>
              <w:pStyle w:val="bodycopy"/>
              <w:rPr>
                <w:color w:val="auto"/>
              </w:rPr>
            </w:pPr>
            <w:r w:rsidRPr="00CF176F">
              <w:rPr>
                <w:color w:val="auto"/>
              </w:rPr>
              <w:t>Statutory Office</w:t>
            </w:r>
          </w:p>
        </w:tc>
        <w:tc>
          <w:tcPr>
            <w:tcW w:w="6393" w:type="dxa"/>
          </w:tcPr>
          <w:p w14:paraId="23A666F1" w14:textId="18F67C39"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Statutory </w:t>
            </w:r>
            <w:r w:rsidR="00D43DC6">
              <w:rPr>
                <w:color w:val="auto"/>
                <w:sz w:val="18"/>
              </w:rPr>
              <w:t>o</w:t>
            </w:r>
            <w:r w:rsidRPr="00CF176F">
              <w:rPr>
                <w:color w:val="auto"/>
                <w:sz w:val="18"/>
              </w:rPr>
              <w:t xml:space="preserve">ffices are a Victorian public sector organisational form. They are established under enabling legislation to carry out a set of functions with some autonomy from </w:t>
            </w:r>
            <w:r w:rsidR="00D43DC6">
              <w:rPr>
                <w:color w:val="auto"/>
                <w:sz w:val="18"/>
              </w:rPr>
              <w:t>m</w:t>
            </w:r>
            <w:r w:rsidRPr="00CF176F">
              <w:rPr>
                <w:color w:val="auto"/>
                <w:sz w:val="18"/>
              </w:rPr>
              <w:t xml:space="preserve">inisters and the department. </w:t>
            </w:r>
          </w:p>
          <w:p w14:paraId="41C7F5A8" w14:textId="7777777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p>
        </w:tc>
      </w:tr>
      <w:tr w:rsidR="00155AC5" w:rsidRPr="00C3221B" w14:paraId="1D5B45DA"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2BB4BF5A" w14:textId="77777777" w:rsidR="00155AC5" w:rsidRPr="00CF176F" w:rsidRDefault="00155AC5" w:rsidP="004033A2">
            <w:pPr>
              <w:pStyle w:val="bodycopy"/>
              <w:rPr>
                <w:color w:val="auto"/>
              </w:rPr>
            </w:pPr>
            <w:r w:rsidRPr="00CF176F">
              <w:rPr>
                <w:color w:val="auto"/>
              </w:rPr>
              <w:t>Strategic plan</w:t>
            </w:r>
          </w:p>
        </w:tc>
        <w:tc>
          <w:tcPr>
            <w:tcW w:w="6393" w:type="dxa"/>
          </w:tcPr>
          <w:p w14:paraId="501DABF9" w14:textId="24EE77B4"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A strategic plan is a document that sets out the </w:t>
            </w:r>
            <w:r w:rsidR="00C81471">
              <w:rPr>
                <w:color w:val="auto"/>
                <w:sz w:val="18"/>
              </w:rPr>
              <w:t>entity</w:t>
            </w:r>
            <w:r w:rsidRPr="00CF176F">
              <w:rPr>
                <w:color w:val="auto"/>
                <w:sz w:val="18"/>
              </w:rPr>
              <w:t xml:space="preserve">’s objectives, desired outcomes and strategic priorities. </w:t>
            </w:r>
          </w:p>
        </w:tc>
      </w:tr>
      <w:tr w:rsidR="00155AC5" w:rsidRPr="00C3221B" w14:paraId="1C26A0C3"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5193803B" w14:textId="77777777" w:rsidR="00155AC5" w:rsidRPr="00CF176F" w:rsidRDefault="00155AC5" w:rsidP="004033A2">
            <w:pPr>
              <w:pStyle w:val="bodycopy"/>
              <w:rPr>
                <w:b w:val="0"/>
                <w:color w:val="auto"/>
              </w:rPr>
            </w:pPr>
            <w:r w:rsidRPr="00CF176F">
              <w:rPr>
                <w:color w:val="auto"/>
              </w:rPr>
              <w:t>Treatment plan</w:t>
            </w:r>
          </w:p>
        </w:tc>
        <w:tc>
          <w:tcPr>
            <w:tcW w:w="6393" w:type="dxa"/>
          </w:tcPr>
          <w:p w14:paraId="22AB2E94" w14:textId="7777777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The treatment plan articulates the means and mechanisms to address issues and risks raised in the health assessment.</w:t>
            </w:r>
          </w:p>
        </w:tc>
      </w:tr>
      <w:tr w:rsidR="00155AC5" w:rsidRPr="00C3221B" w14:paraId="3C0C6990"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10F206C6" w14:textId="77777777" w:rsidR="00155AC5" w:rsidRPr="00CF176F" w:rsidRDefault="00155AC5" w:rsidP="004033A2">
            <w:pPr>
              <w:pStyle w:val="bodycopy"/>
              <w:rPr>
                <w:color w:val="auto"/>
              </w:rPr>
            </w:pPr>
            <w:r w:rsidRPr="00CF176F">
              <w:rPr>
                <w:color w:val="auto"/>
              </w:rPr>
              <w:t>Treatment rating</w:t>
            </w:r>
          </w:p>
        </w:tc>
        <w:tc>
          <w:tcPr>
            <w:tcW w:w="6393" w:type="dxa"/>
          </w:tcPr>
          <w:p w14:paraId="2FFA9AAB" w14:textId="77777777"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 xml:space="preserve">The type of action to be taken in response to a health assessment rating. There are three types of actions: ‘Accept’, ‘Monitor’ or ‘Escalate’. </w:t>
            </w:r>
          </w:p>
        </w:tc>
      </w:tr>
      <w:tr w:rsidR="00155AC5" w:rsidRPr="00C3221B" w14:paraId="50FB80EA"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433A922D" w14:textId="77777777" w:rsidR="00155AC5" w:rsidRPr="00CF176F" w:rsidRDefault="00155AC5" w:rsidP="004033A2">
            <w:pPr>
              <w:pStyle w:val="bodycopy"/>
              <w:rPr>
                <w:color w:val="auto"/>
              </w:rPr>
            </w:pPr>
            <w:r w:rsidRPr="00CF176F">
              <w:rPr>
                <w:color w:val="auto"/>
              </w:rPr>
              <w:t>Unincorporated Joint Venture</w:t>
            </w:r>
          </w:p>
        </w:tc>
        <w:tc>
          <w:tcPr>
            <w:tcW w:w="6393" w:type="dxa"/>
          </w:tcPr>
          <w:p w14:paraId="3906B286" w14:textId="310B7B8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 xml:space="preserve">An unincorporated joint venture is a joint arrangement whereby the parties that have joint control of the arrangement have rights to the net assets of the arrangement. They are established between two or more organisations usually for a specific project.  </w:t>
            </w:r>
            <w:r w:rsidRPr="00CF176F">
              <w:rPr>
                <w:i/>
                <w:color w:val="auto"/>
                <w:sz w:val="18"/>
              </w:rPr>
              <w:t xml:space="preserve"> </w:t>
            </w:r>
          </w:p>
        </w:tc>
      </w:tr>
      <w:tr w:rsidR="00155AC5" w:rsidRPr="00C3221B" w14:paraId="5CF76E53" w14:textId="77777777" w:rsidTr="004033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14:paraId="5B8D80B9" w14:textId="77777777" w:rsidR="00155AC5" w:rsidRPr="00CF176F" w:rsidRDefault="00155AC5" w:rsidP="004033A2">
            <w:pPr>
              <w:pStyle w:val="bodycopy"/>
              <w:rPr>
                <w:color w:val="auto"/>
              </w:rPr>
            </w:pPr>
            <w:r w:rsidRPr="00CF176F">
              <w:rPr>
                <w:color w:val="auto"/>
              </w:rPr>
              <w:t>Victorian Managed Insurance Authority (VMIA)</w:t>
            </w:r>
          </w:p>
        </w:tc>
        <w:tc>
          <w:tcPr>
            <w:tcW w:w="6393" w:type="dxa"/>
          </w:tcPr>
          <w:p w14:paraId="5E9032BD" w14:textId="114CD37F" w:rsidR="00155AC5" w:rsidRPr="00CF176F" w:rsidRDefault="00155AC5" w:rsidP="004033A2">
            <w:pPr>
              <w:pStyle w:val="bodycopy"/>
              <w:cnfStyle w:val="000000100000" w:firstRow="0" w:lastRow="0" w:firstColumn="0" w:lastColumn="0" w:oddVBand="0" w:evenVBand="0" w:oddHBand="1" w:evenHBand="0" w:firstRowFirstColumn="0" w:firstRowLastColumn="0" w:lastRowFirstColumn="0" w:lastRowLastColumn="0"/>
              <w:rPr>
                <w:color w:val="auto"/>
                <w:sz w:val="18"/>
              </w:rPr>
            </w:pPr>
            <w:r w:rsidRPr="00CF176F">
              <w:rPr>
                <w:color w:val="auto"/>
                <w:sz w:val="18"/>
              </w:rPr>
              <w:t>Provides insurance and risk advice to the State Government of Victoria</w:t>
            </w:r>
            <w:r w:rsidR="00BB48FF">
              <w:rPr>
                <w:color w:val="auto"/>
                <w:sz w:val="18"/>
              </w:rPr>
              <w:t>.</w:t>
            </w:r>
          </w:p>
        </w:tc>
      </w:tr>
      <w:tr w:rsidR="00155AC5" w:rsidRPr="00C3221B" w14:paraId="6715FFA4" w14:textId="77777777" w:rsidTr="004033A2">
        <w:trPr>
          <w:cantSplit/>
        </w:trPr>
        <w:tc>
          <w:tcPr>
            <w:cnfStyle w:val="001000000000" w:firstRow="0" w:lastRow="0" w:firstColumn="1" w:lastColumn="0" w:oddVBand="0" w:evenVBand="0" w:oddHBand="0" w:evenHBand="0" w:firstRowFirstColumn="0" w:firstRowLastColumn="0" w:lastRowFirstColumn="0" w:lastRowLastColumn="0"/>
            <w:tcW w:w="3085" w:type="dxa"/>
          </w:tcPr>
          <w:p w14:paraId="1B50550C" w14:textId="77777777" w:rsidR="00155AC5" w:rsidRPr="00CF176F" w:rsidRDefault="00155AC5" w:rsidP="004033A2">
            <w:pPr>
              <w:pStyle w:val="bodycopy"/>
              <w:rPr>
                <w:color w:val="auto"/>
              </w:rPr>
            </w:pPr>
            <w:r w:rsidRPr="00CF176F">
              <w:rPr>
                <w:color w:val="auto"/>
              </w:rPr>
              <w:t>Victorian Public Sector Commission (VPSC)</w:t>
            </w:r>
          </w:p>
        </w:tc>
        <w:tc>
          <w:tcPr>
            <w:tcW w:w="6393" w:type="dxa"/>
          </w:tcPr>
          <w:p w14:paraId="73DB809A" w14:textId="5BA70BFD"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Responsible for enhancing the performance of the public sector by fostering the development of an efficient, integrated</w:t>
            </w:r>
            <w:r w:rsidR="00CF176F" w:rsidRPr="00CF176F">
              <w:rPr>
                <w:color w:val="auto"/>
                <w:sz w:val="18"/>
              </w:rPr>
              <w:t>,</w:t>
            </w:r>
            <w:r w:rsidRPr="00CF176F">
              <w:rPr>
                <w:color w:val="auto"/>
                <w:sz w:val="18"/>
              </w:rPr>
              <w:t xml:space="preserve"> and responsive public sector which is highly ethical, accountable and professional in the ways it delivers services to the Victorian community.</w:t>
            </w:r>
          </w:p>
          <w:p w14:paraId="46E18C94" w14:textId="77777777" w:rsidR="00155AC5" w:rsidRPr="00CF176F" w:rsidRDefault="00155AC5" w:rsidP="004033A2">
            <w:pPr>
              <w:pStyle w:val="bodycopy"/>
              <w:cnfStyle w:val="000000000000" w:firstRow="0" w:lastRow="0" w:firstColumn="0" w:lastColumn="0" w:oddVBand="0" w:evenVBand="0" w:oddHBand="0" w:evenHBand="0" w:firstRowFirstColumn="0" w:firstRowLastColumn="0" w:lastRowFirstColumn="0" w:lastRowLastColumn="0"/>
              <w:rPr>
                <w:color w:val="auto"/>
                <w:sz w:val="18"/>
              </w:rPr>
            </w:pPr>
            <w:r w:rsidRPr="00CF176F">
              <w:rPr>
                <w:color w:val="auto"/>
                <w:sz w:val="18"/>
              </w:rPr>
              <w:t>The key functions of the VPSC are to:</w:t>
            </w:r>
          </w:p>
          <w:p w14:paraId="55DAF4B0" w14:textId="72FDEF1C" w:rsidR="00155AC5" w:rsidRPr="00CF176F" w:rsidRDefault="00155AC5" w:rsidP="004033A2">
            <w:pPr>
              <w:pStyle w:val="ListBullet"/>
              <w:cnfStyle w:val="000000000000" w:firstRow="0" w:lastRow="0" w:firstColumn="0" w:lastColumn="0" w:oddVBand="0" w:evenVBand="0" w:oddHBand="0" w:evenHBand="0" w:firstRowFirstColumn="0" w:firstRowLastColumn="0" w:lastRowFirstColumn="0" w:lastRowLastColumn="0"/>
              <w:rPr>
                <w:color w:val="auto"/>
              </w:rPr>
            </w:pPr>
            <w:r w:rsidRPr="00CF176F">
              <w:rPr>
                <w:color w:val="auto"/>
              </w:rPr>
              <w:t>strengthen the efficiency, effectiveness</w:t>
            </w:r>
            <w:r w:rsidR="00CF176F" w:rsidRPr="00CF176F">
              <w:rPr>
                <w:color w:val="auto"/>
              </w:rPr>
              <w:t>,</w:t>
            </w:r>
            <w:r w:rsidRPr="00CF176F">
              <w:rPr>
                <w:color w:val="auto"/>
              </w:rPr>
              <w:t xml:space="preserve"> and capability of the public sector in order to meet existing and emerging needs and deliver high quality services; and</w:t>
            </w:r>
          </w:p>
          <w:p w14:paraId="4BE9E57E" w14:textId="77777777" w:rsidR="00155AC5" w:rsidRPr="00CF176F" w:rsidRDefault="00155AC5" w:rsidP="004033A2">
            <w:pPr>
              <w:pStyle w:val="ListBullet"/>
              <w:cnfStyle w:val="000000000000" w:firstRow="0" w:lastRow="0" w:firstColumn="0" w:lastColumn="0" w:oddVBand="0" w:evenVBand="0" w:oddHBand="0" w:evenHBand="0" w:firstRowFirstColumn="0" w:firstRowLastColumn="0" w:lastRowFirstColumn="0" w:lastRowLastColumn="0"/>
              <w:rPr>
                <w:color w:val="auto"/>
              </w:rPr>
            </w:pPr>
            <w:r w:rsidRPr="00CF176F">
              <w:rPr>
                <w:color w:val="auto"/>
              </w:rPr>
              <w:t>maintain and advocate for public sector professionalism and integrity.</w:t>
            </w:r>
          </w:p>
        </w:tc>
      </w:tr>
    </w:tbl>
    <w:p w14:paraId="51FD33DC" w14:textId="77777777" w:rsidR="00155AC5" w:rsidRDefault="00155AC5" w:rsidP="00155AC5">
      <w:pPr>
        <w:rPr>
          <w:rStyle w:val="FooterChar"/>
          <w:color w:val="1F4E79"/>
        </w:rPr>
      </w:pPr>
    </w:p>
    <w:p w14:paraId="4D3C3E5F" w14:textId="6742B1E4" w:rsidR="00F51413" w:rsidRDefault="00F51413" w:rsidP="00F51413">
      <w:pPr>
        <w:pStyle w:val="Heading1"/>
      </w:pPr>
    </w:p>
    <w:p w14:paraId="646045EE" w14:textId="575868D6" w:rsidR="0020678C" w:rsidRDefault="0020678C" w:rsidP="009F2C7A"/>
    <w:p w14:paraId="1F1FFCD5" w14:textId="77777777" w:rsidR="0020678C" w:rsidRDefault="0020678C" w:rsidP="009F2C7A"/>
    <w:p w14:paraId="6DB042BA" w14:textId="77777777" w:rsidR="0020678C" w:rsidRDefault="0020678C" w:rsidP="009F2C7A"/>
    <w:p w14:paraId="371A322D" w14:textId="77777777" w:rsidR="0020678C" w:rsidRDefault="0020678C" w:rsidP="009F2C7A"/>
    <w:p w14:paraId="5AE1186E" w14:textId="77777777" w:rsidR="0020678C" w:rsidRDefault="0020678C" w:rsidP="009F2C7A"/>
    <w:p w14:paraId="12E4B804" w14:textId="77777777" w:rsidR="0020678C" w:rsidRDefault="0020678C" w:rsidP="009F2C7A"/>
    <w:p w14:paraId="60C40F1F" w14:textId="77777777" w:rsidR="0020678C" w:rsidRDefault="0020678C" w:rsidP="009F2C7A"/>
    <w:p w14:paraId="0D860941" w14:textId="77777777" w:rsidR="0020678C" w:rsidRDefault="0020678C" w:rsidP="009F2C7A"/>
    <w:p w14:paraId="0BCE3075" w14:textId="77777777" w:rsidR="0020678C" w:rsidRDefault="0020678C" w:rsidP="009F2C7A"/>
    <w:p w14:paraId="1E3BB563" w14:textId="77777777" w:rsidR="0020678C" w:rsidRDefault="0020678C" w:rsidP="009F2C7A"/>
    <w:p w14:paraId="6664DD94" w14:textId="77777777" w:rsidR="0020678C" w:rsidRDefault="0020678C" w:rsidP="009F2C7A"/>
    <w:p w14:paraId="474637BB" w14:textId="77777777" w:rsidR="0020678C" w:rsidRDefault="0020678C" w:rsidP="009F2C7A"/>
    <w:p w14:paraId="620BE367" w14:textId="77777777" w:rsidR="0020678C" w:rsidRDefault="0020678C" w:rsidP="009F2C7A"/>
    <w:p w14:paraId="364831ED" w14:textId="77777777" w:rsidR="0020678C" w:rsidRDefault="0020678C" w:rsidP="009F2C7A"/>
    <w:p w14:paraId="24BE04F1" w14:textId="77777777" w:rsidR="0020678C" w:rsidRDefault="0020678C" w:rsidP="009F2C7A"/>
    <w:p w14:paraId="11E3A93A" w14:textId="77777777" w:rsidR="0020678C" w:rsidRDefault="0020678C" w:rsidP="009F2C7A"/>
    <w:p w14:paraId="13CA85CB" w14:textId="77777777" w:rsidR="0020678C" w:rsidRDefault="0020678C" w:rsidP="009F2C7A"/>
    <w:p w14:paraId="34EE1429" w14:textId="77777777" w:rsidR="0020678C" w:rsidRDefault="0020678C" w:rsidP="009F2C7A"/>
    <w:p w14:paraId="11C96B15" w14:textId="77777777" w:rsidR="0020678C" w:rsidRDefault="0020678C" w:rsidP="009F2C7A"/>
    <w:p w14:paraId="54911A20" w14:textId="4987206A" w:rsidR="004F0384" w:rsidRDefault="009F2C7A" w:rsidP="000603F0">
      <w:r w:rsidRPr="00E02831">
        <w:t xml:space="preserve">Copyright State of Victoria, </w:t>
      </w:r>
      <w:r w:rsidRPr="00E02831">
        <w:br/>
        <w:t xml:space="preserve">Department of Jobs, </w:t>
      </w:r>
      <w:r w:rsidR="0091326E">
        <w:t>Skills, Industry</w:t>
      </w:r>
      <w:r w:rsidR="0091326E" w:rsidRPr="005E284D">
        <w:t xml:space="preserve"> </w:t>
      </w:r>
      <w:r w:rsidRPr="005E284D">
        <w:t>and Regions</w:t>
      </w:r>
      <w:r w:rsidRPr="00E02831">
        <w:t xml:space="preserve"> </w:t>
      </w:r>
      <w:r w:rsidR="0091326E">
        <w:t>202</w:t>
      </w:r>
      <w:r w:rsidR="0060756C">
        <w:t>5</w:t>
      </w:r>
    </w:p>
    <w:sectPr w:rsidR="004F0384" w:rsidSect="004F0384">
      <w:headerReference w:type="even" r:id="rId202"/>
      <w:headerReference w:type="default" r:id="rId203"/>
      <w:footerReference w:type="default" r:id="rId204"/>
      <w:headerReference w:type="first" r:id="rId205"/>
      <w:pgSz w:w="11906" w:h="16838" w:code="9"/>
      <w:pgMar w:top="226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FB4BF" w14:textId="77777777" w:rsidR="00FA3AFD" w:rsidRDefault="00FA3AFD" w:rsidP="00123BB4">
      <w:r>
        <w:separator/>
      </w:r>
    </w:p>
  </w:endnote>
  <w:endnote w:type="continuationSeparator" w:id="0">
    <w:p w14:paraId="4210CDC1" w14:textId="77777777" w:rsidR="00FA3AFD" w:rsidRDefault="00FA3AFD" w:rsidP="00123BB4">
      <w:r>
        <w:continuationSeparator/>
      </w:r>
    </w:p>
  </w:endnote>
  <w:endnote w:type="continuationNotice" w:id="1">
    <w:p w14:paraId="67877867" w14:textId="77777777" w:rsidR="00FA3AFD" w:rsidRDefault="00FA3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IC">
    <w:panose1 w:val="000005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9012044"/>
      <w:docPartObj>
        <w:docPartGallery w:val="Page Numbers (Bottom of Page)"/>
        <w:docPartUnique/>
      </w:docPartObj>
    </w:sdtPr>
    <w:sdtContent>
      <w:p w14:paraId="07262AD0"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452263" w14:textId="77777777" w:rsidR="00A976CE" w:rsidRDefault="00A976CE" w:rsidP="00123BB4">
    <w:pPr>
      <w:pStyle w:val="Footer"/>
    </w:pPr>
    <w:r>
      <w:rPr>
        <w:noProof/>
      </w:rPr>
      <mc:AlternateContent>
        <mc:Choice Requires="wps">
          <w:drawing>
            <wp:inline distT="0" distB="0" distL="0" distR="0" wp14:anchorId="381532F5" wp14:editId="49FD3916">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80D72"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81532F5" id="_x0000_t202" coordsize="21600,21600" o:spt="202" path="m,l,21600r21600,l21600,xe">
              <v:stroke joinstyle="miter"/>
              <v:path gradientshapeok="t" o:connecttype="rect"/>
            </v:shapetype>
            <v:shape id="Text Box 57" o:spid="_x0000_s103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6780D72"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51C1" w14:textId="18982996" w:rsidR="00A976CE" w:rsidRDefault="00126477" w:rsidP="00123BB4">
    <w:pPr>
      <w:pStyle w:val="Footer"/>
    </w:pPr>
    <w:r>
      <w:rPr>
        <w:noProof/>
      </w:rPr>
      <mc:AlternateContent>
        <mc:Choice Requires="wps">
          <w:drawing>
            <wp:anchor distT="0" distB="0" distL="114300" distR="114300" simplePos="1" relativeHeight="251658275" behindDoc="0" locked="0" layoutInCell="0" allowOverlap="1" wp14:anchorId="20802FBE" wp14:editId="6615F55C">
              <wp:simplePos x="0" y="10249218"/>
              <wp:positionH relativeFrom="page">
                <wp:posOffset>0</wp:posOffset>
              </wp:positionH>
              <wp:positionV relativeFrom="page">
                <wp:posOffset>10248900</wp:posOffset>
              </wp:positionV>
              <wp:extent cx="7560310" cy="252095"/>
              <wp:effectExtent l="0" t="0" r="0" b="14605"/>
              <wp:wrapNone/>
              <wp:docPr id="31" name="MSIPCMf35d43ef932e4c1b27a0d6c8"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A4E7C" w14:textId="490B80E9" w:rsidR="00126477" w:rsidRPr="00126477" w:rsidRDefault="00126477" w:rsidP="00126477">
                          <w:pPr>
                            <w:spacing w:after="0"/>
                            <w:jc w:val="center"/>
                            <w:rPr>
                              <w:sz w:val="24"/>
                            </w:rPr>
                          </w:pPr>
                          <w:r w:rsidRPr="00126477">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802FBE" id="_x0000_t202" coordsize="21600,21600" o:spt="202" path="m,l,21600r21600,l21600,xe">
              <v:stroke joinstyle="miter"/>
              <v:path gradientshapeok="t" o:connecttype="rect"/>
            </v:shapetype>
            <v:shape id="MSIPCMf35d43ef932e4c1b27a0d6c8" o:spid="_x0000_s1033"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1F5A4E7C" w14:textId="490B80E9" w:rsidR="00126477" w:rsidRPr="00126477" w:rsidRDefault="00126477" w:rsidP="00126477">
                    <w:pPr>
                      <w:spacing w:after="0"/>
                      <w:jc w:val="center"/>
                      <w:rPr>
                        <w:sz w:val="24"/>
                      </w:rPr>
                    </w:pPr>
                    <w:r w:rsidRPr="00126477">
                      <w:rPr>
                        <w:sz w:val="24"/>
                      </w:rPr>
                      <w:t>OFFICIAL</w:t>
                    </w:r>
                  </w:p>
                </w:txbxContent>
              </v:textbox>
              <w10:wrap anchorx="page" anchory="page"/>
            </v:shape>
          </w:pict>
        </mc:Fallback>
      </mc:AlternateContent>
    </w:r>
    <w:r w:rsidR="0075202B">
      <w:rPr>
        <w:noProof/>
      </w:rPr>
      <mc:AlternateContent>
        <mc:Choice Requires="wps">
          <w:drawing>
            <wp:anchor distT="0" distB="0" distL="114300" distR="114300" simplePos="1" relativeHeight="251658265" behindDoc="0" locked="0" layoutInCell="0" allowOverlap="1" wp14:anchorId="1C47A157" wp14:editId="2349A801">
              <wp:simplePos x="0" y="10249218"/>
              <wp:positionH relativeFrom="page">
                <wp:posOffset>0</wp:posOffset>
              </wp:positionH>
              <wp:positionV relativeFrom="page">
                <wp:posOffset>10248900</wp:posOffset>
              </wp:positionV>
              <wp:extent cx="7560310" cy="252095"/>
              <wp:effectExtent l="0" t="0" r="0" b="14605"/>
              <wp:wrapNone/>
              <wp:docPr id="1" name="Text Box 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2FE4" w14:textId="237893A1" w:rsidR="0075202B" w:rsidRPr="0075202B" w:rsidRDefault="0075202B" w:rsidP="0075202B">
                          <w:pPr>
                            <w:spacing w:after="0"/>
                            <w:jc w:val="center"/>
                            <w:rPr>
                              <w:sz w:val="24"/>
                            </w:rPr>
                          </w:pPr>
                          <w:r w:rsidRPr="0075202B">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47A157" id="Text Box 1" o:spid="_x0000_s1034"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GTGAIAACs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iqpDfDHluojrieg555b/lK4Qxr&#10;5sMzc0g1jo3yDU94SA3YC04WJTW4X3/zx3xkAKOUtCidkvqfe+YEJfqHQW5ux9fXUWvpgoZ7790O&#10;XrNv7gFVOcYHYnkyY27QgykdNG+o7mXshiFmOPYs6XYw70MvZHwdXCyXKQlVZVlYm43lsXREMyL7&#10;0r0xZ0/wByTuEQZxseIDC31uz8NyH0CqRFHEt0fzBDsqMpF8ej1R8u/vKevyxhe/A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tyIGTGAIAACsEAAAOAAAAAAAAAAAAAAAAAC4CAABkcnMvZTJvRG9jLnhtbFBLAQItABQA&#10;BgAIAAAAIQBeog4O3wAAAAsBAAAPAAAAAAAAAAAAAAAAAHIEAABkcnMvZG93bnJldi54bWxQSwUG&#10;AAAAAAQABADzAAAAfgUAAAAA&#10;" o:allowincell="f" filled="f" stroked="f" strokeweight=".5pt">
              <v:textbox inset=",0,,0">
                <w:txbxContent>
                  <w:p w14:paraId="03C52FE4" w14:textId="237893A1" w:rsidR="0075202B" w:rsidRPr="0075202B" w:rsidRDefault="0075202B" w:rsidP="0075202B">
                    <w:pPr>
                      <w:spacing w:after="0"/>
                      <w:jc w:val="center"/>
                      <w:rPr>
                        <w:sz w:val="24"/>
                      </w:rPr>
                    </w:pPr>
                    <w:r w:rsidRPr="0075202B">
                      <w:rPr>
                        <w:sz w:val="24"/>
                      </w:rPr>
                      <w:t>OFFICIAL</w:t>
                    </w:r>
                  </w:p>
                </w:txbxContent>
              </v:textbox>
              <w10:wrap anchorx="page" anchory="page"/>
            </v:shape>
          </w:pict>
        </mc:Fallback>
      </mc:AlternateContent>
    </w:r>
    <w:r w:rsidR="00496F0D">
      <w:rPr>
        <w:noProof/>
      </w:rPr>
      <mc:AlternateContent>
        <mc:Choice Requires="wps">
          <w:drawing>
            <wp:anchor distT="0" distB="0" distL="114300" distR="114300" simplePos="1" relativeHeight="251658263" behindDoc="0" locked="0" layoutInCell="0" allowOverlap="1" wp14:anchorId="41D4062E" wp14:editId="2C9E37C6">
              <wp:simplePos x="0" y="10249218"/>
              <wp:positionH relativeFrom="page">
                <wp:posOffset>0</wp:posOffset>
              </wp:positionH>
              <wp:positionV relativeFrom="page">
                <wp:posOffset>10248900</wp:posOffset>
              </wp:positionV>
              <wp:extent cx="7560310" cy="252095"/>
              <wp:effectExtent l="0" t="0" r="0" b="14605"/>
              <wp:wrapNone/>
              <wp:docPr id="29" name="Text Box 29"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AB29F" w14:textId="225A1DD3" w:rsidR="00496F0D" w:rsidRPr="00496F0D" w:rsidRDefault="00496F0D" w:rsidP="00496F0D">
                          <w:pPr>
                            <w:spacing w:after="0"/>
                            <w:jc w:val="center"/>
                            <w:rPr>
                              <w:sz w:val="24"/>
                            </w:rPr>
                          </w:pPr>
                          <w:r w:rsidRPr="00496F0D">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1D4062E" id="Text Box 29" o:spid="_x0000_s1035"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AbGA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dRwAbGAIAACsEAAAOAAAAAAAAAAAAAAAAAC4CAABkcnMvZTJvRG9jLnhtbFBLAQItABQA&#10;BgAIAAAAIQBeog4O3wAAAAsBAAAPAAAAAAAAAAAAAAAAAHIEAABkcnMvZG93bnJldi54bWxQSwUG&#10;AAAAAAQABADzAAAAfgUAAAAA&#10;" o:allowincell="f" filled="f" stroked="f" strokeweight=".5pt">
              <v:textbox inset=",0,,0">
                <w:txbxContent>
                  <w:p w14:paraId="209AB29F" w14:textId="225A1DD3" w:rsidR="00496F0D" w:rsidRPr="00496F0D" w:rsidRDefault="00496F0D" w:rsidP="00496F0D">
                    <w:pPr>
                      <w:spacing w:after="0"/>
                      <w:jc w:val="center"/>
                      <w:rPr>
                        <w:sz w:val="24"/>
                      </w:rPr>
                    </w:pPr>
                    <w:r w:rsidRPr="00496F0D">
                      <w:rPr>
                        <w:sz w:val="24"/>
                      </w:rPr>
                      <w:t>OFFICIAL</w:t>
                    </w:r>
                  </w:p>
                </w:txbxContent>
              </v:textbox>
              <w10:wrap anchorx="page" anchory="page"/>
            </v:shape>
          </w:pict>
        </mc:Fallback>
      </mc:AlternateContent>
    </w:r>
    <w:r w:rsidR="00604C38">
      <w:rPr>
        <w:noProof/>
      </w:rPr>
      <mc:AlternateContent>
        <mc:Choice Requires="wps">
          <w:drawing>
            <wp:anchor distT="0" distB="0" distL="114300" distR="114300" simplePos="0" relativeHeight="251658254" behindDoc="0" locked="0" layoutInCell="0" allowOverlap="1" wp14:anchorId="4E197437" wp14:editId="2C949005">
              <wp:simplePos x="0" y="0"/>
              <wp:positionH relativeFrom="page">
                <wp:posOffset>0</wp:posOffset>
              </wp:positionH>
              <wp:positionV relativeFrom="page">
                <wp:posOffset>10249218</wp:posOffset>
              </wp:positionV>
              <wp:extent cx="7560310" cy="252095"/>
              <wp:effectExtent l="0" t="0" r="0" b="14605"/>
              <wp:wrapNone/>
              <wp:docPr id="4" name="Text Box 4"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148572" w14:textId="24125031" w:rsidR="00604C38" w:rsidRPr="00604C38" w:rsidRDefault="00604C38" w:rsidP="00604C38">
                          <w:pPr>
                            <w:spacing w:after="0"/>
                            <w:jc w:val="center"/>
                            <w:rPr>
                              <w:sz w:val="24"/>
                            </w:rPr>
                          </w:pPr>
                          <w:r w:rsidRPr="00604C38">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197437" id="Text Box 4" o:spid="_x0000_s1036" type="#_x0000_t202" alt="{&quot;HashCode&quot;:376260202,&quot;Height&quot;:841.0,&quot;Width&quot;:595.0,&quot;Placement&quot;:&quot;Footer&quot;,&quot;Index&quot;:&quot;Primary&quot;,&quot;Section&quot;:1,&quot;Top&quot;:0.0,&quot;Left&quot;:0.0}" style="position:absolute;left:0;text-align:left;margin-left:0;margin-top:807.05pt;width:595.3pt;height:19.8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2U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" o:allowincell="f" filled="f" stroked="f" strokeweight=".5pt">
              <v:textbox inset=",0,,0">
                <w:txbxContent>
                  <w:p w14:paraId="3C148572" w14:textId="24125031" w:rsidR="00604C38" w:rsidRPr="00604C38" w:rsidRDefault="00604C38" w:rsidP="00604C38">
                    <w:pPr>
                      <w:spacing w:after="0"/>
                      <w:jc w:val="center"/>
                      <w:rPr>
                        <w:sz w:val="24"/>
                      </w:rPr>
                    </w:pPr>
                    <w:r w:rsidRPr="00604C38">
                      <w:rPr>
                        <w:sz w:val="24"/>
                      </w:rPr>
                      <w:t>OFFICIAL</w:t>
                    </w:r>
                  </w:p>
                </w:txbxContent>
              </v:textbox>
              <w10:wrap anchorx="page" anchory="page"/>
            </v:shape>
          </w:pict>
        </mc:Fallback>
      </mc:AlternateContent>
    </w:r>
    <w:r w:rsidR="00915952">
      <w:rPr>
        <w:noProof/>
      </w:rPr>
      <mc:AlternateContent>
        <mc:Choice Requires="wps">
          <w:drawing>
            <wp:anchor distT="0" distB="0" distL="114300" distR="114300" simplePos="0" relativeHeight="251658245" behindDoc="0" locked="0" layoutInCell="0" allowOverlap="1" wp14:anchorId="070AD48B" wp14:editId="2C53B309">
              <wp:simplePos x="0" y="0"/>
              <wp:positionH relativeFrom="page">
                <wp:posOffset>0</wp:posOffset>
              </wp:positionH>
              <wp:positionV relativeFrom="page">
                <wp:posOffset>10249218</wp:posOffset>
              </wp:positionV>
              <wp:extent cx="7560310" cy="252095"/>
              <wp:effectExtent l="0" t="0" r="0" b="14605"/>
              <wp:wrapNone/>
              <wp:docPr id="2" name="Text Box 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68578" w14:textId="36D060C3" w:rsidR="00915952" w:rsidRPr="00915952" w:rsidRDefault="00915952" w:rsidP="00915952">
                          <w:pPr>
                            <w:spacing w:after="0"/>
                            <w:jc w:val="center"/>
                            <w:rPr>
                              <w:sz w:val="24"/>
                            </w:rPr>
                          </w:pPr>
                          <w:r w:rsidRPr="00915952">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0AD48B" id="Text Box 2" o:spid="_x0000_s1037" type="#_x0000_t202" alt="{&quot;HashCode&quot;:376260202,&quot;Height&quot;:841.0,&quot;Width&quot;:595.0,&quot;Placement&quot;:&quot;Footer&quot;,&quot;Index&quot;:&quot;Primary&quot;,&quot;Section&quot;:1,&quot;Top&quot;:0.0,&quot;Left&quot;:0.0}" style="position:absolute;left:0;text-align:left;margin-left:0;margin-top:807.0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wc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" o:allowincell="f" filled="f" stroked="f" strokeweight=".5pt">
              <v:textbox inset=",0,,0">
                <w:txbxContent>
                  <w:p w14:paraId="09B68578" w14:textId="36D060C3" w:rsidR="00915952" w:rsidRPr="00915952" w:rsidRDefault="00915952" w:rsidP="00915952">
                    <w:pPr>
                      <w:spacing w:after="0"/>
                      <w:jc w:val="center"/>
                      <w:rPr>
                        <w:sz w:val="24"/>
                      </w:rPr>
                    </w:pPr>
                    <w:r w:rsidRPr="00915952">
                      <w:rPr>
                        <w:sz w:val="24"/>
                      </w:rPr>
                      <w:t>OFFICIAL</w:t>
                    </w:r>
                  </w:p>
                </w:txbxContent>
              </v:textbox>
              <w10:wrap anchorx="page" anchory="page"/>
            </v:shape>
          </w:pict>
        </mc:Fallback>
      </mc:AlternateContent>
    </w:r>
    <w:r w:rsidR="00A976CE">
      <w:rPr>
        <w:noProof/>
      </w:rPr>
      <mc:AlternateContent>
        <mc:Choice Requires="wps">
          <w:drawing>
            <wp:inline distT="0" distB="0" distL="0" distR="0" wp14:anchorId="522B7883" wp14:editId="1C55670F">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8C64C"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 w14:anchorId="522B7883" id="Text Box 58" o:spid="_x0000_s103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76A8C64C"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8210" w14:textId="3AFA9351" w:rsidR="00A976CE" w:rsidRDefault="00126477" w:rsidP="00A976CE">
    <w:pPr>
      <w:pStyle w:val="Footer"/>
      <w:jc w:val="left"/>
    </w:pPr>
    <w:r>
      <w:rPr>
        <w:noProof/>
      </w:rPr>
      <mc:AlternateContent>
        <mc:Choice Requires="wps">
          <w:drawing>
            <wp:anchor distT="0" distB="0" distL="114300" distR="114300" simplePos="0" relativeHeight="251658276" behindDoc="0" locked="0" layoutInCell="0" allowOverlap="1" wp14:anchorId="39F25248" wp14:editId="5A3FB244">
              <wp:simplePos x="0" y="0"/>
              <wp:positionH relativeFrom="page">
                <wp:posOffset>0</wp:posOffset>
              </wp:positionH>
              <wp:positionV relativeFrom="page">
                <wp:posOffset>10248900</wp:posOffset>
              </wp:positionV>
              <wp:extent cx="7560310" cy="252095"/>
              <wp:effectExtent l="0" t="0" r="0" b="14605"/>
              <wp:wrapNone/>
              <wp:docPr id="33" name="MSIPCM8bc44f2f8fcf24d7cb0c570e"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FF5C1" w14:textId="5F8714FA" w:rsidR="00126477" w:rsidRPr="00126477" w:rsidRDefault="00126477" w:rsidP="00126477">
                          <w:pPr>
                            <w:spacing w:after="0"/>
                            <w:jc w:val="center"/>
                            <w:rPr>
                              <w:sz w:val="24"/>
                            </w:rPr>
                          </w:pPr>
                          <w:r w:rsidRPr="00126477">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F25248" id="_x0000_t202" coordsize="21600,21600" o:spt="202" path="m,l,21600r21600,l21600,xe">
              <v:stroke joinstyle="miter"/>
              <v:path gradientshapeok="t" o:connecttype="rect"/>
            </v:shapetype>
            <v:shape id="MSIPCM8bc44f2f8fcf24d7cb0c570e" o:spid="_x0000_s1043" type="#_x0000_t202" alt="{&quot;HashCode&quot;:376260202,&quot;Height&quot;:841.0,&quot;Width&quot;:595.0,&quot;Placement&quot;:&quot;Footer&quot;,&quot;Index&quot;:&quot;FirstPage&quot;,&quot;Section&quot;:1,&quot;Top&quot;:0.0,&quot;Left&quot;:0.0}" style="position:absolute;margin-left:0;margin-top:807pt;width:595.3pt;height:19.8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BGauZGAIAACwEAAAOAAAAAAAAAAAAAAAAAC4CAABkcnMvZTJvRG9jLnhtbFBLAQItABQA&#10;BgAIAAAAIQBeog4O3wAAAAsBAAAPAAAAAAAAAAAAAAAAAHIEAABkcnMvZG93bnJldi54bWxQSwUG&#10;AAAAAAQABADzAAAAfgUAAAAA&#10;" o:allowincell="f" filled="f" stroked="f" strokeweight=".5pt">
              <v:textbox inset=",0,,0">
                <w:txbxContent>
                  <w:p w14:paraId="2F0FF5C1" w14:textId="5F8714FA" w:rsidR="00126477" w:rsidRPr="00126477" w:rsidRDefault="00126477" w:rsidP="00126477">
                    <w:pPr>
                      <w:spacing w:after="0"/>
                      <w:jc w:val="center"/>
                      <w:rPr>
                        <w:sz w:val="24"/>
                      </w:rPr>
                    </w:pPr>
                    <w:r w:rsidRPr="00126477">
                      <w:rPr>
                        <w:sz w:val="24"/>
                      </w:rPr>
                      <w:t>OFFICIAL</w:t>
                    </w:r>
                  </w:p>
                </w:txbxContent>
              </v:textbox>
              <w10:wrap anchorx="page" anchory="page"/>
            </v:shape>
          </w:pict>
        </mc:Fallback>
      </mc:AlternateContent>
    </w:r>
    <w:r w:rsidR="0075202B">
      <w:rPr>
        <w:noProof/>
      </w:rPr>
      <mc:AlternateContent>
        <mc:Choice Requires="wps">
          <w:drawing>
            <wp:anchor distT="0" distB="0" distL="114300" distR="114300" simplePos="0" relativeHeight="251658266" behindDoc="0" locked="0" layoutInCell="0" allowOverlap="1" wp14:anchorId="579CCD76" wp14:editId="17CAFF68">
              <wp:simplePos x="0" y="0"/>
              <wp:positionH relativeFrom="page">
                <wp:posOffset>0</wp:posOffset>
              </wp:positionH>
              <wp:positionV relativeFrom="page">
                <wp:posOffset>10248900</wp:posOffset>
              </wp:positionV>
              <wp:extent cx="7560310" cy="252095"/>
              <wp:effectExtent l="0" t="0" r="0" b="14605"/>
              <wp:wrapNone/>
              <wp:docPr id="3" name="Text Box 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1BFB7" w14:textId="77567C2B" w:rsidR="0075202B" w:rsidRPr="0075202B" w:rsidRDefault="0075202B" w:rsidP="0075202B">
                          <w:pPr>
                            <w:spacing w:after="0"/>
                            <w:jc w:val="center"/>
                            <w:rPr>
                              <w:sz w:val="24"/>
                            </w:rPr>
                          </w:pPr>
                          <w:r w:rsidRPr="0075202B">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79CCD76" id="Text Box 3" o:spid="_x0000_s1044" type="#_x0000_t202" alt="{&quot;HashCode&quot;:376260202,&quot;Height&quot;:841.0,&quot;Width&quot;:595.0,&quot;Placement&quot;:&quot;Footer&quot;,&quot;Index&quot;:&quot;FirstPage&quot;,&quot;Section&quot;:1,&quot;Top&quot;:0.0,&quot;Left&quot;:0.0}" style="position:absolute;margin-left:0;margin-top:807pt;width:595.3pt;height:19.85pt;z-index:251658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cLGAIAACw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gK97gZFtlCdcT9HPTUe8tXCodY&#10;Mx+emUOucW7Ub3jCQ2rAZnCyKKnB/fqbP+YjBRilpEXtlNT/3DMnKNE/DJJzO76+jmJLFzTce+92&#10;8Jp9cw8oyzG+EMuTGXODHkzpoHlDeS9jNwwxw7FnSbeDeR96JePz4GK5TEkoK8vC2mwsj6UjnBHa&#10;l+6NOXvCPyBzjzCoixUfaOhzeyKW+wBSJY4iwD2aJ9xRkonl0/OJmn9/T1mXR774D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V0OcLGAIAACwEAAAOAAAAAAAAAAAAAAAAAC4CAABkcnMvZTJvRG9jLnhtbFBLAQItABQA&#10;BgAIAAAAIQBeog4O3wAAAAsBAAAPAAAAAAAAAAAAAAAAAHIEAABkcnMvZG93bnJldi54bWxQSwUG&#10;AAAAAAQABADzAAAAfgUAAAAA&#10;" o:allowincell="f" filled="f" stroked="f" strokeweight=".5pt">
              <v:textbox inset=",0,,0">
                <w:txbxContent>
                  <w:p w14:paraId="6261BFB7" w14:textId="77567C2B" w:rsidR="0075202B" w:rsidRPr="0075202B" w:rsidRDefault="0075202B" w:rsidP="0075202B">
                    <w:pPr>
                      <w:spacing w:after="0"/>
                      <w:jc w:val="center"/>
                      <w:rPr>
                        <w:sz w:val="24"/>
                      </w:rPr>
                    </w:pPr>
                    <w:r w:rsidRPr="0075202B">
                      <w:rPr>
                        <w:sz w:val="24"/>
                      </w:rPr>
                      <w:t>OFFICIAL</w:t>
                    </w:r>
                  </w:p>
                </w:txbxContent>
              </v:textbox>
              <w10:wrap anchorx="page" anchory="page"/>
            </v:shape>
          </w:pict>
        </mc:Fallback>
      </mc:AlternateContent>
    </w:r>
    <w:r w:rsidR="00496F0D">
      <w:rPr>
        <w:noProof/>
      </w:rPr>
      <mc:AlternateContent>
        <mc:Choice Requires="wps">
          <w:drawing>
            <wp:anchor distT="0" distB="0" distL="114300" distR="114300" simplePos="0" relativeHeight="251658264" behindDoc="0" locked="0" layoutInCell="0" allowOverlap="1" wp14:anchorId="0FEA33EB" wp14:editId="4FFC089D">
              <wp:simplePos x="0" y="0"/>
              <wp:positionH relativeFrom="page">
                <wp:posOffset>0</wp:posOffset>
              </wp:positionH>
              <wp:positionV relativeFrom="page">
                <wp:posOffset>10248900</wp:posOffset>
              </wp:positionV>
              <wp:extent cx="7560310" cy="252095"/>
              <wp:effectExtent l="0" t="0" r="0" b="14605"/>
              <wp:wrapNone/>
              <wp:docPr id="30" name="Text Box 30"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499FE8" w14:textId="5B9C5E28" w:rsidR="00496F0D" w:rsidRPr="00496F0D" w:rsidRDefault="00496F0D" w:rsidP="00496F0D">
                          <w:pPr>
                            <w:spacing w:after="0"/>
                            <w:jc w:val="center"/>
                            <w:rPr>
                              <w:sz w:val="24"/>
                            </w:rPr>
                          </w:pPr>
                          <w:r w:rsidRPr="00496F0D">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FEA33EB" id="Text Box 30" o:spid="_x0000_s1045" type="#_x0000_t202" alt="{&quot;HashCode&quot;:376260202,&quot;Height&quot;:841.0,&quot;Width&quot;:595.0,&quot;Placement&quot;:&quot;Footer&quot;,&quot;Index&quot;:&quot;FirstPage&quot;,&quot;Section&quot;:1,&quot;Top&quot;:0.0,&quot;Left&quot;:0.0}" style="position:absolute;margin-left:0;margin-top:807pt;width:595.3pt;height:19.8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aDGAIAACw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oK95gPi+ygOuF+DnrqveXrBofY&#10;MB+emUOucW7Ub3jCQyrAZnC2KKnB/fqbP+YjBRilpEXtlNT/PDAnKFHfDZIzH9/eRr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lX2aDGAIAACwEAAAOAAAAAAAAAAAAAAAAAC4CAABkcnMvZTJvRG9jLnhtbFBLAQItABQA&#10;BgAIAAAAIQBeog4O3wAAAAsBAAAPAAAAAAAAAAAAAAAAAHIEAABkcnMvZG93bnJldi54bWxQSwUG&#10;AAAAAAQABADzAAAAfgUAAAAA&#10;" o:allowincell="f" filled="f" stroked="f" strokeweight=".5pt">
              <v:textbox inset=",0,,0">
                <w:txbxContent>
                  <w:p w14:paraId="6E499FE8" w14:textId="5B9C5E28" w:rsidR="00496F0D" w:rsidRPr="00496F0D" w:rsidRDefault="00496F0D" w:rsidP="00496F0D">
                    <w:pPr>
                      <w:spacing w:after="0"/>
                      <w:jc w:val="center"/>
                      <w:rPr>
                        <w:sz w:val="24"/>
                      </w:rPr>
                    </w:pPr>
                    <w:r w:rsidRPr="00496F0D">
                      <w:rPr>
                        <w:sz w:val="24"/>
                      </w:rPr>
                      <w:t>OFFICIAL</w:t>
                    </w:r>
                  </w:p>
                </w:txbxContent>
              </v:textbox>
              <w10:wrap anchorx="page" anchory="page"/>
            </v:shape>
          </w:pict>
        </mc:Fallback>
      </mc:AlternateContent>
    </w:r>
    <w:r w:rsidR="00604C38">
      <w:rPr>
        <w:noProof/>
      </w:rPr>
      <mc:AlternateContent>
        <mc:Choice Requires="wps">
          <w:drawing>
            <wp:anchor distT="0" distB="0" distL="114300" distR="114300" simplePos="0" relativeHeight="251658255" behindDoc="0" locked="0" layoutInCell="0" allowOverlap="1" wp14:anchorId="243B97CE" wp14:editId="3EDF4549">
              <wp:simplePos x="0" y="0"/>
              <wp:positionH relativeFrom="page">
                <wp:posOffset>0</wp:posOffset>
              </wp:positionH>
              <wp:positionV relativeFrom="page">
                <wp:posOffset>10248900</wp:posOffset>
              </wp:positionV>
              <wp:extent cx="7560310" cy="252095"/>
              <wp:effectExtent l="0" t="0" r="0" b="14605"/>
              <wp:wrapNone/>
              <wp:docPr id="10" name="Text Box 10"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6A71CE" w14:textId="7C77C38A" w:rsidR="00604C38" w:rsidRPr="00604C38" w:rsidRDefault="00604C38" w:rsidP="00604C38">
                          <w:pPr>
                            <w:spacing w:after="0"/>
                            <w:jc w:val="center"/>
                            <w:rPr>
                              <w:sz w:val="24"/>
                            </w:rPr>
                          </w:pPr>
                          <w:r w:rsidRPr="00604C38">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43B97CE" id="Text Box 10" o:spid="_x0000_s1046" type="#_x0000_t202" alt="{&quot;HashCode&quot;:376260202,&quot;Height&quot;:841.0,&quot;Width&quot;:595.0,&quot;Placement&quot;:&quot;Footer&quot;,&quot;Index&quot;:&quot;FirstPage&quot;,&quot;Section&quot;:1,&quot;Top&quot;:0.0,&quot;Left&quot;:0.0}" style="position:absolute;margin-left:0;margin-top:807pt;width:595.3pt;height:19.8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OI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qcIjObXBtoDrifh4H64PhK4RAP&#10;LMRn5pFrnBv1G5/wkBqwGRwtSlrwv/7mT/lIAUYp6VA7NQ0/d8wLSvR3i+TcjK+vk9jyBQ3/1rs5&#10;ee3O3AHKcowvxPFsptyoT6b0YF5R3svUDUPMcuxZ083JvIuDkvF5cLFc5iSUlWPxwa4dT6UTnAna&#10;l/6VeXfEPyJzj3BSF6ve0TDkDkQsdxGkyhxd0DzijpLMLB+fT9L823vOujzyxW8A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Cco44gXAgAALAQAAA4AAAAAAAAAAAAAAAAALgIAAGRycy9lMm9Eb2MueG1sUEsBAi0AFAAG&#10;AAgAAAAhAF6iDg7fAAAACwEAAA8AAAAAAAAAAAAAAAAAcQQAAGRycy9kb3ducmV2LnhtbFBLBQYA&#10;AAAABAAEAPMAAAB9BQAAAAA=&#10;" o:allowincell="f" filled="f" stroked="f" strokeweight=".5pt">
              <v:textbox inset=",0,,0">
                <w:txbxContent>
                  <w:p w14:paraId="0E6A71CE" w14:textId="7C77C38A" w:rsidR="00604C38" w:rsidRPr="00604C38" w:rsidRDefault="00604C38" w:rsidP="00604C38">
                    <w:pPr>
                      <w:spacing w:after="0"/>
                      <w:jc w:val="center"/>
                      <w:rPr>
                        <w:sz w:val="24"/>
                      </w:rPr>
                    </w:pPr>
                    <w:r w:rsidRPr="00604C38">
                      <w:rPr>
                        <w:sz w:val="24"/>
                      </w:rPr>
                      <w:t>OFFICIAL</w:t>
                    </w:r>
                  </w:p>
                </w:txbxContent>
              </v:textbox>
              <w10:wrap anchorx="page" anchory="page"/>
            </v:shape>
          </w:pict>
        </mc:Fallback>
      </mc:AlternateContent>
    </w:r>
    <w:r w:rsidR="00915952">
      <w:rPr>
        <w:noProof/>
      </w:rPr>
      <mc:AlternateContent>
        <mc:Choice Requires="wps">
          <w:drawing>
            <wp:anchor distT="0" distB="0" distL="114300" distR="114300" simplePos="0" relativeHeight="251658251" behindDoc="0" locked="0" layoutInCell="0" allowOverlap="1" wp14:anchorId="48DF542C" wp14:editId="4E3ABEA8">
              <wp:simplePos x="0" y="0"/>
              <wp:positionH relativeFrom="page">
                <wp:posOffset>0</wp:posOffset>
              </wp:positionH>
              <wp:positionV relativeFrom="page">
                <wp:posOffset>10248900</wp:posOffset>
              </wp:positionV>
              <wp:extent cx="7560310" cy="252095"/>
              <wp:effectExtent l="0" t="0" r="0" b="14605"/>
              <wp:wrapNone/>
              <wp:docPr id="11" name="Text Box 11"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188B7A" w14:textId="74C59ABA" w:rsidR="00915952" w:rsidRPr="00915952" w:rsidRDefault="00915952" w:rsidP="00915952">
                          <w:pPr>
                            <w:spacing w:after="0"/>
                            <w:jc w:val="center"/>
                            <w:rPr>
                              <w:sz w:val="24"/>
                            </w:rPr>
                          </w:pPr>
                          <w:r w:rsidRPr="00915952">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DF542C" id="Text Box 11" o:spid="_x0000_s1047" type="#_x0000_t202" alt="{&quot;HashCode&quot;:376260202,&quot;Height&quot;:841.0,&quot;Width&quot;:595.0,&quot;Placement&quot;:&quot;Footer&quot;,&quot;Index&quot;:&quot;FirstPage&quot;,&quot;Section&quot;:1,&quot;Top&quot;:0.0,&quot;Left&quot;:0.0}" style="position:absolute;margin-left:0;margin-top:807pt;width:595.3pt;height:19.8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IA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qc4rzIBpoD7udhoD44vlI4xAML&#10;8Zl55BrnRv3GJzykBmwGR4uSFvyvv/lTPlKAUUo61E5Nw88d84IS/d0iOTfj6+sktnxBw7/1bk5e&#10;uzN3gLIc4wtxPJspN+qTKT2YV5T3MnXDELMce9Z0czLv4qBkfB5cLJc5CWXlWHywa8dT6QRngval&#10;f2XeHfGPyNwjnNTFqnc0DLkDEctdBKkyRwngAc0j7ijJzPLx+STNv73nrMsjX/wG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NenYgAXAgAALAQAAA4AAAAAAAAAAAAAAAAALgIAAGRycy9lMm9Eb2MueG1sUEsBAi0AFAAG&#10;AAgAAAAhAF6iDg7fAAAACwEAAA8AAAAAAAAAAAAAAAAAcQQAAGRycy9kb3ducmV2LnhtbFBLBQYA&#10;AAAABAAEAPMAAAB9BQAAAAA=&#10;" o:allowincell="f" filled="f" stroked="f" strokeweight=".5pt">
              <v:textbox inset=",0,,0">
                <w:txbxContent>
                  <w:p w14:paraId="39188B7A" w14:textId="74C59ABA" w:rsidR="00915952" w:rsidRPr="00915952" w:rsidRDefault="00915952" w:rsidP="00915952">
                    <w:pPr>
                      <w:spacing w:after="0"/>
                      <w:jc w:val="center"/>
                      <w:rPr>
                        <w:sz w:val="24"/>
                      </w:rPr>
                    </w:pPr>
                    <w:r w:rsidRPr="00915952">
                      <w:rPr>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1331" w14:textId="265FDFF0" w:rsidR="00DA23A2" w:rsidRDefault="00126477" w:rsidP="00123BB4">
    <w:pPr>
      <w:pStyle w:val="Footer"/>
    </w:pPr>
    <w:r>
      <w:rPr>
        <w:noProof/>
      </w:rPr>
      <mc:AlternateContent>
        <mc:Choice Requires="wps">
          <w:drawing>
            <wp:anchor distT="0" distB="0" distL="114300" distR="114300" simplePos="0" relativeHeight="251658277" behindDoc="0" locked="0" layoutInCell="0" allowOverlap="1" wp14:anchorId="471EAE90" wp14:editId="1BB0B2DC">
              <wp:simplePos x="0" y="0"/>
              <wp:positionH relativeFrom="page">
                <wp:posOffset>0</wp:posOffset>
              </wp:positionH>
              <wp:positionV relativeFrom="page">
                <wp:posOffset>10248900</wp:posOffset>
              </wp:positionV>
              <wp:extent cx="7560310" cy="252095"/>
              <wp:effectExtent l="0" t="0" r="0" b="14605"/>
              <wp:wrapNone/>
              <wp:docPr id="38" name="MSIPCMb6e74697bd9141f38ad31740"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1CEC13" w14:textId="0FDA367B" w:rsidR="00126477" w:rsidRPr="00126477" w:rsidRDefault="00126477" w:rsidP="00126477">
                          <w:pPr>
                            <w:spacing w:after="0"/>
                            <w:jc w:val="center"/>
                            <w:rPr>
                              <w:sz w:val="24"/>
                            </w:rPr>
                          </w:pPr>
                          <w:r w:rsidRPr="00126477">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1EAE90" id="_x0000_t202" coordsize="21600,21600" o:spt="202" path="m,l,21600r21600,l21600,xe">
              <v:stroke joinstyle="miter"/>
              <v:path gradientshapeok="t" o:connecttype="rect"/>
            </v:shapetype>
            <v:shape id="MSIPCMb6e74697bd9141f38ad31740" o:spid="_x0000_s1052"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FBAQNGAIAACwEAAAOAAAAAAAAAAAAAAAAAC4CAABkcnMvZTJvRG9jLnhtbFBLAQItABQA&#10;BgAIAAAAIQBeog4O3wAAAAsBAAAPAAAAAAAAAAAAAAAAAHIEAABkcnMvZG93bnJldi54bWxQSwUG&#10;AAAAAAQABADzAAAAfgUAAAAA&#10;" o:allowincell="f" filled="f" stroked="f" strokeweight=".5pt">
              <v:textbox inset=",0,,0">
                <w:txbxContent>
                  <w:p w14:paraId="651CEC13" w14:textId="0FDA367B" w:rsidR="00126477" w:rsidRPr="00126477" w:rsidRDefault="00126477" w:rsidP="00126477">
                    <w:pPr>
                      <w:spacing w:after="0"/>
                      <w:jc w:val="center"/>
                      <w:rPr>
                        <w:sz w:val="24"/>
                      </w:rPr>
                    </w:pPr>
                    <w:r w:rsidRPr="00126477">
                      <w:rPr>
                        <w:sz w:val="24"/>
                      </w:rPr>
                      <w:t>OFFICIAL</w:t>
                    </w:r>
                  </w:p>
                </w:txbxContent>
              </v:textbox>
              <w10:wrap anchorx="page" anchory="page"/>
            </v:shape>
          </w:pict>
        </mc:Fallback>
      </mc:AlternateContent>
    </w:r>
    <w:r w:rsidR="0075202B">
      <w:rPr>
        <w:noProof/>
      </w:rPr>
      <mc:AlternateContent>
        <mc:Choice Requires="wps">
          <w:drawing>
            <wp:anchor distT="0" distB="0" distL="114300" distR="114300" simplePos="0" relativeHeight="251658267" behindDoc="0" locked="0" layoutInCell="0" allowOverlap="1" wp14:anchorId="2AB6804A" wp14:editId="63100DE8">
              <wp:simplePos x="0" y="0"/>
              <wp:positionH relativeFrom="page">
                <wp:posOffset>0</wp:posOffset>
              </wp:positionH>
              <wp:positionV relativeFrom="page">
                <wp:posOffset>10248900</wp:posOffset>
              </wp:positionV>
              <wp:extent cx="7560310" cy="252095"/>
              <wp:effectExtent l="0" t="0" r="0" b="14605"/>
              <wp:wrapNone/>
              <wp:docPr id="24" name="Text Box 24"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C978EE" w14:textId="7FE7F9AB" w:rsidR="0075202B" w:rsidRPr="0075202B" w:rsidRDefault="0075202B" w:rsidP="0075202B">
                          <w:pPr>
                            <w:spacing w:after="0"/>
                            <w:jc w:val="center"/>
                            <w:rPr>
                              <w:sz w:val="24"/>
                            </w:rPr>
                          </w:pPr>
                          <w:r w:rsidRPr="0075202B">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AB6804A" id="Text Box 24" o:spid="_x0000_s1053"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1i4WFGAIAACwEAAAOAAAAAAAAAAAAAAAAAC4CAABkcnMvZTJvRG9jLnhtbFBLAQItABQA&#10;BgAIAAAAIQBeog4O3wAAAAsBAAAPAAAAAAAAAAAAAAAAAHIEAABkcnMvZG93bnJldi54bWxQSwUG&#10;AAAAAAQABADzAAAAfgUAAAAA&#10;" o:allowincell="f" filled="f" stroked="f" strokeweight=".5pt">
              <v:textbox inset=",0,,0">
                <w:txbxContent>
                  <w:p w14:paraId="35C978EE" w14:textId="7FE7F9AB" w:rsidR="0075202B" w:rsidRPr="0075202B" w:rsidRDefault="0075202B" w:rsidP="0075202B">
                    <w:pPr>
                      <w:spacing w:after="0"/>
                      <w:jc w:val="center"/>
                      <w:rPr>
                        <w:sz w:val="24"/>
                      </w:rPr>
                    </w:pPr>
                    <w:r w:rsidRPr="0075202B">
                      <w:rPr>
                        <w:sz w:val="24"/>
                      </w:rPr>
                      <w:t>OFFICIAL</w:t>
                    </w:r>
                  </w:p>
                </w:txbxContent>
              </v:textbox>
              <w10:wrap anchorx="page" anchory="page"/>
            </v:shape>
          </w:pict>
        </mc:Fallback>
      </mc:AlternateContent>
    </w:r>
    <w:r w:rsidR="00604C38">
      <w:rPr>
        <w:noProof/>
      </w:rPr>
      <mc:AlternateContent>
        <mc:Choice Requires="wps">
          <w:drawing>
            <wp:anchor distT="0" distB="0" distL="114300" distR="114300" simplePos="0" relativeHeight="251658256" behindDoc="0" locked="0" layoutInCell="0" allowOverlap="1" wp14:anchorId="49AE0D13" wp14:editId="26F4E5E0">
              <wp:simplePos x="0" y="0"/>
              <wp:positionH relativeFrom="page">
                <wp:posOffset>0</wp:posOffset>
              </wp:positionH>
              <wp:positionV relativeFrom="page">
                <wp:posOffset>10248900</wp:posOffset>
              </wp:positionV>
              <wp:extent cx="7560310" cy="252095"/>
              <wp:effectExtent l="0" t="0" r="0" b="14605"/>
              <wp:wrapNone/>
              <wp:docPr id="13" name="Text Box 13"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08C29" w14:textId="0BFA774C" w:rsidR="00604C38" w:rsidRPr="00604C38" w:rsidRDefault="00604C38" w:rsidP="00604C38">
                          <w:pPr>
                            <w:spacing w:after="0"/>
                            <w:jc w:val="center"/>
                            <w:rPr>
                              <w:sz w:val="24"/>
                            </w:rPr>
                          </w:pPr>
                          <w:r w:rsidRPr="00604C38">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AE0D13" id="Text Box 13" o:spid="_x0000_s1054"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kXGAIAACw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gKp7gZFtlCdcT9HPTUe8tXCodY&#10;Mx+emUOucW7Ub3jCQ2rAZnCyKKnB/fqbP+YjBRilpEXtlNT/3DMnKNE/DJJzO76+jmJLFzTce+92&#10;8Jp9cw8oyzG+EMuTGXODHkzpoHlDeS9jNwwxw7FnSbeDeR96JePz4GK5TEkoK8vC2mwsj6UjnBHa&#10;l+6NOXvCPyBzjzCoixUfaOhzeyKW+wBSJY4iwD2aJ9xRkonl0/OJmn9/T1mXR774D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hQskXGAIAACwEAAAOAAAAAAAAAAAAAAAAAC4CAABkcnMvZTJvRG9jLnhtbFBLAQItABQA&#10;BgAIAAAAIQBeog4O3wAAAAsBAAAPAAAAAAAAAAAAAAAAAHIEAABkcnMvZG93bnJldi54bWxQSwUG&#10;AAAAAAQABADzAAAAfgUAAAAA&#10;" o:allowincell="f" filled="f" stroked="f" strokeweight=".5pt">
              <v:textbox inset=",0,,0">
                <w:txbxContent>
                  <w:p w14:paraId="3AA08C29" w14:textId="0BFA774C" w:rsidR="00604C38" w:rsidRPr="00604C38" w:rsidRDefault="00604C38" w:rsidP="00604C38">
                    <w:pPr>
                      <w:spacing w:after="0"/>
                      <w:jc w:val="center"/>
                      <w:rPr>
                        <w:sz w:val="24"/>
                      </w:rPr>
                    </w:pPr>
                    <w:r w:rsidRPr="00604C38">
                      <w:rPr>
                        <w:sz w:val="24"/>
                      </w:rPr>
                      <w:t>OFFICIAL</w:t>
                    </w:r>
                  </w:p>
                </w:txbxContent>
              </v:textbox>
              <w10:wrap anchorx="page" anchory="page"/>
            </v:shape>
          </w:pict>
        </mc:Fallback>
      </mc:AlternateContent>
    </w:r>
    <w:r w:rsidR="00915952">
      <w:rPr>
        <w:noProof/>
      </w:rPr>
      <mc:AlternateContent>
        <mc:Choice Requires="wps">
          <w:drawing>
            <wp:anchor distT="0" distB="0" distL="114300" distR="114300" simplePos="0" relativeHeight="251658252" behindDoc="0" locked="0" layoutInCell="0" allowOverlap="1" wp14:anchorId="17F4694A" wp14:editId="645ED14D">
              <wp:simplePos x="0" y="0"/>
              <wp:positionH relativeFrom="page">
                <wp:posOffset>0</wp:posOffset>
              </wp:positionH>
              <wp:positionV relativeFrom="page">
                <wp:posOffset>10248900</wp:posOffset>
              </wp:positionV>
              <wp:extent cx="7560310" cy="252095"/>
              <wp:effectExtent l="0" t="0" r="0" b="14605"/>
              <wp:wrapNone/>
              <wp:docPr id="12" name="Text Box 12"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BC31F6" w14:textId="6CEE23E5" w:rsidR="00915952" w:rsidRPr="00915952" w:rsidRDefault="00915952" w:rsidP="00915952">
                          <w:pPr>
                            <w:spacing w:after="0"/>
                            <w:jc w:val="center"/>
                            <w:rPr>
                              <w:sz w:val="24"/>
                            </w:rPr>
                          </w:pPr>
                          <w:r w:rsidRPr="00915952">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F4694A" id="Text Box 12" o:spid="_x0000_s1055"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ifGAIAACw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oKp5gPi+ygOuF+DnrqveXrBofY&#10;MB+emUOucW7Ub3jCQyrAZnC2KKnB/fqbP+YjBRilpEXtlNT/PDAnKFHfDZIzH9/eRr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RzUifGAIAACwEAAAOAAAAAAAAAAAAAAAAAC4CAABkcnMvZTJvRG9jLnhtbFBLAQItABQA&#10;BgAIAAAAIQBeog4O3wAAAAsBAAAPAAAAAAAAAAAAAAAAAHIEAABkcnMvZG93bnJldi54bWxQSwUG&#10;AAAAAAQABADzAAAAfgUAAAAA&#10;" o:allowincell="f" filled="f" stroked="f" strokeweight=".5pt">
              <v:textbox inset=",0,,0">
                <w:txbxContent>
                  <w:p w14:paraId="70BC31F6" w14:textId="6CEE23E5" w:rsidR="00915952" w:rsidRPr="00915952" w:rsidRDefault="00915952" w:rsidP="00915952">
                    <w:pPr>
                      <w:spacing w:after="0"/>
                      <w:jc w:val="center"/>
                      <w:rPr>
                        <w:sz w:val="24"/>
                      </w:rPr>
                    </w:pPr>
                    <w:r w:rsidRPr="00915952">
                      <w:rPr>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A93A" w14:textId="359B0708" w:rsidR="00ED56B2" w:rsidRDefault="007D1F4A" w:rsidP="00477880">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58278" behindDoc="0" locked="0" layoutInCell="0" allowOverlap="1" wp14:anchorId="176999EC" wp14:editId="61D925E4">
              <wp:simplePos x="0" y="0"/>
              <wp:positionH relativeFrom="page">
                <wp:posOffset>0</wp:posOffset>
              </wp:positionH>
              <wp:positionV relativeFrom="page">
                <wp:posOffset>10248900</wp:posOffset>
              </wp:positionV>
              <wp:extent cx="7560310" cy="252095"/>
              <wp:effectExtent l="0" t="0" r="0" b="14605"/>
              <wp:wrapNone/>
              <wp:docPr id="17" name="MSIPCM0cad4a85b6aceb6d56a5b644"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615A33" w14:textId="1DABE6B7" w:rsidR="007D1F4A" w:rsidRPr="007D1F4A" w:rsidRDefault="007D1F4A" w:rsidP="007D1F4A">
                          <w:pPr>
                            <w:spacing w:after="0"/>
                            <w:jc w:val="center"/>
                            <w:rPr>
                              <w:sz w:val="24"/>
                            </w:rPr>
                          </w:pPr>
                          <w:r w:rsidRPr="007D1F4A">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6999EC" id="_x0000_t202" coordsize="21600,21600" o:spt="202" path="m,l,21600r21600,l21600,xe">
              <v:stroke joinstyle="miter"/>
              <v:path gradientshapeok="t" o:connecttype="rect"/>
            </v:shapetype>
            <v:shape id="MSIPCM0cad4a85b6aceb6d56a5b644" o:spid="_x0000_s1061" type="#_x0000_t202" alt="{&quot;HashCode&quot;:376260202,&quot;Height&quot;:841.0,&quot;Width&quot;:595.0,&quot;Placement&quot;:&quot;Footer&quot;,&quot;Index&quot;:&quot;Primary&quot;,&quot;Section&quot;:3,&quot;Top&quot;:0.0,&quot;Left&quot;:0.0}" style="position:absolute;left:0;text-align:left;margin-left:0;margin-top:807pt;width:595.3pt;height:19.8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LyFwIAACwEAAAOAAAAZHJzL2Uyb0RvYy54bWysU99v2jAQfp+0/8Hy+0iAwt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T4dY4hjbDKb5LezWCa7/m2dD98EaBKNkjqkJaHF&#10;jhsf+tRzSmxmYN0olahRhrQlnU9nefrhEsHiymCP66zRCt2uI01V0mmaILp2UJ1wPwc99d7ydYND&#10;bJgPz8wh1zg36jc84SEVYDMYLEpqcL/+5o/5SAFGKWlROyX1Pw/MCUrUd4Pk3I5vbqLY0gUN99a7&#10;O3vNQd8DynKML8TyZMbcoM6mdKBfUd6r2A1DzHDsWdLd2bwPvZLxeXCxWqUklJVlYWO2lsfSEc4I&#10;7Uv3ypwd8A/I3COc1cWKdzT0uT0Rq0MA2SSOrmgOuKMkE8vD84maf3tPWddHvvw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EfhwvIXAgAALAQAAA4AAAAAAAAAAAAAAAAALgIAAGRycy9lMm9Eb2MueG1sUEsBAi0AFAAG&#10;AAgAAAAhAF6iDg7fAAAACwEAAA8AAAAAAAAAAAAAAAAAcQQAAGRycy9kb3ducmV2LnhtbFBLBQYA&#10;AAAABAAEAPMAAAB9BQAAAAA=&#10;" o:allowincell="f" filled="f" stroked="f" strokeweight=".5pt">
              <v:textbox inset=",0,,0">
                <w:txbxContent>
                  <w:p w14:paraId="58615A33" w14:textId="1DABE6B7" w:rsidR="007D1F4A" w:rsidRPr="007D1F4A" w:rsidRDefault="007D1F4A" w:rsidP="007D1F4A">
                    <w:pPr>
                      <w:spacing w:after="0"/>
                      <w:jc w:val="center"/>
                      <w:rPr>
                        <w:sz w:val="24"/>
                      </w:rPr>
                    </w:pPr>
                    <w:r w:rsidRPr="007D1F4A">
                      <w:rPr>
                        <w:sz w:val="24"/>
                      </w:rPr>
                      <w:t>OFFICIAL</w:t>
                    </w:r>
                  </w:p>
                </w:txbxContent>
              </v:textbox>
              <w10:wrap anchorx="page" anchory="page"/>
            </v:shape>
          </w:pict>
        </mc:Fallback>
      </mc:AlternateContent>
    </w:r>
    <w:r w:rsidR="0075202B">
      <w:rPr>
        <w:noProof/>
      </w:rPr>
      <mc:AlternateContent>
        <mc:Choice Requires="wps">
          <w:drawing>
            <wp:anchor distT="0" distB="0" distL="114300" distR="114300" simplePos="0" relativeHeight="251658268" behindDoc="0" locked="0" layoutInCell="0" allowOverlap="1" wp14:anchorId="3172526F" wp14:editId="387B8B93">
              <wp:simplePos x="0" y="0"/>
              <wp:positionH relativeFrom="page">
                <wp:posOffset>0</wp:posOffset>
              </wp:positionH>
              <wp:positionV relativeFrom="page">
                <wp:posOffset>10248900</wp:posOffset>
              </wp:positionV>
              <wp:extent cx="7560310" cy="252095"/>
              <wp:effectExtent l="0" t="0" r="0" b="14605"/>
              <wp:wrapNone/>
              <wp:docPr id="25" name="Text Box 25"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AFCEC9" w14:textId="24EAB973" w:rsidR="0075202B" w:rsidRPr="0075202B" w:rsidRDefault="0075202B" w:rsidP="0075202B">
                          <w:pPr>
                            <w:spacing w:after="0"/>
                            <w:jc w:val="center"/>
                            <w:rPr>
                              <w:sz w:val="24"/>
                            </w:rPr>
                          </w:pPr>
                          <w:r w:rsidRPr="0075202B">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72526F" id="Text Box 25" o:spid="_x0000_s1062" type="#_x0000_t202" alt="{&quot;HashCode&quot;:376260202,&quot;Height&quot;:841.0,&quot;Width&quot;:595.0,&quot;Placement&quot;:&quot;Footer&quot;,&quot;Index&quot;:&quot;Primary&quot;,&quot;Section&quot;:3,&quot;Top&quot;:0.0,&quot;Left&quot;:0.0}" style="position:absolute;left:0;text-align:left;margin-left:0;margin-top:807pt;width:595.3pt;height:19.85pt;z-index:251658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GwGQ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" o:allowincell="f" filled="f" stroked="f" strokeweight=".5pt">
              <v:textbox inset=",0,,0">
                <w:txbxContent>
                  <w:p w14:paraId="7DAFCEC9" w14:textId="24EAB973" w:rsidR="0075202B" w:rsidRPr="0075202B" w:rsidRDefault="0075202B" w:rsidP="0075202B">
                    <w:pPr>
                      <w:spacing w:after="0"/>
                      <w:jc w:val="center"/>
                      <w:rPr>
                        <w:sz w:val="24"/>
                      </w:rPr>
                    </w:pPr>
                    <w:r w:rsidRPr="0075202B">
                      <w:rPr>
                        <w:sz w:val="24"/>
                      </w:rPr>
                      <w:t>OFFICIAL</w:t>
                    </w:r>
                  </w:p>
                </w:txbxContent>
              </v:textbox>
              <w10:wrap anchorx="page" anchory="page"/>
            </v:shape>
          </w:pict>
        </mc:Fallback>
      </mc:AlternateContent>
    </w:r>
    <w:r w:rsidR="00530788">
      <w:rPr>
        <w:noProof/>
      </w:rPr>
      <mc:AlternateContent>
        <mc:Choice Requires="wps">
          <w:drawing>
            <wp:anchor distT="0" distB="0" distL="114300" distR="114300" simplePos="0" relativeHeight="251658257" behindDoc="0" locked="0" layoutInCell="0" allowOverlap="1" wp14:anchorId="5F574828" wp14:editId="6D51CA6A">
              <wp:simplePos x="0" y="0"/>
              <wp:positionH relativeFrom="page">
                <wp:posOffset>0</wp:posOffset>
              </wp:positionH>
              <wp:positionV relativeFrom="page">
                <wp:posOffset>10248900</wp:posOffset>
              </wp:positionV>
              <wp:extent cx="7560310" cy="252095"/>
              <wp:effectExtent l="0" t="0" r="0" b="14605"/>
              <wp:wrapNone/>
              <wp:docPr id="14" name="Text Box 14"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13A9A9" w14:textId="3BD93B40" w:rsidR="00530788" w:rsidRPr="00530788" w:rsidRDefault="00530788" w:rsidP="00530788">
                          <w:pPr>
                            <w:spacing w:after="0"/>
                            <w:jc w:val="center"/>
                            <w:rPr>
                              <w:sz w:val="24"/>
                            </w:rPr>
                          </w:pPr>
                          <w:r w:rsidRPr="00530788">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574828" id="Text Box 14" o:spid="_x0000_s1063" type="#_x0000_t202" alt="{&quot;HashCode&quot;:376260202,&quot;Height&quot;:841.0,&quot;Width&quot;:595.0,&quot;Placement&quot;:&quot;Footer&quot;,&quot;Index&quot;:&quot;Primary&quot;,&quot;Section&quot;:3,&quot;Top&quot;:0.0,&quot;Left&quot;:0.0}" style="position:absolute;left:0;text-align:left;margin-left:0;margin-top:807pt;width:595.3pt;height:19.8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" o:allowincell="f" filled="f" stroked="f" strokeweight=".5pt">
              <v:textbox inset=",0,,0">
                <w:txbxContent>
                  <w:p w14:paraId="5313A9A9" w14:textId="3BD93B40" w:rsidR="00530788" w:rsidRPr="00530788" w:rsidRDefault="00530788" w:rsidP="00530788">
                    <w:pPr>
                      <w:spacing w:after="0"/>
                      <w:jc w:val="center"/>
                      <w:rPr>
                        <w:sz w:val="24"/>
                      </w:rPr>
                    </w:pPr>
                    <w:r w:rsidRPr="00530788">
                      <w:rPr>
                        <w:sz w:val="24"/>
                      </w:rPr>
                      <w:t>OFFICIAL</w:t>
                    </w:r>
                  </w:p>
                </w:txbxContent>
              </v:textbox>
              <w10:wrap anchorx="page" anchory="page"/>
            </v:shape>
          </w:pict>
        </mc:Fallback>
      </mc:AlternateContent>
    </w:r>
    <w:r w:rsidR="00915952">
      <w:rPr>
        <w:noProof/>
      </w:rPr>
      <mc:AlternateContent>
        <mc:Choice Requires="wps">
          <w:drawing>
            <wp:anchor distT="0" distB="0" distL="114300" distR="114300" simplePos="0" relativeHeight="251658246" behindDoc="0" locked="0" layoutInCell="0" allowOverlap="1" wp14:anchorId="0D13B34C" wp14:editId="7DB18C6E">
              <wp:simplePos x="0" y="0"/>
              <wp:positionH relativeFrom="page">
                <wp:posOffset>0</wp:posOffset>
              </wp:positionH>
              <wp:positionV relativeFrom="page">
                <wp:posOffset>10248900</wp:posOffset>
              </wp:positionV>
              <wp:extent cx="7560310" cy="252095"/>
              <wp:effectExtent l="0" t="0" r="0" b="14605"/>
              <wp:wrapNone/>
              <wp:docPr id="5" name="Text Box 5"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F8B74" w14:textId="2273731A" w:rsidR="00915952" w:rsidRPr="00915952" w:rsidRDefault="00915952" w:rsidP="00915952">
                          <w:pPr>
                            <w:spacing w:after="0"/>
                            <w:jc w:val="center"/>
                            <w:rPr>
                              <w:sz w:val="24"/>
                            </w:rPr>
                          </w:pPr>
                          <w:r w:rsidRPr="00915952">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D13B34C" id="Text Box 5" o:spid="_x0000_s1064" type="#_x0000_t202" alt="{&quot;HashCode&quot;:376260202,&quot;Height&quot;:841.0,&quot;Width&quot;:595.0,&quot;Placement&quot;:&quot;Footer&quot;,&quot;Index&quot;:&quot;Primary&quot;,&quot;Section&quot;:3,&quot;Top&quot;:0.0,&quot;Left&quot;:0.0}" style="position:absolute;left:0;text-align:left;margin-left:0;margin-top:807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" o:allowincell="f" filled="f" stroked="f" strokeweight=".5pt">
              <v:textbox inset=",0,,0">
                <w:txbxContent>
                  <w:p w14:paraId="3A7F8B74" w14:textId="2273731A" w:rsidR="00915952" w:rsidRPr="00915952" w:rsidRDefault="00915952" w:rsidP="00915952">
                    <w:pPr>
                      <w:spacing w:after="0"/>
                      <w:jc w:val="center"/>
                      <w:rPr>
                        <w:sz w:val="24"/>
                      </w:rPr>
                    </w:pPr>
                    <w:r w:rsidRPr="00915952">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ED56B2" w:rsidRPr="00FB0DEA" w14:paraId="7F58F08A" w14:textId="77777777" w:rsidTr="004033A2">
              <w:tc>
                <w:tcPr>
                  <w:tcW w:w="3402" w:type="dxa"/>
                  <w:vAlign w:val="center"/>
                </w:tcPr>
                <w:p w14:paraId="1CF102F2" w14:textId="197539AD" w:rsidR="00ED56B2" w:rsidRPr="005723C8" w:rsidRDefault="009263C1" w:rsidP="00ED56B2">
                  <w:pPr>
                    <w:pStyle w:val="Footer"/>
                    <w:spacing w:after="0"/>
                    <w:jc w:val="left"/>
                  </w:pPr>
                  <w:fldSimple w:instr="STYLEREF  Title  \* MERGEFORMAT">
                    <w:r w:rsidR="0060188E">
                      <w:rPr>
                        <w:noProof/>
                      </w:rPr>
                      <w:t>Guide to Good Governance and Portfolio performance</w:t>
                    </w:r>
                  </w:fldSimple>
                </w:p>
              </w:tc>
              <w:tc>
                <w:tcPr>
                  <w:tcW w:w="2410" w:type="dxa"/>
                  <w:vAlign w:val="center"/>
                </w:tcPr>
                <w:p w14:paraId="650AAE8A" w14:textId="5713395B"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60188E">
                    <w:rPr>
                      <w:rStyle w:val="PageNumber"/>
                      <w:noProof/>
                    </w:rPr>
                    <w:t>10</w:t>
                  </w:r>
                  <w:r>
                    <w:rPr>
                      <w:rStyle w:val="PageNumber"/>
                    </w:rPr>
                    <w:fldChar w:fldCharType="end"/>
                  </w:r>
                </w:p>
              </w:tc>
              <w:tc>
                <w:tcPr>
                  <w:tcW w:w="4211" w:type="dxa"/>
                </w:tcPr>
                <w:p w14:paraId="65D6DFEA" w14:textId="77777777" w:rsidR="00ED56B2" w:rsidRPr="00FB0DEA" w:rsidRDefault="00ED56B2" w:rsidP="00ED56B2">
                  <w:pPr>
                    <w:pStyle w:val="Footer"/>
                    <w:spacing w:after="0"/>
                    <w:jc w:val="right"/>
                  </w:pPr>
                  <w:r w:rsidRPr="00EE5398">
                    <w:rPr>
                      <w:noProof/>
                      <w:lang w:val="en-GB" w:eastAsia="en-GB"/>
                    </w:rPr>
                    <w:drawing>
                      <wp:inline distT="0" distB="0" distL="0" distR="0" wp14:anchorId="2E0E6578" wp14:editId="3D1D6AF5">
                        <wp:extent cx="1335600" cy="402043"/>
                        <wp:effectExtent l="0" t="0" r="0" b="0"/>
                        <wp:docPr id="23" name="Picture 23"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1210EADA" w14:textId="77777777" w:rsidR="00ED56B2" w:rsidRPr="005723C8" w:rsidRDefault="00ED56B2" w:rsidP="00ED56B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7EBF0" w14:textId="77777777" w:rsidR="00FA3AFD" w:rsidRDefault="00FA3AFD" w:rsidP="00123BB4">
      <w:r>
        <w:separator/>
      </w:r>
    </w:p>
  </w:footnote>
  <w:footnote w:type="continuationSeparator" w:id="0">
    <w:p w14:paraId="5454D2ED" w14:textId="77777777" w:rsidR="00FA3AFD" w:rsidRDefault="00FA3AFD" w:rsidP="00123BB4">
      <w:r>
        <w:continuationSeparator/>
      </w:r>
    </w:p>
  </w:footnote>
  <w:footnote w:type="continuationNotice" w:id="1">
    <w:p w14:paraId="2F0DBE86" w14:textId="77777777" w:rsidR="00FA3AFD" w:rsidRDefault="00FA3AFD">
      <w:pPr>
        <w:spacing w:after="0" w:line="240" w:lineRule="auto"/>
      </w:pPr>
    </w:p>
  </w:footnote>
  <w:footnote w:id="2">
    <w:p w14:paraId="5371E33E" w14:textId="77777777" w:rsidR="00FB199D" w:rsidRDefault="00FB199D" w:rsidP="00FB199D">
      <w:pPr>
        <w:pStyle w:val="FootnoteText"/>
      </w:pPr>
      <w:r>
        <w:rPr>
          <w:rStyle w:val="FootnoteReference"/>
        </w:rPr>
        <w:footnoteRef/>
      </w:r>
      <w:r>
        <w:t xml:space="preserve"> S</w:t>
      </w:r>
      <w:r w:rsidRPr="008B5155">
        <w:t>ection</w:t>
      </w:r>
      <w:r>
        <w:t>s</w:t>
      </w:r>
      <w:r w:rsidRPr="008B5155">
        <w:t xml:space="preserve"> 23C</w:t>
      </w:r>
      <w:r>
        <w:t xml:space="preserve"> and 23D</w:t>
      </w:r>
      <w:r w:rsidRPr="008B5155">
        <w:t xml:space="preserve"> of the FMA</w:t>
      </w:r>
      <w:r>
        <w:t xml:space="preserve"> set out principles of sound financial management.</w:t>
      </w:r>
    </w:p>
  </w:footnote>
  <w:footnote w:id="3">
    <w:p w14:paraId="544DE14F" w14:textId="4D182BB9" w:rsidR="00F91460" w:rsidRPr="00D51766" w:rsidRDefault="00F91460" w:rsidP="00F91460">
      <w:pPr>
        <w:spacing w:after="120"/>
        <w:ind w:left="284" w:hanging="284"/>
        <w:rPr>
          <w:sz w:val="16"/>
        </w:rPr>
      </w:pPr>
      <w:r w:rsidRPr="00D51766">
        <w:rPr>
          <w:rStyle w:val="FootnoteReference"/>
          <w:sz w:val="16"/>
        </w:rPr>
        <w:footnoteRef/>
      </w:r>
      <w:r w:rsidRPr="00D51766">
        <w:rPr>
          <w:sz w:val="16"/>
        </w:rPr>
        <w:t xml:space="preserve"> </w:t>
      </w:r>
      <w:r w:rsidRPr="00D51766">
        <w:rPr>
          <w:i/>
          <w:sz w:val="16"/>
        </w:rPr>
        <w:t xml:space="preserve">‘Is your </w:t>
      </w:r>
      <w:r w:rsidR="00C81471">
        <w:rPr>
          <w:i/>
          <w:sz w:val="16"/>
        </w:rPr>
        <w:t>entity</w:t>
      </w:r>
      <w:r w:rsidRPr="00D51766">
        <w:rPr>
          <w:i/>
          <w:sz w:val="16"/>
        </w:rPr>
        <w:t xml:space="preserve"> subject to the Standing Directions under the Financial Management Act?</w:t>
      </w:r>
      <w:r w:rsidRPr="00D51766">
        <w:rPr>
          <w:sz w:val="16"/>
        </w:rPr>
        <w:t xml:space="preserve">’ Department of Treasury and Finance, </w:t>
      </w:r>
      <w:hyperlink r:id="rId1" w:history="1">
        <w:r w:rsidRPr="00D51766">
          <w:rPr>
            <w:rStyle w:val="Hyperlink"/>
            <w:color w:val="53565A"/>
            <w:sz w:val="16"/>
          </w:rPr>
          <w:t>www.dtf.vic.gov.au</w:t>
        </w:r>
      </w:hyperlink>
    </w:p>
  </w:footnote>
  <w:footnote w:id="4">
    <w:p w14:paraId="1345D58A" w14:textId="77777777" w:rsidR="00C154A3" w:rsidRPr="009A51D2" w:rsidRDefault="00C154A3" w:rsidP="00C154A3">
      <w:pPr>
        <w:pStyle w:val="bodycopy"/>
        <w:rPr>
          <w:sz w:val="16"/>
          <w:szCs w:val="16"/>
        </w:rPr>
      </w:pPr>
      <w:r w:rsidRPr="00D51766">
        <w:rPr>
          <w:rStyle w:val="FootnoteReference"/>
          <w:sz w:val="16"/>
          <w:szCs w:val="16"/>
        </w:rPr>
        <w:footnoteRef/>
      </w:r>
      <w:r w:rsidRPr="00D51766">
        <w:rPr>
          <w:sz w:val="16"/>
          <w:szCs w:val="16"/>
        </w:rPr>
        <w:t xml:space="preserve"> Public Non-Financial Corporations are required to report against their approved Corporate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ACE0D" w14:textId="43576DE0" w:rsidR="00A976CE" w:rsidRDefault="00A976CE" w:rsidP="00123BB4">
    <w:pPr>
      <w:pStyle w:val="Header"/>
    </w:pPr>
    <w:r>
      <w:rPr>
        <w:noProof/>
      </w:rPr>
      <mc:AlternateContent>
        <mc:Choice Requires="wps">
          <w:drawing>
            <wp:anchor distT="0" distB="0" distL="0" distR="0" simplePos="0" relativeHeight="251658242" behindDoc="0" locked="0" layoutInCell="1" allowOverlap="1" wp14:anchorId="398B573A" wp14:editId="408EFC09">
              <wp:simplePos x="635" y="635"/>
              <wp:positionH relativeFrom="page">
                <wp:align>center</wp:align>
              </wp:positionH>
              <wp:positionV relativeFrom="page">
                <wp:align>top</wp:align>
              </wp:positionV>
              <wp:extent cx="443865" cy="443865"/>
              <wp:effectExtent l="0" t="0" r="12065" b="25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999CE"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8B573A" id="_x0000_t202" coordsize="21600,21600" o:spt="202" path="m,l,21600r21600,l21600,xe">
              <v:stroke joinstyle="miter"/>
              <v:path gradientshapeok="t" o:connecttype="rect"/>
            </v:shapetype>
            <v:shape id="Text Box 55"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CD999CE" w14:textId="77777777" w:rsidR="00A976CE" w:rsidRPr="00E6749C" w:rsidRDefault="00A976CE" w:rsidP="00123BB4">
                    <w:pPr>
                      <w:rPr>
                        <w:noProof/>
                      </w:rPr>
                    </w:pPr>
                    <w:r w:rsidRPr="00E6749C">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892DD" w14:textId="0C1EFF1F" w:rsidR="00A976CE" w:rsidRDefault="007D1F4A" w:rsidP="00123BB4">
    <w:pPr>
      <w:pStyle w:val="Header"/>
    </w:pPr>
    <w:r>
      <w:rPr>
        <w:noProof/>
      </w:rPr>
      <mc:AlternateContent>
        <mc:Choice Requires="wps">
          <w:drawing>
            <wp:anchor distT="0" distB="0" distL="114300" distR="114300" simplePos="1" relativeHeight="251658279" behindDoc="0" locked="0" layoutInCell="0" allowOverlap="1" wp14:anchorId="110DAE5B" wp14:editId="5AA0AD1E">
              <wp:simplePos x="0" y="190500"/>
              <wp:positionH relativeFrom="page">
                <wp:posOffset>0</wp:posOffset>
              </wp:positionH>
              <wp:positionV relativeFrom="page">
                <wp:posOffset>190500</wp:posOffset>
              </wp:positionV>
              <wp:extent cx="7560310" cy="252095"/>
              <wp:effectExtent l="0" t="0" r="0" b="14605"/>
              <wp:wrapNone/>
              <wp:docPr id="39" name="MSIPCM49534542968371a102e8333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B01A3" w14:textId="5A63245E" w:rsidR="007D1F4A" w:rsidRPr="007D1F4A" w:rsidRDefault="007D1F4A" w:rsidP="007D1F4A">
                          <w:pPr>
                            <w:spacing w:after="0"/>
                            <w:jc w:val="center"/>
                            <w:rPr>
                              <w:sz w:val="24"/>
                            </w:rPr>
                          </w:pPr>
                          <w:r w:rsidRPr="007D1F4A">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0DAE5B" id="_x0000_t202" coordsize="21600,21600" o:spt="202" path="m,l,21600r21600,l21600,xe">
              <v:stroke joinstyle="miter"/>
              <v:path gradientshapeok="t" o:connecttype="rect"/>
            </v:shapetype>
            <v:shape id="MSIPCM49534542968371a102e83330" o:spid="_x0000_s1027" type="#_x0000_t202" alt="{&quot;HashCode&quot;:352122633,&quot;Height&quot;:841.0,&quot;Width&quot;:595.0,&quot;Placement&quot;:&quot;Header&quot;,&quot;Index&quot;:&quot;Primary&quot;,&quot;Section&quot;:1,&quot;Top&quot;:0.0,&quot;Left&quot;:0.0}" style="position:absolute;margin-left:0;margin-top:15pt;width:595.3pt;height:19.85pt;z-index:25165827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79B01A3" w14:textId="5A63245E" w:rsidR="007D1F4A" w:rsidRPr="007D1F4A" w:rsidRDefault="007D1F4A" w:rsidP="007D1F4A">
                    <w:pPr>
                      <w:spacing w:after="0"/>
                      <w:jc w:val="center"/>
                      <w:rPr>
                        <w:sz w:val="24"/>
                      </w:rPr>
                    </w:pPr>
                    <w:r w:rsidRPr="007D1F4A">
                      <w:rPr>
                        <w:sz w:val="24"/>
                      </w:rPr>
                      <w:t>OFFICIAL</w:t>
                    </w:r>
                  </w:p>
                </w:txbxContent>
              </v:textbox>
              <w10:wrap anchorx="page" anchory="page"/>
            </v:shape>
          </w:pict>
        </mc:Fallback>
      </mc:AlternateContent>
    </w:r>
    <w:r w:rsidR="006D768E">
      <w:rPr>
        <w:noProof/>
      </w:rPr>
      <mc:AlternateContent>
        <mc:Choice Requires="wps">
          <w:drawing>
            <wp:anchor distT="0" distB="0" distL="114300" distR="114300" simplePos="1" relativeHeight="251658269" behindDoc="0" locked="0" layoutInCell="0" allowOverlap="1" wp14:anchorId="0836E34F" wp14:editId="317C5797">
              <wp:simplePos x="0" y="190500"/>
              <wp:positionH relativeFrom="page">
                <wp:posOffset>0</wp:posOffset>
              </wp:positionH>
              <wp:positionV relativeFrom="page">
                <wp:posOffset>190500</wp:posOffset>
              </wp:positionV>
              <wp:extent cx="7560310" cy="252095"/>
              <wp:effectExtent l="0" t="0" r="0" b="14605"/>
              <wp:wrapNone/>
              <wp:docPr id="26" name="Text Box 2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04AB6" w14:textId="7AFB92C4" w:rsidR="006D768E" w:rsidRPr="006D768E" w:rsidRDefault="006D768E" w:rsidP="006D768E">
                          <w:pPr>
                            <w:spacing w:after="0"/>
                            <w:jc w:val="center"/>
                            <w:rPr>
                              <w:sz w:val="24"/>
                            </w:rPr>
                          </w:pPr>
                          <w:r w:rsidRPr="006D768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836E34F" id="Text Box 26" o:spid="_x0000_s1028" type="#_x0000_t202" alt="{&quot;HashCode&quot;:352122633,&quot;Height&quot;:841.0,&quot;Width&quot;:595.0,&quot;Placement&quot;:&quot;Header&quot;,&quot;Index&quot;:&quot;Primary&quot;,&quot;Section&quot;:1,&quot;Top&quot;:0.0,&quot;Left&quot;:0.0}" style="position:absolute;margin-left:0;margin-top:15pt;width:595.3pt;height:19.85pt;z-index:2516582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20F04AB6" w14:textId="7AFB92C4" w:rsidR="006D768E" w:rsidRPr="006D768E" w:rsidRDefault="006D768E" w:rsidP="006D768E">
                    <w:pPr>
                      <w:spacing w:after="0"/>
                      <w:jc w:val="center"/>
                      <w:rPr>
                        <w:sz w:val="24"/>
                      </w:rPr>
                    </w:pPr>
                    <w:r w:rsidRPr="006D768E">
                      <w:rPr>
                        <w:sz w:val="24"/>
                      </w:rPr>
                      <w:t>OFFICIAL</w:t>
                    </w:r>
                  </w:p>
                </w:txbxContent>
              </v:textbox>
              <w10:wrap anchorx="page" anchory="page"/>
            </v:shape>
          </w:pict>
        </mc:Fallback>
      </mc:AlternateContent>
    </w:r>
    <w:r w:rsidR="00530788">
      <w:rPr>
        <w:noProof/>
      </w:rPr>
      <mc:AlternateContent>
        <mc:Choice Requires="wps">
          <w:drawing>
            <wp:anchor distT="0" distB="0" distL="114300" distR="114300" simplePos="0" relativeHeight="251658258" behindDoc="0" locked="0" layoutInCell="0" allowOverlap="1" wp14:anchorId="71F17746" wp14:editId="65AF14A1">
              <wp:simplePos x="0" y="0"/>
              <wp:positionH relativeFrom="page">
                <wp:posOffset>0</wp:posOffset>
              </wp:positionH>
              <wp:positionV relativeFrom="page">
                <wp:posOffset>190500</wp:posOffset>
              </wp:positionV>
              <wp:extent cx="7560310" cy="252095"/>
              <wp:effectExtent l="0" t="0" r="0" b="14605"/>
              <wp:wrapNone/>
              <wp:docPr id="18" name="Text Box 18"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B36B1" w14:textId="769508A5" w:rsidR="00530788" w:rsidRPr="00530788" w:rsidRDefault="00530788" w:rsidP="00530788">
                          <w:pPr>
                            <w:spacing w:after="0"/>
                            <w:jc w:val="center"/>
                            <w:rPr>
                              <w:sz w:val="24"/>
                            </w:rPr>
                          </w:pPr>
                          <w:r w:rsidRPr="00530788">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1F17746" id="Text Box 18" o:spid="_x0000_s1029" type="#_x0000_t202" alt="{&quot;HashCode&quot;:352122633,&quot;Height&quot;:841.0,&quot;Width&quot;:595.0,&quot;Placement&quot;:&quot;Header&quot;,&quot;Index&quot;:&quot;Primary&quot;,&quot;Section&quot;:1,&quot;Top&quot;:0.0,&quot;Left&quot;:0.0}" style="position:absolute;margin-left:0;margin-top:15pt;width:595.3pt;height:19.85pt;z-index:25165825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4ACB36B1" w14:textId="769508A5" w:rsidR="00530788" w:rsidRPr="00530788" w:rsidRDefault="00530788" w:rsidP="00530788">
                    <w:pPr>
                      <w:spacing w:after="0"/>
                      <w:jc w:val="center"/>
                      <w:rPr>
                        <w:sz w:val="24"/>
                      </w:rPr>
                    </w:pPr>
                    <w:r w:rsidRPr="00530788">
                      <w:rPr>
                        <w:sz w:val="24"/>
                      </w:rPr>
                      <w:t>OFFICIAL</w:t>
                    </w:r>
                  </w:p>
                </w:txbxContent>
              </v:textbox>
              <w10:wrap anchorx="page" anchory="page"/>
            </v:shape>
          </w:pict>
        </mc:Fallback>
      </mc:AlternateContent>
    </w:r>
    <w:r w:rsidR="00915952">
      <w:rPr>
        <w:noProof/>
      </w:rPr>
      <mc:AlternateContent>
        <mc:Choice Requires="wps">
          <w:drawing>
            <wp:anchor distT="0" distB="0" distL="114300" distR="114300" simplePos="0" relativeHeight="251658247" behindDoc="0" locked="0" layoutInCell="0" allowOverlap="1" wp14:anchorId="59C261B3" wp14:editId="0DA35294">
              <wp:simplePos x="0" y="0"/>
              <wp:positionH relativeFrom="page">
                <wp:posOffset>0</wp:posOffset>
              </wp:positionH>
              <wp:positionV relativeFrom="page">
                <wp:posOffset>190500</wp:posOffset>
              </wp:positionV>
              <wp:extent cx="7560310" cy="252095"/>
              <wp:effectExtent l="0" t="0" r="0" b="14605"/>
              <wp:wrapNone/>
              <wp:docPr id="6" name="Text Box 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5623AB" w14:textId="5DC79A8A" w:rsidR="00915952" w:rsidRPr="00915952" w:rsidRDefault="00915952" w:rsidP="00915952">
                          <w:pPr>
                            <w:spacing w:after="0"/>
                            <w:jc w:val="center"/>
                            <w:rPr>
                              <w:sz w:val="24"/>
                            </w:rPr>
                          </w:pPr>
                          <w:r w:rsidRPr="00915952">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9C261B3" id="Text Box 6" o:spid="_x0000_s1030" type="#_x0000_t202" alt="{&quot;HashCode&quot;:352122633,&quot;Height&quot;:841.0,&quot;Width&quot;:595.0,&quot;Placement&quot;:&quot;Header&quot;,&quot;Index&quot;:&quot;Primary&quot;,&quot;Section&quot;:1,&quot;Top&quot;:0.0,&quot;Left&quot;:0.0}" style="position:absolute;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3F5623AB" w14:textId="5DC79A8A" w:rsidR="00915952" w:rsidRPr="00915952" w:rsidRDefault="00915952" w:rsidP="00915952">
                    <w:pPr>
                      <w:spacing w:after="0"/>
                      <w:jc w:val="center"/>
                      <w:rPr>
                        <w:sz w:val="24"/>
                      </w:rPr>
                    </w:pPr>
                    <w:r w:rsidRPr="00915952">
                      <w:rPr>
                        <w:sz w:val="24"/>
                      </w:rPr>
                      <w:t>OFFICIAL</w:t>
                    </w:r>
                  </w:p>
                </w:txbxContent>
              </v:textbox>
              <w10:wrap anchorx="page" anchory="page"/>
            </v:shape>
          </w:pict>
        </mc:Fallback>
      </mc:AlternateContent>
    </w:r>
    <w:r w:rsidR="00A976CE">
      <w:rPr>
        <w:noProof/>
      </w:rPr>
      <mc:AlternateContent>
        <mc:Choice Requires="wps">
          <w:drawing>
            <wp:anchor distT="0" distB="0" distL="0" distR="0" simplePos="0" relativeHeight="251658243" behindDoc="0" locked="0" layoutInCell="1" allowOverlap="1" wp14:anchorId="18F0A68A" wp14:editId="4867B60B">
              <wp:simplePos x="0" y="0"/>
              <wp:positionH relativeFrom="page">
                <wp:align>center</wp:align>
              </wp:positionH>
              <wp:positionV relativeFrom="page">
                <wp:align>top</wp:align>
              </wp:positionV>
              <wp:extent cx="443865" cy="443865"/>
              <wp:effectExtent l="0" t="0" r="12065" b="25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EE2E6E"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8F0A68A" id="Text Box 56"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2EE2E6E" w14:textId="77777777" w:rsidR="00A976CE" w:rsidRPr="00E6749C" w:rsidRDefault="00A976CE" w:rsidP="00123BB4">
                    <w:pPr>
                      <w:rPr>
                        <w:noProof/>
                      </w:rPr>
                    </w:pPr>
                    <w:r w:rsidRPr="00E6749C">
                      <w:rPr>
                        <w:noProof/>
                      </w:rPr>
                      <w:t>OFFICIAL</w:t>
                    </w:r>
                  </w:p>
                </w:txbxContent>
              </v:textbox>
              <w10:wrap anchorx="page" anchory="page"/>
            </v:shape>
          </w:pict>
        </mc:Fallback>
      </mc:AlternateContent>
    </w:r>
    <w:r w:rsidR="00A976CE">
      <w:rPr>
        <w:noProof/>
      </w:rPr>
      <w:drawing>
        <wp:anchor distT="0" distB="0" distL="114300" distR="114300" simplePos="0" relativeHeight="251658241" behindDoc="1" locked="1" layoutInCell="1" allowOverlap="1" wp14:anchorId="03CBE99E" wp14:editId="11D9246B">
          <wp:simplePos x="0" y="0"/>
          <wp:positionH relativeFrom="page">
            <wp:align>left</wp:align>
          </wp:positionH>
          <wp:positionV relativeFrom="page">
            <wp:align>top</wp:align>
          </wp:positionV>
          <wp:extent cx="7553325" cy="10684510"/>
          <wp:effectExtent l="0" t="0" r="9525" b="254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72A7" w14:textId="76A216F3" w:rsidR="00A976CE" w:rsidRDefault="007D1F4A" w:rsidP="00123BB4">
    <w:pPr>
      <w:pStyle w:val="Header"/>
    </w:pPr>
    <w:r>
      <w:rPr>
        <w:noProof/>
      </w:rPr>
      <mc:AlternateContent>
        <mc:Choice Requires="wps">
          <w:drawing>
            <wp:anchor distT="0" distB="0" distL="114300" distR="114300" simplePos="0" relativeHeight="251658280" behindDoc="0" locked="0" layoutInCell="0" allowOverlap="1" wp14:anchorId="6DAF71CE" wp14:editId="4CF80E07">
              <wp:simplePos x="0" y="0"/>
              <wp:positionH relativeFrom="page">
                <wp:posOffset>0</wp:posOffset>
              </wp:positionH>
              <wp:positionV relativeFrom="page">
                <wp:posOffset>190500</wp:posOffset>
              </wp:positionV>
              <wp:extent cx="7560310" cy="252095"/>
              <wp:effectExtent l="0" t="0" r="0" b="14605"/>
              <wp:wrapNone/>
              <wp:docPr id="40" name="MSIPCMce894916bc9bd3c21757fdfb"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CED070" w14:textId="7B3D307A" w:rsidR="007D1F4A" w:rsidRPr="007D1F4A" w:rsidRDefault="007D1F4A" w:rsidP="007D1F4A">
                          <w:pPr>
                            <w:spacing w:after="0"/>
                            <w:jc w:val="center"/>
                            <w:rPr>
                              <w:sz w:val="24"/>
                            </w:rPr>
                          </w:pPr>
                          <w:r w:rsidRPr="007D1F4A">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DAF71CE" id="_x0000_t202" coordsize="21600,21600" o:spt="202" path="m,l,21600r21600,l21600,xe">
              <v:stroke joinstyle="miter"/>
              <v:path gradientshapeok="t" o:connecttype="rect"/>
            </v:shapetype>
            <v:shape id="MSIPCMce894916bc9bd3c21757fdfb" o:spid="_x0000_s1039" type="#_x0000_t202" alt="{&quot;HashCode&quot;:352122633,&quot;Height&quot;:841.0,&quot;Width&quot;:595.0,&quot;Placement&quot;:&quot;Header&quot;,&quot;Index&quot;:&quot;FirstPage&quot;,&quot;Section&quot;:1,&quot;Top&quot;:0.0,&quot;Left&quot;:0.0}" style="position:absolute;margin-left:0;margin-top:15pt;width:595.3pt;height:19.85pt;z-index:2516582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qv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e0yHRXZQnXA/Bz313vJ1g0Ns&#10;mA/PzCHXODfqNzzhIRVgMzhblNTgfv3NH/ORAoxS0qJ2Sup/HpgTlKjvBsm5Hd/cRL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L3BqvGAIAACwEAAAOAAAAAAAAAAAAAAAAAC4CAABkcnMvZTJvRG9jLnhtbFBLAQItABQABgAI&#10;AAAAIQCgivhk3AAAAAcBAAAPAAAAAAAAAAAAAAAAAHIEAABkcnMvZG93bnJldi54bWxQSwUGAAAA&#10;AAQABADzAAAAewUAAAAA&#10;" o:allowincell="f" filled="f" stroked="f" strokeweight=".5pt">
              <v:textbox inset=",0,,0">
                <w:txbxContent>
                  <w:p w14:paraId="60CED070" w14:textId="7B3D307A" w:rsidR="007D1F4A" w:rsidRPr="007D1F4A" w:rsidRDefault="007D1F4A" w:rsidP="007D1F4A">
                    <w:pPr>
                      <w:spacing w:after="0"/>
                      <w:jc w:val="center"/>
                      <w:rPr>
                        <w:sz w:val="24"/>
                      </w:rPr>
                    </w:pPr>
                    <w:r w:rsidRPr="007D1F4A">
                      <w:rPr>
                        <w:sz w:val="24"/>
                      </w:rPr>
                      <w:t>OFFICIAL</w:t>
                    </w:r>
                  </w:p>
                </w:txbxContent>
              </v:textbox>
              <w10:wrap anchorx="page" anchory="page"/>
            </v:shape>
          </w:pict>
        </mc:Fallback>
      </mc:AlternateContent>
    </w:r>
    <w:r w:rsidR="006D768E">
      <w:rPr>
        <w:noProof/>
      </w:rPr>
      <mc:AlternateContent>
        <mc:Choice Requires="wps">
          <w:drawing>
            <wp:anchor distT="0" distB="0" distL="114300" distR="114300" simplePos="0" relativeHeight="251658270" behindDoc="0" locked="0" layoutInCell="0" allowOverlap="1" wp14:anchorId="334DBE7E" wp14:editId="58A9A637">
              <wp:simplePos x="0" y="0"/>
              <wp:positionH relativeFrom="page">
                <wp:posOffset>0</wp:posOffset>
              </wp:positionH>
              <wp:positionV relativeFrom="page">
                <wp:posOffset>190500</wp:posOffset>
              </wp:positionV>
              <wp:extent cx="7560310" cy="252095"/>
              <wp:effectExtent l="0" t="0" r="0" b="14605"/>
              <wp:wrapNone/>
              <wp:docPr id="27" name="Text Box 27"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C9529F" w14:textId="0975BBD1" w:rsidR="006D768E" w:rsidRPr="006D768E" w:rsidRDefault="006D768E" w:rsidP="006D768E">
                          <w:pPr>
                            <w:spacing w:after="0"/>
                            <w:jc w:val="center"/>
                            <w:rPr>
                              <w:sz w:val="24"/>
                            </w:rPr>
                          </w:pPr>
                          <w:r w:rsidRPr="006D768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34DBE7E" id="Text Box 27" o:spid="_x0000_s1040" type="#_x0000_t202" alt="{&quot;HashCode&quot;:352122633,&quot;Height&quot;:841.0,&quot;Width&quot;:595.0,&quot;Placement&quot;:&quot;Header&quot;,&quot;Index&quot;:&quot;FirstPage&quot;,&quot;Section&quot;:1,&quot;Top&quot;:0.0,&quot;Left&quot;:0.0}" style="position:absolute;margin-left:0;margin-top:15pt;width:595.3pt;height:19.85pt;z-index:2516582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yi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QV7jEdFtlBdcL9HPTUe8vXDQ6x&#10;YT48M4dc49yo3/CEh1SAzeBsUVKD+/U3f8xHCjBKSYvaKan/eWBOUKK+GyTndjydRr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CZf3yiGAIAACwEAAAOAAAAAAAAAAAAAAAAAC4CAABkcnMvZTJvRG9jLnhtbFBLAQItABQABgAI&#10;AAAAIQCgivhk3AAAAAcBAAAPAAAAAAAAAAAAAAAAAHIEAABkcnMvZG93bnJldi54bWxQSwUGAAAA&#10;AAQABADzAAAAewUAAAAA&#10;" o:allowincell="f" filled="f" stroked="f" strokeweight=".5pt">
              <v:textbox inset=",0,,0">
                <w:txbxContent>
                  <w:p w14:paraId="35C9529F" w14:textId="0975BBD1" w:rsidR="006D768E" w:rsidRPr="006D768E" w:rsidRDefault="006D768E" w:rsidP="006D768E">
                    <w:pPr>
                      <w:spacing w:after="0"/>
                      <w:jc w:val="center"/>
                      <w:rPr>
                        <w:sz w:val="24"/>
                      </w:rPr>
                    </w:pPr>
                    <w:r w:rsidRPr="006D768E">
                      <w:rPr>
                        <w:sz w:val="24"/>
                      </w:rPr>
                      <w:t>OFFICIAL</w:t>
                    </w:r>
                  </w:p>
                </w:txbxContent>
              </v:textbox>
              <w10:wrap anchorx="page" anchory="page"/>
            </v:shape>
          </w:pict>
        </mc:Fallback>
      </mc:AlternateContent>
    </w:r>
    <w:r w:rsidR="00530788">
      <w:rPr>
        <w:noProof/>
      </w:rPr>
      <mc:AlternateContent>
        <mc:Choice Requires="wps">
          <w:drawing>
            <wp:anchor distT="0" distB="0" distL="114300" distR="114300" simplePos="0" relativeHeight="251658259" behindDoc="0" locked="0" layoutInCell="0" allowOverlap="1" wp14:anchorId="4579E9D2" wp14:editId="5D6CE2C6">
              <wp:simplePos x="0" y="0"/>
              <wp:positionH relativeFrom="page">
                <wp:posOffset>0</wp:posOffset>
              </wp:positionH>
              <wp:positionV relativeFrom="page">
                <wp:posOffset>190500</wp:posOffset>
              </wp:positionV>
              <wp:extent cx="7560310" cy="252095"/>
              <wp:effectExtent l="0" t="0" r="0" b="14605"/>
              <wp:wrapNone/>
              <wp:docPr id="19" name="Text Box 19"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D167A5" w14:textId="5BFF70F9" w:rsidR="00530788" w:rsidRPr="00530788" w:rsidRDefault="00530788" w:rsidP="00530788">
                          <w:pPr>
                            <w:spacing w:after="0"/>
                            <w:jc w:val="center"/>
                            <w:rPr>
                              <w:sz w:val="24"/>
                            </w:rPr>
                          </w:pPr>
                          <w:r w:rsidRPr="00530788">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579E9D2" id="Text Box 19" o:spid="_x0000_s1041" type="#_x0000_t202" alt="{&quot;HashCode&quot;:352122633,&quot;Height&quot;:841.0,&quot;Width&quot;:595.0,&quot;Placement&quot;:&quot;Header&quot;,&quot;Index&quot;:&quot;FirstPage&quot;,&quot;Section&quot;:1,&quot;Top&quot;:0.0,&quot;Left&quot;:0.0}" style="position:absolute;margin-left:0;margin-top:15pt;width:595.3pt;height:19.85pt;z-index:25165825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0q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0+Q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afD9KhYCAAAsBAAADgAAAAAAAAAAAAAAAAAuAgAAZHJzL2Uyb0RvYy54bWxQSwECLQAUAAYACAAA&#10;ACEAoIr4ZNwAAAAHAQAADwAAAAAAAAAAAAAAAABwBAAAZHJzL2Rvd25yZXYueG1sUEsFBgAAAAAE&#10;AAQA8wAAAHkFAAAAAA==&#10;" o:allowincell="f" filled="f" stroked="f" strokeweight=".5pt">
              <v:textbox inset=",0,,0">
                <w:txbxContent>
                  <w:p w14:paraId="6DD167A5" w14:textId="5BFF70F9" w:rsidR="00530788" w:rsidRPr="00530788" w:rsidRDefault="00530788" w:rsidP="00530788">
                    <w:pPr>
                      <w:spacing w:after="0"/>
                      <w:jc w:val="center"/>
                      <w:rPr>
                        <w:sz w:val="24"/>
                      </w:rPr>
                    </w:pPr>
                    <w:r w:rsidRPr="00530788">
                      <w:rPr>
                        <w:sz w:val="24"/>
                      </w:rPr>
                      <w:t>OFFICIAL</w:t>
                    </w:r>
                  </w:p>
                </w:txbxContent>
              </v:textbox>
              <w10:wrap anchorx="page" anchory="page"/>
            </v:shape>
          </w:pict>
        </mc:Fallback>
      </mc:AlternateContent>
    </w:r>
    <w:r w:rsidR="00915952">
      <w:rPr>
        <w:noProof/>
      </w:rPr>
      <mc:AlternateContent>
        <mc:Choice Requires="wps">
          <w:drawing>
            <wp:anchor distT="0" distB="0" distL="114300" distR="114300" simplePos="0" relativeHeight="251658248" behindDoc="0" locked="0" layoutInCell="0" allowOverlap="1" wp14:anchorId="7812AE35" wp14:editId="734B859B">
              <wp:simplePos x="0" y="0"/>
              <wp:positionH relativeFrom="page">
                <wp:posOffset>0</wp:posOffset>
              </wp:positionH>
              <wp:positionV relativeFrom="page">
                <wp:posOffset>190500</wp:posOffset>
              </wp:positionV>
              <wp:extent cx="7560310" cy="252095"/>
              <wp:effectExtent l="0" t="0" r="0" b="14605"/>
              <wp:wrapNone/>
              <wp:docPr id="7" name="Text Box 7"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7DD60" w14:textId="2F706F10" w:rsidR="00915952" w:rsidRPr="00915952" w:rsidRDefault="00915952" w:rsidP="00915952">
                          <w:pPr>
                            <w:spacing w:after="0"/>
                            <w:jc w:val="center"/>
                            <w:rPr>
                              <w:sz w:val="24"/>
                            </w:rPr>
                          </w:pPr>
                          <w:r w:rsidRPr="00915952">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812AE35" id="Text Box 7" o:spid="_x0000_s1042" type="#_x0000_t202" alt="{&quot;HashCode&quot;:352122633,&quot;Height&quot;:841.0,&quot;Width&quot;:595.0,&quot;Placement&quot;:&quot;Header&quot;,&quot;Index&quot;:&quot;FirstPage&quot;,&quot;Section&quot;:1,&quot;Top&quot;:0.0,&quot;Left&quot;:0.0}" style="position:absolute;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5o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95gN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4Zg5oGAIAACwEAAAOAAAAAAAAAAAAAAAAAC4CAABkcnMvZTJvRG9jLnhtbFBLAQItABQABgAI&#10;AAAAIQCgivhk3AAAAAcBAAAPAAAAAAAAAAAAAAAAAHIEAABkcnMvZG93bnJldi54bWxQSwUGAAAA&#10;AAQABADzAAAAewUAAAAA&#10;" o:allowincell="f" filled="f" stroked="f" strokeweight=".5pt">
              <v:textbox inset=",0,,0">
                <w:txbxContent>
                  <w:p w14:paraId="20F7DD60" w14:textId="2F706F10" w:rsidR="00915952" w:rsidRPr="00915952" w:rsidRDefault="00915952" w:rsidP="00915952">
                    <w:pPr>
                      <w:spacing w:after="0"/>
                      <w:jc w:val="center"/>
                      <w:rPr>
                        <w:sz w:val="24"/>
                      </w:rPr>
                    </w:pPr>
                    <w:r w:rsidRPr="00915952">
                      <w:rPr>
                        <w:sz w:val="24"/>
                      </w:rPr>
                      <w:t>OFFICIAL</w:t>
                    </w:r>
                  </w:p>
                </w:txbxContent>
              </v:textbox>
              <w10:wrap anchorx="page" anchory="page"/>
            </v:shape>
          </w:pict>
        </mc:Fallback>
      </mc:AlternateContent>
    </w:r>
    <w:r w:rsidR="009406AA">
      <w:rPr>
        <w:noProof/>
      </w:rPr>
      <w:drawing>
        <wp:anchor distT="0" distB="0" distL="114300" distR="114300" simplePos="0" relativeHeight="251658244" behindDoc="1" locked="1" layoutInCell="1" allowOverlap="1" wp14:anchorId="4F379844" wp14:editId="78D47722">
          <wp:simplePos x="0" y="0"/>
          <wp:positionH relativeFrom="page">
            <wp:align>left</wp:align>
          </wp:positionH>
          <wp:positionV relativeFrom="page">
            <wp:align>top</wp:align>
          </wp:positionV>
          <wp:extent cx="7553325" cy="10683875"/>
          <wp:effectExtent l="0" t="0" r="0" b="317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E038" w14:textId="2DA0567E" w:rsidR="000603F0" w:rsidRDefault="000603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A876" w14:textId="7B22FAE2" w:rsidR="00DA23A2" w:rsidRDefault="007D1F4A" w:rsidP="00123BB4">
    <w:pPr>
      <w:pStyle w:val="Header"/>
    </w:pPr>
    <w:r>
      <w:rPr>
        <w:noProof/>
      </w:rPr>
      <mc:AlternateContent>
        <mc:Choice Requires="wps">
          <w:drawing>
            <wp:anchor distT="0" distB="0" distL="114300" distR="114300" simplePos="0" relativeHeight="251658281" behindDoc="0" locked="0" layoutInCell="0" allowOverlap="1" wp14:anchorId="20BB1CA5" wp14:editId="483909C6">
              <wp:simplePos x="0" y="0"/>
              <wp:positionH relativeFrom="page">
                <wp:posOffset>0</wp:posOffset>
              </wp:positionH>
              <wp:positionV relativeFrom="page">
                <wp:posOffset>190500</wp:posOffset>
              </wp:positionV>
              <wp:extent cx="7560310" cy="252095"/>
              <wp:effectExtent l="0" t="0" r="0" b="14605"/>
              <wp:wrapNone/>
              <wp:docPr id="41" name="MSIPCM4b6949b880196080f25d6409"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538F4" w14:textId="406EE37D" w:rsidR="007D1F4A" w:rsidRPr="007D1F4A" w:rsidRDefault="007D1F4A" w:rsidP="007D1F4A">
                          <w:pPr>
                            <w:spacing w:after="0"/>
                            <w:jc w:val="center"/>
                            <w:rPr>
                              <w:sz w:val="24"/>
                            </w:rPr>
                          </w:pPr>
                          <w:r w:rsidRPr="007D1F4A">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BB1CA5" id="_x0000_t202" coordsize="21600,21600" o:spt="202" path="m,l,21600r21600,l21600,xe">
              <v:stroke joinstyle="miter"/>
              <v:path gradientshapeok="t" o:connecttype="rect"/>
            </v:shapetype>
            <v:shape id="MSIPCM4b6949b880196080f25d6409" o:spid="_x0000_s1048" type="#_x0000_t202" alt="{&quot;HashCode&quot;:352122633,&quot;Height&quot;:841.0,&quot;Width&quot;:595.0,&quot;Placement&quot;:&quot;Header&quot;,&quot;Index&quot;:&quot;Primary&quot;,&quot;Section&quot;:2,&quot;Top&quot;:0.0,&quot;Left&quot;:0.0}" style="position:absolute;margin-left:0;margin-top:15pt;width:595.3pt;height:19.85pt;z-index:25165828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U7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5gM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PwbU7GAIAACwEAAAOAAAAAAAAAAAAAAAAAC4CAABkcnMvZTJvRG9jLnhtbFBLAQItABQABgAI&#10;AAAAIQCgivhk3AAAAAcBAAAPAAAAAAAAAAAAAAAAAHIEAABkcnMvZG93bnJldi54bWxQSwUGAAAA&#10;AAQABADzAAAAewUAAAAA&#10;" o:allowincell="f" filled="f" stroked="f" strokeweight=".5pt">
              <v:textbox inset=",0,,0">
                <w:txbxContent>
                  <w:p w14:paraId="07B538F4" w14:textId="406EE37D" w:rsidR="007D1F4A" w:rsidRPr="007D1F4A" w:rsidRDefault="007D1F4A" w:rsidP="007D1F4A">
                    <w:pPr>
                      <w:spacing w:after="0"/>
                      <w:jc w:val="center"/>
                      <w:rPr>
                        <w:sz w:val="24"/>
                      </w:rPr>
                    </w:pPr>
                    <w:r w:rsidRPr="007D1F4A">
                      <w:rPr>
                        <w:sz w:val="24"/>
                      </w:rPr>
                      <w:t>OFFICIAL</w:t>
                    </w:r>
                  </w:p>
                </w:txbxContent>
              </v:textbox>
              <w10:wrap anchorx="page" anchory="page"/>
            </v:shape>
          </w:pict>
        </mc:Fallback>
      </mc:AlternateContent>
    </w:r>
    <w:r w:rsidR="002B636D">
      <w:rPr>
        <w:noProof/>
      </w:rPr>
      <mc:AlternateContent>
        <mc:Choice Requires="wps">
          <w:drawing>
            <wp:anchor distT="0" distB="0" distL="114300" distR="114300" simplePos="0" relativeHeight="251658273" behindDoc="0" locked="0" layoutInCell="0" allowOverlap="1" wp14:anchorId="0D5E37EE" wp14:editId="1F132ED5">
              <wp:simplePos x="0" y="0"/>
              <wp:positionH relativeFrom="page">
                <wp:posOffset>0</wp:posOffset>
              </wp:positionH>
              <wp:positionV relativeFrom="page">
                <wp:posOffset>190500</wp:posOffset>
              </wp:positionV>
              <wp:extent cx="7560310" cy="252095"/>
              <wp:effectExtent l="0" t="0" r="0" b="14605"/>
              <wp:wrapNone/>
              <wp:docPr id="36" name="Text Box 36"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9CF9BB" w14:textId="7A97A33D" w:rsidR="002B636D" w:rsidRPr="002B636D" w:rsidRDefault="002B636D" w:rsidP="002B636D">
                          <w:pPr>
                            <w:spacing w:after="0"/>
                            <w:jc w:val="center"/>
                            <w:rPr>
                              <w:sz w:val="24"/>
                            </w:rPr>
                          </w:pPr>
                          <w:r w:rsidRPr="002B636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D5E37EE" id="Text Box 36" o:spid="_x0000_s1049" type="#_x0000_t202" alt="{&quot;HashCode&quot;:352122633,&quot;Height&quot;:841.0,&quot;Width&quot;:595.0,&quot;Placement&quot;:&quot;Header&quot;,&quot;Index&quot;:&quot;Primary&quot;,&quot;Section&quot;:2,&quot;Top&quot;:0.0,&quot;Left&quot;:0.0}" style="position:absolute;margin-left:0;margin-top:15pt;width:595.3pt;height:19.85pt;z-index:2516582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z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U0yHRXZQnXA/Bz313vJ1g0Ns&#10;mA/PzCHXODfqNzzhIRVgMzhblNTgfv3NH/ORAoxS0qJ2Sup/HpgTlKjvBsm5Hd/cRL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TjSzGAIAACwEAAAOAAAAAAAAAAAAAAAAAC4CAABkcnMvZTJvRG9jLnhtbFBLAQItABQABgAI&#10;AAAAIQCgivhk3AAAAAcBAAAPAAAAAAAAAAAAAAAAAHIEAABkcnMvZG93bnJldi54bWxQSwUGAAAA&#10;AAQABADzAAAAewUAAAAA&#10;" o:allowincell="f" filled="f" stroked="f" strokeweight=".5pt">
              <v:textbox inset=",0,,0">
                <w:txbxContent>
                  <w:p w14:paraId="2A9CF9BB" w14:textId="7A97A33D" w:rsidR="002B636D" w:rsidRPr="002B636D" w:rsidRDefault="002B636D" w:rsidP="002B636D">
                    <w:pPr>
                      <w:spacing w:after="0"/>
                      <w:jc w:val="center"/>
                      <w:rPr>
                        <w:sz w:val="24"/>
                      </w:rPr>
                    </w:pPr>
                    <w:r w:rsidRPr="002B636D">
                      <w:rPr>
                        <w:sz w:val="24"/>
                      </w:rPr>
                      <w:t>OFFICIAL</w:t>
                    </w:r>
                  </w:p>
                </w:txbxContent>
              </v:textbox>
              <w10:wrap anchorx="page" anchory="page"/>
            </v:shape>
          </w:pict>
        </mc:Fallback>
      </mc:AlternateContent>
    </w:r>
    <w:r w:rsidR="00530788">
      <w:rPr>
        <w:noProof/>
      </w:rPr>
      <mc:AlternateContent>
        <mc:Choice Requires="wps">
          <w:drawing>
            <wp:anchor distT="0" distB="0" distL="114300" distR="114300" simplePos="0" relativeHeight="251658260" behindDoc="0" locked="0" layoutInCell="0" allowOverlap="1" wp14:anchorId="014C921F" wp14:editId="2A429077">
              <wp:simplePos x="0" y="0"/>
              <wp:positionH relativeFrom="page">
                <wp:posOffset>0</wp:posOffset>
              </wp:positionH>
              <wp:positionV relativeFrom="page">
                <wp:posOffset>190500</wp:posOffset>
              </wp:positionV>
              <wp:extent cx="7560310" cy="252095"/>
              <wp:effectExtent l="0" t="0" r="0" b="14605"/>
              <wp:wrapNone/>
              <wp:docPr id="20" name="Text Box 20"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20C76A" w14:textId="5AEE8E5E" w:rsidR="00530788" w:rsidRPr="00530788" w:rsidRDefault="00530788" w:rsidP="00530788">
                          <w:pPr>
                            <w:spacing w:after="0"/>
                            <w:jc w:val="center"/>
                            <w:rPr>
                              <w:sz w:val="24"/>
                            </w:rPr>
                          </w:pPr>
                          <w:r w:rsidRPr="00530788">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14C921F" id="Text Box 20" o:spid="_x0000_s1050" type="#_x0000_t202" alt="{&quot;HashCode&quot;:352122633,&quot;Height&quot;:841.0,&quot;Width&quot;:595.0,&quot;Placement&quot;:&quot;Header&quot;,&quot;Index&quot;:&quot;Primary&quot;,&quot;Section&quot;:2,&quot;Top&quot;:0.0,&quot;Left&quot;:0.0}" style="position:absolute;margin-left:0;margin-top:15pt;width:595.3pt;height:19.85pt;z-index:2516582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K+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QVTjEdFtlBdcL9HPTUe8vXDQ6x&#10;YT48M4dc49yo3/CEh1SAzeBsUVKD+/U3f8xHCjBKSYvaKan/eWBOUKK+GyTndjydRr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t7VK+GAIAACwEAAAOAAAAAAAAAAAAAAAAAC4CAABkcnMvZTJvRG9jLnhtbFBLAQItABQABgAI&#10;AAAAIQCgivhk3AAAAAcBAAAPAAAAAAAAAAAAAAAAAHIEAABkcnMvZG93bnJldi54bWxQSwUGAAAA&#10;AAQABADzAAAAewUAAAAA&#10;" o:allowincell="f" filled="f" stroked="f" strokeweight=".5pt">
              <v:textbox inset=",0,,0">
                <w:txbxContent>
                  <w:p w14:paraId="0520C76A" w14:textId="5AEE8E5E" w:rsidR="00530788" w:rsidRPr="00530788" w:rsidRDefault="00530788" w:rsidP="00530788">
                    <w:pPr>
                      <w:spacing w:after="0"/>
                      <w:jc w:val="center"/>
                      <w:rPr>
                        <w:sz w:val="24"/>
                      </w:rPr>
                    </w:pPr>
                    <w:r w:rsidRPr="00530788">
                      <w:rPr>
                        <w:sz w:val="24"/>
                      </w:rPr>
                      <w:t>OFFICIAL</w:t>
                    </w:r>
                  </w:p>
                </w:txbxContent>
              </v:textbox>
              <w10:wrap anchorx="page" anchory="page"/>
            </v:shape>
          </w:pict>
        </mc:Fallback>
      </mc:AlternateContent>
    </w:r>
    <w:r w:rsidR="00915952">
      <w:rPr>
        <w:noProof/>
      </w:rPr>
      <mc:AlternateContent>
        <mc:Choice Requires="wps">
          <w:drawing>
            <wp:anchor distT="0" distB="0" distL="114300" distR="114300" simplePos="0" relativeHeight="251658249" behindDoc="0" locked="0" layoutInCell="0" allowOverlap="1" wp14:anchorId="3C94960D" wp14:editId="07F91620">
              <wp:simplePos x="0" y="0"/>
              <wp:positionH relativeFrom="page">
                <wp:posOffset>0</wp:posOffset>
              </wp:positionH>
              <wp:positionV relativeFrom="page">
                <wp:posOffset>190500</wp:posOffset>
              </wp:positionV>
              <wp:extent cx="7560310" cy="252095"/>
              <wp:effectExtent l="0" t="0" r="0" b="14605"/>
              <wp:wrapNone/>
              <wp:docPr id="8" name="Text Box 8"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DEF96A" w14:textId="1D88E6DA" w:rsidR="00915952" w:rsidRPr="00915952" w:rsidRDefault="00915952" w:rsidP="00915952">
                          <w:pPr>
                            <w:spacing w:after="0"/>
                            <w:jc w:val="center"/>
                            <w:rPr>
                              <w:sz w:val="24"/>
                            </w:rPr>
                          </w:pPr>
                          <w:r w:rsidRPr="00915952">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C94960D" id="Text Box 8" o:spid="_x0000_s1051" type="#_x0000_t202" alt="{&quot;HashCode&quot;:352122633,&quot;Height&quot;:841.0,&quot;Width&quot;:595.0,&quot;Placement&quot;:&quot;Header&quot;,&quot;Index&quot;:&quot;Primary&quot;,&quot;Section&quot;:2,&quot;Top&quot;:0.0,&quot;Left&quot;:0.0}" style="position:absolute;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M2Fw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qTjEssoXqiPs56Kn3lq8aHGLN&#10;fHhhDrnGuVG/4RkPqQCbwcmipAb362/+mI8UYJSSFrVTUv9zz5ygRH03SM7t+OYmii1d0HDvvdvB&#10;a/b6AVCWY3whlicz5gY1mNKBfkN5L2M3DDHDsWdJw2A+hF7J+Dy4WC5TEsrKsrA2G8tj6QhnhPa1&#10;e2POnvAPyNwTDOpixQca+tyeiOU+gGwSRxHgHs0T7ijJxPLp+UTNv7+nrMsjX/wG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1i0zYXAgAALAQAAA4AAAAAAAAAAAAAAAAALgIAAGRycy9lMm9Eb2MueG1sUEsBAi0AFAAGAAgA&#10;AAAhAKCK+GTcAAAABwEAAA8AAAAAAAAAAAAAAAAAcQQAAGRycy9kb3ducmV2LnhtbFBLBQYAAAAA&#10;BAAEAPMAAAB6BQAAAAA=&#10;" o:allowincell="f" filled="f" stroked="f" strokeweight=".5pt">
              <v:textbox inset=",0,,0">
                <w:txbxContent>
                  <w:p w14:paraId="47DEF96A" w14:textId="1D88E6DA" w:rsidR="00915952" w:rsidRPr="00915952" w:rsidRDefault="00915952" w:rsidP="00915952">
                    <w:pPr>
                      <w:spacing w:after="0"/>
                      <w:jc w:val="center"/>
                      <w:rPr>
                        <w:sz w:val="24"/>
                      </w:rPr>
                    </w:pPr>
                    <w:r w:rsidRPr="00915952">
                      <w:rPr>
                        <w:sz w:val="24"/>
                      </w:rPr>
                      <w:t>OFFICIAL</w:t>
                    </w:r>
                  </w:p>
                </w:txbxContent>
              </v:textbox>
              <w10:wrap anchorx="page" anchory="page"/>
            </v:shape>
          </w:pict>
        </mc:Fallback>
      </mc:AlternateContent>
    </w:r>
    <w:r w:rsidR="00DA23A2">
      <w:rPr>
        <w:noProof/>
      </w:rPr>
      <w:drawing>
        <wp:anchor distT="0" distB="0" distL="114300" distR="114300" simplePos="0" relativeHeight="251658240" behindDoc="1" locked="1" layoutInCell="1" allowOverlap="1" wp14:anchorId="122F1099" wp14:editId="6EC4A668">
          <wp:simplePos x="0" y="0"/>
          <wp:positionH relativeFrom="page">
            <wp:align>left</wp:align>
          </wp:positionH>
          <wp:positionV relativeFrom="page">
            <wp:align>top</wp:align>
          </wp:positionV>
          <wp:extent cx="7560000" cy="10684800"/>
          <wp:effectExtent l="0" t="0" r="0" b="0"/>
          <wp:wrapNone/>
          <wp:docPr id="1610819069" name="Picture 16108190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885B" w14:textId="1C2E0C73" w:rsidR="000603F0" w:rsidRDefault="007D1F4A">
    <w:pPr>
      <w:pStyle w:val="Header"/>
    </w:pPr>
    <w:r>
      <w:rPr>
        <w:noProof/>
      </w:rPr>
      <mc:AlternateContent>
        <mc:Choice Requires="wps">
          <w:drawing>
            <wp:anchor distT="0" distB="0" distL="114300" distR="114300" simplePos="1" relativeHeight="251658282" behindDoc="0" locked="0" layoutInCell="0" allowOverlap="1" wp14:anchorId="5DE06F8D" wp14:editId="6171F74E">
              <wp:simplePos x="0" y="190500"/>
              <wp:positionH relativeFrom="page">
                <wp:posOffset>0</wp:posOffset>
              </wp:positionH>
              <wp:positionV relativeFrom="page">
                <wp:posOffset>190500</wp:posOffset>
              </wp:positionV>
              <wp:extent cx="7560310" cy="252095"/>
              <wp:effectExtent l="0" t="0" r="0" b="14605"/>
              <wp:wrapNone/>
              <wp:docPr id="42" name="MSIPCMf98b4cd4ab7d6c339c4a1866"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0B70A" w14:textId="21DBB9FA" w:rsidR="007D1F4A" w:rsidRPr="007D1F4A" w:rsidRDefault="007D1F4A" w:rsidP="007D1F4A">
                          <w:pPr>
                            <w:spacing w:after="0"/>
                            <w:jc w:val="center"/>
                            <w:rPr>
                              <w:sz w:val="24"/>
                            </w:rPr>
                          </w:pPr>
                          <w:r w:rsidRPr="007D1F4A">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E06F8D" id="_x0000_t202" coordsize="21600,21600" o:spt="202" path="m,l,21600r21600,l21600,xe">
              <v:stroke joinstyle="miter"/>
              <v:path gradientshapeok="t" o:connecttype="rect"/>
            </v:shapetype>
            <v:shape id="MSIPCMf98b4cd4ab7d6c339c4a1866" o:spid="_x0000_s1056" type="#_x0000_t202" alt="{&quot;HashCode&quot;:352122633,&quot;Height&quot;:841.0,&quot;Width&quot;:595.0,&quot;Placement&quot;:&quot;Header&quot;,&quot;Index&quot;:&quot;FirstPage&quot;,&quot;Section&quot;:2,&quot;Top&quot;:0.0,&quot;Left&quot;:0.0}" style="position:absolute;margin-left:0;margin-top:15pt;width:595.3pt;height:19.85pt;z-index:25165828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MFwIAACwEAAAOAAAAZHJzL2Uyb0RvYy54bWysU99v2jAQfp+0/8Hy+0iAwt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T4dY4hjbDKb5LezWCa7/m2dD98EaBKNkjqkJaHF&#10;jhsf+tRzSmxmYN0olahRhrQlnU9nefrhEsHiymCP66zRCt2uI01V0mliNrp2UJ1wPwc99d7ydYND&#10;bJgPz8wh1zg36jc84SEVYDMYLEpqcL/+5o/5SAFGKWlROyX1Pw/MCUrUd4Pk3I5vbqLY0gUN99a7&#10;O3vNQd8DynKML8TyZMbcoM6mdKBfUd6r2A1DzHDsWdJwNu9Dr2R8HlysVikJZWVZ2Jit5bF0hDNC&#10;+9K9MmcH/AMy9whndbHiHQ19bk/E6hBANomjK5oD7ijJxPLwfKLm395T1vWRL38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P2r8kwXAgAALAQAAA4AAAAAAAAAAAAAAAAALgIAAGRycy9lMm9Eb2MueG1sUEsBAi0AFAAGAAgA&#10;AAAhAKCK+GTcAAAABwEAAA8AAAAAAAAAAAAAAAAAcQQAAGRycy9kb3ducmV2LnhtbFBLBQYAAAAA&#10;BAAEAPMAAAB6BQAAAAA=&#10;" o:allowincell="f" filled="f" stroked="f" strokeweight=".5pt">
              <v:textbox inset=",0,,0">
                <w:txbxContent>
                  <w:p w14:paraId="47E0B70A" w14:textId="21DBB9FA" w:rsidR="007D1F4A" w:rsidRPr="007D1F4A" w:rsidRDefault="007D1F4A" w:rsidP="007D1F4A">
                    <w:pPr>
                      <w:spacing w:after="0"/>
                      <w:jc w:val="center"/>
                      <w:rPr>
                        <w:sz w:val="24"/>
                      </w:rPr>
                    </w:pPr>
                    <w:r w:rsidRPr="007D1F4A">
                      <w:rPr>
                        <w:sz w:val="24"/>
                      </w:rPr>
                      <w:t>OFFICIAL</w:t>
                    </w:r>
                  </w:p>
                </w:txbxContent>
              </v:textbox>
              <w10:wrap anchorx="page" anchory="page"/>
            </v:shape>
          </w:pict>
        </mc:Fallback>
      </mc:AlternateContent>
    </w:r>
    <w:r w:rsidR="006D768E">
      <w:rPr>
        <w:noProof/>
      </w:rPr>
      <mc:AlternateContent>
        <mc:Choice Requires="wps">
          <w:drawing>
            <wp:anchor distT="0" distB="0" distL="114300" distR="114300" simplePos="1" relativeHeight="251658271" behindDoc="0" locked="0" layoutInCell="0" allowOverlap="1" wp14:anchorId="5EA0D462" wp14:editId="66E1C8BF">
              <wp:simplePos x="0" y="190500"/>
              <wp:positionH relativeFrom="page">
                <wp:posOffset>0</wp:posOffset>
              </wp:positionH>
              <wp:positionV relativeFrom="page">
                <wp:posOffset>190500</wp:posOffset>
              </wp:positionV>
              <wp:extent cx="7560310" cy="252095"/>
              <wp:effectExtent l="0" t="0" r="0" b="14605"/>
              <wp:wrapNone/>
              <wp:docPr id="32" name="Text Box 32"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CA4EB" w14:textId="045EBB09" w:rsidR="006D768E" w:rsidRPr="006D768E" w:rsidRDefault="006D768E" w:rsidP="006D768E">
                          <w:pPr>
                            <w:spacing w:after="0"/>
                            <w:jc w:val="center"/>
                            <w:rPr>
                              <w:sz w:val="24"/>
                            </w:rPr>
                          </w:pPr>
                          <w:r w:rsidRPr="006D768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EA0D462" id="Text Box 32" o:spid="_x0000_s1057" type="#_x0000_t202" alt="{&quot;HashCode&quot;:352122633,&quot;Height&quot;:841.0,&quot;Width&quot;:595.0,&quot;Placement&quot;:&quot;Header&quot;,&quot;Index&quot;:&quot;FirstPage&quot;,&quot;Section&quot;:2,&quot;Top&quot;:0.0,&quot;Left&quot;:0.0}" style="position:absolute;margin-left:0;margin-top:15pt;width:595.3pt;height:19.85pt;z-index:2516582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PEGAIAACwEAAAOAAAAZHJzL2Uyb0RvYy54bWysU99v2jAQfp+0/8Hy+0iAwt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T4dY4hjbDKb5LezWCa7/m2dD98EaBKNkjqkJaHF&#10;jhsf+tRzSmxmYN0olahRhrQlnU9nefrhEsHiymCP66zRCt2uI01V0ullkR1UJ9zPQU+9t3zd4BAb&#10;5sMzc8g1zo36DU94SAXYDAaLkhrcr7/5Yz5SgFFKWtROSf3PA3OCEvXdIDm345ubKLZ0QcO99e7O&#10;XnPQ94CyHOMLsTyZMTeosykd6FeU9yp2wxAzHHuWNJzN+9ArGZ8HF6tVSkJZWRY2Zmt5LB3hjNC+&#10;dK/M2QH/gMw9wlldrHhHQ5/bE7E6BJBN4igC3KM54I6STCwPzydq/u09ZV0f+fI3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NJHPEGAIAACwEAAAOAAAAAAAAAAAAAAAAAC4CAABkcnMvZTJvRG9jLnhtbFBLAQItABQABgAI&#10;AAAAIQCgivhk3AAAAAcBAAAPAAAAAAAAAAAAAAAAAHIEAABkcnMvZG93bnJldi54bWxQSwUGAAAA&#10;AAQABADzAAAAewUAAAAA&#10;" o:allowincell="f" filled="f" stroked="f" strokeweight=".5pt">
              <v:textbox inset=",0,,0">
                <w:txbxContent>
                  <w:p w14:paraId="247CA4EB" w14:textId="045EBB09" w:rsidR="006D768E" w:rsidRPr="006D768E" w:rsidRDefault="006D768E" w:rsidP="006D768E">
                    <w:pPr>
                      <w:spacing w:after="0"/>
                      <w:jc w:val="center"/>
                      <w:rPr>
                        <w:sz w:val="24"/>
                      </w:rPr>
                    </w:pPr>
                    <w:r w:rsidRPr="006D768E">
                      <w:rPr>
                        <w:sz w:val="24"/>
                      </w:rPr>
                      <w:t>OFFICIAL</w:t>
                    </w:r>
                  </w:p>
                </w:txbxContent>
              </v:textbox>
              <w10:wrap anchorx="page" anchory="page"/>
            </v:shape>
          </w:pict>
        </mc:Fallback>
      </mc:AlternateContent>
    </w:r>
    <w:r w:rsidR="00530788">
      <w:rPr>
        <w:noProof/>
      </w:rPr>
      <mc:AlternateContent>
        <mc:Choice Requires="wps">
          <w:drawing>
            <wp:anchor distT="0" distB="0" distL="114300" distR="114300" simplePos="1" relativeHeight="251658261" behindDoc="0" locked="0" layoutInCell="0" allowOverlap="1" wp14:anchorId="6840ED71" wp14:editId="4FF5BE4E">
              <wp:simplePos x="0" y="190500"/>
              <wp:positionH relativeFrom="page">
                <wp:posOffset>0</wp:posOffset>
              </wp:positionH>
              <wp:positionV relativeFrom="page">
                <wp:posOffset>190500</wp:posOffset>
              </wp:positionV>
              <wp:extent cx="7560310" cy="252095"/>
              <wp:effectExtent l="0" t="0" r="0" b="14605"/>
              <wp:wrapNone/>
              <wp:docPr id="21" name="Text Box 21"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600221" w14:textId="53390B8D" w:rsidR="00530788" w:rsidRPr="00530788" w:rsidRDefault="00530788" w:rsidP="00530788">
                          <w:pPr>
                            <w:spacing w:after="0"/>
                            <w:jc w:val="center"/>
                            <w:rPr>
                              <w:sz w:val="24"/>
                            </w:rPr>
                          </w:pPr>
                          <w:r w:rsidRPr="00530788">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840ED71" id="Text Box 21" o:spid="_x0000_s1058" type="#_x0000_t202" alt="{&quot;HashCode&quot;:352122633,&quot;Height&quot;:841.0,&quot;Width&quot;:595.0,&quot;Placement&quot;:&quot;Header&quot;,&quot;Index&quot;:&quot;FirstPage&quot;,&quot;Section&quot;:2,&quot;Top&quot;:0.0,&quot;Left&quot;:0.0}" style="position:absolute;margin-left:0;margin-top:15pt;width:595.3pt;height:19.85pt;z-index:25165826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CG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lkWGQH1Qn3c9BT7y1fNzjE&#10;hvnwzBxyjXOjfsMTHlIBNoOzRUkN7tff/DEfKcAoJS1qp6T+54E5QYn6bpCc2/HNTRRbuqDh3np3&#10;g9cc9D2gLMf4QixPZswNajClA/2K8l7FbhhihmPPkobBvA+9kvF5cLFapSSUlWVhY7aWx9IRzgjt&#10;S/fKnD3jH5C5RxjUxYp3NPS5PRGrQwDZJI4iwD2aZ9xRkonl8/OJmn97T1nXR778D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csoCGGAIAACwEAAAOAAAAAAAAAAAAAAAAAC4CAABkcnMvZTJvRG9jLnhtbFBLAQItABQABgAI&#10;AAAAIQCgivhk3AAAAAcBAAAPAAAAAAAAAAAAAAAAAHIEAABkcnMvZG93bnJldi54bWxQSwUGAAAA&#10;AAQABADzAAAAewUAAAAA&#10;" o:allowincell="f" filled="f" stroked="f" strokeweight=".5pt">
              <v:textbox inset=",0,,0">
                <w:txbxContent>
                  <w:p w14:paraId="1D600221" w14:textId="53390B8D" w:rsidR="00530788" w:rsidRPr="00530788" w:rsidRDefault="00530788" w:rsidP="00530788">
                    <w:pPr>
                      <w:spacing w:after="0"/>
                      <w:jc w:val="center"/>
                      <w:rPr>
                        <w:sz w:val="24"/>
                      </w:rPr>
                    </w:pPr>
                    <w:r w:rsidRPr="00530788">
                      <w:rPr>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6E7A" w14:textId="76637A5B" w:rsidR="000603F0" w:rsidRDefault="000603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34C1" w14:textId="0F3D31FF" w:rsidR="00B60FED" w:rsidRDefault="00356DEB" w:rsidP="00123BB4">
    <w:pPr>
      <w:pStyle w:val="Header"/>
    </w:pPr>
    <w:r>
      <w:rPr>
        <w:noProof/>
      </w:rPr>
      <mc:AlternateContent>
        <mc:Choice Requires="wps">
          <w:drawing>
            <wp:anchor distT="0" distB="0" distL="114300" distR="114300" simplePos="0" relativeHeight="251658274" behindDoc="0" locked="0" layoutInCell="0" allowOverlap="1" wp14:anchorId="1901E4BC" wp14:editId="61437682">
              <wp:simplePos x="0" y="0"/>
              <wp:positionH relativeFrom="page">
                <wp:align>left</wp:align>
              </wp:positionH>
              <wp:positionV relativeFrom="page">
                <wp:posOffset>257175</wp:posOffset>
              </wp:positionV>
              <wp:extent cx="7560310" cy="252095"/>
              <wp:effectExtent l="0" t="0" r="0" b="14605"/>
              <wp:wrapNone/>
              <wp:docPr id="37" name="Text Box 37"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480F2" w14:textId="20B35302" w:rsidR="002B636D" w:rsidRPr="002B636D" w:rsidRDefault="002B636D" w:rsidP="002B636D">
                          <w:pPr>
                            <w:spacing w:after="0"/>
                            <w:jc w:val="center"/>
                            <w:rPr>
                              <w:sz w:val="24"/>
                            </w:rPr>
                          </w:pPr>
                          <w:r w:rsidRPr="002B636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901E4BC" id="_x0000_t202" coordsize="21600,21600" o:spt="202" path="m,l,21600r21600,l21600,xe">
              <v:stroke joinstyle="miter"/>
              <v:path gradientshapeok="t" o:connecttype="rect"/>
            </v:shapetype>
            <v:shape id="Text Box 37" o:spid="_x0000_s1059" type="#_x0000_t202" alt="{&quot;HashCode&quot;:352122633,&quot;Height&quot;:841.0,&quot;Width&quot;:595.0,&quot;Placement&quot;:&quot;Header&quot;,&quot;Index&quot;:&quot;Primary&quot;,&quot;Section&quot;:3,&quot;Top&quot;:0.0,&quot;Left&quot;:0.0}" style="position:absolute;margin-left:0;margin-top:20.25pt;width:595.3pt;height:19.85pt;z-index:251658274;visibility:visible;mso-wrap-style:square;mso-wrap-distance-left:9pt;mso-wrap-distance-top:0;mso-wrap-distance-right:9pt;mso-wrap-distance-bottom:0;mso-position-horizontal:lef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EO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" o:allowincell="f" filled="f" stroked="f" strokeweight=".5pt">
              <v:textbox inset=",0,,0">
                <w:txbxContent>
                  <w:p w14:paraId="4AB480F2" w14:textId="20B35302" w:rsidR="002B636D" w:rsidRPr="002B636D" w:rsidRDefault="002B636D" w:rsidP="002B636D">
                    <w:pPr>
                      <w:spacing w:after="0"/>
                      <w:jc w:val="center"/>
                      <w:rPr>
                        <w:sz w:val="24"/>
                      </w:rPr>
                    </w:pPr>
                    <w:r w:rsidRPr="002B636D">
                      <w:rPr>
                        <w:sz w:val="24"/>
                      </w:rPr>
                      <w:t>OFFICIAL</w:t>
                    </w:r>
                  </w:p>
                </w:txbxContent>
              </v:textbox>
              <w10:wrap anchorx="page" anchory="page"/>
            </v:shape>
          </w:pict>
        </mc:Fallback>
      </mc:AlternateContent>
    </w:r>
    <w:r w:rsidR="00915952">
      <w:rPr>
        <w:noProof/>
      </w:rPr>
      <mc:AlternateContent>
        <mc:Choice Requires="wps">
          <w:drawing>
            <wp:anchor distT="0" distB="0" distL="114300" distR="114300" simplePos="0" relativeHeight="251658250" behindDoc="0" locked="0" layoutInCell="0" allowOverlap="1" wp14:anchorId="1F8182FA" wp14:editId="4F75FB48">
              <wp:simplePos x="0" y="0"/>
              <wp:positionH relativeFrom="page">
                <wp:align>center</wp:align>
              </wp:positionH>
              <wp:positionV relativeFrom="page">
                <wp:posOffset>228600</wp:posOffset>
              </wp:positionV>
              <wp:extent cx="10248900" cy="361950"/>
              <wp:effectExtent l="0" t="0" r="0" b="0"/>
              <wp:wrapNone/>
              <wp:docPr id="9" name="Text Box 9"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248900" cy="3619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3166A" w14:textId="590A3D3D" w:rsidR="00915952" w:rsidRPr="00915952" w:rsidRDefault="00915952" w:rsidP="009F2C7A">
                          <w:pPr>
                            <w:spacing w:after="0"/>
                            <w:jc w:val="center"/>
                            <w:rPr>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182FA" id="Text Box 9" o:spid="_x0000_s1060" type="#_x0000_t202" alt="{&quot;HashCode&quot;:352122633,&quot;Height&quot;:841.0,&quot;Width&quot;:595.0,&quot;Placement&quot;:&quot;Header&quot;,&quot;Index&quot;:&quot;Primary&quot;,&quot;Section&quot;:3,&quot;Top&quot;:0.0,&quot;Left&quot;:0.0}" style="position:absolute;margin-left:0;margin-top:18pt;width:807pt;height:28.5pt;z-index:25165825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" o:allowincell="f" filled="f" stroked="f" strokeweight=".5pt">
              <v:textbox inset=",0,,0">
                <w:txbxContent>
                  <w:p w14:paraId="1A63166A" w14:textId="590A3D3D" w:rsidR="00915952" w:rsidRPr="00915952" w:rsidRDefault="00915952" w:rsidP="009F2C7A">
                    <w:pPr>
                      <w:spacing w:after="0"/>
                      <w:jc w:val="center"/>
                      <w:rPr>
                        <w:sz w:val="24"/>
                      </w:rPr>
                    </w:pPr>
                  </w:p>
                </w:txbxContent>
              </v:textbox>
              <w10:wrap anchorx="page" anchory="page"/>
            </v:shape>
          </w:pict>
        </mc:Fallback>
      </mc:AlternateContent>
    </w:r>
    <w:r w:rsidR="00B60FED">
      <w:rPr>
        <w:noProof/>
      </w:rPr>
      <w:drawing>
        <wp:anchor distT="0" distB="0" distL="114300" distR="114300" simplePos="0" relativeHeight="251658253" behindDoc="1" locked="1" layoutInCell="1" allowOverlap="1" wp14:anchorId="590FC227" wp14:editId="577B9805">
          <wp:simplePos x="0" y="0"/>
          <wp:positionH relativeFrom="page">
            <wp:align>left</wp:align>
          </wp:positionH>
          <wp:positionV relativeFrom="page">
            <wp:align>top</wp:align>
          </wp:positionV>
          <wp:extent cx="10287000" cy="956945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10287512" cy="95699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5DA6" w14:textId="07FFAB83" w:rsidR="000603F0" w:rsidRDefault="007D1F4A">
    <w:pPr>
      <w:pStyle w:val="Header"/>
    </w:pPr>
    <w:r>
      <w:rPr>
        <w:noProof/>
      </w:rPr>
      <mc:AlternateContent>
        <mc:Choice Requires="wps">
          <w:drawing>
            <wp:anchor distT="0" distB="0" distL="114300" distR="114300" simplePos="1" relativeHeight="251658284" behindDoc="0" locked="0" layoutInCell="0" allowOverlap="1" wp14:anchorId="43EEA980" wp14:editId="54573960">
              <wp:simplePos x="0" y="190500"/>
              <wp:positionH relativeFrom="page">
                <wp:posOffset>0</wp:posOffset>
              </wp:positionH>
              <wp:positionV relativeFrom="page">
                <wp:posOffset>190500</wp:posOffset>
              </wp:positionV>
              <wp:extent cx="7560310" cy="252095"/>
              <wp:effectExtent l="0" t="0" r="0" b="14605"/>
              <wp:wrapNone/>
              <wp:docPr id="45" name="MSIPCMe6f244949b7798ffef1e6325" descr="{&quot;HashCode&quot;:352122633,&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F45EE" w14:textId="6FFD2877" w:rsidR="007D1F4A" w:rsidRPr="007D1F4A" w:rsidRDefault="007D1F4A" w:rsidP="007D1F4A">
                          <w:pPr>
                            <w:spacing w:after="0"/>
                            <w:jc w:val="center"/>
                            <w:rPr>
                              <w:sz w:val="24"/>
                            </w:rPr>
                          </w:pPr>
                          <w:r w:rsidRPr="007D1F4A">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EEA980" id="_x0000_t202" coordsize="21600,21600" o:spt="202" path="m,l,21600r21600,l21600,xe">
              <v:stroke joinstyle="miter"/>
              <v:path gradientshapeok="t" o:connecttype="rect"/>
            </v:shapetype>
            <v:shape id="MSIPCMe6f244949b7798ffef1e6325" o:spid="_x0000_s1065" type="#_x0000_t202" alt="{&quot;HashCode&quot;:352122633,&quot;Height&quot;:841.0,&quot;Width&quot;:595.0,&quot;Placement&quot;:&quot;Header&quot;,&quot;Index&quot;:&quot;FirstPage&quot;,&quot;Section&quot;:3,&quot;Top&quot;:0.0,&quot;Left&quot;:0.0}" style="position:absolute;margin-left:0;margin-top:15pt;width:595.3pt;height:19.85pt;z-index:2516582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LTllbGAIAACwEAAAOAAAAAAAAAAAAAAAAAC4CAABkcnMvZTJvRG9jLnhtbFBLAQItABQABgAI&#10;AAAAIQCgivhk3AAAAAcBAAAPAAAAAAAAAAAAAAAAAHIEAABkcnMvZG93bnJldi54bWxQSwUGAAAA&#10;AAQABADzAAAAewUAAAAA&#10;" o:allowincell="f" filled="f" stroked="f" strokeweight=".5pt">
              <v:textbox inset=",0,,0">
                <w:txbxContent>
                  <w:p w14:paraId="25CF45EE" w14:textId="6FFD2877" w:rsidR="007D1F4A" w:rsidRPr="007D1F4A" w:rsidRDefault="007D1F4A" w:rsidP="007D1F4A">
                    <w:pPr>
                      <w:spacing w:after="0"/>
                      <w:jc w:val="center"/>
                      <w:rPr>
                        <w:sz w:val="24"/>
                      </w:rPr>
                    </w:pPr>
                    <w:r w:rsidRPr="007D1F4A">
                      <w:rPr>
                        <w:sz w:val="24"/>
                      </w:rPr>
                      <w:t>OFFICIAL</w:t>
                    </w:r>
                  </w:p>
                </w:txbxContent>
              </v:textbox>
              <w10:wrap anchorx="page" anchory="page"/>
            </v:shape>
          </w:pict>
        </mc:Fallback>
      </mc:AlternateContent>
    </w:r>
    <w:r w:rsidR="006D768E">
      <w:rPr>
        <w:noProof/>
      </w:rPr>
      <mc:AlternateContent>
        <mc:Choice Requires="wps">
          <w:drawing>
            <wp:anchor distT="0" distB="0" distL="114300" distR="114300" simplePos="1" relativeHeight="251658272" behindDoc="0" locked="0" layoutInCell="0" allowOverlap="1" wp14:anchorId="439A74CD" wp14:editId="2F9142CF">
              <wp:simplePos x="0" y="190500"/>
              <wp:positionH relativeFrom="page">
                <wp:posOffset>0</wp:posOffset>
              </wp:positionH>
              <wp:positionV relativeFrom="page">
                <wp:posOffset>190500</wp:posOffset>
              </wp:positionV>
              <wp:extent cx="7560310" cy="252095"/>
              <wp:effectExtent l="0" t="0" r="0" b="14605"/>
              <wp:wrapNone/>
              <wp:docPr id="35" name="Text Box 35" descr="{&quot;HashCode&quot;:352122633,&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3F25C" w14:textId="14E39497" w:rsidR="006D768E" w:rsidRPr="006D768E" w:rsidRDefault="006D768E" w:rsidP="006D768E">
                          <w:pPr>
                            <w:spacing w:after="0"/>
                            <w:jc w:val="center"/>
                            <w:rPr>
                              <w:sz w:val="24"/>
                            </w:rPr>
                          </w:pPr>
                          <w:r w:rsidRPr="006D768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39A74CD" id="Text Box 35" o:spid="_x0000_s1066" type="#_x0000_t202" alt="{&quot;HashCode&quot;:352122633,&quot;Height&quot;:841.0,&quot;Width&quot;:595.0,&quot;Placement&quot;:&quot;Header&quot;,&quot;Index&quot;:&quot;FirstPage&quot;,&quot;Section&quot;:3,&quot;Top&quot;:0.0,&quot;Left&quot;:0.0}" style="position:absolute;margin-left:0;margin-top:15pt;width:595.3pt;height:19.85pt;z-index:251658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Ib9mskXAgAALAQAAA4AAAAAAAAAAAAAAAAALgIAAGRycy9lMm9Eb2MueG1sUEsBAi0AFAAGAAgA&#10;AAAhAKCK+GTcAAAABwEAAA8AAAAAAAAAAAAAAAAAcQQAAGRycy9kb3ducmV2LnhtbFBLBQYAAAAA&#10;BAAEAPMAAAB6BQAAAAA=&#10;" o:allowincell="f" filled="f" stroked="f" strokeweight=".5pt">
              <v:textbox inset=",0,,0">
                <w:txbxContent>
                  <w:p w14:paraId="7D43F25C" w14:textId="14E39497" w:rsidR="006D768E" w:rsidRPr="006D768E" w:rsidRDefault="006D768E" w:rsidP="006D768E">
                    <w:pPr>
                      <w:spacing w:after="0"/>
                      <w:jc w:val="center"/>
                      <w:rPr>
                        <w:sz w:val="24"/>
                      </w:rPr>
                    </w:pPr>
                    <w:r w:rsidRPr="006D768E">
                      <w:rPr>
                        <w:sz w:val="24"/>
                      </w:rPr>
                      <w:t>OFFICIAL</w:t>
                    </w:r>
                  </w:p>
                </w:txbxContent>
              </v:textbox>
              <w10:wrap anchorx="page" anchory="page"/>
            </v:shape>
          </w:pict>
        </mc:Fallback>
      </mc:AlternateContent>
    </w:r>
    <w:r w:rsidR="00530788">
      <w:rPr>
        <w:noProof/>
      </w:rPr>
      <mc:AlternateContent>
        <mc:Choice Requires="wps">
          <w:drawing>
            <wp:anchor distT="0" distB="0" distL="114300" distR="114300" simplePos="1" relativeHeight="251658262" behindDoc="0" locked="0" layoutInCell="0" allowOverlap="1" wp14:anchorId="7507B3E4" wp14:editId="4A021C84">
              <wp:simplePos x="0" y="190500"/>
              <wp:positionH relativeFrom="page">
                <wp:posOffset>0</wp:posOffset>
              </wp:positionH>
              <wp:positionV relativeFrom="page">
                <wp:posOffset>190500</wp:posOffset>
              </wp:positionV>
              <wp:extent cx="7560310" cy="252095"/>
              <wp:effectExtent l="0" t="0" r="0" b="14605"/>
              <wp:wrapNone/>
              <wp:docPr id="28" name="Text Box 28" descr="{&quot;HashCode&quot;:352122633,&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1375F1" w14:textId="0884C0FA" w:rsidR="00530788" w:rsidRPr="00530788" w:rsidRDefault="00530788" w:rsidP="00530788">
                          <w:pPr>
                            <w:spacing w:after="0"/>
                            <w:jc w:val="center"/>
                            <w:rPr>
                              <w:sz w:val="24"/>
                            </w:rPr>
                          </w:pPr>
                          <w:r w:rsidRPr="00530788">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507B3E4" id="Text Box 28" o:spid="_x0000_s1067" type="#_x0000_t202" alt="{&quot;HashCode&quot;:352122633,&quot;Height&quot;:841.0,&quot;Width&quot;:595.0,&quot;Placement&quot;:&quot;Header&quot;,&quot;Index&quot;:&quot;FirstPage&quot;,&quot;Section&quot;:3,&quot;Top&quot;:0.0,&quot;Left&quot;:0.0}" style="position:absolute;margin-left:0;margin-top:15pt;width:595.3pt;height:19.85pt;z-index:25165826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tBGA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RVSaeXRXZQnXA/Bz313vJ1g0Ns&#10;mA/PzCHXODfqNzzhIRVgMxgsSmpwv/7mj/lIAUYpaVE7JfU/D8wJStR3g+TcjqfTKLZ0QcO99e7O&#10;XnPQ94CyHOMLsTyZMTeosykd6FeU9yp2wxAzHHuWNJzN+9ArGZ8HF6tVSkJZWRY2Zmt5LB3hjNC+&#10;dK/M2QH/gMw9wlldrHhHQ5/bE7E6BJBN4igC3KM54I6STCwPzydq/u09ZV0f+fI3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2chtBGAIAACwEAAAOAAAAAAAAAAAAAAAAAC4CAABkcnMvZTJvRG9jLnhtbFBLAQItABQABgAI&#10;AAAAIQCgivhk3AAAAAcBAAAPAAAAAAAAAAAAAAAAAHIEAABkcnMvZG93bnJldi54bWxQSwUGAAAA&#10;AAQABADzAAAAewUAAAAA&#10;" o:allowincell="f" filled="f" stroked="f" strokeweight=".5pt">
              <v:textbox inset=",0,,0">
                <w:txbxContent>
                  <w:p w14:paraId="681375F1" w14:textId="0884C0FA" w:rsidR="00530788" w:rsidRPr="00530788" w:rsidRDefault="00530788" w:rsidP="00530788">
                    <w:pPr>
                      <w:spacing w:after="0"/>
                      <w:jc w:val="center"/>
                      <w:rPr>
                        <w:sz w:val="24"/>
                      </w:rPr>
                    </w:pPr>
                    <w:r w:rsidRPr="00530788">
                      <w:rPr>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585"/>
    <w:multiLevelType w:val="hybridMultilevel"/>
    <w:tmpl w:val="D6A2B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B1D81"/>
    <w:multiLevelType w:val="hybridMultilevel"/>
    <w:tmpl w:val="4E42977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1F0C02"/>
    <w:multiLevelType w:val="hybridMultilevel"/>
    <w:tmpl w:val="9B8EF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36BD0"/>
    <w:multiLevelType w:val="hybridMultilevel"/>
    <w:tmpl w:val="9EF49E84"/>
    <w:lvl w:ilvl="0" w:tplc="C8B2D208">
      <w:start w:val="1"/>
      <w:numFmt w:val="bullet"/>
      <w:lvlText w:val="•"/>
      <w:lvlJc w:val="left"/>
      <w:pPr>
        <w:tabs>
          <w:tab w:val="num" w:pos="720"/>
        </w:tabs>
        <w:ind w:left="720" w:hanging="360"/>
      </w:pPr>
      <w:rPr>
        <w:rFonts w:ascii="Arial" w:hAnsi="Arial" w:hint="default"/>
      </w:rPr>
    </w:lvl>
    <w:lvl w:ilvl="1" w:tplc="2EC0C8DA" w:tentative="1">
      <w:start w:val="1"/>
      <w:numFmt w:val="bullet"/>
      <w:lvlText w:val="•"/>
      <w:lvlJc w:val="left"/>
      <w:pPr>
        <w:tabs>
          <w:tab w:val="num" w:pos="1440"/>
        </w:tabs>
        <w:ind w:left="1440" w:hanging="360"/>
      </w:pPr>
      <w:rPr>
        <w:rFonts w:ascii="Arial" w:hAnsi="Arial" w:hint="default"/>
      </w:rPr>
    </w:lvl>
    <w:lvl w:ilvl="2" w:tplc="0A3A9352" w:tentative="1">
      <w:start w:val="1"/>
      <w:numFmt w:val="bullet"/>
      <w:lvlText w:val="•"/>
      <w:lvlJc w:val="left"/>
      <w:pPr>
        <w:tabs>
          <w:tab w:val="num" w:pos="2160"/>
        </w:tabs>
        <w:ind w:left="2160" w:hanging="360"/>
      </w:pPr>
      <w:rPr>
        <w:rFonts w:ascii="Arial" w:hAnsi="Arial" w:hint="default"/>
      </w:rPr>
    </w:lvl>
    <w:lvl w:ilvl="3" w:tplc="196E0CB8" w:tentative="1">
      <w:start w:val="1"/>
      <w:numFmt w:val="bullet"/>
      <w:lvlText w:val="•"/>
      <w:lvlJc w:val="left"/>
      <w:pPr>
        <w:tabs>
          <w:tab w:val="num" w:pos="2880"/>
        </w:tabs>
        <w:ind w:left="2880" w:hanging="360"/>
      </w:pPr>
      <w:rPr>
        <w:rFonts w:ascii="Arial" w:hAnsi="Arial" w:hint="default"/>
      </w:rPr>
    </w:lvl>
    <w:lvl w:ilvl="4" w:tplc="5B32F686" w:tentative="1">
      <w:start w:val="1"/>
      <w:numFmt w:val="bullet"/>
      <w:lvlText w:val="•"/>
      <w:lvlJc w:val="left"/>
      <w:pPr>
        <w:tabs>
          <w:tab w:val="num" w:pos="3600"/>
        </w:tabs>
        <w:ind w:left="3600" w:hanging="360"/>
      </w:pPr>
      <w:rPr>
        <w:rFonts w:ascii="Arial" w:hAnsi="Arial" w:hint="default"/>
      </w:rPr>
    </w:lvl>
    <w:lvl w:ilvl="5" w:tplc="F746E8A4" w:tentative="1">
      <w:start w:val="1"/>
      <w:numFmt w:val="bullet"/>
      <w:lvlText w:val="•"/>
      <w:lvlJc w:val="left"/>
      <w:pPr>
        <w:tabs>
          <w:tab w:val="num" w:pos="4320"/>
        </w:tabs>
        <w:ind w:left="4320" w:hanging="360"/>
      </w:pPr>
      <w:rPr>
        <w:rFonts w:ascii="Arial" w:hAnsi="Arial" w:hint="default"/>
      </w:rPr>
    </w:lvl>
    <w:lvl w:ilvl="6" w:tplc="7E58948A" w:tentative="1">
      <w:start w:val="1"/>
      <w:numFmt w:val="bullet"/>
      <w:lvlText w:val="•"/>
      <w:lvlJc w:val="left"/>
      <w:pPr>
        <w:tabs>
          <w:tab w:val="num" w:pos="5040"/>
        </w:tabs>
        <w:ind w:left="5040" w:hanging="360"/>
      </w:pPr>
      <w:rPr>
        <w:rFonts w:ascii="Arial" w:hAnsi="Arial" w:hint="default"/>
      </w:rPr>
    </w:lvl>
    <w:lvl w:ilvl="7" w:tplc="1330840C" w:tentative="1">
      <w:start w:val="1"/>
      <w:numFmt w:val="bullet"/>
      <w:lvlText w:val="•"/>
      <w:lvlJc w:val="left"/>
      <w:pPr>
        <w:tabs>
          <w:tab w:val="num" w:pos="5760"/>
        </w:tabs>
        <w:ind w:left="5760" w:hanging="360"/>
      </w:pPr>
      <w:rPr>
        <w:rFonts w:ascii="Arial" w:hAnsi="Arial" w:hint="default"/>
      </w:rPr>
    </w:lvl>
    <w:lvl w:ilvl="8" w:tplc="28F6B8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017A65"/>
    <w:multiLevelType w:val="hybridMultilevel"/>
    <w:tmpl w:val="956863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1666F8"/>
    <w:multiLevelType w:val="hybridMultilevel"/>
    <w:tmpl w:val="F3D289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B06BBF"/>
    <w:multiLevelType w:val="hybridMultilevel"/>
    <w:tmpl w:val="9752A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896C93"/>
    <w:multiLevelType w:val="hybridMultilevel"/>
    <w:tmpl w:val="011C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F47B0"/>
    <w:multiLevelType w:val="hybridMultilevel"/>
    <w:tmpl w:val="CE286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52944"/>
    <w:multiLevelType w:val="hybridMultilevel"/>
    <w:tmpl w:val="7F9CF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267EF3"/>
    <w:multiLevelType w:val="hybridMultilevel"/>
    <w:tmpl w:val="0A7A4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060C72"/>
    <w:multiLevelType w:val="hybridMultilevel"/>
    <w:tmpl w:val="3418C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FB122A"/>
    <w:multiLevelType w:val="hybridMultilevel"/>
    <w:tmpl w:val="1C206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6C2B65"/>
    <w:multiLevelType w:val="hybridMultilevel"/>
    <w:tmpl w:val="F1783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995AF3"/>
    <w:multiLevelType w:val="hybridMultilevel"/>
    <w:tmpl w:val="F350003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E83E7E"/>
    <w:multiLevelType w:val="hybridMultilevel"/>
    <w:tmpl w:val="394A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4D4F9B"/>
    <w:multiLevelType w:val="hybridMultilevel"/>
    <w:tmpl w:val="7632E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896A94"/>
    <w:multiLevelType w:val="hybridMultilevel"/>
    <w:tmpl w:val="152A2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0E48A1"/>
    <w:multiLevelType w:val="hybridMultilevel"/>
    <w:tmpl w:val="3300C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F745B2"/>
    <w:multiLevelType w:val="hybridMultilevel"/>
    <w:tmpl w:val="5B1A6178"/>
    <w:lvl w:ilvl="0" w:tplc="0C090001">
      <w:start w:val="1"/>
      <w:numFmt w:val="bullet"/>
      <w:lvlText w:val=""/>
      <w:lvlJc w:val="left"/>
      <w:pPr>
        <w:ind w:left="720" w:hanging="360"/>
      </w:pPr>
      <w:rPr>
        <w:rFonts w:ascii="Symbol" w:hAnsi="Symbol" w:hint="default"/>
        <w:color w:val="626464"/>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684702"/>
    <w:multiLevelType w:val="hybridMultilevel"/>
    <w:tmpl w:val="9ABEF07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4E4008"/>
    <w:multiLevelType w:val="hybridMultilevel"/>
    <w:tmpl w:val="886C0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F27004"/>
    <w:multiLevelType w:val="hybridMultilevel"/>
    <w:tmpl w:val="12C8C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96B9B"/>
    <w:multiLevelType w:val="hybridMultilevel"/>
    <w:tmpl w:val="7FBE0064"/>
    <w:lvl w:ilvl="0" w:tplc="5BD2FDA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43493"/>
    <w:multiLevelType w:val="hybridMultilevel"/>
    <w:tmpl w:val="2FB4906C"/>
    <w:lvl w:ilvl="0" w:tplc="2A72DE12">
      <w:start w:val="1"/>
      <w:numFmt w:val="bullet"/>
      <w:lvlText w:val="•"/>
      <w:lvlJc w:val="left"/>
      <w:pPr>
        <w:tabs>
          <w:tab w:val="num" w:pos="720"/>
        </w:tabs>
        <w:ind w:left="720" w:hanging="360"/>
      </w:pPr>
      <w:rPr>
        <w:rFonts w:ascii="Arial" w:hAnsi="Arial" w:hint="default"/>
      </w:rPr>
    </w:lvl>
    <w:lvl w:ilvl="1" w:tplc="E564DA3A" w:tentative="1">
      <w:start w:val="1"/>
      <w:numFmt w:val="bullet"/>
      <w:lvlText w:val="•"/>
      <w:lvlJc w:val="left"/>
      <w:pPr>
        <w:tabs>
          <w:tab w:val="num" w:pos="1440"/>
        </w:tabs>
        <w:ind w:left="1440" w:hanging="360"/>
      </w:pPr>
      <w:rPr>
        <w:rFonts w:ascii="Arial" w:hAnsi="Arial" w:hint="default"/>
      </w:rPr>
    </w:lvl>
    <w:lvl w:ilvl="2" w:tplc="7832AB72" w:tentative="1">
      <w:start w:val="1"/>
      <w:numFmt w:val="bullet"/>
      <w:lvlText w:val="•"/>
      <w:lvlJc w:val="left"/>
      <w:pPr>
        <w:tabs>
          <w:tab w:val="num" w:pos="2160"/>
        </w:tabs>
        <w:ind w:left="2160" w:hanging="360"/>
      </w:pPr>
      <w:rPr>
        <w:rFonts w:ascii="Arial" w:hAnsi="Arial" w:hint="default"/>
      </w:rPr>
    </w:lvl>
    <w:lvl w:ilvl="3" w:tplc="B2B2FB16" w:tentative="1">
      <w:start w:val="1"/>
      <w:numFmt w:val="bullet"/>
      <w:lvlText w:val="•"/>
      <w:lvlJc w:val="left"/>
      <w:pPr>
        <w:tabs>
          <w:tab w:val="num" w:pos="2880"/>
        </w:tabs>
        <w:ind w:left="2880" w:hanging="360"/>
      </w:pPr>
      <w:rPr>
        <w:rFonts w:ascii="Arial" w:hAnsi="Arial" w:hint="default"/>
      </w:rPr>
    </w:lvl>
    <w:lvl w:ilvl="4" w:tplc="26E2F042" w:tentative="1">
      <w:start w:val="1"/>
      <w:numFmt w:val="bullet"/>
      <w:lvlText w:val="•"/>
      <w:lvlJc w:val="left"/>
      <w:pPr>
        <w:tabs>
          <w:tab w:val="num" w:pos="3600"/>
        </w:tabs>
        <w:ind w:left="3600" w:hanging="360"/>
      </w:pPr>
      <w:rPr>
        <w:rFonts w:ascii="Arial" w:hAnsi="Arial" w:hint="default"/>
      </w:rPr>
    </w:lvl>
    <w:lvl w:ilvl="5" w:tplc="9DC2AAEE" w:tentative="1">
      <w:start w:val="1"/>
      <w:numFmt w:val="bullet"/>
      <w:lvlText w:val="•"/>
      <w:lvlJc w:val="left"/>
      <w:pPr>
        <w:tabs>
          <w:tab w:val="num" w:pos="4320"/>
        </w:tabs>
        <w:ind w:left="4320" w:hanging="360"/>
      </w:pPr>
      <w:rPr>
        <w:rFonts w:ascii="Arial" w:hAnsi="Arial" w:hint="default"/>
      </w:rPr>
    </w:lvl>
    <w:lvl w:ilvl="6" w:tplc="1CBCC0BA" w:tentative="1">
      <w:start w:val="1"/>
      <w:numFmt w:val="bullet"/>
      <w:lvlText w:val="•"/>
      <w:lvlJc w:val="left"/>
      <w:pPr>
        <w:tabs>
          <w:tab w:val="num" w:pos="5040"/>
        </w:tabs>
        <w:ind w:left="5040" w:hanging="360"/>
      </w:pPr>
      <w:rPr>
        <w:rFonts w:ascii="Arial" w:hAnsi="Arial" w:hint="default"/>
      </w:rPr>
    </w:lvl>
    <w:lvl w:ilvl="7" w:tplc="21B0CFB6" w:tentative="1">
      <w:start w:val="1"/>
      <w:numFmt w:val="bullet"/>
      <w:lvlText w:val="•"/>
      <w:lvlJc w:val="left"/>
      <w:pPr>
        <w:tabs>
          <w:tab w:val="num" w:pos="5760"/>
        </w:tabs>
        <w:ind w:left="5760" w:hanging="360"/>
      </w:pPr>
      <w:rPr>
        <w:rFonts w:ascii="Arial" w:hAnsi="Arial" w:hint="default"/>
      </w:rPr>
    </w:lvl>
    <w:lvl w:ilvl="8" w:tplc="30C0C1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0B2169"/>
    <w:multiLevelType w:val="hybridMultilevel"/>
    <w:tmpl w:val="68947C28"/>
    <w:lvl w:ilvl="0" w:tplc="8F02C7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F84DE5"/>
    <w:multiLevelType w:val="hybridMultilevel"/>
    <w:tmpl w:val="2236E1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3443180"/>
    <w:multiLevelType w:val="hybridMultilevel"/>
    <w:tmpl w:val="ABF086CE"/>
    <w:lvl w:ilvl="0" w:tplc="036EFF4E">
      <w:start w:val="1"/>
      <w:numFmt w:val="decimal"/>
      <w:lvlText w:val="%1."/>
      <w:lvlJc w:val="left"/>
      <w:pPr>
        <w:ind w:left="360" w:hanging="360"/>
      </w:pPr>
      <w:rPr>
        <w:color w:val="auto"/>
      </w:r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4004FC9"/>
    <w:multiLevelType w:val="hybridMultilevel"/>
    <w:tmpl w:val="38C8E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8B607F"/>
    <w:multiLevelType w:val="hybridMultilevel"/>
    <w:tmpl w:val="56929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CE253A"/>
    <w:multiLevelType w:val="hybridMultilevel"/>
    <w:tmpl w:val="D0C48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A668FF"/>
    <w:multiLevelType w:val="hybridMultilevel"/>
    <w:tmpl w:val="08D67E42"/>
    <w:lvl w:ilvl="0" w:tplc="64E4D47A">
      <w:start w:val="1"/>
      <w:numFmt w:val="bullet"/>
      <w:pStyle w:val="ListBullet"/>
      <w:lvlText w:val=""/>
      <w:lvlJc w:val="left"/>
      <w:pPr>
        <w:ind w:left="720" w:hanging="360"/>
      </w:pPr>
      <w:rPr>
        <w:rFonts w:ascii="Symbol" w:hAnsi="Symbol" w:hint="default"/>
        <w:color w:val="626464"/>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BB71B9"/>
    <w:multiLevelType w:val="hybridMultilevel"/>
    <w:tmpl w:val="34225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9C1814"/>
    <w:multiLevelType w:val="hybridMultilevel"/>
    <w:tmpl w:val="D38E9E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5C9E6F22"/>
    <w:multiLevelType w:val="hybridMultilevel"/>
    <w:tmpl w:val="55B0A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030259"/>
    <w:multiLevelType w:val="hybridMultilevel"/>
    <w:tmpl w:val="7212A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13034"/>
    <w:multiLevelType w:val="hybridMultilevel"/>
    <w:tmpl w:val="CBE25412"/>
    <w:lvl w:ilvl="0" w:tplc="5BD2FDA0">
      <w:start w:val="1"/>
      <w:numFmt w:val="bullet"/>
      <w:lvlText w:val=""/>
      <w:lvlJc w:val="left"/>
      <w:pPr>
        <w:ind w:left="720" w:hanging="360"/>
      </w:pPr>
      <w:rPr>
        <w:rFonts w:ascii="Symbol" w:hAnsi="Symbol" w:hint="default"/>
        <w:color w:val="535659" w:themeColor="text2"/>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741981"/>
    <w:multiLevelType w:val="hybridMultilevel"/>
    <w:tmpl w:val="510A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D339E6"/>
    <w:multiLevelType w:val="hybridMultilevel"/>
    <w:tmpl w:val="CA2EE650"/>
    <w:lvl w:ilvl="0" w:tplc="5BD2FDA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5C75004"/>
    <w:multiLevelType w:val="hybridMultilevel"/>
    <w:tmpl w:val="D2B85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2F5AFE"/>
    <w:multiLevelType w:val="hybridMultilevel"/>
    <w:tmpl w:val="F910A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DE77F67"/>
    <w:multiLevelType w:val="hybridMultilevel"/>
    <w:tmpl w:val="A8624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4F28BA"/>
    <w:multiLevelType w:val="hybridMultilevel"/>
    <w:tmpl w:val="661A5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3F2B9C"/>
    <w:multiLevelType w:val="hybridMultilevel"/>
    <w:tmpl w:val="5554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2561D34"/>
    <w:multiLevelType w:val="hybridMultilevel"/>
    <w:tmpl w:val="F7564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51C06A9"/>
    <w:multiLevelType w:val="hybridMultilevel"/>
    <w:tmpl w:val="8780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5DD61B7"/>
    <w:multiLevelType w:val="hybridMultilevel"/>
    <w:tmpl w:val="06F2B35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2F0604"/>
    <w:multiLevelType w:val="hybridMultilevel"/>
    <w:tmpl w:val="AA9464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92139DC"/>
    <w:multiLevelType w:val="hybridMultilevel"/>
    <w:tmpl w:val="F654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9FF78EC"/>
    <w:multiLevelType w:val="hybridMultilevel"/>
    <w:tmpl w:val="8974A82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A195CC3"/>
    <w:multiLevelType w:val="hybridMultilevel"/>
    <w:tmpl w:val="B4D864C2"/>
    <w:lvl w:ilvl="0" w:tplc="0C090001">
      <w:start w:val="1"/>
      <w:numFmt w:val="bullet"/>
      <w:lvlText w:val=""/>
      <w:lvlJc w:val="left"/>
      <w:pPr>
        <w:ind w:left="360" w:hanging="360"/>
      </w:pPr>
      <w:rPr>
        <w:rFonts w:ascii="Symbol" w:hAnsi="Symbol" w:hint="default"/>
      </w:rPr>
    </w:lvl>
    <w:lvl w:ilvl="1" w:tplc="FCC003D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C32697B"/>
    <w:multiLevelType w:val="hybridMultilevel"/>
    <w:tmpl w:val="DD2C7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DC46BB"/>
    <w:multiLevelType w:val="hybridMultilevel"/>
    <w:tmpl w:val="6A3CEC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5923188">
    <w:abstractNumId w:val="9"/>
  </w:num>
  <w:num w:numId="2" w16cid:durableId="558827950">
    <w:abstractNumId w:val="27"/>
  </w:num>
  <w:num w:numId="3" w16cid:durableId="1952666511">
    <w:abstractNumId w:val="26"/>
  </w:num>
  <w:num w:numId="4" w16cid:durableId="896740552">
    <w:abstractNumId w:val="45"/>
  </w:num>
  <w:num w:numId="5" w16cid:durableId="672416796">
    <w:abstractNumId w:val="23"/>
  </w:num>
  <w:num w:numId="6" w16cid:durableId="1791511743">
    <w:abstractNumId w:val="30"/>
  </w:num>
  <w:num w:numId="7" w16cid:durableId="974916247">
    <w:abstractNumId w:val="36"/>
  </w:num>
  <w:num w:numId="8" w16cid:durableId="538131857">
    <w:abstractNumId w:val="14"/>
  </w:num>
  <w:num w:numId="9" w16cid:durableId="896016835">
    <w:abstractNumId w:val="34"/>
  </w:num>
  <w:num w:numId="10" w16cid:durableId="2144732672">
    <w:abstractNumId w:val="37"/>
  </w:num>
  <w:num w:numId="11" w16cid:durableId="1330019882">
    <w:abstractNumId w:val="20"/>
  </w:num>
  <w:num w:numId="12" w16cid:durableId="1594052888">
    <w:abstractNumId w:val="10"/>
  </w:num>
  <w:num w:numId="13" w16cid:durableId="1557862513">
    <w:abstractNumId w:val="33"/>
  </w:num>
  <w:num w:numId="14" w16cid:durableId="1659843031">
    <w:abstractNumId w:val="24"/>
  </w:num>
  <w:num w:numId="15" w16cid:durableId="1034430724">
    <w:abstractNumId w:val="50"/>
  </w:num>
  <w:num w:numId="16" w16cid:durableId="1489899098">
    <w:abstractNumId w:val="7"/>
  </w:num>
  <w:num w:numId="17" w16cid:durableId="361706678">
    <w:abstractNumId w:val="57"/>
  </w:num>
  <w:num w:numId="18" w16cid:durableId="2027753218">
    <w:abstractNumId w:val="6"/>
  </w:num>
  <w:num w:numId="19" w16cid:durableId="1935550430">
    <w:abstractNumId w:val="16"/>
  </w:num>
  <w:num w:numId="20" w16cid:durableId="1079256657">
    <w:abstractNumId w:val="56"/>
  </w:num>
  <w:num w:numId="21" w16cid:durableId="672419488">
    <w:abstractNumId w:val="8"/>
  </w:num>
  <w:num w:numId="22" w16cid:durableId="607197289">
    <w:abstractNumId w:val="46"/>
  </w:num>
  <w:num w:numId="23" w16cid:durableId="860512342">
    <w:abstractNumId w:val="44"/>
  </w:num>
  <w:num w:numId="24" w16cid:durableId="440801987">
    <w:abstractNumId w:val="0"/>
  </w:num>
  <w:num w:numId="25" w16cid:durableId="1798181630">
    <w:abstractNumId w:val="22"/>
  </w:num>
  <w:num w:numId="26" w16cid:durableId="99565720">
    <w:abstractNumId w:val="32"/>
  </w:num>
  <w:num w:numId="27" w16cid:durableId="149056682">
    <w:abstractNumId w:val="51"/>
  </w:num>
  <w:num w:numId="28" w16cid:durableId="570122937">
    <w:abstractNumId w:val="12"/>
  </w:num>
  <w:num w:numId="29" w16cid:durableId="1066607289">
    <w:abstractNumId w:val="40"/>
  </w:num>
  <w:num w:numId="30" w16cid:durableId="854617515">
    <w:abstractNumId w:val="54"/>
  </w:num>
  <w:num w:numId="31" w16cid:durableId="165632294">
    <w:abstractNumId w:val="39"/>
  </w:num>
  <w:num w:numId="32" w16cid:durableId="1601913376">
    <w:abstractNumId w:val="2"/>
  </w:num>
  <w:num w:numId="33" w16cid:durableId="556086122">
    <w:abstractNumId w:val="11"/>
  </w:num>
  <w:num w:numId="34" w16cid:durableId="561017521">
    <w:abstractNumId w:val="4"/>
  </w:num>
  <w:num w:numId="35" w16cid:durableId="800654853">
    <w:abstractNumId w:val="55"/>
  </w:num>
  <w:num w:numId="36" w16cid:durableId="542668849">
    <w:abstractNumId w:val="21"/>
  </w:num>
  <w:num w:numId="37" w16cid:durableId="1091583780">
    <w:abstractNumId w:val="47"/>
  </w:num>
  <w:num w:numId="38" w16cid:durableId="1663313849">
    <w:abstractNumId w:val="31"/>
  </w:num>
  <w:num w:numId="39" w16cid:durableId="1403720447">
    <w:abstractNumId w:val="25"/>
  </w:num>
  <w:num w:numId="40" w16cid:durableId="2096633037">
    <w:abstractNumId w:val="48"/>
  </w:num>
  <w:num w:numId="41" w16cid:durableId="1529490110">
    <w:abstractNumId w:val="15"/>
  </w:num>
  <w:num w:numId="42" w16cid:durableId="1608467792">
    <w:abstractNumId w:val="49"/>
  </w:num>
  <w:num w:numId="43" w16cid:durableId="1558318268">
    <w:abstractNumId w:val="41"/>
  </w:num>
  <w:num w:numId="44" w16cid:durableId="381369009">
    <w:abstractNumId w:val="43"/>
  </w:num>
  <w:num w:numId="45" w16cid:durableId="1725985685">
    <w:abstractNumId w:val="42"/>
  </w:num>
  <w:num w:numId="46" w16cid:durableId="579943849">
    <w:abstractNumId w:val="18"/>
  </w:num>
  <w:num w:numId="47" w16cid:durableId="736324329">
    <w:abstractNumId w:val="13"/>
  </w:num>
  <w:num w:numId="48" w16cid:durableId="1344014000">
    <w:abstractNumId w:val="19"/>
  </w:num>
  <w:num w:numId="49" w16cid:durableId="42487096">
    <w:abstractNumId w:val="17"/>
  </w:num>
  <w:num w:numId="50" w16cid:durableId="1625841829">
    <w:abstractNumId w:val="35"/>
  </w:num>
  <w:num w:numId="51" w16cid:durableId="298733462">
    <w:abstractNumId w:val="28"/>
  </w:num>
  <w:num w:numId="52" w16cid:durableId="891817745">
    <w:abstractNumId w:val="3"/>
  </w:num>
  <w:num w:numId="53" w16cid:durableId="1511290956">
    <w:abstractNumId w:val="29"/>
  </w:num>
  <w:num w:numId="54" w16cid:durableId="1753890630">
    <w:abstractNumId w:val="5"/>
  </w:num>
  <w:num w:numId="55" w16cid:durableId="120271353">
    <w:abstractNumId w:val="53"/>
  </w:num>
  <w:num w:numId="56" w16cid:durableId="1990164144">
    <w:abstractNumId w:val="58"/>
  </w:num>
  <w:num w:numId="57" w16cid:durableId="1877544575">
    <w:abstractNumId w:val="38"/>
  </w:num>
  <w:num w:numId="58" w16cid:durableId="840587289">
    <w:abstractNumId w:val="1"/>
  </w:num>
  <w:num w:numId="59" w16cid:durableId="1208298484">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JSIR"/>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3D"/>
    <w:rsid w:val="000005E0"/>
    <w:rsid w:val="000009F2"/>
    <w:rsid w:val="00001254"/>
    <w:rsid w:val="00003402"/>
    <w:rsid w:val="00003594"/>
    <w:rsid w:val="00004033"/>
    <w:rsid w:val="0000440C"/>
    <w:rsid w:val="00004C4B"/>
    <w:rsid w:val="00004D45"/>
    <w:rsid w:val="00004FDB"/>
    <w:rsid w:val="000050C2"/>
    <w:rsid w:val="000061C5"/>
    <w:rsid w:val="000064F6"/>
    <w:rsid w:val="00007535"/>
    <w:rsid w:val="00007D68"/>
    <w:rsid w:val="000107A2"/>
    <w:rsid w:val="000108BA"/>
    <w:rsid w:val="000114C6"/>
    <w:rsid w:val="0001177C"/>
    <w:rsid w:val="00012289"/>
    <w:rsid w:val="000126B8"/>
    <w:rsid w:val="00012C25"/>
    <w:rsid w:val="00012FC7"/>
    <w:rsid w:val="0001375D"/>
    <w:rsid w:val="00013F85"/>
    <w:rsid w:val="00014B3B"/>
    <w:rsid w:val="00015416"/>
    <w:rsid w:val="00015573"/>
    <w:rsid w:val="000157A2"/>
    <w:rsid w:val="000158E8"/>
    <w:rsid w:val="00016680"/>
    <w:rsid w:val="00017433"/>
    <w:rsid w:val="00017F86"/>
    <w:rsid w:val="00020492"/>
    <w:rsid w:val="00020600"/>
    <w:rsid w:val="000213D3"/>
    <w:rsid w:val="00021934"/>
    <w:rsid w:val="00021C23"/>
    <w:rsid w:val="0002249D"/>
    <w:rsid w:val="000224A0"/>
    <w:rsid w:val="000225CD"/>
    <w:rsid w:val="00022C67"/>
    <w:rsid w:val="000233E2"/>
    <w:rsid w:val="0002416B"/>
    <w:rsid w:val="000243B2"/>
    <w:rsid w:val="00024464"/>
    <w:rsid w:val="00024741"/>
    <w:rsid w:val="000250A3"/>
    <w:rsid w:val="00025515"/>
    <w:rsid w:val="000255C7"/>
    <w:rsid w:val="00025796"/>
    <w:rsid w:val="00025AC3"/>
    <w:rsid w:val="00025B66"/>
    <w:rsid w:val="00025D11"/>
    <w:rsid w:val="00027336"/>
    <w:rsid w:val="00027554"/>
    <w:rsid w:val="000308E5"/>
    <w:rsid w:val="00031647"/>
    <w:rsid w:val="00032066"/>
    <w:rsid w:val="000333EA"/>
    <w:rsid w:val="00033427"/>
    <w:rsid w:val="00033BAB"/>
    <w:rsid w:val="0003416E"/>
    <w:rsid w:val="000341D1"/>
    <w:rsid w:val="000350BF"/>
    <w:rsid w:val="00035C55"/>
    <w:rsid w:val="00035F72"/>
    <w:rsid w:val="00036717"/>
    <w:rsid w:val="00036A7A"/>
    <w:rsid w:val="00036C1E"/>
    <w:rsid w:val="00036FE0"/>
    <w:rsid w:val="00040257"/>
    <w:rsid w:val="00040724"/>
    <w:rsid w:val="000408D1"/>
    <w:rsid w:val="000410AA"/>
    <w:rsid w:val="00041660"/>
    <w:rsid w:val="0004230F"/>
    <w:rsid w:val="000437D8"/>
    <w:rsid w:val="00044226"/>
    <w:rsid w:val="000455F4"/>
    <w:rsid w:val="000458D8"/>
    <w:rsid w:val="0004668E"/>
    <w:rsid w:val="000468D6"/>
    <w:rsid w:val="0004738C"/>
    <w:rsid w:val="000502B2"/>
    <w:rsid w:val="00050B32"/>
    <w:rsid w:val="0005125E"/>
    <w:rsid w:val="00051FB7"/>
    <w:rsid w:val="00052039"/>
    <w:rsid w:val="00052C42"/>
    <w:rsid w:val="00052E3C"/>
    <w:rsid w:val="00053470"/>
    <w:rsid w:val="00053F6A"/>
    <w:rsid w:val="0005523F"/>
    <w:rsid w:val="00055583"/>
    <w:rsid w:val="00055818"/>
    <w:rsid w:val="00055D5F"/>
    <w:rsid w:val="00056193"/>
    <w:rsid w:val="00056253"/>
    <w:rsid w:val="00056A88"/>
    <w:rsid w:val="00056E72"/>
    <w:rsid w:val="00056F02"/>
    <w:rsid w:val="0005766A"/>
    <w:rsid w:val="00057998"/>
    <w:rsid w:val="00057BF3"/>
    <w:rsid w:val="00060167"/>
    <w:rsid w:val="000603F0"/>
    <w:rsid w:val="0006041C"/>
    <w:rsid w:val="00060D3F"/>
    <w:rsid w:val="00061D7E"/>
    <w:rsid w:val="00062CD1"/>
    <w:rsid w:val="00062F88"/>
    <w:rsid w:val="000631B4"/>
    <w:rsid w:val="00063296"/>
    <w:rsid w:val="0006367E"/>
    <w:rsid w:val="00063C37"/>
    <w:rsid w:val="00065C06"/>
    <w:rsid w:val="000668C8"/>
    <w:rsid w:val="00066ADC"/>
    <w:rsid w:val="00066C15"/>
    <w:rsid w:val="00066D60"/>
    <w:rsid w:val="000673ED"/>
    <w:rsid w:val="00070090"/>
    <w:rsid w:val="00070BFB"/>
    <w:rsid w:val="00071243"/>
    <w:rsid w:val="00073127"/>
    <w:rsid w:val="00073F6D"/>
    <w:rsid w:val="00074930"/>
    <w:rsid w:val="00074C4F"/>
    <w:rsid w:val="00075942"/>
    <w:rsid w:val="00075B80"/>
    <w:rsid w:val="0007648E"/>
    <w:rsid w:val="000764EE"/>
    <w:rsid w:val="00081250"/>
    <w:rsid w:val="00081493"/>
    <w:rsid w:val="00081E66"/>
    <w:rsid w:val="0008229F"/>
    <w:rsid w:val="00082D3A"/>
    <w:rsid w:val="00082F05"/>
    <w:rsid w:val="00082FFF"/>
    <w:rsid w:val="000830B7"/>
    <w:rsid w:val="00083BC5"/>
    <w:rsid w:val="00083DC9"/>
    <w:rsid w:val="0008424F"/>
    <w:rsid w:val="00084DB0"/>
    <w:rsid w:val="00085328"/>
    <w:rsid w:val="00085532"/>
    <w:rsid w:val="0008646A"/>
    <w:rsid w:val="000865C3"/>
    <w:rsid w:val="0009221B"/>
    <w:rsid w:val="0009254F"/>
    <w:rsid w:val="00093021"/>
    <w:rsid w:val="000930BA"/>
    <w:rsid w:val="00093383"/>
    <w:rsid w:val="0009341C"/>
    <w:rsid w:val="00094154"/>
    <w:rsid w:val="00094202"/>
    <w:rsid w:val="00094842"/>
    <w:rsid w:val="00094ACC"/>
    <w:rsid w:val="00094C5A"/>
    <w:rsid w:val="00094FFC"/>
    <w:rsid w:val="00095119"/>
    <w:rsid w:val="00096667"/>
    <w:rsid w:val="00096A99"/>
    <w:rsid w:val="00097743"/>
    <w:rsid w:val="00097D4F"/>
    <w:rsid w:val="000A0261"/>
    <w:rsid w:val="000A0779"/>
    <w:rsid w:val="000A0FA2"/>
    <w:rsid w:val="000A17A4"/>
    <w:rsid w:val="000A1C34"/>
    <w:rsid w:val="000A21D9"/>
    <w:rsid w:val="000A2654"/>
    <w:rsid w:val="000A3583"/>
    <w:rsid w:val="000A35E1"/>
    <w:rsid w:val="000A38B1"/>
    <w:rsid w:val="000A3AA4"/>
    <w:rsid w:val="000A3B81"/>
    <w:rsid w:val="000A438D"/>
    <w:rsid w:val="000A45A2"/>
    <w:rsid w:val="000A512E"/>
    <w:rsid w:val="000A572D"/>
    <w:rsid w:val="000A609D"/>
    <w:rsid w:val="000A6492"/>
    <w:rsid w:val="000A6997"/>
    <w:rsid w:val="000A73E6"/>
    <w:rsid w:val="000B2BC0"/>
    <w:rsid w:val="000B2E19"/>
    <w:rsid w:val="000B3D5A"/>
    <w:rsid w:val="000B40B4"/>
    <w:rsid w:val="000B4607"/>
    <w:rsid w:val="000B46A5"/>
    <w:rsid w:val="000B4779"/>
    <w:rsid w:val="000B4F65"/>
    <w:rsid w:val="000B51E7"/>
    <w:rsid w:val="000B6403"/>
    <w:rsid w:val="000B70C2"/>
    <w:rsid w:val="000B791E"/>
    <w:rsid w:val="000B7B5A"/>
    <w:rsid w:val="000B7B68"/>
    <w:rsid w:val="000B7DFB"/>
    <w:rsid w:val="000B7E9F"/>
    <w:rsid w:val="000C02D0"/>
    <w:rsid w:val="000C08CF"/>
    <w:rsid w:val="000C0B84"/>
    <w:rsid w:val="000C124E"/>
    <w:rsid w:val="000C16E3"/>
    <w:rsid w:val="000C1A87"/>
    <w:rsid w:val="000C22EE"/>
    <w:rsid w:val="000C305F"/>
    <w:rsid w:val="000C3965"/>
    <w:rsid w:val="000C533B"/>
    <w:rsid w:val="000C5FBB"/>
    <w:rsid w:val="000C629F"/>
    <w:rsid w:val="000C6A47"/>
    <w:rsid w:val="000C7786"/>
    <w:rsid w:val="000D111F"/>
    <w:rsid w:val="000D12C0"/>
    <w:rsid w:val="000D2451"/>
    <w:rsid w:val="000D2491"/>
    <w:rsid w:val="000D482F"/>
    <w:rsid w:val="000D4CDC"/>
    <w:rsid w:val="000D541D"/>
    <w:rsid w:val="000D5D56"/>
    <w:rsid w:val="000D6DE1"/>
    <w:rsid w:val="000D72E4"/>
    <w:rsid w:val="000E13EF"/>
    <w:rsid w:val="000E1736"/>
    <w:rsid w:val="000E2318"/>
    <w:rsid w:val="000E45E8"/>
    <w:rsid w:val="000E4800"/>
    <w:rsid w:val="000E4D4F"/>
    <w:rsid w:val="000E5835"/>
    <w:rsid w:val="000E5D2D"/>
    <w:rsid w:val="000E6593"/>
    <w:rsid w:val="000E7937"/>
    <w:rsid w:val="000E7A9A"/>
    <w:rsid w:val="000F0250"/>
    <w:rsid w:val="000F0426"/>
    <w:rsid w:val="000F075F"/>
    <w:rsid w:val="000F100E"/>
    <w:rsid w:val="000F1137"/>
    <w:rsid w:val="000F14AE"/>
    <w:rsid w:val="000F1791"/>
    <w:rsid w:val="000F1D4C"/>
    <w:rsid w:val="000F2255"/>
    <w:rsid w:val="000F250A"/>
    <w:rsid w:val="000F2B3F"/>
    <w:rsid w:val="000F2B9E"/>
    <w:rsid w:val="000F2DF5"/>
    <w:rsid w:val="000F3A91"/>
    <w:rsid w:val="000F3D2D"/>
    <w:rsid w:val="000F40F9"/>
    <w:rsid w:val="000F446B"/>
    <w:rsid w:val="000F4DBF"/>
    <w:rsid w:val="000F4F2C"/>
    <w:rsid w:val="000F4FB1"/>
    <w:rsid w:val="000F5252"/>
    <w:rsid w:val="000F5E67"/>
    <w:rsid w:val="000F5F81"/>
    <w:rsid w:val="000F6C93"/>
    <w:rsid w:val="000F79C5"/>
    <w:rsid w:val="00100EE5"/>
    <w:rsid w:val="00101013"/>
    <w:rsid w:val="001012EB"/>
    <w:rsid w:val="001013FE"/>
    <w:rsid w:val="00102797"/>
    <w:rsid w:val="00102D71"/>
    <w:rsid w:val="00103153"/>
    <w:rsid w:val="00103B13"/>
    <w:rsid w:val="00103E11"/>
    <w:rsid w:val="00104F5C"/>
    <w:rsid w:val="001050DA"/>
    <w:rsid w:val="0010670A"/>
    <w:rsid w:val="00106F8D"/>
    <w:rsid w:val="001078DC"/>
    <w:rsid w:val="00107A07"/>
    <w:rsid w:val="001100BD"/>
    <w:rsid w:val="001108F4"/>
    <w:rsid w:val="00110D18"/>
    <w:rsid w:val="00111171"/>
    <w:rsid w:val="001112C6"/>
    <w:rsid w:val="00111B07"/>
    <w:rsid w:val="00112332"/>
    <w:rsid w:val="0011297A"/>
    <w:rsid w:val="00113625"/>
    <w:rsid w:val="00113E9F"/>
    <w:rsid w:val="00114034"/>
    <w:rsid w:val="001160BA"/>
    <w:rsid w:val="001161BD"/>
    <w:rsid w:val="0011777E"/>
    <w:rsid w:val="00117A99"/>
    <w:rsid w:val="00117F82"/>
    <w:rsid w:val="00121AB2"/>
    <w:rsid w:val="00121C26"/>
    <w:rsid w:val="001221C1"/>
    <w:rsid w:val="001227ED"/>
    <w:rsid w:val="0012316E"/>
    <w:rsid w:val="001232B3"/>
    <w:rsid w:val="0012342E"/>
    <w:rsid w:val="001239F3"/>
    <w:rsid w:val="00123BB4"/>
    <w:rsid w:val="00124D35"/>
    <w:rsid w:val="0012560B"/>
    <w:rsid w:val="00126038"/>
    <w:rsid w:val="001263DE"/>
    <w:rsid w:val="00126477"/>
    <w:rsid w:val="00126598"/>
    <w:rsid w:val="00126EBF"/>
    <w:rsid w:val="00127310"/>
    <w:rsid w:val="001300A1"/>
    <w:rsid w:val="00130416"/>
    <w:rsid w:val="00130469"/>
    <w:rsid w:val="00131275"/>
    <w:rsid w:val="00131359"/>
    <w:rsid w:val="00132A12"/>
    <w:rsid w:val="00133642"/>
    <w:rsid w:val="00133D2E"/>
    <w:rsid w:val="001344BF"/>
    <w:rsid w:val="00136A1A"/>
    <w:rsid w:val="00136CDF"/>
    <w:rsid w:val="00136D3B"/>
    <w:rsid w:val="00137762"/>
    <w:rsid w:val="001377F6"/>
    <w:rsid w:val="001410FC"/>
    <w:rsid w:val="001432FD"/>
    <w:rsid w:val="00143F41"/>
    <w:rsid w:val="001447ED"/>
    <w:rsid w:val="00144958"/>
    <w:rsid w:val="001449ED"/>
    <w:rsid w:val="001457D7"/>
    <w:rsid w:val="00146043"/>
    <w:rsid w:val="0014647E"/>
    <w:rsid w:val="00146648"/>
    <w:rsid w:val="001469B1"/>
    <w:rsid w:val="00146CD7"/>
    <w:rsid w:val="0014779F"/>
    <w:rsid w:val="001477BA"/>
    <w:rsid w:val="00147911"/>
    <w:rsid w:val="00147EA0"/>
    <w:rsid w:val="00150533"/>
    <w:rsid w:val="00150E13"/>
    <w:rsid w:val="00150E27"/>
    <w:rsid w:val="00150F9D"/>
    <w:rsid w:val="00152308"/>
    <w:rsid w:val="001527C8"/>
    <w:rsid w:val="00153005"/>
    <w:rsid w:val="001532FD"/>
    <w:rsid w:val="001535FA"/>
    <w:rsid w:val="00153758"/>
    <w:rsid w:val="0015385E"/>
    <w:rsid w:val="00154052"/>
    <w:rsid w:val="00154B0C"/>
    <w:rsid w:val="00155698"/>
    <w:rsid w:val="00155802"/>
    <w:rsid w:val="00155AC5"/>
    <w:rsid w:val="00155D7B"/>
    <w:rsid w:val="00155F31"/>
    <w:rsid w:val="00155FCE"/>
    <w:rsid w:val="0015609B"/>
    <w:rsid w:val="00156359"/>
    <w:rsid w:val="00156CD0"/>
    <w:rsid w:val="00157A66"/>
    <w:rsid w:val="001602BB"/>
    <w:rsid w:val="0016072B"/>
    <w:rsid w:val="00160845"/>
    <w:rsid w:val="0016096C"/>
    <w:rsid w:val="00160D97"/>
    <w:rsid w:val="001610D7"/>
    <w:rsid w:val="00161114"/>
    <w:rsid w:val="00161615"/>
    <w:rsid w:val="00161871"/>
    <w:rsid w:val="001622A3"/>
    <w:rsid w:val="00162391"/>
    <w:rsid w:val="001638B9"/>
    <w:rsid w:val="00165331"/>
    <w:rsid w:val="00165EA8"/>
    <w:rsid w:val="0016654A"/>
    <w:rsid w:val="001668AD"/>
    <w:rsid w:val="0016772C"/>
    <w:rsid w:val="00167E0D"/>
    <w:rsid w:val="00170889"/>
    <w:rsid w:val="00170C92"/>
    <w:rsid w:val="00170D4B"/>
    <w:rsid w:val="00171DB1"/>
    <w:rsid w:val="001720E6"/>
    <w:rsid w:val="001727BD"/>
    <w:rsid w:val="001732D8"/>
    <w:rsid w:val="00173571"/>
    <w:rsid w:val="001741B1"/>
    <w:rsid w:val="001744E9"/>
    <w:rsid w:val="001749A1"/>
    <w:rsid w:val="00174CC4"/>
    <w:rsid w:val="00174DAE"/>
    <w:rsid w:val="00175A0E"/>
    <w:rsid w:val="00176322"/>
    <w:rsid w:val="00176552"/>
    <w:rsid w:val="001767E2"/>
    <w:rsid w:val="0017681C"/>
    <w:rsid w:val="0017685E"/>
    <w:rsid w:val="00176987"/>
    <w:rsid w:val="00177270"/>
    <w:rsid w:val="001778C0"/>
    <w:rsid w:val="00180CF8"/>
    <w:rsid w:val="00180E4F"/>
    <w:rsid w:val="001812DC"/>
    <w:rsid w:val="00182659"/>
    <w:rsid w:val="00182D6C"/>
    <w:rsid w:val="001831BB"/>
    <w:rsid w:val="00183D88"/>
    <w:rsid w:val="00184A07"/>
    <w:rsid w:val="0018523A"/>
    <w:rsid w:val="001861F9"/>
    <w:rsid w:val="00186242"/>
    <w:rsid w:val="00186ABE"/>
    <w:rsid w:val="00186CDA"/>
    <w:rsid w:val="00187B13"/>
    <w:rsid w:val="001904B3"/>
    <w:rsid w:val="001905C5"/>
    <w:rsid w:val="00190690"/>
    <w:rsid w:val="00191A23"/>
    <w:rsid w:val="00191C63"/>
    <w:rsid w:val="0019234C"/>
    <w:rsid w:val="001923F6"/>
    <w:rsid w:val="0019284A"/>
    <w:rsid w:val="00192B3B"/>
    <w:rsid w:val="001936A0"/>
    <w:rsid w:val="00193AD9"/>
    <w:rsid w:val="00194219"/>
    <w:rsid w:val="001949F0"/>
    <w:rsid w:val="00194B59"/>
    <w:rsid w:val="00195BDD"/>
    <w:rsid w:val="00195F81"/>
    <w:rsid w:val="00196861"/>
    <w:rsid w:val="001A085F"/>
    <w:rsid w:val="001A128B"/>
    <w:rsid w:val="001A169A"/>
    <w:rsid w:val="001A24CE"/>
    <w:rsid w:val="001A2549"/>
    <w:rsid w:val="001A2C0D"/>
    <w:rsid w:val="001A3681"/>
    <w:rsid w:val="001A38AF"/>
    <w:rsid w:val="001A3B3E"/>
    <w:rsid w:val="001A5E1F"/>
    <w:rsid w:val="001A60E2"/>
    <w:rsid w:val="001A617A"/>
    <w:rsid w:val="001A6EEA"/>
    <w:rsid w:val="001B0B1C"/>
    <w:rsid w:val="001B1072"/>
    <w:rsid w:val="001B1613"/>
    <w:rsid w:val="001B1A72"/>
    <w:rsid w:val="001B1BE3"/>
    <w:rsid w:val="001B2568"/>
    <w:rsid w:val="001B2884"/>
    <w:rsid w:val="001B2C70"/>
    <w:rsid w:val="001B3A08"/>
    <w:rsid w:val="001B401B"/>
    <w:rsid w:val="001B4B38"/>
    <w:rsid w:val="001B5295"/>
    <w:rsid w:val="001B65CE"/>
    <w:rsid w:val="001B6835"/>
    <w:rsid w:val="001B6CFC"/>
    <w:rsid w:val="001B6F6F"/>
    <w:rsid w:val="001C08E5"/>
    <w:rsid w:val="001C0D8A"/>
    <w:rsid w:val="001C102B"/>
    <w:rsid w:val="001C1407"/>
    <w:rsid w:val="001C18B5"/>
    <w:rsid w:val="001C19B6"/>
    <w:rsid w:val="001C1DD6"/>
    <w:rsid w:val="001C2476"/>
    <w:rsid w:val="001C355C"/>
    <w:rsid w:val="001C3B4D"/>
    <w:rsid w:val="001C400A"/>
    <w:rsid w:val="001C44EE"/>
    <w:rsid w:val="001C57AA"/>
    <w:rsid w:val="001C5C71"/>
    <w:rsid w:val="001C6C26"/>
    <w:rsid w:val="001C7344"/>
    <w:rsid w:val="001C7676"/>
    <w:rsid w:val="001C7C57"/>
    <w:rsid w:val="001D0012"/>
    <w:rsid w:val="001D05B2"/>
    <w:rsid w:val="001D05BA"/>
    <w:rsid w:val="001D0671"/>
    <w:rsid w:val="001D0C36"/>
    <w:rsid w:val="001D13E0"/>
    <w:rsid w:val="001D1A42"/>
    <w:rsid w:val="001D2BF6"/>
    <w:rsid w:val="001D3179"/>
    <w:rsid w:val="001D4FED"/>
    <w:rsid w:val="001D591D"/>
    <w:rsid w:val="001D7270"/>
    <w:rsid w:val="001D79B7"/>
    <w:rsid w:val="001D7B50"/>
    <w:rsid w:val="001D7C55"/>
    <w:rsid w:val="001E0B20"/>
    <w:rsid w:val="001E0C1D"/>
    <w:rsid w:val="001E19C4"/>
    <w:rsid w:val="001E1EAE"/>
    <w:rsid w:val="001E3537"/>
    <w:rsid w:val="001E4802"/>
    <w:rsid w:val="001E4AD0"/>
    <w:rsid w:val="001E50C0"/>
    <w:rsid w:val="001E5B7E"/>
    <w:rsid w:val="001E5E5C"/>
    <w:rsid w:val="001E5F24"/>
    <w:rsid w:val="001E6071"/>
    <w:rsid w:val="001E6173"/>
    <w:rsid w:val="001E64F8"/>
    <w:rsid w:val="001E67A0"/>
    <w:rsid w:val="001E6AB1"/>
    <w:rsid w:val="001E6CBE"/>
    <w:rsid w:val="001E7ABE"/>
    <w:rsid w:val="001F05C3"/>
    <w:rsid w:val="001F1792"/>
    <w:rsid w:val="001F2878"/>
    <w:rsid w:val="001F2DAB"/>
    <w:rsid w:val="001F3C72"/>
    <w:rsid w:val="001F481C"/>
    <w:rsid w:val="001F4F65"/>
    <w:rsid w:val="001F5547"/>
    <w:rsid w:val="001F5663"/>
    <w:rsid w:val="001F5FF2"/>
    <w:rsid w:val="001F746B"/>
    <w:rsid w:val="001F7534"/>
    <w:rsid w:val="001F78A8"/>
    <w:rsid w:val="00201333"/>
    <w:rsid w:val="002014E1"/>
    <w:rsid w:val="00201D02"/>
    <w:rsid w:val="002027E2"/>
    <w:rsid w:val="00203281"/>
    <w:rsid w:val="00203693"/>
    <w:rsid w:val="00204450"/>
    <w:rsid w:val="00204F25"/>
    <w:rsid w:val="002055A2"/>
    <w:rsid w:val="00205887"/>
    <w:rsid w:val="002058F4"/>
    <w:rsid w:val="00205E98"/>
    <w:rsid w:val="0020639E"/>
    <w:rsid w:val="00206721"/>
    <w:rsid w:val="0020678C"/>
    <w:rsid w:val="00207A0F"/>
    <w:rsid w:val="002111C9"/>
    <w:rsid w:val="00211303"/>
    <w:rsid w:val="00211580"/>
    <w:rsid w:val="0021212C"/>
    <w:rsid w:val="002121A7"/>
    <w:rsid w:val="00212963"/>
    <w:rsid w:val="002129FD"/>
    <w:rsid w:val="00212B2F"/>
    <w:rsid w:val="002133BE"/>
    <w:rsid w:val="002134AD"/>
    <w:rsid w:val="00213CDB"/>
    <w:rsid w:val="00213ECC"/>
    <w:rsid w:val="00213F2D"/>
    <w:rsid w:val="00215602"/>
    <w:rsid w:val="00216235"/>
    <w:rsid w:val="00216250"/>
    <w:rsid w:val="002165FB"/>
    <w:rsid w:val="00216CEF"/>
    <w:rsid w:val="00217323"/>
    <w:rsid w:val="002174FA"/>
    <w:rsid w:val="00217E54"/>
    <w:rsid w:val="00220499"/>
    <w:rsid w:val="002204DB"/>
    <w:rsid w:val="002212E8"/>
    <w:rsid w:val="00224656"/>
    <w:rsid w:val="00224756"/>
    <w:rsid w:val="00224CCE"/>
    <w:rsid w:val="00224D70"/>
    <w:rsid w:val="00224DAB"/>
    <w:rsid w:val="00224DC4"/>
    <w:rsid w:val="00225518"/>
    <w:rsid w:val="002257B4"/>
    <w:rsid w:val="00225A26"/>
    <w:rsid w:val="002271A1"/>
    <w:rsid w:val="002271E4"/>
    <w:rsid w:val="00227716"/>
    <w:rsid w:val="00227E62"/>
    <w:rsid w:val="00230601"/>
    <w:rsid w:val="0023075C"/>
    <w:rsid w:val="00230824"/>
    <w:rsid w:val="00231D95"/>
    <w:rsid w:val="00231F61"/>
    <w:rsid w:val="0023271C"/>
    <w:rsid w:val="00232798"/>
    <w:rsid w:val="0023395E"/>
    <w:rsid w:val="00234747"/>
    <w:rsid w:val="002363EB"/>
    <w:rsid w:val="00236BB1"/>
    <w:rsid w:val="0023727D"/>
    <w:rsid w:val="002378EE"/>
    <w:rsid w:val="00240812"/>
    <w:rsid w:val="00240B0C"/>
    <w:rsid w:val="00240C20"/>
    <w:rsid w:val="002413C8"/>
    <w:rsid w:val="002426F2"/>
    <w:rsid w:val="002429A0"/>
    <w:rsid w:val="002431C1"/>
    <w:rsid w:val="002437F0"/>
    <w:rsid w:val="002438EF"/>
    <w:rsid w:val="00243BA3"/>
    <w:rsid w:val="00243C35"/>
    <w:rsid w:val="0024479A"/>
    <w:rsid w:val="00245CAB"/>
    <w:rsid w:val="00247058"/>
    <w:rsid w:val="002470B9"/>
    <w:rsid w:val="002474AD"/>
    <w:rsid w:val="00247706"/>
    <w:rsid w:val="002477A1"/>
    <w:rsid w:val="00247C08"/>
    <w:rsid w:val="00247DF4"/>
    <w:rsid w:val="0025018F"/>
    <w:rsid w:val="002507BF"/>
    <w:rsid w:val="00251DE0"/>
    <w:rsid w:val="0025270F"/>
    <w:rsid w:val="0025278D"/>
    <w:rsid w:val="00252C49"/>
    <w:rsid w:val="00253194"/>
    <w:rsid w:val="00254061"/>
    <w:rsid w:val="00254852"/>
    <w:rsid w:val="00254C3E"/>
    <w:rsid w:val="00254F26"/>
    <w:rsid w:val="00256648"/>
    <w:rsid w:val="00256F0C"/>
    <w:rsid w:val="0025738B"/>
    <w:rsid w:val="00260844"/>
    <w:rsid w:val="00260AFB"/>
    <w:rsid w:val="00260F19"/>
    <w:rsid w:val="00261BDA"/>
    <w:rsid w:val="00262A2E"/>
    <w:rsid w:val="00262AB1"/>
    <w:rsid w:val="00262F2E"/>
    <w:rsid w:val="00264026"/>
    <w:rsid w:val="0026509D"/>
    <w:rsid w:val="002652E1"/>
    <w:rsid w:val="00265B01"/>
    <w:rsid w:val="00265DE1"/>
    <w:rsid w:val="0026600D"/>
    <w:rsid w:val="00266B17"/>
    <w:rsid w:val="0026749B"/>
    <w:rsid w:val="002679A1"/>
    <w:rsid w:val="002708A1"/>
    <w:rsid w:val="0027090B"/>
    <w:rsid w:val="0027136A"/>
    <w:rsid w:val="002724F9"/>
    <w:rsid w:val="00272936"/>
    <w:rsid w:val="0027303A"/>
    <w:rsid w:val="00273A6C"/>
    <w:rsid w:val="00273AA6"/>
    <w:rsid w:val="00274F1A"/>
    <w:rsid w:val="00275913"/>
    <w:rsid w:val="00275F28"/>
    <w:rsid w:val="002775B0"/>
    <w:rsid w:val="00277A4C"/>
    <w:rsid w:val="00280741"/>
    <w:rsid w:val="00280B46"/>
    <w:rsid w:val="0028107B"/>
    <w:rsid w:val="00281DDD"/>
    <w:rsid w:val="002820A9"/>
    <w:rsid w:val="00282709"/>
    <w:rsid w:val="002829B6"/>
    <w:rsid w:val="00282B82"/>
    <w:rsid w:val="0028315A"/>
    <w:rsid w:val="0028331E"/>
    <w:rsid w:val="0028342A"/>
    <w:rsid w:val="00283DAB"/>
    <w:rsid w:val="00286CF6"/>
    <w:rsid w:val="002873B7"/>
    <w:rsid w:val="002873DA"/>
    <w:rsid w:val="00287E45"/>
    <w:rsid w:val="002904CE"/>
    <w:rsid w:val="002906F1"/>
    <w:rsid w:val="00290C15"/>
    <w:rsid w:val="00290F62"/>
    <w:rsid w:val="002917B3"/>
    <w:rsid w:val="0029253F"/>
    <w:rsid w:val="00292B92"/>
    <w:rsid w:val="0029370D"/>
    <w:rsid w:val="00293A39"/>
    <w:rsid w:val="00294DD7"/>
    <w:rsid w:val="0029579B"/>
    <w:rsid w:val="00295BB2"/>
    <w:rsid w:val="00295C0D"/>
    <w:rsid w:val="00296340"/>
    <w:rsid w:val="002965C5"/>
    <w:rsid w:val="00296638"/>
    <w:rsid w:val="00296A23"/>
    <w:rsid w:val="00296D5B"/>
    <w:rsid w:val="00297330"/>
    <w:rsid w:val="002A03EA"/>
    <w:rsid w:val="002A1C66"/>
    <w:rsid w:val="002A2272"/>
    <w:rsid w:val="002A25DD"/>
    <w:rsid w:val="002A2D39"/>
    <w:rsid w:val="002A39DB"/>
    <w:rsid w:val="002A3BE5"/>
    <w:rsid w:val="002A444C"/>
    <w:rsid w:val="002A4551"/>
    <w:rsid w:val="002A47DD"/>
    <w:rsid w:val="002A4F97"/>
    <w:rsid w:val="002A4FE0"/>
    <w:rsid w:val="002A5B0F"/>
    <w:rsid w:val="002A5B7A"/>
    <w:rsid w:val="002A5EB2"/>
    <w:rsid w:val="002A5FEE"/>
    <w:rsid w:val="002A64CD"/>
    <w:rsid w:val="002A72B8"/>
    <w:rsid w:val="002B0231"/>
    <w:rsid w:val="002B0B71"/>
    <w:rsid w:val="002B14AE"/>
    <w:rsid w:val="002B1C1F"/>
    <w:rsid w:val="002B22A7"/>
    <w:rsid w:val="002B23A7"/>
    <w:rsid w:val="002B2CA6"/>
    <w:rsid w:val="002B3026"/>
    <w:rsid w:val="002B3340"/>
    <w:rsid w:val="002B35FF"/>
    <w:rsid w:val="002B396D"/>
    <w:rsid w:val="002B3BF0"/>
    <w:rsid w:val="002B411C"/>
    <w:rsid w:val="002B4645"/>
    <w:rsid w:val="002B4A43"/>
    <w:rsid w:val="002B4BF2"/>
    <w:rsid w:val="002B4C36"/>
    <w:rsid w:val="002B636D"/>
    <w:rsid w:val="002B66DA"/>
    <w:rsid w:val="002B6952"/>
    <w:rsid w:val="002B750E"/>
    <w:rsid w:val="002B77AD"/>
    <w:rsid w:val="002B7D50"/>
    <w:rsid w:val="002B7DAA"/>
    <w:rsid w:val="002C0D0A"/>
    <w:rsid w:val="002C0FDE"/>
    <w:rsid w:val="002C2CC3"/>
    <w:rsid w:val="002C3255"/>
    <w:rsid w:val="002C339C"/>
    <w:rsid w:val="002C3BE2"/>
    <w:rsid w:val="002C3C53"/>
    <w:rsid w:val="002C5174"/>
    <w:rsid w:val="002C6472"/>
    <w:rsid w:val="002C6BD2"/>
    <w:rsid w:val="002C7044"/>
    <w:rsid w:val="002C7098"/>
    <w:rsid w:val="002C70F8"/>
    <w:rsid w:val="002C73EF"/>
    <w:rsid w:val="002C799E"/>
    <w:rsid w:val="002C7E29"/>
    <w:rsid w:val="002D002F"/>
    <w:rsid w:val="002D07EA"/>
    <w:rsid w:val="002D0AE2"/>
    <w:rsid w:val="002D117A"/>
    <w:rsid w:val="002D1A78"/>
    <w:rsid w:val="002D1CA8"/>
    <w:rsid w:val="002D22BC"/>
    <w:rsid w:val="002D26D8"/>
    <w:rsid w:val="002D27A2"/>
    <w:rsid w:val="002D2FFC"/>
    <w:rsid w:val="002D3150"/>
    <w:rsid w:val="002D42F5"/>
    <w:rsid w:val="002D4303"/>
    <w:rsid w:val="002D627D"/>
    <w:rsid w:val="002D6AF4"/>
    <w:rsid w:val="002D7FD3"/>
    <w:rsid w:val="002E0A4B"/>
    <w:rsid w:val="002E15EC"/>
    <w:rsid w:val="002E1D4A"/>
    <w:rsid w:val="002E20E2"/>
    <w:rsid w:val="002E26B3"/>
    <w:rsid w:val="002E3EB0"/>
    <w:rsid w:val="002E4AB3"/>
    <w:rsid w:val="002E4C19"/>
    <w:rsid w:val="002E4F3B"/>
    <w:rsid w:val="002E5057"/>
    <w:rsid w:val="002E5406"/>
    <w:rsid w:val="002E554B"/>
    <w:rsid w:val="002E5AB6"/>
    <w:rsid w:val="002E5AC5"/>
    <w:rsid w:val="002E6A35"/>
    <w:rsid w:val="002E7291"/>
    <w:rsid w:val="002E754B"/>
    <w:rsid w:val="002E77BF"/>
    <w:rsid w:val="002E79E7"/>
    <w:rsid w:val="002E7C9E"/>
    <w:rsid w:val="002E7D13"/>
    <w:rsid w:val="002F01F6"/>
    <w:rsid w:val="002F0952"/>
    <w:rsid w:val="002F18AE"/>
    <w:rsid w:val="002F2165"/>
    <w:rsid w:val="002F2FBA"/>
    <w:rsid w:val="002F3424"/>
    <w:rsid w:val="002F429E"/>
    <w:rsid w:val="002F485D"/>
    <w:rsid w:val="002F50BC"/>
    <w:rsid w:val="002F52DB"/>
    <w:rsid w:val="002F55CF"/>
    <w:rsid w:val="002F59A8"/>
    <w:rsid w:val="002F5F83"/>
    <w:rsid w:val="002F6398"/>
    <w:rsid w:val="002F6B93"/>
    <w:rsid w:val="002F70D1"/>
    <w:rsid w:val="002F763D"/>
    <w:rsid w:val="002F7C7F"/>
    <w:rsid w:val="00300401"/>
    <w:rsid w:val="00300D67"/>
    <w:rsid w:val="00300FCD"/>
    <w:rsid w:val="00301B17"/>
    <w:rsid w:val="0030219E"/>
    <w:rsid w:val="00303643"/>
    <w:rsid w:val="00303B90"/>
    <w:rsid w:val="0030418C"/>
    <w:rsid w:val="00304C21"/>
    <w:rsid w:val="00304F00"/>
    <w:rsid w:val="00305253"/>
    <w:rsid w:val="003054BC"/>
    <w:rsid w:val="0030576B"/>
    <w:rsid w:val="0030662F"/>
    <w:rsid w:val="003068D4"/>
    <w:rsid w:val="00306953"/>
    <w:rsid w:val="00306ABB"/>
    <w:rsid w:val="00306DF1"/>
    <w:rsid w:val="00307346"/>
    <w:rsid w:val="00310102"/>
    <w:rsid w:val="00310319"/>
    <w:rsid w:val="0031092B"/>
    <w:rsid w:val="003119B3"/>
    <w:rsid w:val="0031229B"/>
    <w:rsid w:val="0031249A"/>
    <w:rsid w:val="0031392F"/>
    <w:rsid w:val="00313C45"/>
    <w:rsid w:val="003148B1"/>
    <w:rsid w:val="00315D93"/>
    <w:rsid w:val="00315E07"/>
    <w:rsid w:val="00317284"/>
    <w:rsid w:val="0031739B"/>
    <w:rsid w:val="003178B3"/>
    <w:rsid w:val="00317B46"/>
    <w:rsid w:val="003204FF"/>
    <w:rsid w:val="00320EC8"/>
    <w:rsid w:val="003210D5"/>
    <w:rsid w:val="00322B6B"/>
    <w:rsid w:val="00322B84"/>
    <w:rsid w:val="003238CF"/>
    <w:rsid w:val="00323A69"/>
    <w:rsid w:val="00323C4F"/>
    <w:rsid w:val="00323D34"/>
    <w:rsid w:val="0032415B"/>
    <w:rsid w:val="003246F6"/>
    <w:rsid w:val="00324725"/>
    <w:rsid w:val="003247DC"/>
    <w:rsid w:val="00324F92"/>
    <w:rsid w:val="00325AF9"/>
    <w:rsid w:val="003311FE"/>
    <w:rsid w:val="003315F3"/>
    <w:rsid w:val="00332235"/>
    <w:rsid w:val="0033378C"/>
    <w:rsid w:val="00333DB0"/>
    <w:rsid w:val="00335407"/>
    <w:rsid w:val="0033586D"/>
    <w:rsid w:val="0033596D"/>
    <w:rsid w:val="0033635B"/>
    <w:rsid w:val="00336C65"/>
    <w:rsid w:val="003375FD"/>
    <w:rsid w:val="00337735"/>
    <w:rsid w:val="003377A5"/>
    <w:rsid w:val="00337E11"/>
    <w:rsid w:val="00340E12"/>
    <w:rsid w:val="0034199A"/>
    <w:rsid w:val="00341DAC"/>
    <w:rsid w:val="00341F09"/>
    <w:rsid w:val="0034201F"/>
    <w:rsid w:val="00342137"/>
    <w:rsid w:val="0034238D"/>
    <w:rsid w:val="00342732"/>
    <w:rsid w:val="0034380E"/>
    <w:rsid w:val="00343CD7"/>
    <w:rsid w:val="003441B9"/>
    <w:rsid w:val="003444E7"/>
    <w:rsid w:val="003447CF"/>
    <w:rsid w:val="0034489F"/>
    <w:rsid w:val="003452DC"/>
    <w:rsid w:val="003456AF"/>
    <w:rsid w:val="003464B8"/>
    <w:rsid w:val="003465CD"/>
    <w:rsid w:val="00346B44"/>
    <w:rsid w:val="00347419"/>
    <w:rsid w:val="0035026C"/>
    <w:rsid w:val="00350454"/>
    <w:rsid w:val="00350653"/>
    <w:rsid w:val="003529DC"/>
    <w:rsid w:val="003537EE"/>
    <w:rsid w:val="003542EB"/>
    <w:rsid w:val="00354475"/>
    <w:rsid w:val="00354602"/>
    <w:rsid w:val="0035521C"/>
    <w:rsid w:val="00355232"/>
    <w:rsid w:val="0035523D"/>
    <w:rsid w:val="003553B3"/>
    <w:rsid w:val="003558E7"/>
    <w:rsid w:val="00355AB8"/>
    <w:rsid w:val="003568E8"/>
    <w:rsid w:val="00356DEB"/>
    <w:rsid w:val="00357428"/>
    <w:rsid w:val="003578CA"/>
    <w:rsid w:val="00357964"/>
    <w:rsid w:val="00360E05"/>
    <w:rsid w:val="00361243"/>
    <w:rsid w:val="00361493"/>
    <w:rsid w:val="003614B2"/>
    <w:rsid w:val="00361BEF"/>
    <w:rsid w:val="0036268C"/>
    <w:rsid w:val="0036333C"/>
    <w:rsid w:val="00363D1F"/>
    <w:rsid w:val="00364BAF"/>
    <w:rsid w:val="003653CF"/>
    <w:rsid w:val="00365A86"/>
    <w:rsid w:val="0037066F"/>
    <w:rsid w:val="003717AE"/>
    <w:rsid w:val="003719D8"/>
    <w:rsid w:val="00371E63"/>
    <w:rsid w:val="0037268E"/>
    <w:rsid w:val="0037289D"/>
    <w:rsid w:val="00372CB3"/>
    <w:rsid w:val="00373236"/>
    <w:rsid w:val="00373B31"/>
    <w:rsid w:val="003744AA"/>
    <w:rsid w:val="0037514E"/>
    <w:rsid w:val="003754A5"/>
    <w:rsid w:val="0037594B"/>
    <w:rsid w:val="00375F63"/>
    <w:rsid w:val="00376434"/>
    <w:rsid w:val="00376CB1"/>
    <w:rsid w:val="003770A4"/>
    <w:rsid w:val="00377BEF"/>
    <w:rsid w:val="00380165"/>
    <w:rsid w:val="003803D3"/>
    <w:rsid w:val="003809A8"/>
    <w:rsid w:val="00381D32"/>
    <w:rsid w:val="0038235F"/>
    <w:rsid w:val="00382D55"/>
    <w:rsid w:val="0038369D"/>
    <w:rsid w:val="003854B3"/>
    <w:rsid w:val="003857C3"/>
    <w:rsid w:val="00387288"/>
    <w:rsid w:val="00387633"/>
    <w:rsid w:val="00387651"/>
    <w:rsid w:val="00387C13"/>
    <w:rsid w:val="0039071F"/>
    <w:rsid w:val="00390894"/>
    <w:rsid w:val="00390C62"/>
    <w:rsid w:val="00390CCA"/>
    <w:rsid w:val="00390D35"/>
    <w:rsid w:val="0039117E"/>
    <w:rsid w:val="003916EC"/>
    <w:rsid w:val="00391707"/>
    <w:rsid w:val="003926E9"/>
    <w:rsid w:val="0039279E"/>
    <w:rsid w:val="00392D9B"/>
    <w:rsid w:val="00393BFA"/>
    <w:rsid w:val="00393E03"/>
    <w:rsid w:val="00393F30"/>
    <w:rsid w:val="003940D2"/>
    <w:rsid w:val="00394B28"/>
    <w:rsid w:val="00397440"/>
    <w:rsid w:val="0039783B"/>
    <w:rsid w:val="00397A24"/>
    <w:rsid w:val="00397A2E"/>
    <w:rsid w:val="003A0444"/>
    <w:rsid w:val="003A0EC1"/>
    <w:rsid w:val="003A1331"/>
    <w:rsid w:val="003A134D"/>
    <w:rsid w:val="003A21E2"/>
    <w:rsid w:val="003A2200"/>
    <w:rsid w:val="003A23C0"/>
    <w:rsid w:val="003A4140"/>
    <w:rsid w:val="003A4265"/>
    <w:rsid w:val="003A4807"/>
    <w:rsid w:val="003A4A0D"/>
    <w:rsid w:val="003A54D2"/>
    <w:rsid w:val="003A5F45"/>
    <w:rsid w:val="003A60AE"/>
    <w:rsid w:val="003A60B4"/>
    <w:rsid w:val="003A65C3"/>
    <w:rsid w:val="003A66FE"/>
    <w:rsid w:val="003A69FD"/>
    <w:rsid w:val="003A6AEC"/>
    <w:rsid w:val="003B02F5"/>
    <w:rsid w:val="003B14E3"/>
    <w:rsid w:val="003B2B5E"/>
    <w:rsid w:val="003B2C6D"/>
    <w:rsid w:val="003B3333"/>
    <w:rsid w:val="003B3736"/>
    <w:rsid w:val="003B39B7"/>
    <w:rsid w:val="003B4359"/>
    <w:rsid w:val="003B4AD8"/>
    <w:rsid w:val="003B6086"/>
    <w:rsid w:val="003B65F2"/>
    <w:rsid w:val="003B6BFB"/>
    <w:rsid w:val="003B6D5A"/>
    <w:rsid w:val="003B6F9D"/>
    <w:rsid w:val="003B7065"/>
    <w:rsid w:val="003B7248"/>
    <w:rsid w:val="003B7379"/>
    <w:rsid w:val="003B7772"/>
    <w:rsid w:val="003B7CE0"/>
    <w:rsid w:val="003B7E1A"/>
    <w:rsid w:val="003C0034"/>
    <w:rsid w:val="003C00A9"/>
    <w:rsid w:val="003C1B3F"/>
    <w:rsid w:val="003C1DB0"/>
    <w:rsid w:val="003C1DF7"/>
    <w:rsid w:val="003C2433"/>
    <w:rsid w:val="003C273F"/>
    <w:rsid w:val="003C2933"/>
    <w:rsid w:val="003C2D51"/>
    <w:rsid w:val="003C35B4"/>
    <w:rsid w:val="003C3B76"/>
    <w:rsid w:val="003C3F46"/>
    <w:rsid w:val="003C40F5"/>
    <w:rsid w:val="003C4175"/>
    <w:rsid w:val="003C6860"/>
    <w:rsid w:val="003C6CFF"/>
    <w:rsid w:val="003C6D1A"/>
    <w:rsid w:val="003C78EB"/>
    <w:rsid w:val="003C7933"/>
    <w:rsid w:val="003D1E34"/>
    <w:rsid w:val="003D1EBF"/>
    <w:rsid w:val="003D2E2D"/>
    <w:rsid w:val="003D336C"/>
    <w:rsid w:val="003D33FC"/>
    <w:rsid w:val="003D3CB5"/>
    <w:rsid w:val="003D5797"/>
    <w:rsid w:val="003D6FB6"/>
    <w:rsid w:val="003D743E"/>
    <w:rsid w:val="003D7772"/>
    <w:rsid w:val="003D7C46"/>
    <w:rsid w:val="003E01AE"/>
    <w:rsid w:val="003E2BCF"/>
    <w:rsid w:val="003E31AE"/>
    <w:rsid w:val="003E37F1"/>
    <w:rsid w:val="003E3B8A"/>
    <w:rsid w:val="003E3D90"/>
    <w:rsid w:val="003E3EF3"/>
    <w:rsid w:val="003E40CE"/>
    <w:rsid w:val="003E430E"/>
    <w:rsid w:val="003E4319"/>
    <w:rsid w:val="003E433F"/>
    <w:rsid w:val="003E4478"/>
    <w:rsid w:val="003E483D"/>
    <w:rsid w:val="003E4AB1"/>
    <w:rsid w:val="003E57C3"/>
    <w:rsid w:val="003E57FF"/>
    <w:rsid w:val="003E589D"/>
    <w:rsid w:val="003E617C"/>
    <w:rsid w:val="003E62BE"/>
    <w:rsid w:val="003E6D73"/>
    <w:rsid w:val="003E6FF7"/>
    <w:rsid w:val="003E71BB"/>
    <w:rsid w:val="003E7794"/>
    <w:rsid w:val="003F00E1"/>
    <w:rsid w:val="003F024D"/>
    <w:rsid w:val="003F152E"/>
    <w:rsid w:val="003F2283"/>
    <w:rsid w:val="003F22F9"/>
    <w:rsid w:val="003F289D"/>
    <w:rsid w:val="003F2B67"/>
    <w:rsid w:val="003F2C41"/>
    <w:rsid w:val="003F2C79"/>
    <w:rsid w:val="003F2FA1"/>
    <w:rsid w:val="003F469B"/>
    <w:rsid w:val="003F5152"/>
    <w:rsid w:val="003F5369"/>
    <w:rsid w:val="003F5885"/>
    <w:rsid w:val="003F62B7"/>
    <w:rsid w:val="003F63C8"/>
    <w:rsid w:val="003F6727"/>
    <w:rsid w:val="003F68C1"/>
    <w:rsid w:val="003F6F71"/>
    <w:rsid w:val="003F7B09"/>
    <w:rsid w:val="00401BD1"/>
    <w:rsid w:val="00402483"/>
    <w:rsid w:val="0040259C"/>
    <w:rsid w:val="00402778"/>
    <w:rsid w:val="00402BDC"/>
    <w:rsid w:val="00402C92"/>
    <w:rsid w:val="004031C7"/>
    <w:rsid w:val="00403274"/>
    <w:rsid w:val="004033A2"/>
    <w:rsid w:val="0040394E"/>
    <w:rsid w:val="00403A31"/>
    <w:rsid w:val="004044E7"/>
    <w:rsid w:val="0040453F"/>
    <w:rsid w:val="00404AAB"/>
    <w:rsid w:val="00404B0A"/>
    <w:rsid w:val="004059B7"/>
    <w:rsid w:val="004061A1"/>
    <w:rsid w:val="004068CD"/>
    <w:rsid w:val="00406980"/>
    <w:rsid w:val="00407907"/>
    <w:rsid w:val="00407B3B"/>
    <w:rsid w:val="00407BD8"/>
    <w:rsid w:val="00410311"/>
    <w:rsid w:val="0041037E"/>
    <w:rsid w:val="00410BE8"/>
    <w:rsid w:val="00411788"/>
    <w:rsid w:val="00411DB3"/>
    <w:rsid w:val="00412566"/>
    <w:rsid w:val="00412A16"/>
    <w:rsid w:val="00414289"/>
    <w:rsid w:val="004143EB"/>
    <w:rsid w:val="00414893"/>
    <w:rsid w:val="0041512A"/>
    <w:rsid w:val="004156D1"/>
    <w:rsid w:val="00415FAA"/>
    <w:rsid w:val="00416413"/>
    <w:rsid w:val="00416750"/>
    <w:rsid w:val="00417E85"/>
    <w:rsid w:val="00420085"/>
    <w:rsid w:val="004204FE"/>
    <w:rsid w:val="00420811"/>
    <w:rsid w:val="00420C40"/>
    <w:rsid w:val="00421A02"/>
    <w:rsid w:val="00422DD0"/>
    <w:rsid w:val="004230EC"/>
    <w:rsid w:val="004235DC"/>
    <w:rsid w:val="00423B25"/>
    <w:rsid w:val="00423CA0"/>
    <w:rsid w:val="00423CD6"/>
    <w:rsid w:val="0042479E"/>
    <w:rsid w:val="00426D14"/>
    <w:rsid w:val="004307EC"/>
    <w:rsid w:val="004318E7"/>
    <w:rsid w:val="0043202F"/>
    <w:rsid w:val="00433088"/>
    <w:rsid w:val="00433DD5"/>
    <w:rsid w:val="0043408D"/>
    <w:rsid w:val="004342DD"/>
    <w:rsid w:val="004345AD"/>
    <w:rsid w:val="004349DB"/>
    <w:rsid w:val="00435107"/>
    <w:rsid w:val="0043601A"/>
    <w:rsid w:val="00436E6E"/>
    <w:rsid w:val="00437194"/>
    <w:rsid w:val="00437D25"/>
    <w:rsid w:val="00440CC2"/>
    <w:rsid w:val="004410DC"/>
    <w:rsid w:val="0044271A"/>
    <w:rsid w:val="00442D3A"/>
    <w:rsid w:val="00442F54"/>
    <w:rsid w:val="004431A6"/>
    <w:rsid w:val="004433BF"/>
    <w:rsid w:val="00443C5E"/>
    <w:rsid w:val="0044465C"/>
    <w:rsid w:val="00444DC5"/>
    <w:rsid w:val="00445EFA"/>
    <w:rsid w:val="0044687F"/>
    <w:rsid w:val="00446D59"/>
    <w:rsid w:val="00446F08"/>
    <w:rsid w:val="004476D3"/>
    <w:rsid w:val="00447F2B"/>
    <w:rsid w:val="00447FA0"/>
    <w:rsid w:val="0045108B"/>
    <w:rsid w:val="00451644"/>
    <w:rsid w:val="00451DED"/>
    <w:rsid w:val="00451EF9"/>
    <w:rsid w:val="004527C3"/>
    <w:rsid w:val="00452F61"/>
    <w:rsid w:val="0045366B"/>
    <w:rsid w:val="0045456F"/>
    <w:rsid w:val="00454D76"/>
    <w:rsid w:val="00454FBC"/>
    <w:rsid w:val="0045510E"/>
    <w:rsid w:val="0045536B"/>
    <w:rsid w:val="0045623F"/>
    <w:rsid w:val="004571DB"/>
    <w:rsid w:val="004575D3"/>
    <w:rsid w:val="00461673"/>
    <w:rsid w:val="00461B45"/>
    <w:rsid w:val="00462179"/>
    <w:rsid w:val="00462539"/>
    <w:rsid w:val="004626ED"/>
    <w:rsid w:val="00462B79"/>
    <w:rsid w:val="00462FD8"/>
    <w:rsid w:val="00464B1E"/>
    <w:rsid w:val="00465832"/>
    <w:rsid w:val="00465C85"/>
    <w:rsid w:val="00465DDD"/>
    <w:rsid w:val="004663FC"/>
    <w:rsid w:val="004674D9"/>
    <w:rsid w:val="004700C2"/>
    <w:rsid w:val="00471FEB"/>
    <w:rsid w:val="00472520"/>
    <w:rsid w:val="0047268C"/>
    <w:rsid w:val="0047378C"/>
    <w:rsid w:val="00473F1A"/>
    <w:rsid w:val="00474232"/>
    <w:rsid w:val="00474E21"/>
    <w:rsid w:val="00474FBC"/>
    <w:rsid w:val="0047522D"/>
    <w:rsid w:val="004758AF"/>
    <w:rsid w:val="00475D80"/>
    <w:rsid w:val="0047743E"/>
    <w:rsid w:val="004776B5"/>
    <w:rsid w:val="00477880"/>
    <w:rsid w:val="00477C47"/>
    <w:rsid w:val="00480EB2"/>
    <w:rsid w:val="00482925"/>
    <w:rsid w:val="004829AD"/>
    <w:rsid w:val="00483018"/>
    <w:rsid w:val="004833D7"/>
    <w:rsid w:val="0048356D"/>
    <w:rsid w:val="00483A23"/>
    <w:rsid w:val="00483A8A"/>
    <w:rsid w:val="0048407D"/>
    <w:rsid w:val="00484ADA"/>
    <w:rsid w:val="00484B8F"/>
    <w:rsid w:val="004855C3"/>
    <w:rsid w:val="004855E1"/>
    <w:rsid w:val="00485B0B"/>
    <w:rsid w:val="00485EF0"/>
    <w:rsid w:val="004860EB"/>
    <w:rsid w:val="0048790B"/>
    <w:rsid w:val="0049053F"/>
    <w:rsid w:val="004905DD"/>
    <w:rsid w:val="00493637"/>
    <w:rsid w:val="004948A9"/>
    <w:rsid w:val="00494B00"/>
    <w:rsid w:val="00496299"/>
    <w:rsid w:val="00496375"/>
    <w:rsid w:val="00496F0D"/>
    <w:rsid w:val="00497480"/>
    <w:rsid w:val="004976BD"/>
    <w:rsid w:val="004A034A"/>
    <w:rsid w:val="004A04EA"/>
    <w:rsid w:val="004A0549"/>
    <w:rsid w:val="004A0577"/>
    <w:rsid w:val="004A05A1"/>
    <w:rsid w:val="004A13F9"/>
    <w:rsid w:val="004A173C"/>
    <w:rsid w:val="004A194F"/>
    <w:rsid w:val="004A1E45"/>
    <w:rsid w:val="004A1EC4"/>
    <w:rsid w:val="004A2591"/>
    <w:rsid w:val="004A2855"/>
    <w:rsid w:val="004A2B66"/>
    <w:rsid w:val="004A318A"/>
    <w:rsid w:val="004A3A36"/>
    <w:rsid w:val="004A40DF"/>
    <w:rsid w:val="004A463A"/>
    <w:rsid w:val="004A4777"/>
    <w:rsid w:val="004A4B40"/>
    <w:rsid w:val="004A52EB"/>
    <w:rsid w:val="004A54B0"/>
    <w:rsid w:val="004A5F16"/>
    <w:rsid w:val="004A5FD3"/>
    <w:rsid w:val="004A605A"/>
    <w:rsid w:val="004A7EA3"/>
    <w:rsid w:val="004B0223"/>
    <w:rsid w:val="004B108C"/>
    <w:rsid w:val="004B18D4"/>
    <w:rsid w:val="004B2A2C"/>
    <w:rsid w:val="004B3A8E"/>
    <w:rsid w:val="004B3A95"/>
    <w:rsid w:val="004B4D17"/>
    <w:rsid w:val="004B6295"/>
    <w:rsid w:val="004B661B"/>
    <w:rsid w:val="004B6B2B"/>
    <w:rsid w:val="004B73A5"/>
    <w:rsid w:val="004C08A5"/>
    <w:rsid w:val="004C08D2"/>
    <w:rsid w:val="004C0A73"/>
    <w:rsid w:val="004C16D9"/>
    <w:rsid w:val="004C17F7"/>
    <w:rsid w:val="004C1993"/>
    <w:rsid w:val="004C19F8"/>
    <w:rsid w:val="004C1A2E"/>
    <w:rsid w:val="004C1E6C"/>
    <w:rsid w:val="004C209A"/>
    <w:rsid w:val="004C28A6"/>
    <w:rsid w:val="004C28A9"/>
    <w:rsid w:val="004C3C78"/>
    <w:rsid w:val="004C4289"/>
    <w:rsid w:val="004C5250"/>
    <w:rsid w:val="004C5B59"/>
    <w:rsid w:val="004C6630"/>
    <w:rsid w:val="004C6C66"/>
    <w:rsid w:val="004C6F0D"/>
    <w:rsid w:val="004C7196"/>
    <w:rsid w:val="004C7233"/>
    <w:rsid w:val="004C73FC"/>
    <w:rsid w:val="004C74CC"/>
    <w:rsid w:val="004C777E"/>
    <w:rsid w:val="004C7FCF"/>
    <w:rsid w:val="004D0DC8"/>
    <w:rsid w:val="004D15EE"/>
    <w:rsid w:val="004D1B06"/>
    <w:rsid w:val="004D2888"/>
    <w:rsid w:val="004D2F7B"/>
    <w:rsid w:val="004D3325"/>
    <w:rsid w:val="004D3344"/>
    <w:rsid w:val="004D4924"/>
    <w:rsid w:val="004D5B4A"/>
    <w:rsid w:val="004D6AEF"/>
    <w:rsid w:val="004D6EF5"/>
    <w:rsid w:val="004D6FE6"/>
    <w:rsid w:val="004D74FE"/>
    <w:rsid w:val="004D76CC"/>
    <w:rsid w:val="004E059E"/>
    <w:rsid w:val="004E07E3"/>
    <w:rsid w:val="004E2A6D"/>
    <w:rsid w:val="004E4543"/>
    <w:rsid w:val="004E538E"/>
    <w:rsid w:val="004E5457"/>
    <w:rsid w:val="004E5BD4"/>
    <w:rsid w:val="004E66BA"/>
    <w:rsid w:val="004E6A5A"/>
    <w:rsid w:val="004E6E2E"/>
    <w:rsid w:val="004F0042"/>
    <w:rsid w:val="004F0384"/>
    <w:rsid w:val="004F0627"/>
    <w:rsid w:val="004F0A0A"/>
    <w:rsid w:val="004F0F29"/>
    <w:rsid w:val="004F1A57"/>
    <w:rsid w:val="004F1AAF"/>
    <w:rsid w:val="004F1F5C"/>
    <w:rsid w:val="004F2996"/>
    <w:rsid w:val="004F2B22"/>
    <w:rsid w:val="004F3283"/>
    <w:rsid w:val="004F3999"/>
    <w:rsid w:val="004F4897"/>
    <w:rsid w:val="004F4A6A"/>
    <w:rsid w:val="004F4D52"/>
    <w:rsid w:val="004F520B"/>
    <w:rsid w:val="004F5673"/>
    <w:rsid w:val="004F5E89"/>
    <w:rsid w:val="004F5FD9"/>
    <w:rsid w:val="004F616F"/>
    <w:rsid w:val="004F6257"/>
    <w:rsid w:val="004F668F"/>
    <w:rsid w:val="004F73DA"/>
    <w:rsid w:val="004F7791"/>
    <w:rsid w:val="004F797D"/>
    <w:rsid w:val="004F7F07"/>
    <w:rsid w:val="00501200"/>
    <w:rsid w:val="005014DE"/>
    <w:rsid w:val="00502978"/>
    <w:rsid w:val="005031FB"/>
    <w:rsid w:val="00503E79"/>
    <w:rsid w:val="00504A26"/>
    <w:rsid w:val="005050FB"/>
    <w:rsid w:val="005055D8"/>
    <w:rsid w:val="005057AE"/>
    <w:rsid w:val="00505846"/>
    <w:rsid w:val="0050690B"/>
    <w:rsid w:val="00507646"/>
    <w:rsid w:val="00507EE1"/>
    <w:rsid w:val="005108E3"/>
    <w:rsid w:val="0051166B"/>
    <w:rsid w:val="005119CF"/>
    <w:rsid w:val="00511C14"/>
    <w:rsid w:val="00511E17"/>
    <w:rsid w:val="00512001"/>
    <w:rsid w:val="005121E5"/>
    <w:rsid w:val="00512D58"/>
    <w:rsid w:val="0051341F"/>
    <w:rsid w:val="005134EF"/>
    <w:rsid w:val="00513781"/>
    <w:rsid w:val="00513813"/>
    <w:rsid w:val="00513897"/>
    <w:rsid w:val="0051418B"/>
    <w:rsid w:val="0051476C"/>
    <w:rsid w:val="005148EA"/>
    <w:rsid w:val="00515B36"/>
    <w:rsid w:val="005165D7"/>
    <w:rsid w:val="005167F9"/>
    <w:rsid w:val="00517025"/>
    <w:rsid w:val="00517A8F"/>
    <w:rsid w:val="00520311"/>
    <w:rsid w:val="00520BC0"/>
    <w:rsid w:val="00521431"/>
    <w:rsid w:val="0052155E"/>
    <w:rsid w:val="00521A4E"/>
    <w:rsid w:val="00521CAF"/>
    <w:rsid w:val="00523159"/>
    <w:rsid w:val="005235B3"/>
    <w:rsid w:val="0052362E"/>
    <w:rsid w:val="005237F7"/>
    <w:rsid w:val="00523977"/>
    <w:rsid w:val="0052453A"/>
    <w:rsid w:val="0052477E"/>
    <w:rsid w:val="00524E59"/>
    <w:rsid w:val="00524F3A"/>
    <w:rsid w:val="00527F34"/>
    <w:rsid w:val="00530077"/>
    <w:rsid w:val="00530788"/>
    <w:rsid w:val="00530D7F"/>
    <w:rsid w:val="005319EE"/>
    <w:rsid w:val="0053232B"/>
    <w:rsid w:val="00532D22"/>
    <w:rsid w:val="00532D86"/>
    <w:rsid w:val="0053358C"/>
    <w:rsid w:val="00533841"/>
    <w:rsid w:val="0053402D"/>
    <w:rsid w:val="005345D0"/>
    <w:rsid w:val="005349B5"/>
    <w:rsid w:val="00534E67"/>
    <w:rsid w:val="00535568"/>
    <w:rsid w:val="005364FF"/>
    <w:rsid w:val="00536CA8"/>
    <w:rsid w:val="00537034"/>
    <w:rsid w:val="00541109"/>
    <w:rsid w:val="00541973"/>
    <w:rsid w:val="0054234F"/>
    <w:rsid w:val="00542C90"/>
    <w:rsid w:val="00542EB2"/>
    <w:rsid w:val="00543A15"/>
    <w:rsid w:val="005440D0"/>
    <w:rsid w:val="00544C23"/>
    <w:rsid w:val="005463C2"/>
    <w:rsid w:val="00546F6A"/>
    <w:rsid w:val="00547A01"/>
    <w:rsid w:val="00547CC7"/>
    <w:rsid w:val="00550E13"/>
    <w:rsid w:val="00551B75"/>
    <w:rsid w:val="00552529"/>
    <w:rsid w:val="0055275A"/>
    <w:rsid w:val="00552CB6"/>
    <w:rsid w:val="00552F20"/>
    <w:rsid w:val="005532B1"/>
    <w:rsid w:val="00553722"/>
    <w:rsid w:val="00553A18"/>
    <w:rsid w:val="00553DA6"/>
    <w:rsid w:val="0055431E"/>
    <w:rsid w:val="00554514"/>
    <w:rsid w:val="0055455E"/>
    <w:rsid w:val="005549D4"/>
    <w:rsid w:val="00554DA9"/>
    <w:rsid w:val="00554DED"/>
    <w:rsid w:val="00555B12"/>
    <w:rsid w:val="0055644F"/>
    <w:rsid w:val="00556A25"/>
    <w:rsid w:val="00556F12"/>
    <w:rsid w:val="005575FC"/>
    <w:rsid w:val="00557AF5"/>
    <w:rsid w:val="00557D97"/>
    <w:rsid w:val="00560359"/>
    <w:rsid w:val="00560BC3"/>
    <w:rsid w:val="00562B6F"/>
    <w:rsid w:val="00563904"/>
    <w:rsid w:val="00563AB0"/>
    <w:rsid w:val="00563DC6"/>
    <w:rsid w:val="00563E59"/>
    <w:rsid w:val="0056670F"/>
    <w:rsid w:val="00566CEF"/>
    <w:rsid w:val="00566F90"/>
    <w:rsid w:val="00567274"/>
    <w:rsid w:val="005679CF"/>
    <w:rsid w:val="00567EF6"/>
    <w:rsid w:val="00567F12"/>
    <w:rsid w:val="00571050"/>
    <w:rsid w:val="00571E2C"/>
    <w:rsid w:val="00571F88"/>
    <w:rsid w:val="00572762"/>
    <w:rsid w:val="005736B7"/>
    <w:rsid w:val="005747C5"/>
    <w:rsid w:val="0057491E"/>
    <w:rsid w:val="00575322"/>
    <w:rsid w:val="00575329"/>
    <w:rsid w:val="00575417"/>
    <w:rsid w:val="005754BF"/>
    <w:rsid w:val="005755FC"/>
    <w:rsid w:val="00576F1C"/>
    <w:rsid w:val="0057746C"/>
    <w:rsid w:val="00580384"/>
    <w:rsid w:val="00580ED5"/>
    <w:rsid w:val="005814C2"/>
    <w:rsid w:val="005815C8"/>
    <w:rsid w:val="005817AA"/>
    <w:rsid w:val="00582586"/>
    <w:rsid w:val="005825D9"/>
    <w:rsid w:val="00582DA1"/>
    <w:rsid w:val="00583BAD"/>
    <w:rsid w:val="005845BE"/>
    <w:rsid w:val="00585BEB"/>
    <w:rsid w:val="0058648A"/>
    <w:rsid w:val="005864FE"/>
    <w:rsid w:val="0058679B"/>
    <w:rsid w:val="005868C4"/>
    <w:rsid w:val="00586C7B"/>
    <w:rsid w:val="00587F3B"/>
    <w:rsid w:val="0059082C"/>
    <w:rsid w:val="005913D8"/>
    <w:rsid w:val="0059399D"/>
    <w:rsid w:val="0059472B"/>
    <w:rsid w:val="0059490A"/>
    <w:rsid w:val="0059509C"/>
    <w:rsid w:val="00596E3D"/>
    <w:rsid w:val="00597C3E"/>
    <w:rsid w:val="00597C5C"/>
    <w:rsid w:val="005A0104"/>
    <w:rsid w:val="005A06FF"/>
    <w:rsid w:val="005A0BED"/>
    <w:rsid w:val="005A1BB4"/>
    <w:rsid w:val="005A2730"/>
    <w:rsid w:val="005A2F21"/>
    <w:rsid w:val="005A2FEF"/>
    <w:rsid w:val="005A3359"/>
    <w:rsid w:val="005A3B5B"/>
    <w:rsid w:val="005A44C5"/>
    <w:rsid w:val="005A462D"/>
    <w:rsid w:val="005A4ED6"/>
    <w:rsid w:val="005A562C"/>
    <w:rsid w:val="005A5712"/>
    <w:rsid w:val="005A5B5C"/>
    <w:rsid w:val="005A681A"/>
    <w:rsid w:val="005A6C0C"/>
    <w:rsid w:val="005A6D13"/>
    <w:rsid w:val="005A6FE9"/>
    <w:rsid w:val="005A781A"/>
    <w:rsid w:val="005A7AE1"/>
    <w:rsid w:val="005A7E08"/>
    <w:rsid w:val="005B045B"/>
    <w:rsid w:val="005B1052"/>
    <w:rsid w:val="005B13B2"/>
    <w:rsid w:val="005B1A23"/>
    <w:rsid w:val="005B27C1"/>
    <w:rsid w:val="005B3257"/>
    <w:rsid w:val="005B352B"/>
    <w:rsid w:val="005B3A1F"/>
    <w:rsid w:val="005B3FCA"/>
    <w:rsid w:val="005B4738"/>
    <w:rsid w:val="005B4E6D"/>
    <w:rsid w:val="005B58CA"/>
    <w:rsid w:val="005B62A9"/>
    <w:rsid w:val="005B62ED"/>
    <w:rsid w:val="005B677E"/>
    <w:rsid w:val="005B7ACC"/>
    <w:rsid w:val="005B7ED2"/>
    <w:rsid w:val="005C005B"/>
    <w:rsid w:val="005C1B28"/>
    <w:rsid w:val="005C2704"/>
    <w:rsid w:val="005C2D7B"/>
    <w:rsid w:val="005C3111"/>
    <w:rsid w:val="005C3F53"/>
    <w:rsid w:val="005C443B"/>
    <w:rsid w:val="005C4817"/>
    <w:rsid w:val="005C566F"/>
    <w:rsid w:val="005C5822"/>
    <w:rsid w:val="005C6211"/>
    <w:rsid w:val="005C63C1"/>
    <w:rsid w:val="005C63D6"/>
    <w:rsid w:val="005C6C48"/>
    <w:rsid w:val="005C7B16"/>
    <w:rsid w:val="005C7D88"/>
    <w:rsid w:val="005C7EF5"/>
    <w:rsid w:val="005C7F73"/>
    <w:rsid w:val="005D033D"/>
    <w:rsid w:val="005D0CC7"/>
    <w:rsid w:val="005D1035"/>
    <w:rsid w:val="005D2153"/>
    <w:rsid w:val="005D2C88"/>
    <w:rsid w:val="005D335F"/>
    <w:rsid w:val="005D3563"/>
    <w:rsid w:val="005D41DD"/>
    <w:rsid w:val="005D4261"/>
    <w:rsid w:val="005D4470"/>
    <w:rsid w:val="005D48FB"/>
    <w:rsid w:val="005D5091"/>
    <w:rsid w:val="005D63D3"/>
    <w:rsid w:val="005D64A6"/>
    <w:rsid w:val="005D7B40"/>
    <w:rsid w:val="005D7CDF"/>
    <w:rsid w:val="005D7D0C"/>
    <w:rsid w:val="005D7EAB"/>
    <w:rsid w:val="005E06A4"/>
    <w:rsid w:val="005E16EE"/>
    <w:rsid w:val="005E26F3"/>
    <w:rsid w:val="005E2FE6"/>
    <w:rsid w:val="005E458A"/>
    <w:rsid w:val="005E461B"/>
    <w:rsid w:val="005E4D51"/>
    <w:rsid w:val="005E52A3"/>
    <w:rsid w:val="005E590B"/>
    <w:rsid w:val="005E5CE2"/>
    <w:rsid w:val="005E645A"/>
    <w:rsid w:val="005E664D"/>
    <w:rsid w:val="005E688B"/>
    <w:rsid w:val="005E7BB5"/>
    <w:rsid w:val="005E7F9D"/>
    <w:rsid w:val="005F0B25"/>
    <w:rsid w:val="005F1C3D"/>
    <w:rsid w:val="005F1CB1"/>
    <w:rsid w:val="005F208D"/>
    <w:rsid w:val="005F254F"/>
    <w:rsid w:val="005F2C66"/>
    <w:rsid w:val="005F2DB8"/>
    <w:rsid w:val="005F48A1"/>
    <w:rsid w:val="005F4A82"/>
    <w:rsid w:val="005F4BDF"/>
    <w:rsid w:val="005F4DCB"/>
    <w:rsid w:val="005F5783"/>
    <w:rsid w:val="005F5912"/>
    <w:rsid w:val="005F5FF7"/>
    <w:rsid w:val="005F61E3"/>
    <w:rsid w:val="005F64FE"/>
    <w:rsid w:val="005F6B54"/>
    <w:rsid w:val="005F6E38"/>
    <w:rsid w:val="005F7E6D"/>
    <w:rsid w:val="0060055D"/>
    <w:rsid w:val="00601738"/>
    <w:rsid w:val="0060188E"/>
    <w:rsid w:val="00601A93"/>
    <w:rsid w:val="006020DD"/>
    <w:rsid w:val="00602581"/>
    <w:rsid w:val="00602FA2"/>
    <w:rsid w:val="00604A22"/>
    <w:rsid w:val="00604C38"/>
    <w:rsid w:val="006050A6"/>
    <w:rsid w:val="00605A89"/>
    <w:rsid w:val="00605E8A"/>
    <w:rsid w:val="0060600B"/>
    <w:rsid w:val="006066A3"/>
    <w:rsid w:val="00606A9C"/>
    <w:rsid w:val="00606CFA"/>
    <w:rsid w:val="00606E30"/>
    <w:rsid w:val="00607432"/>
    <w:rsid w:val="0060756C"/>
    <w:rsid w:val="00607AE0"/>
    <w:rsid w:val="00610DE5"/>
    <w:rsid w:val="006114E5"/>
    <w:rsid w:val="006127D9"/>
    <w:rsid w:val="00613CB0"/>
    <w:rsid w:val="00614C26"/>
    <w:rsid w:val="00614CD0"/>
    <w:rsid w:val="00615A48"/>
    <w:rsid w:val="00617829"/>
    <w:rsid w:val="00620C9A"/>
    <w:rsid w:val="006214A8"/>
    <w:rsid w:val="006216C1"/>
    <w:rsid w:val="0062171F"/>
    <w:rsid w:val="0062180C"/>
    <w:rsid w:val="00621D1B"/>
    <w:rsid w:val="00622023"/>
    <w:rsid w:val="006229A6"/>
    <w:rsid w:val="00622BBE"/>
    <w:rsid w:val="00622D22"/>
    <w:rsid w:val="00623A5E"/>
    <w:rsid w:val="00623C91"/>
    <w:rsid w:val="00623E4B"/>
    <w:rsid w:val="006244DC"/>
    <w:rsid w:val="006249CA"/>
    <w:rsid w:val="00624AD7"/>
    <w:rsid w:val="00624B3C"/>
    <w:rsid w:val="00624E50"/>
    <w:rsid w:val="0062524C"/>
    <w:rsid w:val="0062607E"/>
    <w:rsid w:val="00626881"/>
    <w:rsid w:val="00626B35"/>
    <w:rsid w:val="00626D4B"/>
    <w:rsid w:val="00626E61"/>
    <w:rsid w:val="00630166"/>
    <w:rsid w:val="006307DA"/>
    <w:rsid w:val="00632A9D"/>
    <w:rsid w:val="00632CC8"/>
    <w:rsid w:val="00632FBA"/>
    <w:rsid w:val="00633AC8"/>
    <w:rsid w:val="00633D89"/>
    <w:rsid w:val="00633F56"/>
    <w:rsid w:val="00636547"/>
    <w:rsid w:val="00636BC6"/>
    <w:rsid w:val="00636E2A"/>
    <w:rsid w:val="006374DF"/>
    <w:rsid w:val="00637ABF"/>
    <w:rsid w:val="00637CF1"/>
    <w:rsid w:val="00637D38"/>
    <w:rsid w:val="006415F9"/>
    <w:rsid w:val="00642411"/>
    <w:rsid w:val="00642B63"/>
    <w:rsid w:val="006430BA"/>
    <w:rsid w:val="0064341B"/>
    <w:rsid w:val="00644209"/>
    <w:rsid w:val="00644720"/>
    <w:rsid w:val="0064486D"/>
    <w:rsid w:val="00644BC8"/>
    <w:rsid w:val="00645B4F"/>
    <w:rsid w:val="00646284"/>
    <w:rsid w:val="00646340"/>
    <w:rsid w:val="006465BB"/>
    <w:rsid w:val="00647BBE"/>
    <w:rsid w:val="00647DB5"/>
    <w:rsid w:val="00650C12"/>
    <w:rsid w:val="00652755"/>
    <w:rsid w:val="00652DC8"/>
    <w:rsid w:val="006539EB"/>
    <w:rsid w:val="00653E02"/>
    <w:rsid w:val="00653FD7"/>
    <w:rsid w:val="0065416D"/>
    <w:rsid w:val="006541A3"/>
    <w:rsid w:val="006546BE"/>
    <w:rsid w:val="00654B1B"/>
    <w:rsid w:val="006606F2"/>
    <w:rsid w:val="00660A61"/>
    <w:rsid w:val="0066178F"/>
    <w:rsid w:val="0066272A"/>
    <w:rsid w:val="00662811"/>
    <w:rsid w:val="00662F33"/>
    <w:rsid w:val="0066446F"/>
    <w:rsid w:val="0066475D"/>
    <w:rsid w:val="00664EA5"/>
    <w:rsid w:val="0066581D"/>
    <w:rsid w:val="0066598D"/>
    <w:rsid w:val="00665F13"/>
    <w:rsid w:val="00666A7B"/>
    <w:rsid w:val="00667347"/>
    <w:rsid w:val="006679A0"/>
    <w:rsid w:val="00667B8C"/>
    <w:rsid w:val="006712CD"/>
    <w:rsid w:val="0067130E"/>
    <w:rsid w:val="006713BE"/>
    <w:rsid w:val="006713EC"/>
    <w:rsid w:val="006714AB"/>
    <w:rsid w:val="00671961"/>
    <w:rsid w:val="0067210A"/>
    <w:rsid w:val="00672495"/>
    <w:rsid w:val="0067288B"/>
    <w:rsid w:val="00672A6B"/>
    <w:rsid w:val="00673838"/>
    <w:rsid w:val="0067397F"/>
    <w:rsid w:val="00674CFF"/>
    <w:rsid w:val="0067582E"/>
    <w:rsid w:val="006763D9"/>
    <w:rsid w:val="00676B94"/>
    <w:rsid w:val="006773F6"/>
    <w:rsid w:val="00677571"/>
    <w:rsid w:val="00677E2C"/>
    <w:rsid w:val="006805BA"/>
    <w:rsid w:val="00681DD2"/>
    <w:rsid w:val="0068235D"/>
    <w:rsid w:val="00682C99"/>
    <w:rsid w:val="006830A3"/>
    <w:rsid w:val="00684A7F"/>
    <w:rsid w:val="00684ADA"/>
    <w:rsid w:val="00684E32"/>
    <w:rsid w:val="00684E3B"/>
    <w:rsid w:val="00685453"/>
    <w:rsid w:val="00685613"/>
    <w:rsid w:val="006861B7"/>
    <w:rsid w:val="00686E58"/>
    <w:rsid w:val="0068773D"/>
    <w:rsid w:val="006878B3"/>
    <w:rsid w:val="00687E4B"/>
    <w:rsid w:val="006901FE"/>
    <w:rsid w:val="00690763"/>
    <w:rsid w:val="00690EF4"/>
    <w:rsid w:val="00691ADB"/>
    <w:rsid w:val="00692A46"/>
    <w:rsid w:val="00693853"/>
    <w:rsid w:val="00693A57"/>
    <w:rsid w:val="00696512"/>
    <w:rsid w:val="00696533"/>
    <w:rsid w:val="00696939"/>
    <w:rsid w:val="0069788C"/>
    <w:rsid w:val="00697D3F"/>
    <w:rsid w:val="00697FC8"/>
    <w:rsid w:val="006A0908"/>
    <w:rsid w:val="006A0A69"/>
    <w:rsid w:val="006A1A04"/>
    <w:rsid w:val="006A2A00"/>
    <w:rsid w:val="006A3215"/>
    <w:rsid w:val="006A3950"/>
    <w:rsid w:val="006A4B91"/>
    <w:rsid w:val="006A5FEB"/>
    <w:rsid w:val="006A6401"/>
    <w:rsid w:val="006A665F"/>
    <w:rsid w:val="006A7189"/>
    <w:rsid w:val="006A71B3"/>
    <w:rsid w:val="006B078B"/>
    <w:rsid w:val="006B12B8"/>
    <w:rsid w:val="006B1B7E"/>
    <w:rsid w:val="006B1F1B"/>
    <w:rsid w:val="006B2446"/>
    <w:rsid w:val="006B24A5"/>
    <w:rsid w:val="006B3494"/>
    <w:rsid w:val="006B3FC3"/>
    <w:rsid w:val="006B3FD6"/>
    <w:rsid w:val="006B493E"/>
    <w:rsid w:val="006B4C1D"/>
    <w:rsid w:val="006B4E96"/>
    <w:rsid w:val="006B5464"/>
    <w:rsid w:val="006B5ECA"/>
    <w:rsid w:val="006B5ED5"/>
    <w:rsid w:val="006B602E"/>
    <w:rsid w:val="006B6451"/>
    <w:rsid w:val="006C046A"/>
    <w:rsid w:val="006C04C9"/>
    <w:rsid w:val="006C0875"/>
    <w:rsid w:val="006C0B60"/>
    <w:rsid w:val="006C0D44"/>
    <w:rsid w:val="006C270E"/>
    <w:rsid w:val="006C3960"/>
    <w:rsid w:val="006C3AF6"/>
    <w:rsid w:val="006C3D08"/>
    <w:rsid w:val="006C4740"/>
    <w:rsid w:val="006C4A63"/>
    <w:rsid w:val="006C5982"/>
    <w:rsid w:val="006C5B95"/>
    <w:rsid w:val="006C61FF"/>
    <w:rsid w:val="006C67AF"/>
    <w:rsid w:val="006C6873"/>
    <w:rsid w:val="006C6C16"/>
    <w:rsid w:val="006C6E4D"/>
    <w:rsid w:val="006C6E6D"/>
    <w:rsid w:val="006C712F"/>
    <w:rsid w:val="006C7D46"/>
    <w:rsid w:val="006D08DE"/>
    <w:rsid w:val="006D1649"/>
    <w:rsid w:val="006D1780"/>
    <w:rsid w:val="006D1781"/>
    <w:rsid w:val="006D3669"/>
    <w:rsid w:val="006D3E5D"/>
    <w:rsid w:val="006D4AF2"/>
    <w:rsid w:val="006D4EA4"/>
    <w:rsid w:val="006D5A96"/>
    <w:rsid w:val="006D5C34"/>
    <w:rsid w:val="006D6D68"/>
    <w:rsid w:val="006D6E84"/>
    <w:rsid w:val="006D702B"/>
    <w:rsid w:val="006D7041"/>
    <w:rsid w:val="006D7680"/>
    <w:rsid w:val="006D768E"/>
    <w:rsid w:val="006D76DD"/>
    <w:rsid w:val="006E1BD6"/>
    <w:rsid w:val="006E2809"/>
    <w:rsid w:val="006E2D10"/>
    <w:rsid w:val="006E3364"/>
    <w:rsid w:val="006E4564"/>
    <w:rsid w:val="006E508A"/>
    <w:rsid w:val="006E550A"/>
    <w:rsid w:val="006E5925"/>
    <w:rsid w:val="006E6056"/>
    <w:rsid w:val="006E60B5"/>
    <w:rsid w:val="006E6C26"/>
    <w:rsid w:val="006E6F90"/>
    <w:rsid w:val="006F0EB7"/>
    <w:rsid w:val="006F0EED"/>
    <w:rsid w:val="006F1B18"/>
    <w:rsid w:val="006F206F"/>
    <w:rsid w:val="006F29FB"/>
    <w:rsid w:val="006F3B89"/>
    <w:rsid w:val="006F43A4"/>
    <w:rsid w:val="006F5278"/>
    <w:rsid w:val="006F5432"/>
    <w:rsid w:val="006F5C15"/>
    <w:rsid w:val="006F626F"/>
    <w:rsid w:val="006F6330"/>
    <w:rsid w:val="006F6864"/>
    <w:rsid w:val="006F6894"/>
    <w:rsid w:val="006F6D9A"/>
    <w:rsid w:val="006F7145"/>
    <w:rsid w:val="006F73D8"/>
    <w:rsid w:val="006F7544"/>
    <w:rsid w:val="006F7ACD"/>
    <w:rsid w:val="007006F0"/>
    <w:rsid w:val="0070088C"/>
    <w:rsid w:val="00701B5F"/>
    <w:rsid w:val="0070260B"/>
    <w:rsid w:val="00703840"/>
    <w:rsid w:val="00703AFA"/>
    <w:rsid w:val="00703B1A"/>
    <w:rsid w:val="00703E40"/>
    <w:rsid w:val="0070465C"/>
    <w:rsid w:val="007046B3"/>
    <w:rsid w:val="007046E2"/>
    <w:rsid w:val="0070529B"/>
    <w:rsid w:val="007054F1"/>
    <w:rsid w:val="00705A1E"/>
    <w:rsid w:val="00705B69"/>
    <w:rsid w:val="00705C3D"/>
    <w:rsid w:val="00705C6F"/>
    <w:rsid w:val="00705C9C"/>
    <w:rsid w:val="007063B9"/>
    <w:rsid w:val="00706AD1"/>
    <w:rsid w:val="00706DCF"/>
    <w:rsid w:val="00710F41"/>
    <w:rsid w:val="00711570"/>
    <w:rsid w:val="00711BC0"/>
    <w:rsid w:val="00712356"/>
    <w:rsid w:val="00712F0B"/>
    <w:rsid w:val="0071326C"/>
    <w:rsid w:val="007136A0"/>
    <w:rsid w:val="0071421B"/>
    <w:rsid w:val="007149B7"/>
    <w:rsid w:val="00714EFA"/>
    <w:rsid w:val="00715D65"/>
    <w:rsid w:val="007167CE"/>
    <w:rsid w:val="00716932"/>
    <w:rsid w:val="00717088"/>
    <w:rsid w:val="007171D4"/>
    <w:rsid w:val="00721084"/>
    <w:rsid w:val="00721090"/>
    <w:rsid w:val="00722A79"/>
    <w:rsid w:val="00722AC2"/>
    <w:rsid w:val="00723066"/>
    <w:rsid w:val="00723165"/>
    <w:rsid w:val="007235B7"/>
    <w:rsid w:val="007249E6"/>
    <w:rsid w:val="00725F6B"/>
    <w:rsid w:val="00726A38"/>
    <w:rsid w:val="007279EA"/>
    <w:rsid w:val="007304C2"/>
    <w:rsid w:val="007314B5"/>
    <w:rsid w:val="007317B7"/>
    <w:rsid w:val="0073216C"/>
    <w:rsid w:val="00732862"/>
    <w:rsid w:val="00732D94"/>
    <w:rsid w:val="00733223"/>
    <w:rsid w:val="00733E7B"/>
    <w:rsid w:val="00734250"/>
    <w:rsid w:val="00734364"/>
    <w:rsid w:val="00734614"/>
    <w:rsid w:val="00734DFC"/>
    <w:rsid w:val="00735900"/>
    <w:rsid w:val="00736640"/>
    <w:rsid w:val="00736892"/>
    <w:rsid w:val="00737891"/>
    <w:rsid w:val="007400CA"/>
    <w:rsid w:val="007403EE"/>
    <w:rsid w:val="007406C4"/>
    <w:rsid w:val="00740825"/>
    <w:rsid w:val="00740F29"/>
    <w:rsid w:val="00741155"/>
    <w:rsid w:val="00741197"/>
    <w:rsid w:val="00741B6F"/>
    <w:rsid w:val="00741B77"/>
    <w:rsid w:val="00741C9A"/>
    <w:rsid w:val="00741DC7"/>
    <w:rsid w:val="00742839"/>
    <w:rsid w:val="00743DFA"/>
    <w:rsid w:val="0074423A"/>
    <w:rsid w:val="007446BF"/>
    <w:rsid w:val="007500C5"/>
    <w:rsid w:val="00750860"/>
    <w:rsid w:val="0075155C"/>
    <w:rsid w:val="007518C1"/>
    <w:rsid w:val="00751A46"/>
    <w:rsid w:val="0075202B"/>
    <w:rsid w:val="007525D5"/>
    <w:rsid w:val="007526FB"/>
    <w:rsid w:val="00753CF6"/>
    <w:rsid w:val="00753E33"/>
    <w:rsid w:val="007541B1"/>
    <w:rsid w:val="00754364"/>
    <w:rsid w:val="0075453A"/>
    <w:rsid w:val="007558D8"/>
    <w:rsid w:val="00755962"/>
    <w:rsid w:val="00755B59"/>
    <w:rsid w:val="00755D2C"/>
    <w:rsid w:val="007569DC"/>
    <w:rsid w:val="00756B85"/>
    <w:rsid w:val="00756FFA"/>
    <w:rsid w:val="00760879"/>
    <w:rsid w:val="00760C5C"/>
    <w:rsid w:val="00761B11"/>
    <w:rsid w:val="00763075"/>
    <w:rsid w:val="007631C0"/>
    <w:rsid w:val="0076348E"/>
    <w:rsid w:val="00763BF2"/>
    <w:rsid w:val="00764034"/>
    <w:rsid w:val="0076551D"/>
    <w:rsid w:val="00766BC3"/>
    <w:rsid w:val="00766E59"/>
    <w:rsid w:val="00770A42"/>
    <w:rsid w:val="00771182"/>
    <w:rsid w:val="0077119F"/>
    <w:rsid w:val="00771807"/>
    <w:rsid w:val="007718D8"/>
    <w:rsid w:val="00771B28"/>
    <w:rsid w:val="00772BB1"/>
    <w:rsid w:val="007739CC"/>
    <w:rsid w:val="007755BF"/>
    <w:rsid w:val="007756A5"/>
    <w:rsid w:val="00776089"/>
    <w:rsid w:val="00776B02"/>
    <w:rsid w:val="007773BA"/>
    <w:rsid w:val="0078028C"/>
    <w:rsid w:val="00780C91"/>
    <w:rsid w:val="0078126D"/>
    <w:rsid w:val="0078258C"/>
    <w:rsid w:val="00783662"/>
    <w:rsid w:val="007836F5"/>
    <w:rsid w:val="00783C43"/>
    <w:rsid w:val="00783D61"/>
    <w:rsid w:val="00783F9B"/>
    <w:rsid w:val="007845D5"/>
    <w:rsid w:val="00784706"/>
    <w:rsid w:val="0078552A"/>
    <w:rsid w:val="00785DE9"/>
    <w:rsid w:val="007862DA"/>
    <w:rsid w:val="00787216"/>
    <w:rsid w:val="00787A70"/>
    <w:rsid w:val="00790570"/>
    <w:rsid w:val="00791570"/>
    <w:rsid w:val="0079223D"/>
    <w:rsid w:val="007927CE"/>
    <w:rsid w:val="00792F91"/>
    <w:rsid w:val="0079302E"/>
    <w:rsid w:val="0079344B"/>
    <w:rsid w:val="007934C4"/>
    <w:rsid w:val="00793962"/>
    <w:rsid w:val="00793FB7"/>
    <w:rsid w:val="007942FD"/>
    <w:rsid w:val="00794316"/>
    <w:rsid w:val="007948F3"/>
    <w:rsid w:val="00795005"/>
    <w:rsid w:val="0079515C"/>
    <w:rsid w:val="00795D42"/>
    <w:rsid w:val="00796D5E"/>
    <w:rsid w:val="00796D90"/>
    <w:rsid w:val="007A0AC3"/>
    <w:rsid w:val="007A0E65"/>
    <w:rsid w:val="007A1490"/>
    <w:rsid w:val="007A1B82"/>
    <w:rsid w:val="007A1C4B"/>
    <w:rsid w:val="007A272D"/>
    <w:rsid w:val="007A2C1F"/>
    <w:rsid w:val="007A2EF7"/>
    <w:rsid w:val="007A3674"/>
    <w:rsid w:val="007A4B96"/>
    <w:rsid w:val="007A4D06"/>
    <w:rsid w:val="007A531D"/>
    <w:rsid w:val="007A68D2"/>
    <w:rsid w:val="007A6C28"/>
    <w:rsid w:val="007A707B"/>
    <w:rsid w:val="007A78AD"/>
    <w:rsid w:val="007B0816"/>
    <w:rsid w:val="007B1A72"/>
    <w:rsid w:val="007B212C"/>
    <w:rsid w:val="007B29E1"/>
    <w:rsid w:val="007B2FDD"/>
    <w:rsid w:val="007B31E2"/>
    <w:rsid w:val="007B3C0A"/>
    <w:rsid w:val="007B3C74"/>
    <w:rsid w:val="007B3D1C"/>
    <w:rsid w:val="007B4017"/>
    <w:rsid w:val="007B48AB"/>
    <w:rsid w:val="007B4A00"/>
    <w:rsid w:val="007B4A7B"/>
    <w:rsid w:val="007B4F1B"/>
    <w:rsid w:val="007B4F89"/>
    <w:rsid w:val="007B58B7"/>
    <w:rsid w:val="007B5A95"/>
    <w:rsid w:val="007B5FD9"/>
    <w:rsid w:val="007B6172"/>
    <w:rsid w:val="007B61F2"/>
    <w:rsid w:val="007B63E4"/>
    <w:rsid w:val="007B6850"/>
    <w:rsid w:val="007B7345"/>
    <w:rsid w:val="007B76F0"/>
    <w:rsid w:val="007B7778"/>
    <w:rsid w:val="007B7F94"/>
    <w:rsid w:val="007C04EC"/>
    <w:rsid w:val="007C09DC"/>
    <w:rsid w:val="007C0ADD"/>
    <w:rsid w:val="007C0DB9"/>
    <w:rsid w:val="007C180C"/>
    <w:rsid w:val="007C19D1"/>
    <w:rsid w:val="007C2A3D"/>
    <w:rsid w:val="007C450A"/>
    <w:rsid w:val="007C4AF9"/>
    <w:rsid w:val="007C4C1C"/>
    <w:rsid w:val="007C529B"/>
    <w:rsid w:val="007C5B6F"/>
    <w:rsid w:val="007C6C37"/>
    <w:rsid w:val="007C6FA7"/>
    <w:rsid w:val="007C7544"/>
    <w:rsid w:val="007C77B2"/>
    <w:rsid w:val="007D03FD"/>
    <w:rsid w:val="007D11A7"/>
    <w:rsid w:val="007D1F4A"/>
    <w:rsid w:val="007D260F"/>
    <w:rsid w:val="007D2D91"/>
    <w:rsid w:val="007D30D8"/>
    <w:rsid w:val="007D3AC9"/>
    <w:rsid w:val="007D4AB0"/>
    <w:rsid w:val="007D506F"/>
    <w:rsid w:val="007D56D2"/>
    <w:rsid w:val="007D5F70"/>
    <w:rsid w:val="007D6A0B"/>
    <w:rsid w:val="007D7245"/>
    <w:rsid w:val="007E0020"/>
    <w:rsid w:val="007E26B1"/>
    <w:rsid w:val="007E2709"/>
    <w:rsid w:val="007E2861"/>
    <w:rsid w:val="007E399C"/>
    <w:rsid w:val="007E4217"/>
    <w:rsid w:val="007E491D"/>
    <w:rsid w:val="007E4F2B"/>
    <w:rsid w:val="007E5AA3"/>
    <w:rsid w:val="007E5C24"/>
    <w:rsid w:val="007E5E55"/>
    <w:rsid w:val="007E6132"/>
    <w:rsid w:val="007E63A5"/>
    <w:rsid w:val="007E69E1"/>
    <w:rsid w:val="007E6F33"/>
    <w:rsid w:val="007E70DA"/>
    <w:rsid w:val="007E754D"/>
    <w:rsid w:val="007E75B9"/>
    <w:rsid w:val="007E7D08"/>
    <w:rsid w:val="007F166B"/>
    <w:rsid w:val="007F1E20"/>
    <w:rsid w:val="007F1EF7"/>
    <w:rsid w:val="007F262A"/>
    <w:rsid w:val="007F2D69"/>
    <w:rsid w:val="007F2FB7"/>
    <w:rsid w:val="007F3195"/>
    <w:rsid w:val="007F33BF"/>
    <w:rsid w:val="007F382C"/>
    <w:rsid w:val="007F3CC0"/>
    <w:rsid w:val="007F4579"/>
    <w:rsid w:val="007F490C"/>
    <w:rsid w:val="007F502D"/>
    <w:rsid w:val="007F5B87"/>
    <w:rsid w:val="007F61E6"/>
    <w:rsid w:val="007F7331"/>
    <w:rsid w:val="0080043B"/>
    <w:rsid w:val="0080068A"/>
    <w:rsid w:val="00801517"/>
    <w:rsid w:val="00802CEF"/>
    <w:rsid w:val="00803493"/>
    <w:rsid w:val="00803714"/>
    <w:rsid w:val="00803BE2"/>
    <w:rsid w:val="00804052"/>
    <w:rsid w:val="008046C0"/>
    <w:rsid w:val="00805134"/>
    <w:rsid w:val="00805379"/>
    <w:rsid w:val="0080591B"/>
    <w:rsid w:val="0080620D"/>
    <w:rsid w:val="008065F4"/>
    <w:rsid w:val="00806C0A"/>
    <w:rsid w:val="00807209"/>
    <w:rsid w:val="00807B40"/>
    <w:rsid w:val="0081030B"/>
    <w:rsid w:val="008106F0"/>
    <w:rsid w:val="00810758"/>
    <w:rsid w:val="008108AB"/>
    <w:rsid w:val="00811C36"/>
    <w:rsid w:val="00812167"/>
    <w:rsid w:val="008121E4"/>
    <w:rsid w:val="00812B2D"/>
    <w:rsid w:val="00814815"/>
    <w:rsid w:val="00814E13"/>
    <w:rsid w:val="00815319"/>
    <w:rsid w:val="008153BE"/>
    <w:rsid w:val="00815EC2"/>
    <w:rsid w:val="008161BE"/>
    <w:rsid w:val="00816B78"/>
    <w:rsid w:val="00816C73"/>
    <w:rsid w:val="00816FA0"/>
    <w:rsid w:val="00817382"/>
    <w:rsid w:val="00817A81"/>
    <w:rsid w:val="00817AE6"/>
    <w:rsid w:val="0082109A"/>
    <w:rsid w:val="00822532"/>
    <w:rsid w:val="00822F50"/>
    <w:rsid w:val="0082344E"/>
    <w:rsid w:val="00823D42"/>
    <w:rsid w:val="00823E94"/>
    <w:rsid w:val="0082531F"/>
    <w:rsid w:val="008257EA"/>
    <w:rsid w:val="00825F1A"/>
    <w:rsid w:val="008277FE"/>
    <w:rsid w:val="00831589"/>
    <w:rsid w:val="008322F5"/>
    <w:rsid w:val="008323D5"/>
    <w:rsid w:val="00832838"/>
    <w:rsid w:val="00833026"/>
    <w:rsid w:val="00833317"/>
    <w:rsid w:val="00834261"/>
    <w:rsid w:val="00834EDE"/>
    <w:rsid w:val="008352B4"/>
    <w:rsid w:val="0083575D"/>
    <w:rsid w:val="00835A00"/>
    <w:rsid w:val="00836A89"/>
    <w:rsid w:val="00836AEA"/>
    <w:rsid w:val="00837115"/>
    <w:rsid w:val="00837D9A"/>
    <w:rsid w:val="00840439"/>
    <w:rsid w:val="00841AEC"/>
    <w:rsid w:val="00841BEC"/>
    <w:rsid w:val="00841FE9"/>
    <w:rsid w:val="00842111"/>
    <w:rsid w:val="00842254"/>
    <w:rsid w:val="008431D2"/>
    <w:rsid w:val="008441BB"/>
    <w:rsid w:val="00844CF7"/>
    <w:rsid w:val="00845EAF"/>
    <w:rsid w:val="00845FAB"/>
    <w:rsid w:val="008460B4"/>
    <w:rsid w:val="00846A7B"/>
    <w:rsid w:val="00846C17"/>
    <w:rsid w:val="00847401"/>
    <w:rsid w:val="00850CBB"/>
    <w:rsid w:val="00851748"/>
    <w:rsid w:val="0085248A"/>
    <w:rsid w:val="00852626"/>
    <w:rsid w:val="00852B01"/>
    <w:rsid w:val="00852BCA"/>
    <w:rsid w:val="00854444"/>
    <w:rsid w:val="00855D83"/>
    <w:rsid w:val="008569E7"/>
    <w:rsid w:val="0085722A"/>
    <w:rsid w:val="008573D2"/>
    <w:rsid w:val="0085772D"/>
    <w:rsid w:val="00857DED"/>
    <w:rsid w:val="00857E66"/>
    <w:rsid w:val="0086027E"/>
    <w:rsid w:val="008606C2"/>
    <w:rsid w:val="00860E1B"/>
    <w:rsid w:val="00860FE8"/>
    <w:rsid w:val="00861510"/>
    <w:rsid w:val="0086246B"/>
    <w:rsid w:val="00863F81"/>
    <w:rsid w:val="00864607"/>
    <w:rsid w:val="008646A1"/>
    <w:rsid w:val="008651FE"/>
    <w:rsid w:val="00865AFC"/>
    <w:rsid w:val="00866FFA"/>
    <w:rsid w:val="0086752A"/>
    <w:rsid w:val="00867C85"/>
    <w:rsid w:val="00867DB4"/>
    <w:rsid w:val="00870350"/>
    <w:rsid w:val="00871244"/>
    <w:rsid w:val="0087134B"/>
    <w:rsid w:val="00871774"/>
    <w:rsid w:val="00871C2F"/>
    <w:rsid w:val="00871D5F"/>
    <w:rsid w:val="00872E91"/>
    <w:rsid w:val="00873B5D"/>
    <w:rsid w:val="00873B86"/>
    <w:rsid w:val="00873C2E"/>
    <w:rsid w:val="00874331"/>
    <w:rsid w:val="00875965"/>
    <w:rsid w:val="0087615C"/>
    <w:rsid w:val="008764B1"/>
    <w:rsid w:val="00877137"/>
    <w:rsid w:val="0088077B"/>
    <w:rsid w:val="008812DB"/>
    <w:rsid w:val="008815C5"/>
    <w:rsid w:val="008818C5"/>
    <w:rsid w:val="00881B51"/>
    <w:rsid w:val="00882767"/>
    <w:rsid w:val="00882FBC"/>
    <w:rsid w:val="00883220"/>
    <w:rsid w:val="008853BB"/>
    <w:rsid w:val="00885833"/>
    <w:rsid w:val="00885978"/>
    <w:rsid w:val="00885F3F"/>
    <w:rsid w:val="00886C96"/>
    <w:rsid w:val="00887068"/>
    <w:rsid w:val="008873EA"/>
    <w:rsid w:val="00887D7F"/>
    <w:rsid w:val="008910B0"/>
    <w:rsid w:val="00891622"/>
    <w:rsid w:val="00891813"/>
    <w:rsid w:val="0089196B"/>
    <w:rsid w:val="00891B38"/>
    <w:rsid w:val="0089233A"/>
    <w:rsid w:val="008925B8"/>
    <w:rsid w:val="008936E1"/>
    <w:rsid w:val="008943B9"/>
    <w:rsid w:val="0089604E"/>
    <w:rsid w:val="0089612F"/>
    <w:rsid w:val="00896E85"/>
    <w:rsid w:val="00897F02"/>
    <w:rsid w:val="008A0330"/>
    <w:rsid w:val="008A0FE0"/>
    <w:rsid w:val="008A12B9"/>
    <w:rsid w:val="008A1B12"/>
    <w:rsid w:val="008A1D2B"/>
    <w:rsid w:val="008A255A"/>
    <w:rsid w:val="008A2C19"/>
    <w:rsid w:val="008A2C2C"/>
    <w:rsid w:val="008A3D9A"/>
    <w:rsid w:val="008A4152"/>
    <w:rsid w:val="008A45F0"/>
    <w:rsid w:val="008A5CA5"/>
    <w:rsid w:val="008A63FC"/>
    <w:rsid w:val="008A66A2"/>
    <w:rsid w:val="008A6765"/>
    <w:rsid w:val="008A6F9F"/>
    <w:rsid w:val="008A71A6"/>
    <w:rsid w:val="008A762B"/>
    <w:rsid w:val="008A7812"/>
    <w:rsid w:val="008A7ADB"/>
    <w:rsid w:val="008B116D"/>
    <w:rsid w:val="008B163B"/>
    <w:rsid w:val="008B16AE"/>
    <w:rsid w:val="008B1A61"/>
    <w:rsid w:val="008B3054"/>
    <w:rsid w:val="008B3E63"/>
    <w:rsid w:val="008B40E8"/>
    <w:rsid w:val="008B51DC"/>
    <w:rsid w:val="008B53EA"/>
    <w:rsid w:val="008B5A37"/>
    <w:rsid w:val="008B5C82"/>
    <w:rsid w:val="008B5FB1"/>
    <w:rsid w:val="008B6B44"/>
    <w:rsid w:val="008B704D"/>
    <w:rsid w:val="008B77DB"/>
    <w:rsid w:val="008C0860"/>
    <w:rsid w:val="008C11EB"/>
    <w:rsid w:val="008C1321"/>
    <w:rsid w:val="008C13DC"/>
    <w:rsid w:val="008C147F"/>
    <w:rsid w:val="008C15A7"/>
    <w:rsid w:val="008C1B6D"/>
    <w:rsid w:val="008C22EF"/>
    <w:rsid w:val="008C2367"/>
    <w:rsid w:val="008C2438"/>
    <w:rsid w:val="008C2D87"/>
    <w:rsid w:val="008C3381"/>
    <w:rsid w:val="008C393F"/>
    <w:rsid w:val="008C3F0D"/>
    <w:rsid w:val="008C46BA"/>
    <w:rsid w:val="008C5763"/>
    <w:rsid w:val="008C5A1D"/>
    <w:rsid w:val="008C6128"/>
    <w:rsid w:val="008C63EA"/>
    <w:rsid w:val="008C689B"/>
    <w:rsid w:val="008C6A89"/>
    <w:rsid w:val="008C6D6B"/>
    <w:rsid w:val="008C6E6B"/>
    <w:rsid w:val="008C7D0C"/>
    <w:rsid w:val="008D0BFE"/>
    <w:rsid w:val="008D1F68"/>
    <w:rsid w:val="008D2179"/>
    <w:rsid w:val="008D2460"/>
    <w:rsid w:val="008D3431"/>
    <w:rsid w:val="008D3B43"/>
    <w:rsid w:val="008D3B61"/>
    <w:rsid w:val="008D4B63"/>
    <w:rsid w:val="008D4B6D"/>
    <w:rsid w:val="008D572D"/>
    <w:rsid w:val="008D5788"/>
    <w:rsid w:val="008D5E86"/>
    <w:rsid w:val="008D7020"/>
    <w:rsid w:val="008D7625"/>
    <w:rsid w:val="008D7A8D"/>
    <w:rsid w:val="008D7B53"/>
    <w:rsid w:val="008E016A"/>
    <w:rsid w:val="008E0367"/>
    <w:rsid w:val="008E064F"/>
    <w:rsid w:val="008E0E7D"/>
    <w:rsid w:val="008E236E"/>
    <w:rsid w:val="008E250C"/>
    <w:rsid w:val="008E2DB4"/>
    <w:rsid w:val="008E2DC8"/>
    <w:rsid w:val="008E34D3"/>
    <w:rsid w:val="008E36DC"/>
    <w:rsid w:val="008E38D9"/>
    <w:rsid w:val="008E547F"/>
    <w:rsid w:val="008E5CE3"/>
    <w:rsid w:val="008E6D55"/>
    <w:rsid w:val="008E7AF1"/>
    <w:rsid w:val="008E7E29"/>
    <w:rsid w:val="008E7F30"/>
    <w:rsid w:val="008E7F60"/>
    <w:rsid w:val="008F00DB"/>
    <w:rsid w:val="008F0B72"/>
    <w:rsid w:val="008F0DAE"/>
    <w:rsid w:val="008F1D6E"/>
    <w:rsid w:val="008F2231"/>
    <w:rsid w:val="008F25FF"/>
    <w:rsid w:val="008F3998"/>
    <w:rsid w:val="008F46C1"/>
    <w:rsid w:val="008F4990"/>
    <w:rsid w:val="008F5772"/>
    <w:rsid w:val="008F64A4"/>
    <w:rsid w:val="008F661F"/>
    <w:rsid w:val="008F70C9"/>
    <w:rsid w:val="008F7127"/>
    <w:rsid w:val="008F7776"/>
    <w:rsid w:val="008F794F"/>
    <w:rsid w:val="0090011B"/>
    <w:rsid w:val="0090099C"/>
    <w:rsid w:val="00900E44"/>
    <w:rsid w:val="009016EF"/>
    <w:rsid w:val="00901D23"/>
    <w:rsid w:val="00902342"/>
    <w:rsid w:val="009030DE"/>
    <w:rsid w:val="0090340B"/>
    <w:rsid w:val="009035EF"/>
    <w:rsid w:val="0090360A"/>
    <w:rsid w:val="0090393C"/>
    <w:rsid w:val="0090468B"/>
    <w:rsid w:val="00904DCC"/>
    <w:rsid w:val="00905060"/>
    <w:rsid w:val="00905A23"/>
    <w:rsid w:val="00906477"/>
    <w:rsid w:val="00907E58"/>
    <w:rsid w:val="00910247"/>
    <w:rsid w:val="00910543"/>
    <w:rsid w:val="00910D98"/>
    <w:rsid w:val="00910FB1"/>
    <w:rsid w:val="009111DF"/>
    <w:rsid w:val="009114D5"/>
    <w:rsid w:val="009116D1"/>
    <w:rsid w:val="00911903"/>
    <w:rsid w:val="00912364"/>
    <w:rsid w:val="00912EB6"/>
    <w:rsid w:val="0091326E"/>
    <w:rsid w:val="0091352E"/>
    <w:rsid w:val="009135FC"/>
    <w:rsid w:val="0091361D"/>
    <w:rsid w:val="00913639"/>
    <w:rsid w:val="00913A41"/>
    <w:rsid w:val="00914061"/>
    <w:rsid w:val="00914368"/>
    <w:rsid w:val="00914E8F"/>
    <w:rsid w:val="00915952"/>
    <w:rsid w:val="00915D2E"/>
    <w:rsid w:val="0091640F"/>
    <w:rsid w:val="00916802"/>
    <w:rsid w:val="00916B76"/>
    <w:rsid w:val="00916B7A"/>
    <w:rsid w:val="00917A65"/>
    <w:rsid w:val="00917C7A"/>
    <w:rsid w:val="00920C1F"/>
    <w:rsid w:val="00921E70"/>
    <w:rsid w:val="009229DD"/>
    <w:rsid w:val="00922CC9"/>
    <w:rsid w:val="00922F3F"/>
    <w:rsid w:val="009231D3"/>
    <w:rsid w:val="009232B6"/>
    <w:rsid w:val="009242CF"/>
    <w:rsid w:val="009242F2"/>
    <w:rsid w:val="00924360"/>
    <w:rsid w:val="00924AD6"/>
    <w:rsid w:val="00924E85"/>
    <w:rsid w:val="00925498"/>
    <w:rsid w:val="00925847"/>
    <w:rsid w:val="00925C07"/>
    <w:rsid w:val="00925E0F"/>
    <w:rsid w:val="00925FC8"/>
    <w:rsid w:val="009263C1"/>
    <w:rsid w:val="009266A8"/>
    <w:rsid w:val="00926FD0"/>
    <w:rsid w:val="0093021D"/>
    <w:rsid w:val="0093101A"/>
    <w:rsid w:val="009317E3"/>
    <w:rsid w:val="00931B38"/>
    <w:rsid w:val="00931E62"/>
    <w:rsid w:val="00931F7E"/>
    <w:rsid w:val="00932CA7"/>
    <w:rsid w:val="009331D9"/>
    <w:rsid w:val="009338CF"/>
    <w:rsid w:val="00933B48"/>
    <w:rsid w:val="009341B0"/>
    <w:rsid w:val="00934442"/>
    <w:rsid w:val="0093448A"/>
    <w:rsid w:val="00934569"/>
    <w:rsid w:val="00934A40"/>
    <w:rsid w:val="00934BE8"/>
    <w:rsid w:val="00934C02"/>
    <w:rsid w:val="009350A0"/>
    <w:rsid w:val="00935CA4"/>
    <w:rsid w:val="0093622B"/>
    <w:rsid w:val="00936578"/>
    <w:rsid w:val="00936DE3"/>
    <w:rsid w:val="009400AA"/>
    <w:rsid w:val="0094010E"/>
    <w:rsid w:val="009406AA"/>
    <w:rsid w:val="00940B02"/>
    <w:rsid w:val="00941F80"/>
    <w:rsid w:val="0094217D"/>
    <w:rsid w:val="00942A18"/>
    <w:rsid w:val="00942E43"/>
    <w:rsid w:val="009436B9"/>
    <w:rsid w:val="0094381B"/>
    <w:rsid w:val="00943B0B"/>
    <w:rsid w:val="00943BC1"/>
    <w:rsid w:val="00943FE2"/>
    <w:rsid w:val="00944510"/>
    <w:rsid w:val="009449BC"/>
    <w:rsid w:val="00944A06"/>
    <w:rsid w:val="00944B80"/>
    <w:rsid w:val="0094510E"/>
    <w:rsid w:val="009456DC"/>
    <w:rsid w:val="009461D2"/>
    <w:rsid w:val="00946EB5"/>
    <w:rsid w:val="00946F3E"/>
    <w:rsid w:val="00947427"/>
    <w:rsid w:val="00947815"/>
    <w:rsid w:val="009507D4"/>
    <w:rsid w:val="00950EFE"/>
    <w:rsid w:val="00950F00"/>
    <w:rsid w:val="0095259C"/>
    <w:rsid w:val="009537ED"/>
    <w:rsid w:val="009540DA"/>
    <w:rsid w:val="009546C9"/>
    <w:rsid w:val="0095473A"/>
    <w:rsid w:val="009557DD"/>
    <w:rsid w:val="00956EA5"/>
    <w:rsid w:val="009570FD"/>
    <w:rsid w:val="0096042A"/>
    <w:rsid w:val="00960478"/>
    <w:rsid w:val="00960D11"/>
    <w:rsid w:val="00960FD2"/>
    <w:rsid w:val="009610D1"/>
    <w:rsid w:val="00961FD0"/>
    <w:rsid w:val="009620DA"/>
    <w:rsid w:val="009627E7"/>
    <w:rsid w:val="00963D05"/>
    <w:rsid w:val="0096506C"/>
    <w:rsid w:val="0096539F"/>
    <w:rsid w:val="0096613F"/>
    <w:rsid w:val="0096640D"/>
    <w:rsid w:val="009672A2"/>
    <w:rsid w:val="00967388"/>
    <w:rsid w:val="00967E21"/>
    <w:rsid w:val="00970F7D"/>
    <w:rsid w:val="0097156A"/>
    <w:rsid w:val="009717C7"/>
    <w:rsid w:val="00971F04"/>
    <w:rsid w:val="00971FE6"/>
    <w:rsid w:val="009720A6"/>
    <w:rsid w:val="00972601"/>
    <w:rsid w:val="0097291B"/>
    <w:rsid w:val="00972DF7"/>
    <w:rsid w:val="00973269"/>
    <w:rsid w:val="00974916"/>
    <w:rsid w:val="00974A5F"/>
    <w:rsid w:val="00975327"/>
    <w:rsid w:val="00977221"/>
    <w:rsid w:val="00977CA0"/>
    <w:rsid w:val="00977D11"/>
    <w:rsid w:val="00977EAB"/>
    <w:rsid w:val="009800B8"/>
    <w:rsid w:val="00980257"/>
    <w:rsid w:val="00981B01"/>
    <w:rsid w:val="009821D9"/>
    <w:rsid w:val="00983171"/>
    <w:rsid w:val="009844BC"/>
    <w:rsid w:val="009849D9"/>
    <w:rsid w:val="00985FDF"/>
    <w:rsid w:val="009874FD"/>
    <w:rsid w:val="009878F3"/>
    <w:rsid w:val="00987DF3"/>
    <w:rsid w:val="0099029C"/>
    <w:rsid w:val="0099133E"/>
    <w:rsid w:val="0099160C"/>
    <w:rsid w:val="0099175B"/>
    <w:rsid w:val="00992A7D"/>
    <w:rsid w:val="00992B60"/>
    <w:rsid w:val="00992FE1"/>
    <w:rsid w:val="00993318"/>
    <w:rsid w:val="00993E51"/>
    <w:rsid w:val="0099608B"/>
    <w:rsid w:val="009962CD"/>
    <w:rsid w:val="0099634D"/>
    <w:rsid w:val="00996623"/>
    <w:rsid w:val="009974D7"/>
    <w:rsid w:val="00997FB5"/>
    <w:rsid w:val="009A05CD"/>
    <w:rsid w:val="009A095B"/>
    <w:rsid w:val="009A15C8"/>
    <w:rsid w:val="009A171E"/>
    <w:rsid w:val="009A1C8B"/>
    <w:rsid w:val="009A27B9"/>
    <w:rsid w:val="009A28AC"/>
    <w:rsid w:val="009A29CB"/>
    <w:rsid w:val="009A33D5"/>
    <w:rsid w:val="009A3455"/>
    <w:rsid w:val="009A3AB0"/>
    <w:rsid w:val="009A3AC4"/>
    <w:rsid w:val="009A4312"/>
    <w:rsid w:val="009A45C7"/>
    <w:rsid w:val="009A508E"/>
    <w:rsid w:val="009A52F7"/>
    <w:rsid w:val="009A53AF"/>
    <w:rsid w:val="009A5551"/>
    <w:rsid w:val="009A5565"/>
    <w:rsid w:val="009A5748"/>
    <w:rsid w:val="009A5870"/>
    <w:rsid w:val="009A5D6C"/>
    <w:rsid w:val="009A5F26"/>
    <w:rsid w:val="009A60E3"/>
    <w:rsid w:val="009A6494"/>
    <w:rsid w:val="009A64FE"/>
    <w:rsid w:val="009A68F3"/>
    <w:rsid w:val="009A6CA3"/>
    <w:rsid w:val="009A7917"/>
    <w:rsid w:val="009A7D0E"/>
    <w:rsid w:val="009B11C6"/>
    <w:rsid w:val="009B15D6"/>
    <w:rsid w:val="009B19ED"/>
    <w:rsid w:val="009B2C8D"/>
    <w:rsid w:val="009B33F6"/>
    <w:rsid w:val="009B3509"/>
    <w:rsid w:val="009B3F1F"/>
    <w:rsid w:val="009B5266"/>
    <w:rsid w:val="009B5502"/>
    <w:rsid w:val="009B552F"/>
    <w:rsid w:val="009B55F0"/>
    <w:rsid w:val="009B5FA0"/>
    <w:rsid w:val="009B6A4C"/>
    <w:rsid w:val="009C04C9"/>
    <w:rsid w:val="009C064F"/>
    <w:rsid w:val="009C0AE2"/>
    <w:rsid w:val="009C0D39"/>
    <w:rsid w:val="009C1564"/>
    <w:rsid w:val="009C186D"/>
    <w:rsid w:val="009C23A4"/>
    <w:rsid w:val="009C28F3"/>
    <w:rsid w:val="009C2A24"/>
    <w:rsid w:val="009C2D25"/>
    <w:rsid w:val="009C307B"/>
    <w:rsid w:val="009C31EF"/>
    <w:rsid w:val="009C37E5"/>
    <w:rsid w:val="009C3C88"/>
    <w:rsid w:val="009C414B"/>
    <w:rsid w:val="009C5272"/>
    <w:rsid w:val="009C65B2"/>
    <w:rsid w:val="009C69B2"/>
    <w:rsid w:val="009C6E39"/>
    <w:rsid w:val="009C6F53"/>
    <w:rsid w:val="009C7625"/>
    <w:rsid w:val="009C7641"/>
    <w:rsid w:val="009C7BCD"/>
    <w:rsid w:val="009D0423"/>
    <w:rsid w:val="009D1B04"/>
    <w:rsid w:val="009D2375"/>
    <w:rsid w:val="009D2779"/>
    <w:rsid w:val="009D3B78"/>
    <w:rsid w:val="009D3C35"/>
    <w:rsid w:val="009D4805"/>
    <w:rsid w:val="009D6736"/>
    <w:rsid w:val="009D7819"/>
    <w:rsid w:val="009D79FC"/>
    <w:rsid w:val="009D7EAD"/>
    <w:rsid w:val="009E0EE2"/>
    <w:rsid w:val="009E1CCD"/>
    <w:rsid w:val="009E1E43"/>
    <w:rsid w:val="009E2526"/>
    <w:rsid w:val="009E25E0"/>
    <w:rsid w:val="009E274A"/>
    <w:rsid w:val="009E276B"/>
    <w:rsid w:val="009E5491"/>
    <w:rsid w:val="009E5696"/>
    <w:rsid w:val="009E5BCA"/>
    <w:rsid w:val="009E693A"/>
    <w:rsid w:val="009E6DBC"/>
    <w:rsid w:val="009E6F76"/>
    <w:rsid w:val="009E7601"/>
    <w:rsid w:val="009E7CC3"/>
    <w:rsid w:val="009F00DC"/>
    <w:rsid w:val="009F1BDE"/>
    <w:rsid w:val="009F2BA6"/>
    <w:rsid w:val="009F2C7A"/>
    <w:rsid w:val="009F3D8D"/>
    <w:rsid w:val="009F42BA"/>
    <w:rsid w:val="009F42CB"/>
    <w:rsid w:val="009F4ACF"/>
    <w:rsid w:val="009F4BB1"/>
    <w:rsid w:val="009F51A4"/>
    <w:rsid w:val="009F5AA2"/>
    <w:rsid w:val="009F5FFF"/>
    <w:rsid w:val="009F627E"/>
    <w:rsid w:val="00A001B1"/>
    <w:rsid w:val="00A00DE2"/>
    <w:rsid w:val="00A0134B"/>
    <w:rsid w:val="00A0150B"/>
    <w:rsid w:val="00A05F85"/>
    <w:rsid w:val="00A063CB"/>
    <w:rsid w:val="00A0640F"/>
    <w:rsid w:val="00A066D4"/>
    <w:rsid w:val="00A06B66"/>
    <w:rsid w:val="00A06C3A"/>
    <w:rsid w:val="00A06F95"/>
    <w:rsid w:val="00A071DF"/>
    <w:rsid w:val="00A07FB5"/>
    <w:rsid w:val="00A1078C"/>
    <w:rsid w:val="00A129DA"/>
    <w:rsid w:val="00A132EB"/>
    <w:rsid w:val="00A13A00"/>
    <w:rsid w:val="00A13D27"/>
    <w:rsid w:val="00A14A6B"/>
    <w:rsid w:val="00A15490"/>
    <w:rsid w:val="00A15E07"/>
    <w:rsid w:val="00A16390"/>
    <w:rsid w:val="00A172E7"/>
    <w:rsid w:val="00A17388"/>
    <w:rsid w:val="00A17505"/>
    <w:rsid w:val="00A17775"/>
    <w:rsid w:val="00A17DCA"/>
    <w:rsid w:val="00A17F2B"/>
    <w:rsid w:val="00A202C0"/>
    <w:rsid w:val="00A20644"/>
    <w:rsid w:val="00A20646"/>
    <w:rsid w:val="00A2075D"/>
    <w:rsid w:val="00A20DB5"/>
    <w:rsid w:val="00A20F53"/>
    <w:rsid w:val="00A210CE"/>
    <w:rsid w:val="00A21A75"/>
    <w:rsid w:val="00A22DAA"/>
    <w:rsid w:val="00A23301"/>
    <w:rsid w:val="00A235B0"/>
    <w:rsid w:val="00A23CA5"/>
    <w:rsid w:val="00A23E1A"/>
    <w:rsid w:val="00A24A6E"/>
    <w:rsid w:val="00A25559"/>
    <w:rsid w:val="00A25923"/>
    <w:rsid w:val="00A27E6D"/>
    <w:rsid w:val="00A30130"/>
    <w:rsid w:val="00A30BA1"/>
    <w:rsid w:val="00A31232"/>
    <w:rsid w:val="00A313DE"/>
    <w:rsid w:val="00A313E1"/>
    <w:rsid w:val="00A31845"/>
    <w:rsid w:val="00A3344C"/>
    <w:rsid w:val="00A338B0"/>
    <w:rsid w:val="00A33E9D"/>
    <w:rsid w:val="00A341B5"/>
    <w:rsid w:val="00A34AA7"/>
    <w:rsid w:val="00A34CD3"/>
    <w:rsid w:val="00A35065"/>
    <w:rsid w:val="00A35CEF"/>
    <w:rsid w:val="00A36A74"/>
    <w:rsid w:val="00A3742F"/>
    <w:rsid w:val="00A40351"/>
    <w:rsid w:val="00A405DD"/>
    <w:rsid w:val="00A408F3"/>
    <w:rsid w:val="00A40ABE"/>
    <w:rsid w:val="00A412DB"/>
    <w:rsid w:val="00A41773"/>
    <w:rsid w:val="00A431E1"/>
    <w:rsid w:val="00A4384B"/>
    <w:rsid w:val="00A456EA"/>
    <w:rsid w:val="00A46FB0"/>
    <w:rsid w:val="00A47BBE"/>
    <w:rsid w:val="00A47E17"/>
    <w:rsid w:val="00A50015"/>
    <w:rsid w:val="00A50105"/>
    <w:rsid w:val="00A50A33"/>
    <w:rsid w:val="00A5213E"/>
    <w:rsid w:val="00A52526"/>
    <w:rsid w:val="00A52A7F"/>
    <w:rsid w:val="00A53115"/>
    <w:rsid w:val="00A538CF"/>
    <w:rsid w:val="00A547DA"/>
    <w:rsid w:val="00A54AD5"/>
    <w:rsid w:val="00A54F79"/>
    <w:rsid w:val="00A55233"/>
    <w:rsid w:val="00A55543"/>
    <w:rsid w:val="00A5629E"/>
    <w:rsid w:val="00A565D0"/>
    <w:rsid w:val="00A5721B"/>
    <w:rsid w:val="00A603AE"/>
    <w:rsid w:val="00A607E6"/>
    <w:rsid w:val="00A60940"/>
    <w:rsid w:val="00A60AD3"/>
    <w:rsid w:val="00A60CB5"/>
    <w:rsid w:val="00A60D8D"/>
    <w:rsid w:val="00A61776"/>
    <w:rsid w:val="00A61815"/>
    <w:rsid w:val="00A61FDD"/>
    <w:rsid w:val="00A62444"/>
    <w:rsid w:val="00A6306A"/>
    <w:rsid w:val="00A63079"/>
    <w:rsid w:val="00A631A0"/>
    <w:rsid w:val="00A6369E"/>
    <w:rsid w:val="00A63932"/>
    <w:rsid w:val="00A64608"/>
    <w:rsid w:val="00A6560C"/>
    <w:rsid w:val="00A65C1F"/>
    <w:rsid w:val="00A66064"/>
    <w:rsid w:val="00A660F7"/>
    <w:rsid w:val="00A6697B"/>
    <w:rsid w:val="00A66CED"/>
    <w:rsid w:val="00A67417"/>
    <w:rsid w:val="00A6764F"/>
    <w:rsid w:val="00A676F2"/>
    <w:rsid w:val="00A6778E"/>
    <w:rsid w:val="00A67BF3"/>
    <w:rsid w:val="00A700BE"/>
    <w:rsid w:val="00A708DA"/>
    <w:rsid w:val="00A70BE8"/>
    <w:rsid w:val="00A70E84"/>
    <w:rsid w:val="00A7172D"/>
    <w:rsid w:val="00A71760"/>
    <w:rsid w:val="00A72832"/>
    <w:rsid w:val="00A72E42"/>
    <w:rsid w:val="00A7365B"/>
    <w:rsid w:val="00A736DB"/>
    <w:rsid w:val="00A73D6C"/>
    <w:rsid w:val="00A74D2F"/>
    <w:rsid w:val="00A7588B"/>
    <w:rsid w:val="00A7592C"/>
    <w:rsid w:val="00A76224"/>
    <w:rsid w:val="00A76D04"/>
    <w:rsid w:val="00A774E5"/>
    <w:rsid w:val="00A77734"/>
    <w:rsid w:val="00A77B34"/>
    <w:rsid w:val="00A804A7"/>
    <w:rsid w:val="00A804B6"/>
    <w:rsid w:val="00A80FA3"/>
    <w:rsid w:val="00A81350"/>
    <w:rsid w:val="00A82CA9"/>
    <w:rsid w:val="00A84466"/>
    <w:rsid w:val="00A84959"/>
    <w:rsid w:val="00A85503"/>
    <w:rsid w:val="00A85918"/>
    <w:rsid w:val="00A85E9B"/>
    <w:rsid w:val="00A86293"/>
    <w:rsid w:val="00A86359"/>
    <w:rsid w:val="00A863D0"/>
    <w:rsid w:val="00A86A8E"/>
    <w:rsid w:val="00A86E42"/>
    <w:rsid w:val="00A871A8"/>
    <w:rsid w:val="00A87AA8"/>
    <w:rsid w:val="00A87CE5"/>
    <w:rsid w:val="00A90AE7"/>
    <w:rsid w:val="00A9136E"/>
    <w:rsid w:val="00A91DBF"/>
    <w:rsid w:val="00A91F63"/>
    <w:rsid w:val="00A932D2"/>
    <w:rsid w:val="00A93967"/>
    <w:rsid w:val="00A93DCA"/>
    <w:rsid w:val="00A94934"/>
    <w:rsid w:val="00A95E2D"/>
    <w:rsid w:val="00A96041"/>
    <w:rsid w:val="00A96792"/>
    <w:rsid w:val="00A96FEB"/>
    <w:rsid w:val="00A976CE"/>
    <w:rsid w:val="00AA0C02"/>
    <w:rsid w:val="00AA0D81"/>
    <w:rsid w:val="00AA17FC"/>
    <w:rsid w:val="00AA1A4E"/>
    <w:rsid w:val="00AA2DC8"/>
    <w:rsid w:val="00AA414A"/>
    <w:rsid w:val="00AA46F9"/>
    <w:rsid w:val="00AA487A"/>
    <w:rsid w:val="00AA488B"/>
    <w:rsid w:val="00AA4EEC"/>
    <w:rsid w:val="00AA51B7"/>
    <w:rsid w:val="00AA58FB"/>
    <w:rsid w:val="00AA5DB6"/>
    <w:rsid w:val="00AA6822"/>
    <w:rsid w:val="00AA7330"/>
    <w:rsid w:val="00AA7779"/>
    <w:rsid w:val="00AA7796"/>
    <w:rsid w:val="00AA78CE"/>
    <w:rsid w:val="00AA791D"/>
    <w:rsid w:val="00AA7A45"/>
    <w:rsid w:val="00AB107B"/>
    <w:rsid w:val="00AB297B"/>
    <w:rsid w:val="00AB2ACF"/>
    <w:rsid w:val="00AB33EB"/>
    <w:rsid w:val="00AB3483"/>
    <w:rsid w:val="00AB37E5"/>
    <w:rsid w:val="00AB3B78"/>
    <w:rsid w:val="00AB444F"/>
    <w:rsid w:val="00AB5625"/>
    <w:rsid w:val="00AB5EE4"/>
    <w:rsid w:val="00AB679A"/>
    <w:rsid w:val="00AB747D"/>
    <w:rsid w:val="00AB7C54"/>
    <w:rsid w:val="00AC0C79"/>
    <w:rsid w:val="00AC1C17"/>
    <w:rsid w:val="00AC2C75"/>
    <w:rsid w:val="00AC36D4"/>
    <w:rsid w:val="00AC3AEA"/>
    <w:rsid w:val="00AC3EC4"/>
    <w:rsid w:val="00AC487A"/>
    <w:rsid w:val="00AC4D5F"/>
    <w:rsid w:val="00AC4DCA"/>
    <w:rsid w:val="00AC5079"/>
    <w:rsid w:val="00AC51BC"/>
    <w:rsid w:val="00AC564B"/>
    <w:rsid w:val="00AC60E9"/>
    <w:rsid w:val="00AC64CC"/>
    <w:rsid w:val="00AC682B"/>
    <w:rsid w:val="00AC7296"/>
    <w:rsid w:val="00AC767F"/>
    <w:rsid w:val="00AD000A"/>
    <w:rsid w:val="00AD0BC4"/>
    <w:rsid w:val="00AD0F12"/>
    <w:rsid w:val="00AD0FD1"/>
    <w:rsid w:val="00AD13B9"/>
    <w:rsid w:val="00AD1577"/>
    <w:rsid w:val="00AD23A3"/>
    <w:rsid w:val="00AD26DD"/>
    <w:rsid w:val="00AD3984"/>
    <w:rsid w:val="00AD4160"/>
    <w:rsid w:val="00AD431E"/>
    <w:rsid w:val="00AD4A0B"/>
    <w:rsid w:val="00AD5D10"/>
    <w:rsid w:val="00AD6799"/>
    <w:rsid w:val="00AD6A2D"/>
    <w:rsid w:val="00AD7EAB"/>
    <w:rsid w:val="00AE0097"/>
    <w:rsid w:val="00AE03F7"/>
    <w:rsid w:val="00AE0FC8"/>
    <w:rsid w:val="00AE2487"/>
    <w:rsid w:val="00AE24BF"/>
    <w:rsid w:val="00AE26C8"/>
    <w:rsid w:val="00AE2C1E"/>
    <w:rsid w:val="00AE3342"/>
    <w:rsid w:val="00AE3B60"/>
    <w:rsid w:val="00AE4308"/>
    <w:rsid w:val="00AE4460"/>
    <w:rsid w:val="00AE4A21"/>
    <w:rsid w:val="00AE4C83"/>
    <w:rsid w:val="00AE54DE"/>
    <w:rsid w:val="00AE55FB"/>
    <w:rsid w:val="00AE706F"/>
    <w:rsid w:val="00AE7188"/>
    <w:rsid w:val="00AE7C51"/>
    <w:rsid w:val="00AE7D22"/>
    <w:rsid w:val="00AE7D55"/>
    <w:rsid w:val="00AE7D96"/>
    <w:rsid w:val="00AF04FC"/>
    <w:rsid w:val="00AF0AD7"/>
    <w:rsid w:val="00AF17C1"/>
    <w:rsid w:val="00AF1F15"/>
    <w:rsid w:val="00AF21B7"/>
    <w:rsid w:val="00AF2264"/>
    <w:rsid w:val="00AF2732"/>
    <w:rsid w:val="00AF3434"/>
    <w:rsid w:val="00AF3CEF"/>
    <w:rsid w:val="00AF3DDA"/>
    <w:rsid w:val="00AF4068"/>
    <w:rsid w:val="00AF414E"/>
    <w:rsid w:val="00AF4651"/>
    <w:rsid w:val="00AF5244"/>
    <w:rsid w:val="00AF529B"/>
    <w:rsid w:val="00AF5F9C"/>
    <w:rsid w:val="00AF62BE"/>
    <w:rsid w:val="00AF6421"/>
    <w:rsid w:val="00AF6CF8"/>
    <w:rsid w:val="00AF70F5"/>
    <w:rsid w:val="00AF7ECC"/>
    <w:rsid w:val="00B00629"/>
    <w:rsid w:val="00B00E8C"/>
    <w:rsid w:val="00B01031"/>
    <w:rsid w:val="00B01885"/>
    <w:rsid w:val="00B01FB0"/>
    <w:rsid w:val="00B022E3"/>
    <w:rsid w:val="00B0312B"/>
    <w:rsid w:val="00B03767"/>
    <w:rsid w:val="00B03A1D"/>
    <w:rsid w:val="00B042F8"/>
    <w:rsid w:val="00B051BC"/>
    <w:rsid w:val="00B0534A"/>
    <w:rsid w:val="00B05CBE"/>
    <w:rsid w:val="00B06E1F"/>
    <w:rsid w:val="00B0707D"/>
    <w:rsid w:val="00B07DCB"/>
    <w:rsid w:val="00B1138E"/>
    <w:rsid w:val="00B11661"/>
    <w:rsid w:val="00B1187A"/>
    <w:rsid w:val="00B11CCD"/>
    <w:rsid w:val="00B128AB"/>
    <w:rsid w:val="00B13BC8"/>
    <w:rsid w:val="00B144FE"/>
    <w:rsid w:val="00B147E3"/>
    <w:rsid w:val="00B14A2B"/>
    <w:rsid w:val="00B153D1"/>
    <w:rsid w:val="00B15548"/>
    <w:rsid w:val="00B158F0"/>
    <w:rsid w:val="00B16315"/>
    <w:rsid w:val="00B1753E"/>
    <w:rsid w:val="00B205E3"/>
    <w:rsid w:val="00B20911"/>
    <w:rsid w:val="00B209AE"/>
    <w:rsid w:val="00B20C75"/>
    <w:rsid w:val="00B20D24"/>
    <w:rsid w:val="00B21502"/>
    <w:rsid w:val="00B21869"/>
    <w:rsid w:val="00B224CF"/>
    <w:rsid w:val="00B22590"/>
    <w:rsid w:val="00B22919"/>
    <w:rsid w:val="00B22EF6"/>
    <w:rsid w:val="00B2381C"/>
    <w:rsid w:val="00B2395D"/>
    <w:rsid w:val="00B23C3B"/>
    <w:rsid w:val="00B2475E"/>
    <w:rsid w:val="00B248AE"/>
    <w:rsid w:val="00B248BE"/>
    <w:rsid w:val="00B251A8"/>
    <w:rsid w:val="00B25586"/>
    <w:rsid w:val="00B25770"/>
    <w:rsid w:val="00B25B4A"/>
    <w:rsid w:val="00B26F7C"/>
    <w:rsid w:val="00B26FDD"/>
    <w:rsid w:val="00B271A8"/>
    <w:rsid w:val="00B2768C"/>
    <w:rsid w:val="00B3002A"/>
    <w:rsid w:val="00B306FC"/>
    <w:rsid w:val="00B3127E"/>
    <w:rsid w:val="00B31BE9"/>
    <w:rsid w:val="00B31F65"/>
    <w:rsid w:val="00B3281A"/>
    <w:rsid w:val="00B3392E"/>
    <w:rsid w:val="00B34815"/>
    <w:rsid w:val="00B34C91"/>
    <w:rsid w:val="00B35446"/>
    <w:rsid w:val="00B36DC5"/>
    <w:rsid w:val="00B37948"/>
    <w:rsid w:val="00B37AE5"/>
    <w:rsid w:val="00B37C6F"/>
    <w:rsid w:val="00B402E6"/>
    <w:rsid w:val="00B4061E"/>
    <w:rsid w:val="00B409BA"/>
    <w:rsid w:val="00B41922"/>
    <w:rsid w:val="00B421BA"/>
    <w:rsid w:val="00B425C6"/>
    <w:rsid w:val="00B42E4F"/>
    <w:rsid w:val="00B42FC1"/>
    <w:rsid w:val="00B430EF"/>
    <w:rsid w:val="00B44D6E"/>
    <w:rsid w:val="00B45112"/>
    <w:rsid w:val="00B4523A"/>
    <w:rsid w:val="00B46E8C"/>
    <w:rsid w:val="00B47039"/>
    <w:rsid w:val="00B47343"/>
    <w:rsid w:val="00B47862"/>
    <w:rsid w:val="00B50092"/>
    <w:rsid w:val="00B50595"/>
    <w:rsid w:val="00B50A09"/>
    <w:rsid w:val="00B50E91"/>
    <w:rsid w:val="00B51CFB"/>
    <w:rsid w:val="00B52AE3"/>
    <w:rsid w:val="00B53528"/>
    <w:rsid w:val="00B53585"/>
    <w:rsid w:val="00B53E53"/>
    <w:rsid w:val="00B54013"/>
    <w:rsid w:val="00B54D82"/>
    <w:rsid w:val="00B54DAE"/>
    <w:rsid w:val="00B54EBD"/>
    <w:rsid w:val="00B55CE4"/>
    <w:rsid w:val="00B55E15"/>
    <w:rsid w:val="00B55F16"/>
    <w:rsid w:val="00B567EE"/>
    <w:rsid w:val="00B56BDA"/>
    <w:rsid w:val="00B56C88"/>
    <w:rsid w:val="00B56DCF"/>
    <w:rsid w:val="00B57B80"/>
    <w:rsid w:val="00B60075"/>
    <w:rsid w:val="00B60743"/>
    <w:rsid w:val="00B60FED"/>
    <w:rsid w:val="00B61C46"/>
    <w:rsid w:val="00B62592"/>
    <w:rsid w:val="00B62EC4"/>
    <w:rsid w:val="00B633CC"/>
    <w:rsid w:val="00B63957"/>
    <w:rsid w:val="00B63E39"/>
    <w:rsid w:val="00B6418D"/>
    <w:rsid w:val="00B6447B"/>
    <w:rsid w:val="00B64551"/>
    <w:rsid w:val="00B64D6A"/>
    <w:rsid w:val="00B651E1"/>
    <w:rsid w:val="00B6560C"/>
    <w:rsid w:val="00B661DF"/>
    <w:rsid w:val="00B66255"/>
    <w:rsid w:val="00B66269"/>
    <w:rsid w:val="00B67363"/>
    <w:rsid w:val="00B6737C"/>
    <w:rsid w:val="00B67999"/>
    <w:rsid w:val="00B705FB"/>
    <w:rsid w:val="00B71272"/>
    <w:rsid w:val="00B71583"/>
    <w:rsid w:val="00B71CF7"/>
    <w:rsid w:val="00B72639"/>
    <w:rsid w:val="00B738D2"/>
    <w:rsid w:val="00B73C78"/>
    <w:rsid w:val="00B73D96"/>
    <w:rsid w:val="00B7425F"/>
    <w:rsid w:val="00B7435B"/>
    <w:rsid w:val="00B74C62"/>
    <w:rsid w:val="00B755C0"/>
    <w:rsid w:val="00B757C7"/>
    <w:rsid w:val="00B764DF"/>
    <w:rsid w:val="00B76642"/>
    <w:rsid w:val="00B769EA"/>
    <w:rsid w:val="00B80150"/>
    <w:rsid w:val="00B804DB"/>
    <w:rsid w:val="00B80544"/>
    <w:rsid w:val="00B80CA1"/>
    <w:rsid w:val="00B81251"/>
    <w:rsid w:val="00B813E6"/>
    <w:rsid w:val="00B814BA"/>
    <w:rsid w:val="00B8156C"/>
    <w:rsid w:val="00B822D8"/>
    <w:rsid w:val="00B825BF"/>
    <w:rsid w:val="00B82F0C"/>
    <w:rsid w:val="00B83A4A"/>
    <w:rsid w:val="00B84252"/>
    <w:rsid w:val="00B84615"/>
    <w:rsid w:val="00B8472E"/>
    <w:rsid w:val="00B8472F"/>
    <w:rsid w:val="00B86525"/>
    <w:rsid w:val="00B86C41"/>
    <w:rsid w:val="00B87782"/>
    <w:rsid w:val="00B87801"/>
    <w:rsid w:val="00B87D8E"/>
    <w:rsid w:val="00B90295"/>
    <w:rsid w:val="00B9114E"/>
    <w:rsid w:val="00B9218A"/>
    <w:rsid w:val="00B923CE"/>
    <w:rsid w:val="00B92B9C"/>
    <w:rsid w:val="00B9333C"/>
    <w:rsid w:val="00B9366D"/>
    <w:rsid w:val="00B936A7"/>
    <w:rsid w:val="00B94318"/>
    <w:rsid w:val="00B95362"/>
    <w:rsid w:val="00B961D7"/>
    <w:rsid w:val="00B964F8"/>
    <w:rsid w:val="00B97155"/>
    <w:rsid w:val="00B9719A"/>
    <w:rsid w:val="00B97406"/>
    <w:rsid w:val="00B97E10"/>
    <w:rsid w:val="00BA050C"/>
    <w:rsid w:val="00BA0711"/>
    <w:rsid w:val="00BA095A"/>
    <w:rsid w:val="00BA0E72"/>
    <w:rsid w:val="00BA23F1"/>
    <w:rsid w:val="00BA29E4"/>
    <w:rsid w:val="00BA2A0F"/>
    <w:rsid w:val="00BA2C9F"/>
    <w:rsid w:val="00BA4066"/>
    <w:rsid w:val="00BA4FA0"/>
    <w:rsid w:val="00BA4FC7"/>
    <w:rsid w:val="00BA527B"/>
    <w:rsid w:val="00BA5420"/>
    <w:rsid w:val="00BA5D92"/>
    <w:rsid w:val="00BA5FE2"/>
    <w:rsid w:val="00BA6139"/>
    <w:rsid w:val="00BA6B6D"/>
    <w:rsid w:val="00BA6CC8"/>
    <w:rsid w:val="00BA6D49"/>
    <w:rsid w:val="00BB0744"/>
    <w:rsid w:val="00BB1267"/>
    <w:rsid w:val="00BB14D2"/>
    <w:rsid w:val="00BB1AAC"/>
    <w:rsid w:val="00BB1F4F"/>
    <w:rsid w:val="00BB3411"/>
    <w:rsid w:val="00BB3EF0"/>
    <w:rsid w:val="00BB3F39"/>
    <w:rsid w:val="00BB4282"/>
    <w:rsid w:val="00BB43F6"/>
    <w:rsid w:val="00BB4600"/>
    <w:rsid w:val="00BB48FF"/>
    <w:rsid w:val="00BB4AC2"/>
    <w:rsid w:val="00BB6A8D"/>
    <w:rsid w:val="00BB6B8D"/>
    <w:rsid w:val="00BB7187"/>
    <w:rsid w:val="00BB75B4"/>
    <w:rsid w:val="00BB7656"/>
    <w:rsid w:val="00BB7B43"/>
    <w:rsid w:val="00BB7C96"/>
    <w:rsid w:val="00BB7E06"/>
    <w:rsid w:val="00BC0A34"/>
    <w:rsid w:val="00BC0E5B"/>
    <w:rsid w:val="00BC11A7"/>
    <w:rsid w:val="00BC11E1"/>
    <w:rsid w:val="00BC1C86"/>
    <w:rsid w:val="00BC2132"/>
    <w:rsid w:val="00BC2576"/>
    <w:rsid w:val="00BC278D"/>
    <w:rsid w:val="00BC2A09"/>
    <w:rsid w:val="00BC345F"/>
    <w:rsid w:val="00BC3658"/>
    <w:rsid w:val="00BC3770"/>
    <w:rsid w:val="00BC3B92"/>
    <w:rsid w:val="00BC3EC6"/>
    <w:rsid w:val="00BC3FA5"/>
    <w:rsid w:val="00BC3FAC"/>
    <w:rsid w:val="00BC4007"/>
    <w:rsid w:val="00BC4169"/>
    <w:rsid w:val="00BC427F"/>
    <w:rsid w:val="00BC429A"/>
    <w:rsid w:val="00BC42A3"/>
    <w:rsid w:val="00BC47BE"/>
    <w:rsid w:val="00BC50F1"/>
    <w:rsid w:val="00BC52F1"/>
    <w:rsid w:val="00BC7B51"/>
    <w:rsid w:val="00BD0277"/>
    <w:rsid w:val="00BD0902"/>
    <w:rsid w:val="00BD1A77"/>
    <w:rsid w:val="00BD25F0"/>
    <w:rsid w:val="00BD2677"/>
    <w:rsid w:val="00BD2855"/>
    <w:rsid w:val="00BD3043"/>
    <w:rsid w:val="00BD306C"/>
    <w:rsid w:val="00BD3730"/>
    <w:rsid w:val="00BD3C20"/>
    <w:rsid w:val="00BD3CDD"/>
    <w:rsid w:val="00BD4551"/>
    <w:rsid w:val="00BD474E"/>
    <w:rsid w:val="00BD4963"/>
    <w:rsid w:val="00BD71A5"/>
    <w:rsid w:val="00BD7563"/>
    <w:rsid w:val="00BE0992"/>
    <w:rsid w:val="00BE0DF9"/>
    <w:rsid w:val="00BE0E70"/>
    <w:rsid w:val="00BE1877"/>
    <w:rsid w:val="00BE43E6"/>
    <w:rsid w:val="00BE49ED"/>
    <w:rsid w:val="00BE4D11"/>
    <w:rsid w:val="00BE519B"/>
    <w:rsid w:val="00BE5C1E"/>
    <w:rsid w:val="00BE6A17"/>
    <w:rsid w:val="00BE6C81"/>
    <w:rsid w:val="00BE70F6"/>
    <w:rsid w:val="00BE72BD"/>
    <w:rsid w:val="00BE7AC3"/>
    <w:rsid w:val="00BE7BE2"/>
    <w:rsid w:val="00BF0B10"/>
    <w:rsid w:val="00BF0DD6"/>
    <w:rsid w:val="00BF1302"/>
    <w:rsid w:val="00BF1CE5"/>
    <w:rsid w:val="00BF1D1B"/>
    <w:rsid w:val="00BF2C0C"/>
    <w:rsid w:val="00BF3966"/>
    <w:rsid w:val="00BF3A28"/>
    <w:rsid w:val="00BF3EBC"/>
    <w:rsid w:val="00BF4355"/>
    <w:rsid w:val="00BF4651"/>
    <w:rsid w:val="00BF4B02"/>
    <w:rsid w:val="00BF5592"/>
    <w:rsid w:val="00BF665F"/>
    <w:rsid w:val="00BF66A8"/>
    <w:rsid w:val="00BF6801"/>
    <w:rsid w:val="00BF7854"/>
    <w:rsid w:val="00C00DB7"/>
    <w:rsid w:val="00C0135B"/>
    <w:rsid w:val="00C01744"/>
    <w:rsid w:val="00C0179D"/>
    <w:rsid w:val="00C01DC4"/>
    <w:rsid w:val="00C02745"/>
    <w:rsid w:val="00C02BC9"/>
    <w:rsid w:val="00C03D0E"/>
    <w:rsid w:val="00C04C69"/>
    <w:rsid w:val="00C04F2B"/>
    <w:rsid w:val="00C05E09"/>
    <w:rsid w:val="00C05ED4"/>
    <w:rsid w:val="00C0650B"/>
    <w:rsid w:val="00C06636"/>
    <w:rsid w:val="00C06929"/>
    <w:rsid w:val="00C06D98"/>
    <w:rsid w:val="00C0747A"/>
    <w:rsid w:val="00C0783B"/>
    <w:rsid w:val="00C07AC5"/>
    <w:rsid w:val="00C07D94"/>
    <w:rsid w:val="00C1057E"/>
    <w:rsid w:val="00C10B80"/>
    <w:rsid w:val="00C10C46"/>
    <w:rsid w:val="00C10CA1"/>
    <w:rsid w:val="00C10F18"/>
    <w:rsid w:val="00C113BC"/>
    <w:rsid w:val="00C116FE"/>
    <w:rsid w:val="00C12217"/>
    <w:rsid w:val="00C122FC"/>
    <w:rsid w:val="00C12C96"/>
    <w:rsid w:val="00C12EE7"/>
    <w:rsid w:val="00C139AC"/>
    <w:rsid w:val="00C13B7F"/>
    <w:rsid w:val="00C13C38"/>
    <w:rsid w:val="00C148B6"/>
    <w:rsid w:val="00C154A3"/>
    <w:rsid w:val="00C16269"/>
    <w:rsid w:val="00C1699D"/>
    <w:rsid w:val="00C1710E"/>
    <w:rsid w:val="00C205FE"/>
    <w:rsid w:val="00C207C9"/>
    <w:rsid w:val="00C20D67"/>
    <w:rsid w:val="00C21816"/>
    <w:rsid w:val="00C223B3"/>
    <w:rsid w:val="00C22403"/>
    <w:rsid w:val="00C226A7"/>
    <w:rsid w:val="00C2276D"/>
    <w:rsid w:val="00C23725"/>
    <w:rsid w:val="00C23E53"/>
    <w:rsid w:val="00C244EF"/>
    <w:rsid w:val="00C24CF8"/>
    <w:rsid w:val="00C2520E"/>
    <w:rsid w:val="00C254C9"/>
    <w:rsid w:val="00C25CEA"/>
    <w:rsid w:val="00C260E4"/>
    <w:rsid w:val="00C2636A"/>
    <w:rsid w:val="00C27219"/>
    <w:rsid w:val="00C275F5"/>
    <w:rsid w:val="00C27998"/>
    <w:rsid w:val="00C30551"/>
    <w:rsid w:val="00C31BE3"/>
    <w:rsid w:val="00C31C60"/>
    <w:rsid w:val="00C31D2F"/>
    <w:rsid w:val="00C31FEB"/>
    <w:rsid w:val="00C32301"/>
    <w:rsid w:val="00C32EDD"/>
    <w:rsid w:val="00C331A4"/>
    <w:rsid w:val="00C33677"/>
    <w:rsid w:val="00C34505"/>
    <w:rsid w:val="00C34528"/>
    <w:rsid w:val="00C34E55"/>
    <w:rsid w:val="00C35448"/>
    <w:rsid w:val="00C35805"/>
    <w:rsid w:val="00C3583F"/>
    <w:rsid w:val="00C35D5D"/>
    <w:rsid w:val="00C35EC9"/>
    <w:rsid w:val="00C364A5"/>
    <w:rsid w:val="00C36A80"/>
    <w:rsid w:val="00C36FB7"/>
    <w:rsid w:val="00C371B2"/>
    <w:rsid w:val="00C37407"/>
    <w:rsid w:val="00C37D3C"/>
    <w:rsid w:val="00C41125"/>
    <w:rsid w:val="00C41896"/>
    <w:rsid w:val="00C42181"/>
    <w:rsid w:val="00C42781"/>
    <w:rsid w:val="00C43370"/>
    <w:rsid w:val="00C437AA"/>
    <w:rsid w:val="00C43AE2"/>
    <w:rsid w:val="00C43B2A"/>
    <w:rsid w:val="00C4416D"/>
    <w:rsid w:val="00C44ED3"/>
    <w:rsid w:val="00C450F0"/>
    <w:rsid w:val="00C455BC"/>
    <w:rsid w:val="00C45707"/>
    <w:rsid w:val="00C457D0"/>
    <w:rsid w:val="00C4684A"/>
    <w:rsid w:val="00C46A01"/>
    <w:rsid w:val="00C46E3D"/>
    <w:rsid w:val="00C46ECF"/>
    <w:rsid w:val="00C4735B"/>
    <w:rsid w:val="00C477B3"/>
    <w:rsid w:val="00C47F1B"/>
    <w:rsid w:val="00C502E5"/>
    <w:rsid w:val="00C50329"/>
    <w:rsid w:val="00C50AD0"/>
    <w:rsid w:val="00C52351"/>
    <w:rsid w:val="00C52B3B"/>
    <w:rsid w:val="00C53C02"/>
    <w:rsid w:val="00C53E33"/>
    <w:rsid w:val="00C5473D"/>
    <w:rsid w:val="00C54784"/>
    <w:rsid w:val="00C5506D"/>
    <w:rsid w:val="00C55372"/>
    <w:rsid w:val="00C554EB"/>
    <w:rsid w:val="00C556DE"/>
    <w:rsid w:val="00C5647A"/>
    <w:rsid w:val="00C60562"/>
    <w:rsid w:val="00C62264"/>
    <w:rsid w:val="00C62398"/>
    <w:rsid w:val="00C627B9"/>
    <w:rsid w:val="00C64569"/>
    <w:rsid w:val="00C6470C"/>
    <w:rsid w:val="00C65006"/>
    <w:rsid w:val="00C657BD"/>
    <w:rsid w:val="00C65DBA"/>
    <w:rsid w:val="00C661A1"/>
    <w:rsid w:val="00C67803"/>
    <w:rsid w:val="00C67B58"/>
    <w:rsid w:val="00C67B8F"/>
    <w:rsid w:val="00C706D5"/>
    <w:rsid w:val="00C71032"/>
    <w:rsid w:val="00C711BA"/>
    <w:rsid w:val="00C71E9E"/>
    <w:rsid w:val="00C724B1"/>
    <w:rsid w:val="00C72DBD"/>
    <w:rsid w:val="00C7310B"/>
    <w:rsid w:val="00C73704"/>
    <w:rsid w:val="00C74865"/>
    <w:rsid w:val="00C75350"/>
    <w:rsid w:val="00C753C4"/>
    <w:rsid w:val="00C75407"/>
    <w:rsid w:val="00C76751"/>
    <w:rsid w:val="00C7727F"/>
    <w:rsid w:val="00C77EFC"/>
    <w:rsid w:val="00C77FC0"/>
    <w:rsid w:val="00C81419"/>
    <w:rsid w:val="00C81471"/>
    <w:rsid w:val="00C815DC"/>
    <w:rsid w:val="00C81A2F"/>
    <w:rsid w:val="00C81CC2"/>
    <w:rsid w:val="00C822B6"/>
    <w:rsid w:val="00C82FDC"/>
    <w:rsid w:val="00C8335F"/>
    <w:rsid w:val="00C85554"/>
    <w:rsid w:val="00C85CD1"/>
    <w:rsid w:val="00C866BD"/>
    <w:rsid w:val="00C86C97"/>
    <w:rsid w:val="00C86E12"/>
    <w:rsid w:val="00C9147F"/>
    <w:rsid w:val="00C9160D"/>
    <w:rsid w:val="00C91D7A"/>
    <w:rsid w:val="00C92091"/>
    <w:rsid w:val="00C920FA"/>
    <w:rsid w:val="00C9263E"/>
    <w:rsid w:val="00C92DB3"/>
    <w:rsid w:val="00C92EE4"/>
    <w:rsid w:val="00C937F3"/>
    <w:rsid w:val="00C93DAE"/>
    <w:rsid w:val="00C943D8"/>
    <w:rsid w:val="00C9442A"/>
    <w:rsid w:val="00C945B1"/>
    <w:rsid w:val="00C950BB"/>
    <w:rsid w:val="00C95A41"/>
    <w:rsid w:val="00C97ABC"/>
    <w:rsid w:val="00C97FE2"/>
    <w:rsid w:val="00C97FEC"/>
    <w:rsid w:val="00CA0071"/>
    <w:rsid w:val="00CA009B"/>
    <w:rsid w:val="00CA0F17"/>
    <w:rsid w:val="00CA1930"/>
    <w:rsid w:val="00CA253B"/>
    <w:rsid w:val="00CA3778"/>
    <w:rsid w:val="00CA38CB"/>
    <w:rsid w:val="00CA3B4F"/>
    <w:rsid w:val="00CA3CA5"/>
    <w:rsid w:val="00CA60A6"/>
    <w:rsid w:val="00CA7542"/>
    <w:rsid w:val="00CA7949"/>
    <w:rsid w:val="00CA79A4"/>
    <w:rsid w:val="00CA7BF0"/>
    <w:rsid w:val="00CA7EC6"/>
    <w:rsid w:val="00CB009D"/>
    <w:rsid w:val="00CB0208"/>
    <w:rsid w:val="00CB10A6"/>
    <w:rsid w:val="00CB1263"/>
    <w:rsid w:val="00CB165E"/>
    <w:rsid w:val="00CB294D"/>
    <w:rsid w:val="00CB2B8E"/>
    <w:rsid w:val="00CB3320"/>
    <w:rsid w:val="00CB3526"/>
    <w:rsid w:val="00CB38C1"/>
    <w:rsid w:val="00CB3D3A"/>
    <w:rsid w:val="00CB4890"/>
    <w:rsid w:val="00CB6B44"/>
    <w:rsid w:val="00CB6E92"/>
    <w:rsid w:val="00CB7A7C"/>
    <w:rsid w:val="00CC119F"/>
    <w:rsid w:val="00CC18CA"/>
    <w:rsid w:val="00CC2172"/>
    <w:rsid w:val="00CC23AF"/>
    <w:rsid w:val="00CC2521"/>
    <w:rsid w:val="00CC27DA"/>
    <w:rsid w:val="00CC2B30"/>
    <w:rsid w:val="00CC375E"/>
    <w:rsid w:val="00CC3B91"/>
    <w:rsid w:val="00CC42E1"/>
    <w:rsid w:val="00CC44F5"/>
    <w:rsid w:val="00CC5EA5"/>
    <w:rsid w:val="00CC6E4A"/>
    <w:rsid w:val="00CC6E96"/>
    <w:rsid w:val="00CC78C7"/>
    <w:rsid w:val="00CC7AFE"/>
    <w:rsid w:val="00CC7D4F"/>
    <w:rsid w:val="00CD0836"/>
    <w:rsid w:val="00CD0BD6"/>
    <w:rsid w:val="00CD1B75"/>
    <w:rsid w:val="00CD1D71"/>
    <w:rsid w:val="00CD30B7"/>
    <w:rsid w:val="00CD321C"/>
    <w:rsid w:val="00CD3628"/>
    <w:rsid w:val="00CD4B8E"/>
    <w:rsid w:val="00CD52FA"/>
    <w:rsid w:val="00CD591F"/>
    <w:rsid w:val="00CD5CC0"/>
    <w:rsid w:val="00CD5D77"/>
    <w:rsid w:val="00CD5DA5"/>
    <w:rsid w:val="00CD633E"/>
    <w:rsid w:val="00CD63D8"/>
    <w:rsid w:val="00CD7501"/>
    <w:rsid w:val="00CD7859"/>
    <w:rsid w:val="00CD7D0D"/>
    <w:rsid w:val="00CD7F95"/>
    <w:rsid w:val="00CE031F"/>
    <w:rsid w:val="00CE081D"/>
    <w:rsid w:val="00CE11E4"/>
    <w:rsid w:val="00CE16CF"/>
    <w:rsid w:val="00CE1A53"/>
    <w:rsid w:val="00CE1DB4"/>
    <w:rsid w:val="00CE1F89"/>
    <w:rsid w:val="00CE2054"/>
    <w:rsid w:val="00CE2908"/>
    <w:rsid w:val="00CE299B"/>
    <w:rsid w:val="00CE2AB3"/>
    <w:rsid w:val="00CE3BF2"/>
    <w:rsid w:val="00CE4982"/>
    <w:rsid w:val="00CE4D2D"/>
    <w:rsid w:val="00CE5D09"/>
    <w:rsid w:val="00CE7028"/>
    <w:rsid w:val="00CE734F"/>
    <w:rsid w:val="00CE7B93"/>
    <w:rsid w:val="00CF039C"/>
    <w:rsid w:val="00CF10ED"/>
    <w:rsid w:val="00CF176F"/>
    <w:rsid w:val="00CF2EDE"/>
    <w:rsid w:val="00CF308A"/>
    <w:rsid w:val="00CF4D49"/>
    <w:rsid w:val="00CF4FDF"/>
    <w:rsid w:val="00CF52C1"/>
    <w:rsid w:val="00CF5F3A"/>
    <w:rsid w:val="00CF60B1"/>
    <w:rsid w:val="00CF631C"/>
    <w:rsid w:val="00CF633C"/>
    <w:rsid w:val="00CF68C0"/>
    <w:rsid w:val="00CF6F91"/>
    <w:rsid w:val="00CF731C"/>
    <w:rsid w:val="00CF745D"/>
    <w:rsid w:val="00D0018E"/>
    <w:rsid w:val="00D003CE"/>
    <w:rsid w:val="00D0104C"/>
    <w:rsid w:val="00D01249"/>
    <w:rsid w:val="00D01459"/>
    <w:rsid w:val="00D017D2"/>
    <w:rsid w:val="00D01F1C"/>
    <w:rsid w:val="00D02299"/>
    <w:rsid w:val="00D02FEF"/>
    <w:rsid w:val="00D0310F"/>
    <w:rsid w:val="00D04555"/>
    <w:rsid w:val="00D065A6"/>
    <w:rsid w:val="00D07949"/>
    <w:rsid w:val="00D07D5F"/>
    <w:rsid w:val="00D07FEC"/>
    <w:rsid w:val="00D10BA1"/>
    <w:rsid w:val="00D11913"/>
    <w:rsid w:val="00D11DBB"/>
    <w:rsid w:val="00D12192"/>
    <w:rsid w:val="00D1303D"/>
    <w:rsid w:val="00D139BB"/>
    <w:rsid w:val="00D145E4"/>
    <w:rsid w:val="00D14692"/>
    <w:rsid w:val="00D14840"/>
    <w:rsid w:val="00D14B47"/>
    <w:rsid w:val="00D14E05"/>
    <w:rsid w:val="00D15144"/>
    <w:rsid w:val="00D1759D"/>
    <w:rsid w:val="00D17994"/>
    <w:rsid w:val="00D213DF"/>
    <w:rsid w:val="00D21683"/>
    <w:rsid w:val="00D21F1C"/>
    <w:rsid w:val="00D22264"/>
    <w:rsid w:val="00D22F63"/>
    <w:rsid w:val="00D23F71"/>
    <w:rsid w:val="00D24B4B"/>
    <w:rsid w:val="00D257BF"/>
    <w:rsid w:val="00D25D1E"/>
    <w:rsid w:val="00D25E9C"/>
    <w:rsid w:val="00D260AA"/>
    <w:rsid w:val="00D26A40"/>
    <w:rsid w:val="00D26ECC"/>
    <w:rsid w:val="00D30E9B"/>
    <w:rsid w:val="00D3155E"/>
    <w:rsid w:val="00D31F63"/>
    <w:rsid w:val="00D324C5"/>
    <w:rsid w:val="00D32A2B"/>
    <w:rsid w:val="00D3301F"/>
    <w:rsid w:val="00D334CA"/>
    <w:rsid w:val="00D33984"/>
    <w:rsid w:val="00D33BA1"/>
    <w:rsid w:val="00D33D6A"/>
    <w:rsid w:val="00D35308"/>
    <w:rsid w:val="00D35414"/>
    <w:rsid w:val="00D35940"/>
    <w:rsid w:val="00D35F09"/>
    <w:rsid w:val="00D3671A"/>
    <w:rsid w:val="00D36E95"/>
    <w:rsid w:val="00D37608"/>
    <w:rsid w:val="00D40580"/>
    <w:rsid w:val="00D40780"/>
    <w:rsid w:val="00D40901"/>
    <w:rsid w:val="00D409BE"/>
    <w:rsid w:val="00D40CB7"/>
    <w:rsid w:val="00D41C13"/>
    <w:rsid w:val="00D41EC2"/>
    <w:rsid w:val="00D427DC"/>
    <w:rsid w:val="00D432F2"/>
    <w:rsid w:val="00D43B7D"/>
    <w:rsid w:val="00D43DC6"/>
    <w:rsid w:val="00D44063"/>
    <w:rsid w:val="00D444B0"/>
    <w:rsid w:val="00D45110"/>
    <w:rsid w:val="00D45582"/>
    <w:rsid w:val="00D45914"/>
    <w:rsid w:val="00D45F48"/>
    <w:rsid w:val="00D50238"/>
    <w:rsid w:val="00D50360"/>
    <w:rsid w:val="00D507B7"/>
    <w:rsid w:val="00D50B4A"/>
    <w:rsid w:val="00D5154F"/>
    <w:rsid w:val="00D52477"/>
    <w:rsid w:val="00D52BF9"/>
    <w:rsid w:val="00D536D6"/>
    <w:rsid w:val="00D54486"/>
    <w:rsid w:val="00D54E65"/>
    <w:rsid w:val="00D54FB3"/>
    <w:rsid w:val="00D556AE"/>
    <w:rsid w:val="00D56329"/>
    <w:rsid w:val="00D571C4"/>
    <w:rsid w:val="00D57566"/>
    <w:rsid w:val="00D578CE"/>
    <w:rsid w:val="00D62871"/>
    <w:rsid w:val="00D62CD7"/>
    <w:rsid w:val="00D63267"/>
    <w:rsid w:val="00D63338"/>
    <w:rsid w:val="00D635D3"/>
    <w:rsid w:val="00D6416A"/>
    <w:rsid w:val="00D6435B"/>
    <w:rsid w:val="00D64585"/>
    <w:rsid w:val="00D6562B"/>
    <w:rsid w:val="00D657E6"/>
    <w:rsid w:val="00D65B89"/>
    <w:rsid w:val="00D66504"/>
    <w:rsid w:val="00D66B5B"/>
    <w:rsid w:val="00D6748F"/>
    <w:rsid w:val="00D7048E"/>
    <w:rsid w:val="00D70545"/>
    <w:rsid w:val="00D7075D"/>
    <w:rsid w:val="00D70C9A"/>
    <w:rsid w:val="00D70D72"/>
    <w:rsid w:val="00D71048"/>
    <w:rsid w:val="00D71862"/>
    <w:rsid w:val="00D722DC"/>
    <w:rsid w:val="00D7240A"/>
    <w:rsid w:val="00D72E03"/>
    <w:rsid w:val="00D73459"/>
    <w:rsid w:val="00D73E31"/>
    <w:rsid w:val="00D741B0"/>
    <w:rsid w:val="00D742E2"/>
    <w:rsid w:val="00D7494C"/>
    <w:rsid w:val="00D74A0E"/>
    <w:rsid w:val="00D75505"/>
    <w:rsid w:val="00D76FBC"/>
    <w:rsid w:val="00D77006"/>
    <w:rsid w:val="00D80D03"/>
    <w:rsid w:val="00D80E63"/>
    <w:rsid w:val="00D81815"/>
    <w:rsid w:val="00D82F8D"/>
    <w:rsid w:val="00D83E60"/>
    <w:rsid w:val="00D84DDF"/>
    <w:rsid w:val="00D85121"/>
    <w:rsid w:val="00D853DB"/>
    <w:rsid w:val="00D853FE"/>
    <w:rsid w:val="00D86DAC"/>
    <w:rsid w:val="00D87478"/>
    <w:rsid w:val="00D877B4"/>
    <w:rsid w:val="00D90212"/>
    <w:rsid w:val="00D914C3"/>
    <w:rsid w:val="00D91524"/>
    <w:rsid w:val="00D9154E"/>
    <w:rsid w:val="00D9159B"/>
    <w:rsid w:val="00D918AD"/>
    <w:rsid w:val="00D93285"/>
    <w:rsid w:val="00D9362B"/>
    <w:rsid w:val="00D938BF"/>
    <w:rsid w:val="00D93A6A"/>
    <w:rsid w:val="00D94F88"/>
    <w:rsid w:val="00D952CA"/>
    <w:rsid w:val="00D95340"/>
    <w:rsid w:val="00D95361"/>
    <w:rsid w:val="00D957CA"/>
    <w:rsid w:val="00D95F27"/>
    <w:rsid w:val="00D96AEB"/>
    <w:rsid w:val="00D9774C"/>
    <w:rsid w:val="00D9798F"/>
    <w:rsid w:val="00D97C62"/>
    <w:rsid w:val="00D97CC3"/>
    <w:rsid w:val="00DA07F8"/>
    <w:rsid w:val="00DA0857"/>
    <w:rsid w:val="00DA1442"/>
    <w:rsid w:val="00DA1816"/>
    <w:rsid w:val="00DA23A2"/>
    <w:rsid w:val="00DA246B"/>
    <w:rsid w:val="00DA27FF"/>
    <w:rsid w:val="00DA2AFB"/>
    <w:rsid w:val="00DA2D5A"/>
    <w:rsid w:val="00DA2F7D"/>
    <w:rsid w:val="00DA3420"/>
    <w:rsid w:val="00DA3E44"/>
    <w:rsid w:val="00DA4F39"/>
    <w:rsid w:val="00DA5ECA"/>
    <w:rsid w:val="00DA6001"/>
    <w:rsid w:val="00DA66B1"/>
    <w:rsid w:val="00DA6B96"/>
    <w:rsid w:val="00DA7027"/>
    <w:rsid w:val="00DA7B08"/>
    <w:rsid w:val="00DA7B39"/>
    <w:rsid w:val="00DA7B3E"/>
    <w:rsid w:val="00DB019F"/>
    <w:rsid w:val="00DB055C"/>
    <w:rsid w:val="00DB0F18"/>
    <w:rsid w:val="00DB197B"/>
    <w:rsid w:val="00DB1A99"/>
    <w:rsid w:val="00DB1DA4"/>
    <w:rsid w:val="00DB1DB6"/>
    <w:rsid w:val="00DB2321"/>
    <w:rsid w:val="00DB3BBF"/>
    <w:rsid w:val="00DB51CC"/>
    <w:rsid w:val="00DB52AA"/>
    <w:rsid w:val="00DB58D8"/>
    <w:rsid w:val="00DB598C"/>
    <w:rsid w:val="00DB65F4"/>
    <w:rsid w:val="00DB6D33"/>
    <w:rsid w:val="00DB7076"/>
    <w:rsid w:val="00DB7377"/>
    <w:rsid w:val="00DB7632"/>
    <w:rsid w:val="00DB79D9"/>
    <w:rsid w:val="00DC07A2"/>
    <w:rsid w:val="00DC0E5F"/>
    <w:rsid w:val="00DC1239"/>
    <w:rsid w:val="00DC18EB"/>
    <w:rsid w:val="00DC3BC7"/>
    <w:rsid w:val="00DC4D7B"/>
    <w:rsid w:val="00DC5484"/>
    <w:rsid w:val="00DC5D17"/>
    <w:rsid w:val="00DC65B9"/>
    <w:rsid w:val="00DD0361"/>
    <w:rsid w:val="00DD0B05"/>
    <w:rsid w:val="00DD0CE3"/>
    <w:rsid w:val="00DD0FD8"/>
    <w:rsid w:val="00DD133B"/>
    <w:rsid w:val="00DD16B6"/>
    <w:rsid w:val="00DD2465"/>
    <w:rsid w:val="00DD2972"/>
    <w:rsid w:val="00DD2C14"/>
    <w:rsid w:val="00DD2E37"/>
    <w:rsid w:val="00DD30A5"/>
    <w:rsid w:val="00DD32FD"/>
    <w:rsid w:val="00DD3A10"/>
    <w:rsid w:val="00DD41C8"/>
    <w:rsid w:val="00DD44B4"/>
    <w:rsid w:val="00DD621C"/>
    <w:rsid w:val="00DD7E76"/>
    <w:rsid w:val="00DE0601"/>
    <w:rsid w:val="00DE1E4C"/>
    <w:rsid w:val="00DE2A89"/>
    <w:rsid w:val="00DE2E74"/>
    <w:rsid w:val="00DE31D8"/>
    <w:rsid w:val="00DE3536"/>
    <w:rsid w:val="00DE3672"/>
    <w:rsid w:val="00DE373A"/>
    <w:rsid w:val="00DE4141"/>
    <w:rsid w:val="00DE432E"/>
    <w:rsid w:val="00DE46D0"/>
    <w:rsid w:val="00DE6B0D"/>
    <w:rsid w:val="00DE6E48"/>
    <w:rsid w:val="00DE78C1"/>
    <w:rsid w:val="00DE7CCD"/>
    <w:rsid w:val="00DF0195"/>
    <w:rsid w:val="00DF02C5"/>
    <w:rsid w:val="00DF0893"/>
    <w:rsid w:val="00DF0B82"/>
    <w:rsid w:val="00DF25F6"/>
    <w:rsid w:val="00DF3BFD"/>
    <w:rsid w:val="00DF591D"/>
    <w:rsid w:val="00DF5DB8"/>
    <w:rsid w:val="00DF6918"/>
    <w:rsid w:val="00DF6962"/>
    <w:rsid w:val="00DF719D"/>
    <w:rsid w:val="00DF730D"/>
    <w:rsid w:val="00DF7CD5"/>
    <w:rsid w:val="00DF7F40"/>
    <w:rsid w:val="00E00725"/>
    <w:rsid w:val="00E01849"/>
    <w:rsid w:val="00E019ED"/>
    <w:rsid w:val="00E01B3B"/>
    <w:rsid w:val="00E021BF"/>
    <w:rsid w:val="00E034FB"/>
    <w:rsid w:val="00E0417D"/>
    <w:rsid w:val="00E05DB2"/>
    <w:rsid w:val="00E07268"/>
    <w:rsid w:val="00E07564"/>
    <w:rsid w:val="00E102F3"/>
    <w:rsid w:val="00E115C5"/>
    <w:rsid w:val="00E115E5"/>
    <w:rsid w:val="00E11721"/>
    <w:rsid w:val="00E117B6"/>
    <w:rsid w:val="00E11D7E"/>
    <w:rsid w:val="00E121E6"/>
    <w:rsid w:val="00E128F4"/>
    <w:rsid w:val="00E14322"/>
    <w:rsid w:val="00E14647"/>
    <w:rsid w:val="00E15125"/>
    <w:rsid w:val="00E155EA"/>
    <w:rsid w:val="00E156B7"/>
    <w:rsid w:val="00E156E7"/>
    <w:rsid w:val="00E159D9"/>
    <w:rsid w:val="00E16618"/>
    <w:rsid w:val="00E16FA0"/>
    <w:rsid w:val="00E175E4"/>
    <w:rsid w:val="00E17DB5"/>
    <w:rsid w:val="00E17FF0"/>
    <w:rsid w:val="00E205B8"/>
    <w:rsid w:val="00E20D0A"/>
    <w:rsid w:val="00E21715"/>
    <w:rsid w:val="00E21A25"/>
    <w:rsid w:val="00E2245C"/>
    <w:rsid w:val="00E23A85"/>
    <w:rsid w:val="00E2527D"/>
    <w:rsid w:val="00E25B72"/>
    <w:rsid w:val="00E25FA4"/>
    <w:rsid w:val="00E26016"/>
    <w:rsid w:val="00E261F7"/>
    <w:rsid w:val="00E2668D"/>
    <w:rsid w:val="00E26778"/>
    <w:rsid w:val="00E267E6"/>
    <w:rsid w:val="00E26F25"/>
    <w:rsid w:val="00E27A2A"/>
    <w:rsid w:val="00E27AF8"/>
    <w:rsid w:val="00E27B4E"/>
    <w:rsid w:val="00E313CB"/>
    <w:rsid w:val="00E319C6"/>
    <w:rsid w:val="00E31E84"/>
    <w:rsid w:val="00E31FFA"/>
    <w:rsid w:val="00E325BC"/>
    <w:rsid w:val="00E329BE"/>
    <w:rsid w:val="00E32C06"/>
    <w:rsid w:val="00E32F40"/>
    <w:rsid w:val="00E33EB8"/>
    <w:rsid w:val="00E34C87"/>
    <w:rsid w:val="00E34F7E"/>
    <w:rsid w:val="00E3514B"/>
    <w:rsid w:val="00E36343"/>
    <w:rsid w:val="00E372CE"/>
    <w:rsid w:val="00E37353"/>
    <w:rsid w:val="00E4094D"/>
    <w:rsid w:val="00E40C32"/>
    <w:rsid w:val="00E40E2A"/>
    <w:rsid w:val="00E41A57"/>
    <w:rsid w:val="00E41B7B"/>
    <w:rsid w:val="00E41C84"/>
    <w:rsid w:val="00E423D2"/>
    <w:rsid w:val="00E4281F"/>
    <w:rsid w:val="00E428CE"/>
    <w:rsid w:val="00E42B54"/>
    <w:rsid w:val="00E43A81"/>
    <w:rsid w:val="00E43F6A"/>
    <w:rsid w:val="00E441D9"/>
    <w:rsid w:val="00E441F4"/>
    <w:rsid w:val="00E45C70"/>
    <w:rsid w:val="00E461D6"/>
    <w:rsid w:val="00E46702"/>
    <w:rsid w:val="00E46734"/>
    <w:rsid w:val="00E46DC8"/>
    <w:rsid w:val="00E47E60"/>
    <w:rsid w:val="00E50077"/>
    <w:rsid w:val="00E50BB4"/>
    <w:rsid w:val="00E51B7E"/>
    <w:rsid w:val="00E51CAE"/>
    <w:rsid w:val="00E51F60"/>
    <w:rsid w:val="00E51FDE"/>
    <w:rsid w:val="00E52137"/>
    <w:rsid w:val="00E5237B"/>
    <w:rsid w:val="00E52AE5"/>
    <w:rsid w:val="00E5328C"/>
    <w:rsid w:val="00E53A47"/>
    <w:rsid w:val="00E53BB5"/>
    <w:rsid w:val="00E540BB"/>
    <w:rsid w:val="00E54E6E"/>
    <w:rsid w:val="00E5652C"/>
    <w:rsid w:val="00E56924"/>
    <w:rsid w:val="00E576CC"/>
    <w:rsid w:val="00E609AE"/>
    <w:rsid w:val="00E60C04"/>
    <w:rsid w:val="00E6108F"/>
    <w:rsid w:val="00E61309"/>
    <w:rsid w:val="00E61C14"/>
    <w:rsid w:val="00E62165"/>
    <w:rsid w:val="00E621CE"/>
    <w:rsid w:val="00E6253D"/>
    <w:rsid w:val="00E62C2F"/>
    <w:rsid w:val="00E62D2E"/>
    <w:rsid w:val="00E637AA"/>
    <w:rsid w:val="00E63E88"/>
    <w:rsid w:val="00E6457E"/>
    <w:rsid w:val="00E6466F"/>
    <w:rsid w:val="00E64B02"/>
    <w:rsid w:val="00E651AE"/>
    <w:rsid w:val="00E65325"/>
    <w:rsid w:val="00E65623"/>
    <w:rsid w:val="00E6567D"/>
    <w:rsid w:val="00E670BF"/>
    <w:rsid w:val="00E6716A"/>
    <w:rsid w:val="00E6749C"/>
    <w:rsid w:val="00E67A37"/>
    <w:rsid w:val="00E70425"/>
    <w:rsid w:val="00E7093C"/>
    <w:rsid w:val="00E70969"/>
    <w:rsid w:val="00E70BDB"/>
    <w:rsid w:val="00E70F0A"/>
    <w:rsid w:val="00E711A1"/>
    <w:rsid w:val="00E71365"/>
    <w:rsid w:val="00E71B4B"/>
    <w:rsid w:val="00E724D4"/>
    <w:rsid w:val="00E72987"/>
    <w:rsid w:val="00E7299D"/>
    <w:rsid w:val="00E72F6A"/>
    <w:rsid w:val="00E72FD9"/>
    <w:rsid w:val="00E73DCE"/>
    <w:rsid w:val="00E74A28"/>
    <w:rsid w:val="00E74A53"/>
    <w:rsid w:val="00E75680"/>
    <w:rsid w:val="00E758DE"/>
    <w:rsid w:val="00E76EE1"/>
    <w:rsid w:val="00E77025"/>
    <w:rsid w:val="00E774E9"/>
    <w:rsid w:val="00E779AF"/>
    <w:rsid w:val="00E77EB2"/>
    <w:rsid w:val="00E8114D"/>
    <w:rsid w:val="00E81732"/>
    <w:rsid w:val="00E82005"/>
    <w:rsid w:val="00E823E7"/>
    <w:rsid w:val="00E826C9"/>
    <w:rsid w:val="00E8276A"/>
    <w:rsid w:val="00E83BC0"/>
    <w:rsid w:val="00E84142"/>
    <w:rsid w:val="00E84BDA"/>
    <w:rsid w:val="00E854A2"/>
    <w:rsid w:val="00E8569F"/>
    <w:rsid w:val="00E86460"/>
    <w:rsid w:val="00E86B6F"/>
    <w:rsid w:val="00E86CC8"/>
    <w:rsid w:val="00E87006"/>
    <w:rsid w:val="00E87267"/>
    <w:rsid w:val="00E87CDE"/>
    <w:rsid w:val="00E87F86"/>
    <w:rsid w:val="00E9037A"/>
    <w:rsid w:val="00E90EBE"/>
    <w:rsid w:val="00E9112A"/>
    <w:rsid w:val="00E91A80"/>
    <w:rsid w:val="00E91D5C"/>
    <w:rsid w:val="00E9209C"/>
    <w:rsid w:val="00E9242D"/>
    <w:rsid w:val="00E9278E"/>
    <w:rsid w:val="00E92DB0"/>
    <w:rsid w:val="00E9309E"/>
    <w:rsid w:val="00E9355E"/>
    <w:rsid w:val="00E9369D"/>
    <w:rsid w:val="00E938AC"/>
    <w:rsid w:val="00E94D1B"/>
    <w:rsid w:val="00E95FE6"/>
    <w:rsid w:val="00E962AB"/>
    <w:rsid w:val="00E9679A"/>
    <w:rsid w:val="00E9785C"/>
    <w:rsid w:val="00EA0DD7"/>
    <w:rsid w:val="00EA24A8"/>
    <w:rsid w:val="00EA25AC"/>
    <w:rsid w:val="00EA2CB4"/>
    <w:rsid w:val="00EA3A42"/>
    <w:rsid w:val="00EA4210"/>
    <w:rsid w:val="00EA43C7"/>
    <w:rsid w:val="00EA445A"/>
    <w:rsid w:val="00EA48AF"/>
    <w:rsid w:val="00EA542A"/>
    <w:rsid w:val="00EA5622"/>
    <w:rsid w:val="00EA5803"/>
    <w:rsid w:val="00EA61A7"/>
    <w:rsid w:val="00EA66C1"/>
    <w:rsid w:val="00EA69D9"/>
    <w:rsid w:val="00EA6C37"/>
    <w:rsid w:val="00EA70BC"/>
    <w:rsid w:val="00EB0899"/>
    <w:rsid w:val="00EB0CA0"/>
    <w:rsid w:val="00EB1902"/>
    <w:rsid w:val="00EB29F3"/>
    <w:rsid w:val="00EB30B8"/>
    <w:rsid w:val="00EB31B3"/>
    <w:rsid w:val="00EB32B5"/>
    <w:rsid w:val="00EB38EE"/>
    <w:rsid w:val="00EB3AFD"/>
    <w:rsid w:val="00EB4409"/>
    <w:rsid w:val="00EB4EA2"/>
    <w:rsid w:val="00EB53F7"/>
    <w:rsid w:val="00EB6969"/>
    <w:rsid w:val="00EB6AC8"/>
    <w:rsid w:val="00EB7A98"/>
    <w:rsid w:val="00EB7D1A"/>
    <w:rsid w:val="00EB7DAD"/>
    <w:rsid w:val="00EB7EB1"/>
    <w:rsid w:val="00EC0880"/>
    <w:rsid w:val="00EC08A5"/>
    <w:rsid w:val="00EC1D83"/>
    <w:rsid w:val="00EC24D2"/>
    <w:rsid w:val="00EC33D5"/>
    <w:rsid w:val="00EC3FD6"/>
    <w:rsid w:val="00EC4124"/>
    <w:rsid w:val="00EC58F7"/>
    <w:rsid w:val="00EC5F55"/>
    <w:rsid w:val="00EC7F6F"/>
    <w:rsid w:val="00ED014F"/>
    <w:rsid w:val="00ED02B8"/>
    <w:rsid w:val="00ED03DD"/>
    <w:rsid w:val="00ED05E6"/>
    <w:rsid w:val="00ED139C"/>
    <w:rsid w:val="00ED1C03"/>
    <w:rsid w:val="00ED1C65"/>
    <w:rsid w:val="00ED326F"/>
    <w:rsid w:val="00ED349D"/>
    <w:rsid w:val="00ED3AEE"/>
    <w:rsid w:val="00ED3D95"/>
    <w:rsid w:val="00ED3FF6"/>
    <w:rsid w:val="00ED4933"/>
    <w:rsid w:val="00ED4F86"/>
    <w:rsid w:val="00ED56B2"/>
    <w:rsid w:val="00ED597E"/>
    <w:rsid w:val="00ED6BAC"/>
    <w:rsid w:val="00EE093A"/>
    <w:rsid w:val="00EE0FFA"/>
    <w:rsid w:val="00EE11C3"/>
    <w:rsid w:val="00EE253C"/>
    <w:rsid w:val="00EE2E30"/>
    <w:rsid w:val="00EE35FC"/>
    <w:rsid w:val="00EE3632"/>
    <w:rsid w:val="00EE382F"/>
    <w:rsid w:val="00EE4271"/>
    <w:rsid w:val="00EE4A90"/>
    <w:rsid w:val="00EE5498"/>
    <w:rsid w:val="00EE586D"/>
    <w:rsid w:val="00EE5B8C"/>
    <w:rsid w:val="00EE5D5F"/>
    <w:rsid w:val="00EE5F71"/>
    <w:rsid w:val="00EE641A"/>
    <w:rsid w:val="00EE6D31"/>
    <w:rsid w:val="00EE6E30"/>
    <w:rsid w:val="00EF00A4"/>
    <w:rsid w:val="00EF111E"/>
    <w:rsid w:val="00EF318B"/>
    <w:rsid w:val="00EF3D87"/>
    <w:rsid w:val="00EF42F3"/>
    <w:rsid w:val="00EF440C"/>
    <w:rsid w:val="00EF4AC8"/>
    <w:rsid w:val="00EF4B1E"/>
    <w:rsid w:val="00EF4C9F"/>
    <w:rsid w:val="00EF50A5"/>
    <w:rsid w:val="00EF5447"/>
    <w:rsid w:val="00EF59A8"/>
    <w:rsid w:val="00EF5B85"/>
    <w:rsid w:val="00EF5F99"/>
    <w:rsid w:val="00EF6E5F"/>
    <w:rsid w:val="00EF72B9"/>
    <w:rsid w:val="00EF75F8"/>
    <w:rsid w:val="00EF79CD"/>
    <w:rsid w:val="00EF7ACB"/>
    <w:rsid w:val="00F0125C"/>
    <w:rsid w:val="00F0165B"/>
    <w:rsid w:val="00F01BF9"/>
    <w:rsid w:val="00F01C14"/>
    <w:rsid w:val="00F025FE"/>
    <w:rsid w:val="00F029EA"/>
    <w:rsid w:val="00F03700"/>
    <w:rsid w:val="00F03B13"/>
    <w:rsid w:val="00F03B7E"/>
    <w:rsid w:val="00F05200"/>
    <w:rsid w:val="00F056AA"/>
    <w:rsid w:val="00F0582E"/>
    <w:rsid w:val="00F05E49"/>
    <w:rsid w:val="00F07B52"/>
    <w:rsid w:val="00F10E8F"/>
    <w:rsid w:val="00F1120B"/>
    <w:rsid w:val="00F118D6"/>
    <w:rsid w:val="00F118DB"/>
    <w:rsid w:val="00F11AAB"/>
    <w:rsid w:val="00F123E0"/>
    <w:rsid w:val="00F132E3"/>
    <w:rsid w:val="00F1384E"/>
    <w:rsid w:val="00F13E70"/>
    <w:rsid w:val="00F14A82"/>
    <w:rsid w:val="00F14B1D"/>
    <w:rsid w:val="00F1534D"/>
    <w:rsid w:val="00F15471"/>
    <w:rsid w:val="00F16089"/>
    <w:rsid w:val="00F1710E"/>
    <w:rsid w:val="00F174D9"/>
    <w:rsid w:val="00F17F7F"/>
    <w:rsid w:val="00F2110C"/>
    <w:rsid w:val="00F211F0"/>
    <w:rsid w:val="00F21506"/>
    <w:rsid w:val="00F21732"/>
    <w:rsid w:val="00F21E3D"/>
    <w:rsid w:val="00F22408"/>
    <w:rsid w:val="00F22BF4"/>
    <w:rsid w:val="00F2331D"/>
    <w:rsid w:val="00F2363B"/>
    <w:rsid w:val="00F2388F"/>
    <w:rsid w:val="00F23BC9"/>
    <w:rsid w:val="00F24D2C"/>
    <w:rsid w:val="00F2522B"/>
    <w:rsid w:val="00F254CC"/>
    <w:rsid w:val="00F265B0"/>
    <w:rsid w:val="00F27277"/>
    <w:rsid w:val="00F27CFB"/>
    <w:rsid w:val="00F30726"/>
    <w:rsid w:val="00F30FE5"/>
    <w:rsid w:val="00F3100D"/>
    <w:rsid w:val="00F311CB"/>
    <w:rsid w:val="00F32BFA"/>
    <w:rsid w:val="00F32C6E"/>
    <w:rsid w:val="00F33863"/>
    <w:rsid w:val="00F33BBA"/>
    <w:rsid w:val="00F34482"/>
    <w:rsid w:val="00F34E43"/>
    <w:rsid w:val="00F367CA"/>
    <w:rsid w:val="00F36D29"/>
    <w:rsid w:val="00F3776D"/>
    <w:rsid w:val="00F377BB"/>
    <w:rsid w:val="00F3788A"/>
    <w:rsid w:val="00F37A5A"/>
    <w:rsid w:val="00F37F6B"/>
    <w:rsid w:val="00F400F9"/>
    <w:rsid w:val="00F407DD"/>
    <w:rsid w:val="00F41BE4"/>
    <w:rsid w:val="00F42AAA"/>
    <w:rsid w:val="00F42E56"/>
    <w:rsid w:val="00F42EE6"/>
    <w:rsid w:val="00F43E2D"/>
    <w:rsid w:val="00F44136"/>
    <w:rsid w:val="00F4433C"/>
    <w:rsid w:val="00F446EB"/>
    <w:rsid w:val="00F44731"/>
    <w:rsid w:val="00F44B14"/>
    <w:rsid w:val="00F45153"/>
    <w:rsid w:val="00F46E24"/>
    <w:rsid w:val="00F46FDD"/>
    <w:rsid w:val="00F500E6"/>
    <w:rsid w:val="00F503E7"/>
    <w:rsid w:val="00F5050A"/>
    <w:rsid w:val="00F51413"/>
    <w:rsid w:val="00F51687"/>
    <w:rsid w:val="00F51A35"/>
    <w:rsid w:val="00F5204D"/>
    <w:rsid w:val="00F52298"/>
    <w:rsid w:val="00F52742"/>
    <w:rsid w:val="00F52EC4"/>
    <w:rsid w:val="00F54DA5"/>
    <w:rsid w:val="00F54E9D"/>
    <w:rsid w:val="00F55929"/>
    <w:rsid w:val="00F55EBC"/>
    <w:rsid w:val="00F565C6"/>
    <w:rsid w:val="00F565ED"/>
    <w:rsid w:val="00F56AFC"/>
    <w:rsid w:val="00F57261"/>
    <w:rsid w:val="00F5741A"/>
    <w:rsid w:val="00F603EC"/>
    <w:rsid w:val="00F607DD"/>
    <w:rsid w:val="00F60C14"/>
    <w:rsid w:val="00F60E68"/>
    <w:rsid w:val="00F610EF"/>
    <w:rsid w:val="00F61364"/>
    <w:rsid w:val="00F61C0A"/>
    <w:rsid w:val="00F61C5C"/>
    <w:rsid w:val="00F61DB9"/>
    <w:rsid w:val="00F62312"/>
    <w:rsid w:val="00F62388"/>
    <w:rsid w:val="00F623C7"/>
    <w:rsid w:val="00F62810"/>
    <w:rsid w:val="00F62EC6"/>
    <w:rsid w:val="00F62F32"/>
    <w:rsid w:val="00F63184"/>
    <w:rsid w:val="00F63F34"/>
    <w:rsid w:val="00F6412B"/>
    <w:rsid w:val="00F6436A"/>
    <w:rsid w:val="00F65142"/>
    <w:rsid w:val="00F6549C"/>
    <w:rsid w:val="00F6551A"/>
    <w:rsid w:val="00F6551C"/>
    <w:rsid w:val="00F65844"/>
    <w:rsid w:val="00F66335"/>
    <w:rsid w:val="00F666B1"/>
    <w:rsid w:val="00F6788C"/>
    <w:rsid w:val="00F7085A"/>
    <w:rsid w:val="00F709E7"/>
    <w:rsid w:val="00F70B2F"/>
    <w:rsid w:val="00F70BCD"/>
    <w:rsid w:val="00F72859"/>
    <w:rsid w:val="00F72F65"/>
    <w:rsid w:val="00F73555"/>
    <w:rsid w:val="00F739C9"/>
    <w:rsid w:val="00F747D1"/>
    <w:rsid w:val="00F75C3A"/>
    <w:rsid w:val="00F76114"/>
    <w:rsid w:val="00F76167"/>
    <w:rsid w:val="00F76D36"/>
    <w:rsid w:val="00F76DBC"/>
    <w:rsid w:val="00F77F5A"/>
    <w:rsid w:val="00F8096F"/>
    <w:rsid w:val="00F829F0"/>
    <w:rsid w:val="00F82CCE"/>
    <w:rsid w:val="00F835F8"/>
    <w:rsid w:val="00F83954"/>
    <w:rsid w:val="00F842CC"/>
    <w:rsid w:val="00F84690"/>
    <w:rsid w:val="00F84791"/>
    <w:rsid w:val="00F84CEC"/>
    <w:rsid w:val="00F855AC"/>
    <w:rsid w:val="00F85963"/>
    <w:rsid w:val="00F8686A"/>
    <w:rsid w:val="00F86F40"/>
    <w:rsid w:val="00F87ABD"/>
    <w:rsid w:val="00F87EA9"/>
    <w:rsid w:val="00F91460"/>
    <w:rsid w:val="00F91BBF"/>
    <w:rsid w:val="00F91C39"/>
    <w:rsid w:val="00F928BA"/>
    <w:rsid w:val="00F92B16"/>
    <w:rsid w:val="00F93116"/>
    <w:rsid w:val="00F9337B"/>
    <w:rsid w:val="00F938E0"/>
    <w:rsid w:val="00F93ACB"/>
    <w:rsid w:val="00F94749"/>
    <w:rsid w:val="00F94797"/>
    <w:rsid w:val="00F94AAF"/>
    <w:rsid w:val="00F94D35"/>
    <w:rsid w:val="00F95C1B"/>
    <w:rsid w:val="00F969B5"/>
    <w:rsid w:val="00F971F8"/>
    <w:rsid w:val="00F978CA"/>
    <w:rsid w:val="00FA035B"/>
    <w:rsid w:val="00FA0534"/>
    <w:rsid w:val="00FA0689"/>
    <w:rsid w:val="00FA11E5"/>
    <w:rsid w:val="00FA1645"/>
    <w:rsid w:val="00FA1696"/>
    <w:rsid w:val="00FA1730"/>
    <w:rsid w:val="00FA1AE7"/>
    <w:rsid w:val="00FA23FD"/>
    <w:rsid w:val="00FA2A81"/>
    <w:rsid w:val="00FA39E1"/>
    <w:rsid w:val="00FA3AFD"/>
    <w:rsid w:val="00FA4167"/>
    <w:rsid w:val="00FA4186"/>
    <w:rsid w:val="00FA4374"/>
    <w:rsid w:val="00FA4B41"/>
    <w:rsid w:val="00FA4BA2"/>
    <w:rsid w:val="00FA4E29"/>
    <w:rsid w:val="00FA5148"/>
    <w:rsid w:val="00FA5357"/>
    <w:rsid w:val="00FA53AE"/>
    <w:rsid w:val="00FA6155"/>
    <w:rsid w:val="00FB0042"/>
    <w:rsid w:val="00FB0105"/>
    <w:rsid w:val="00FB09C9"/>
    <w:rsid w:val="00FB199D"/>
    <w:rsid w:val="00FB1A5B"/>
    <w:rsid w:val="00FB1B4F"/>
    <w:rsid w:val="00FB1D07"/>
    <w:rsid w:val="00FB1FDA"/>
    <w:rsid w:val="00FB2346"/>
    <w:rsid w:val="00FB2362"/>
    <w:rsid w:val="00FB2569"/>
    <w:rsid w:val="00FB26F6"/>
    <w:rsid w:val="00FB29CE"/>
    <w:rsid w:val="00FB2DB2"/>
    <w:rsid w:val="00FB408A"/>
    <w:rsid w:val="00FB4598"/>
    <w:rsid w:val="00FB4CB7"/>
    <w:rsid w:val="00FB5019"/>
    <w:rsid w:val="00FB57E7"/>
    <w:rsid w:val="00FB5AAE"/>
    <w:rsid w:val="00FB6084"/>
    <w:rsid w:val="00FB68BD"/>
    <w:rsid w:val="00FB6B3D"/>
    <w:rsid w:val="00FB6C87"/>
    <w:rsid w:val="00FC0108"/>
    <w:rsid w:val="00FC0587"/>
    <w:rsid w:val="00FC115B"/>
    <w:rsid w:val="00FC1722"/>
    <w:rsid w:val="00FC1F50"/>
    <w:rsid w:val="00FC23A9"/>
    <w:rsid w:val="00FC2615"/>
    <w:rsid w:val="00FC2ED2"/>
    <w:rsid w:val="00FC3423"/>
    <w:rsid w:val="00FC371F"/>
    <w:rsid w:val="00FC3D1F"/>
    <w:rsid w:val="00FC4749"/>
    <w:rsid w:val="00FC4DE8"/>
    <w:rsid w:val="00FC5181"/>
    <w:rsid w:val="00FC5667"/>
    <w:rsid w:val="00FC5F70"/>
    <w:rsid w:val="00FC6174"/>
    <w:rsid w:val="00FC63CA"/>
    <w:rsid w:val="00FC67DC"/>
    <w:rsid w:val="00FC6D99"/>
    <w:rsid w:val="00FC7A3E"/>
    <w:rsid w:val="00FC7C45"/>
    <w:rsid w:val="00FD1503"/>
    <w:rsid w:val="00FD19E5"/>
    <w:rsid w:val="00FD1AB7"/>
    <w:rsid w:val="00FD235C"/>
    <w:rsid w:val="00FD2A0A"/>
    <w:rsid w:val="00FD359D"/>
    <w:rsid w:val="00FD3812"/>
    <w:rsid w:val="00FD388E"/>
    <w:rsid w:val="00FD6B40"/>
    <w:rsid w:val="00FD6DEE"/>
    <w:rsid w:val="00FD708C"/>
    <w:rsid w:val="00FD75EF"/>
    <w:rsid w:val="00FE0261"/>
    <w:rsid w:val="00FE07BC"/>
    <w:rsid w:val="00FE0BE7"/>
    <w:rsid w:val="00FE1B0C"/>
    <w:rsid w:val="00FE21F2"/>
    <w:rsid w:val="00FE244D"/>
    <w:rsid w:val="00FE2CB8"/>
    <w:rsid w:val="00FE2DC9"/>
    <w:rsid w:val="00FE2F83"/>
    <w:rsid w:val="00FE3106"/>
    <w:rsid w:val="00FE31CF"/>
    <w:rsid w:val="00FE3565"/>
    <w:rsid w:val="00FE37A0"/>
    <w:rsid w:val="00FE39D0"/>
    <w:rsid w:val="00FE4FE6"/>
    <w:rsid w:val="00FE54BC"/>
    <w:rsid w:val="00FE62C3"/>
    <w:rsid w:val="00FE68B9"/>
    <w:rsid w:val="00FE71F2"/>
    <w:rsid w:val="00FE7926"/>
    <w:rsid w:val="00FE7ADE"/>
    <w:rsid w:val="00FF062C"/>
    <w:rsid w:val="00FF087F"/>
    <w:rsid w:val="00FF0BDE"/>
    <w:rsid w:val="00FF0C8A"/>
    <w:rsid w:val="00FF0E70"/>
    <w:rsid w:val="00FF1295"/>
    <w:rsid w:val="00FF13F6"/>
    <w:rsid w:val="00FF14D5"/>
    <w:rsid w:val="00FF1D72"/>
    <w:rsid w:val="00FF28AB"/>
    <w:rsid w:val="00FF2C92"/>
    <w:rsid w:val="00FF31D6"/>
    <w:rsid w:val="00FF3767"/>
    <w:rsid w:val="00FF3D6A"/>
    <w:rsid w:val="00FF3EC0"/>
    <w:rsid w:val="00FF4EE8"/>
    <w:rsid w:val="00FF639E"/>
    <w:rsid w:val="0330FD7E"/>
    <w:rsid w:val="04B73BB4"/>
    <w:rsid w:val="068C2119"/>
    <w:rsid w:val="0693C3E9"/>
    <w:rsid w:val="069A7767"/>
    <w:rsid w:val="0773705A"/>
    <w:rsid w:val="0AE8D584"/>
    <w:rsid w:val="0C31BF3D"/>
    <w:rsid w:val="18CA78D3"/>
    <w:rsid w:val="196883E2"/>
    <w:rsid w:val="1A9E18EA"/>
    <w:rsid w:val="1ACE344E"/>
    <w:rsid w:val="1B2B7F70"/>
    <w:rsid w:val="1B55A98C"/>
    <w:rsid w:val="1F786BBD"/>
    <w:rsid w:val="20ADAA5F"/>
    <w:rsid w:val="277E1C98"/>
    <w:rsid w:val="2AABF781"/>
    <w:rsid w:val="2B1F90AE"/>
    <w:rsid w:val="2BEDAD1D"/>
    <w:rsid w:val="2BFBD33E"/>
    <w:rsid w:val="2CDC5B8C"/>
    <w:rsid w:val="2E0B32D2"/>
    <w:rsid w:val="34C2FE28"/>
    <w:rsid w:val="388ED093"/>
    <w:rsid w:val="38F42EFC"/>
    <w:rsid w:val="3C9369FD"/>
    <w:rsid w:val="3EABB836"/>
    <w:rsid w:val="3F5CA954"/>
    <w:rsid w:val="3FB8A29A"/>
    <w:rsid w:val="40B9C4CB"/>
    <w:rsid w:val="4269C06F"/>
    <w:rsid w:val="42D2DE8E"/>
    <w:rsid w:val="44A2848F"/>
    <w:rsid w:val="4848F1CD"/>
    <w:rsid w:val="492F0B6F"/>
    <w:rsid w:val="4DBB7C38"/>
    <w:rsid w:val="51DD1C5B"/>
    <w:rsid w:val="53422FDB"/>
    <w:rsid w:val="54533729"/>
    <w:rsid w:val="54ADE65E"/>
    <w:rsid w:val="580F26D0"/>
    <w:rsid w:val="58A04DCA"/>
    <w:rsid w:val="5B11FEAE"/>
    <w:rsid w:val="5E47090F"/>
    <w:rsid w:val="5FE43401"/>
    <w:rsid w:val="60CB478F"/>
    <w:rsid w:val="6148BA09"/>
    <w:rsid w:val="6189386C"/>
    <w:rsid w:val="6449AABE"/>
    <w:rsid w:val="6B563CBD"/>
    <w:rsid w:val="7A33B05C"/>
    <w:rsid w:val="7B9C3E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266CA"/>
  <w15:chartTrackingRefBased/>
  <w15:docId w15:val="{C31C6C05-11BF-4C40-9266-A0F6036D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536CA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unhideWhenUsed/>
    <w:qFormat/>
    <w:rsid w:val="00A63079"/>
    <w:pPr>
      <w:keepNext/>
      <w:keepLines/>
      <w:spacing w:before="40" w:after="0"/>
      <w:outlineLvl w:val="3"/>
    </w:pPr>
    <w:rPr>
      <w:rFonts w:asciiTheme="majorHAnsi" w:eastAsiaTheme="majorEastAsia" w:hAnsiTheme="majorHAnsi" w:cstheme="majorBidi"/>
      <w:i/>
      <w:iCs/>
      <w:color w:val="003871" w:themeColor="accent1" w:themeShade="BF"/>
    </w:rPr>
  </w:style>
  <w:style w:type="paragraph" w:styleId="Heading5">
    <w:name w:val="heading 5"/>
    <w:basedOn w:val="Normal"/>
    <w:next w:val="Normal"/>
    <w:link w:val="Heading5Char"/>
    <w:uiPriority w:val="9"/>
    <w:unhideWhenUsed/>
    <w:qFormat/>
    <w:rsid w:val="00AE7D96"/>
    <w:pPr>
      <w:keepNext/>
      <w:keepLines/>
      <w:spacing w:before="40" w:after="0"/>
      <w:outlineLvl w:val="4"/>
    </w:pPr>
    <w:rPr>
      <w:rFonts w:asciiTheme="majorHAnsi" w:eastAsiaTheme="majorEastAsia" w:hAnsiTheme="majorHAnsi" w:cstheme="majorBidi"/>
      <w:color w:val="003871" w:themeColor="accent1" w:themeShade="BF"/>
    </w:rPr>
  </w:style>
  <w:style w:type="paragraph" w:styleId="Heading6">
    <w:name w:val="heading 6"/>
    <w:basedOn w:val="Normal"/>
    <w:next w:val="Normal"/>
    <w:link w:val="Heading6Char"/>
    <w:uiPriority w:val="9"/>
    <w:unhideWhenUsed/>
    <w:qFormat/>
    <w:rsid w:val="00AE7D96"/>
    <w:pPr>
      <w:keepNext/>
      <w:keepLines/>
      <w:spacing w:before="40" w:after="0"/>
      <w:outlineLvl w:val="5"/>
    </w:pPr>
    <w:rPr>
      <w:rFonts w:asciiTheme="majorHAnsi" w:eastAsiaTheme="majorEastAsia" w:hAnsiTheme="majorHAnsi" w:cstheme="majorBidi"/>
      <w:color w:val="00254B" w:themeColor="accent1" w:themeShade="7F"/>
    </w:rPr>
  </w:style>
  <w:style w:type="paragraph" w:styleId="Heading7">
    <w:name w:val="heading 7"/>
    <w:basedOn w:val="Normal"/>
    <w:next w:val="Normal"/>
    <w:link w:val="Heading7Char"/>
    <w:uiPriority w:val="9"/>
    <w:unhideWhenUsed/>
    <w:qFormat/>
    <w:rsid w:val="00AE7D96"/>
    <w:pPr>
      <w:keepNext/>
      <w:keepLines/>
      <w:spacing w:before="40" w:after="0"/>
      <w:outlineLvl w:val="6"/>
    </w:pPr>
    <w:rPr>
      <w:rFonts w:asciiTheme="majorHAnsi" w:eastAsiaTheme="majorEastAsia" w:hAnsiTheme="majorHAnsi" w:cstheme="majorBidi"/>
      <w:i/>
      <w:iCs/>
      <w:color w:val="0025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3"/>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0B791E"/>
    <w:pPr>
      <w:tabs>
        <w:tab w:val="left" w:pos="360"/>
        <w:tab w:val="right" w:leader="dot" w:pos="9174"/>
      </w:tabs>
      <w:spacing w:before="240" w:after="100"/>
    </w:pPr>
  </w:style>
  <w:style w:type="paragraph" w:styleId="TOC2">
    <w:name w:val="toc 2"/>
    <w:basedOn w:val="Normal"/>
    <w:next w:val="Normal"/>
    <w:autoRedefine/>
    <w:uiPriority w:val="39"/>
    <w:unhideWhenUsed/>
    <w:rsid w:val="00143F41"/>
    <w:pPr>
      <w:tabs>
        <w:tab w:val="left" w:pos="660"/>
        <w:tab w:val="right" w:leader="dot" w:pos="9174"/>
      </w:tabs>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nhideWhenUsed/>
    <w:qFormat/>
    <w:rsid w:val="00870350"/>
    <w:pPr>
      <w:numPr>
        <w:numId w:val="7"/>
      </w:numPr>
      <w:suppressAutoHyphens w:val="0"/>
      <w:autoSpaceDE/>
      <w:autoSpaceDN/>
      <w:adjustRightInd/>
      <w:spacing w:after="60" w:line="240" w:lineRule="auto"/>
      <w:textAlignment w:val="auto"/>
    </w:pPr>
    <w:rPr>
      <w:rFonts w:eastAsia="Times New Roman" w:cs="Times New Roman"/>
      <w:color w:val="53565A"/>
      <w:szCs w:val="20"/>
      <w:lang w:val="en-AU"/>
    </w:rPr>
  </w:style>
  <w:style w:type="paragraph" w:styleId="FootnoteText">
    <w:name w:val="footnote text"/>
    <w:basedOn w:val="Footer"/>
    <w:link w:val="FootnoteTextChar"/>
    <w:unhideWhenUsed/>
    <w:rsid w:val="00FB199D"/>
    <w:pPr>
      <w:tabs>
        <w:tab w:val="clear" w:pos="4513"/>
        <w:tab w:val="clear" w:pos="9026"/>
        <w:tab w:val="center" w:pos="4320"/>
        <w:tab w:val="right" w:pos="8640"/>
      </w:tabs>
      <w:suppressAutoHyphens w:val="0"/>
      <w:autoSpaceDE/>
      <w:autoSpaceDN/>
      <w:adjustRightInd/>
      <w:spacing w:before="120" w:after="200" w:line="240" w:lineRule="auto"/>
      <w:jc w:val="left"/>
      <w:textAlignment w:val="auto"/>
    </w:pPr>
    <w:rPr>
      <w:rFonts w:eastAsia="Times New Roman" w:cs="Times New Roman"/>
      <w:color w:val="53565A"/>
      <w:sz w:val="16"/>
      <w:szCs w:val="16"/>
      <w:lang w:val="en-AU"/>
    </w:rPr>
  </w:style>
  <w:style w:type="character" w:customStyle="1" w:styleId="FootnoteTextChar">
    <w:name w:val="Footnote Text Char"/>
    <w:basedOn w:val="DefaultParagraphFont"/>
    <w:link w:val="FootnoteText"/>
    <w:rsid w:val="00FB199D"/>
    <w:rPr>
      <w:rFonts w:ascii="Arial" w:eastAsia="Times New Roman" w:hAnsi="Arial" w:cs="Times New Roman"/>
      <w:color w:val="53565A"/>
      <w:sz w:val="16"/>
      <w:szCs w:val="16"/>
    </w:rPr>
  </w:style>
  <w:style w:type="character" w:styleId="FootnoteReference">
    <w:name w:val="footnote reference"/>
    <w:unhideWhenUsed/>
    <w:rsid w:val="00FB199D"/>
    <w:rPr>
      <w:vertAlign w:val="superscript"/>
    </w:rPr>
  </w:style>
  <w:style w:type="paragraph" w:styleId="ListParagraph">
    <w:name w:val="List Paragraph"/>
    <w:aliases w:val="DdeM List Paragraph,List Paragraph1,Recommendation,List Paragraph11,List Paragraph2,NFP GP Bulleted List,NAST Quote,FooterText,numbered,Paragraphe de liste1,Bulletr List Paragraph,列出段落,列出段落1,List Paragraph21,Listeafsnit1,Parágrafo da List"/>
    <w:basedOn w:val="Normal"/>
    <w:link w:val="ListParagraphChar"/>
    <w:uiPriority w:val="34"/>
    <w:qFormat/>
    <w:rsid w:val="00E325BC"/>
    <w:pPr>
      <w:suppressAutoHyphens w:val="0"/>
      <w:autoSpaceDE/>
      <w:autoSpaceDN/>
      <w:adjustRightInd/>
      <w:spacing w:after="0" w:line="240" w:lineRule="auto"/>
      <w:ind w:left="720"/>
      <w:contextualSpacing/>
      <w:textAlignment w:val="auto"/>
    </w:pPr>
    <w:rPr>
      <w:rFonts w:ascii="Times New Roman" w:eastAsia="Times New Roman" w:hAnsi="Times New Roman" w:cs="Times New Roman"/>
      <w:color w:val="53565A"/>
      <w:sz w:val="24"/>
      <w:szCs w:val="24"/>
      <w:lang w:val="en-AU" w:eastAsia="en-AU"/>
    </w:rPr>
  </w:style>
  <w:style w:type="paragraph" w:customStyle="1" w:styleId="bodycopy">
    <w:name w:val="# body copy"/>
    <w:basedOn w:val="Normal"/>
    <w:qFormat/>
    <w:rsid w:val="00EF50A5"/>
    <w:pPr>
      <w:suppressAutoHyphens w:val="0"/>
      <w:autoSpaceDE/>
      <w:autoSpaceDN/>
      <w:adjustRightInd/>
      <w:spacing w:after="120" w:line="240" w:lineRule="auto"/>
      <w:textAlignment w:val="auto"/>
    </w:pPr>
    <w:rPr>
      <w:rFonts w:eastAsia="Times New Roman"/>
      <w:color w:val="53565A"/>
      <w:sz w:val="20"/>
      <w:szCs w:val="20"/>
      <w:lang w:val="en-AU" w:eastAsia="en-AU"/>
    </w:rPr>
  </w:style>
  <w:style w:type="character" w:customStyle="1" w:styleId="Heading4Char">
    <w:name w:val="Heading 4 Char"/>
    <w:basedOn w:val="DefaultParagraphFont"/>
    <w:link w:val="Heading4"/>
    <w:uiPriority w:val="9"/>
    <w:rsid w:val="00A63079"/>
    <w:rPr>
      <w:rFonts w:asciiTheme="majorHAnsi" w:eastAsiaTheme="majorEastAsia" w:hAnsiTheme="majorHAnsi" w:cstheme="majorBidi"/>
      <w:i/>
      <w:iCs/>
      <w:color w:val="003871" w:themeColor="accent1" w:themeShade="BF"/>
      <w:sz w:val="18"/>
      <w:szCs w:val="18"/>
      <w:lang w:val="en-US"/>
    </w:rPr>
  </w:style>
  <w:style w:type="table" w:styleId="LightList">
    <w:name w:val="Light List"/>
    <w:basedOn w:val="TableNormal"/>
    <w:uiPriority w:val="61"/>
    <w:rsid w:val="00155AC5"/>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unhideWhenUsed/>
    <w:qFormat/>
    <w:rsid w:val="00E47E60"/>
    <w:pPr>
      <w:keepLines/>
      <w:suppressAutoHyphens w:val="0"/>
      <w:autoSpaceDE/>
      <w:autoSpaceDN/>
      <w:adjustRightInd/>
      <w:spacing w:after="0" w:line="259" w:lineRule="auto"/>
      <w:textAlignment w:val="auto"/>
      <w:outlineLvl w:val="9"/>
    </w:pPr>
    <w:rPr>
      <w:rFonts w:asciiTheme="majorHAnsi" w:eastAsiaTheme="majorEastAsia" w:hAnsiTheme="majorHAnsi" w:cstheme="majorBidi"/>
      <w:color w:val="003871" w:themeColor="accent1" w:themeShade="BF"/>
      <w:sz w:val="32"/>
      <w:szCs w:val="32"/>
    </w:rPr>
  </w:style>
  <w:style w:type="paragraph" w:styleId="TOC3">
    <w:name w:val="toc 3"/>
    <w:basedOn w:val="Normal"/>
    <w:next w:val="Normal"/>
    <w:autoRedefine/>
    <w:uiPriority w:val="39"/>
    <w:unhideWhenUsed/>
    <w:rsid w:val="00337735"/>
    <w:pPr>
      <w:tabs>
        <w:tab w:val="left" w:pos="1100"/>
        <w:tab w:val="right" w:leader="dot" w:pos="9174"/>
      </w:tabs>
      <w:spacing w:after="100"/>
      <w:ind w:left="1134" w:hanging="774"/>
    </w:pPr>
  </w:style>
  <w:style w:type="paragraph" w:customStyle="1" w:styleId="Default">
    <w:name w:val="Default"/>
    <w:rsid w:val="00D74A0E"/>
    <w:pPr>
      <w:autoSpaceDE w:val="0"/>
      <w:autoSpaceDN w:val="0"/>
      <w:adjustRightInd w:val="0"/>
    </w:pPr>
    <w:rPr>
      <w:rFonts w:ascii="Arial" w:eastAsia="Calibri" w:hAnsi="Arial" w:cs="Arial"/>
      <w:color w:val="000000"/>
    </w:rPr>
  </w:style>
  <w:style w:type="character" w:styleId="CommentReference">
    <w:name w:val="annotation reference"/>
    <w:basedOn w:val="DefaultParagraphFont"/>
    <w:uiPriority w:val="99"/>
    <w:semiHidden/>
    <w:unhideWhenUsed/>
    <w:rsid w:val="001D0C36"/>
    <w:rPr>
      <w:sz w:val="16"/>
      <w:szCs w:val="16"/>
    </w:rPr>
  </w:style>
  <w:style w:type="paragraph" w:styleId="CommentText">
    <w:name w:val="annotation text"/>
    <w:basedOn w:val="Normal"/>
    <w:link w:val="CommentTextChar"/>
    <w:uiPriority w:val="99"/>
    <w:unhideWhenUsed/>
    <w:rsid w:val="001D0C36"/>
    <w:pPr>
      <w:spacing w:line="240" w:lineRule="auto"/>
    </w:pPr>
    <w:rPr>
      <w:sz w:val="20"/>
      <w:szCs w:val="20"/>
    </w:rPr>
  </w:style>
  <w:style w:type="character" w:customStyle="1" w:styleId="CommentTextChar">
    <w:name w:val="Comment Text Char"/>
    <w:basedOn w:val="DefaultParagraphFont"/>
    <w:link w:val="CommentText"/>
    <w:uiPriority w:val="99"/>
    <w:rsid w:val="001D0C36"/>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D0C36"/>
    <w:rPr>
      <w:b/>
      <w:bCs/>
    </w:rPr>
  </w:style>
  <w:style w:type="character" w:customStyle="1" w:styleId="CommentSubjectChar">
    <w:name w:val="Comment Subject Char"/>
    <w:basedOn w:val="CommentTextChar"/>
    <w:link w:val="CommentSubject"/>
    <w:uiPriority w:val="99"/>
    <w:semiHidden/>
    <w:rsid w:val="001D0C36"/>
    <w:rPr>
      <w:rFonts w:ascii="Arial" w:hAnsi="Arial" w:cs="Arial"/>
      <w:b/>
      <w:bCs/>
      <w:color w:val="000000"/>
      <w:sz w:val="20"/>
      <w:szCs w:val="20"/>
      <w:lang w:val="en-US"/>
    </w:rPr>
  </w:style>
  <w:style w:type="paragraph" w:styleId="Revision">
    <w:name w:val="Revision"/>
    <w:hidden/>
    <w:uiPriority w:val="99"/>
    <w:semiHidden/>
    <w:rsid w:val="00E65623"/>
    <w:rPr>
      <w:rFonts w:ascii="Arial" w:hAnsi="Arial" w:cs="Arial"/>
      <w:color w:val="000000"/>
      <w:sz w:val="18"/>
      <w:szCs w:val="18"/>
      <w:lang w:val="en-US"/>
    </w:rPr>
  </w:style>
  <w:style w:type="character" w:styleId="UnresolvedMention">
    <w:name w:val="Unresolved Mention"/>
    <w:basedOn w:val="DefaultParagraphFont"/>
    <w:uiPriority w:val="99"/>
    <w:semiHidden/>
    <w:unhideWhenUsed/>
    <w:rsid w:val="00780C91"/>
    <w:rPr>
      <w:color w:val="605E5C"/>
      <w:shd w:val="clear" w:color="auto" w:fill="E1DFDD"/>
    </w:rPr>
  </w:style>
  <w:style w:type="character" w:styleId="FollowedHyperlink">
    <w:name w:val="FollowedHyperlink"/>
    <w:basedOn w:val="DefaultParagraphFont"/>
    <w:uiPriority w:val="99"/>
    <w:semiHidden/>
    <w:unhideWhenUsed/>
    <w:rsid w:val="00DF6918"/>
    <w:rPr>
      <w:color w:val="073041" w:themeColor="followedHyperlink"/>
      <w:u w:val="single"/>
    </w:rPr>
  </w:style>
  <w:style w:type="character" w:styleId="Mention">
    <w:name w:val="Mention"/>
    <w:basedOn w:val="DefaultParagraphFont"/>
    <w:uiPriority w:val="99"/>
    <w:unhideWhenUsed/>
    <w:rsid w:val="002B77AD"/>
    <w:rPr>
      <w:color w:val="2B579A"/>
      <w:shd w:val="clear" w:color="auto" w:fill="E1DFDD"/>
    </w:rPr>
  </w:style>
  <w:style w:type="character" w:customStyle="1" w:styleId="Heading5Char">
    <w:name w:val="Heading 5 Char"/>
    <w:basedOn w:val="DefaultParagraphFont"/>
    <w:link w:val="Heading5"/>
    <w:uiPriority w:val="9"/>
    <w:rsid w:val="00AE7D96"/>
    <w:rPr>
      <w:rFonts w:asciiTheme="majorHAnsi" w:eastAsiaTheme="majorEastAsia" w:hAnsiTheme="majorHAnsi" w:cstheme="majorBidi"/>
      <w:color w:val="003871" w:themeColor="accent1" w:themeShade="BF"/>
      <w:sz w:val="18"/>
      <w:szCs w:val="18"/>
      <w:lang w:val="en-US"/>
    </w:rPr>
  </w:style>
  <w:style w:type="character" w:customStyle="1" w:styleId="Heading6Char">
    <w:name w:val="Heading 6 Char"/>
    <w:basedOn w:val="DefaultParagraphFont"/>
    <w:link w:val="Heading6"/>
    <w:uiPriority w:val="9"/>
    <w:rsid w:val="00AE7D96"/>
    <w:rPr>
      <w:rFonts w:asciiTheme="majorHAnsi" w:eastAsiaTheme="majorEastAsia" w:hAnsiTheme="majorHAnsi" w:cstheme="majorBidi"/>
      <w:color w:val="00254B" w:themeColor="accent1" w:themeShade="7F"/>
      <w:sz w:val="18"/>
      <w:szCs w:val="18"/>
      <w:lang w:val="en-US"/>
    </w:rPr>
  </w:style>
  <w:style w:type="character" w:customStyle="1" w:styleId="Heading7Char">
    <w:name w:val="Heading 7 Char"/>
    <w:basedOn w:val="DefaultParagraphFont"/>
    <w:link w:val="Heading7"/>
    <w:uiPriority w:val="9"/>
    <w:rsid w:val="00AE7D96"/>
    <w:rPr>
      <w:rFonts w:asciiTheme="majorHAnsi" w:eastAsiaTheme="majorEastAsia" w:hAnsiTheme="majorHAnsi" w:cstheme="majorBidi"/>
      <w:i/>
      <w:iCs/>
      <w:color w:val="00254B" w:themeColor="accent1" w:themeShade="7F"/>
      <w:sz w:val="18"/>
      <w:szCs w:val="18"/>
      <w:lang w:val="en-US"/>
    </w:rPr>
  </w:style>
  <w:style w:type="character" w:customStyle="1" w:styleId="normaltextrun">
    <w:name w:val="normaltextrun"/>
    <w:basedOn w:val="DefaultParagraphFont"/>
    <w:rsid w:val="00AE7D96"/>
  </w:style>
  <w:style w:type="character" w:styleId="Emphasis">
    <w:name w:val="Emphasis"/>
    <w:basedOn w:val="DefaultParagraphFont"/>
    <w:uiPriority w:val="20"/>
    <w:qFormat/>
    <w:rsid w:val="00AE7D96"/>
    <w:rPr>
      <w:i/>
      <w:iCs/>
    </w:rPr>
  </w:style>
  <w:style w:type="paragraph" w:styleId="NormalWeb">
    <w:name w:val="Normal (Web)"/>
    <w:basedOn w:val="Normal"/>
    <w:uiPriority w:val="99"/>
    <w:unhideWhenUsed/>
    <w:rsid w:val="00AE7D96"/>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styleId="TOC4">
    <w:name w:val="toc 4"/>
    <w:basedOn w:val="Normal"/>
    <w:next w:val="Normal"/>
    <w:autoRedefine/>
    <w:uiPriority w:val="39"/>
    <w:unhideWhenUsed/>
    <w:rsid w:val="00ED02B8"/>
    <w:pPr>
      <w:tabs>
        <w:tab w:val="left" w:pos="1320"/>
        <w:tab w:val="right" w:leader="dot" w:pos="9174"/>
      </w:tabs>
      <w:spacing w:after="100"/>
      <w:ind w:left="540"/>
    </w:pPr>
  </w:style>
  <w:style w:type="character" w:customStyle="1" w:styleId="ListParagraphChar">
    <w:name w:val="List Paragraph Char"/>
    <w:aliases w:val="DdeM List Paragraph Char,List Paragraph1 Char,Recommendation Char,List Paragraph11 Char,List Paragraph2 Char,NFP GP Bulleted List Char,NAST Quote Char,FooterText Char,numbered Char,Paragraphe de liste1 Char,列出段落 Char,列出段落1 Char"/>
    <w:basedOn w:val="DefaultParagraphFont"/>
    <w:link w:val="ListParagraph"/>
    <w:uiPriority w:val="34"/>
    <w:qFormat/>
    <w:locked/>
    <w:rsid w:val="00703AFA"/>
    <w:rPr>
      <w:rFonts w:ascii="Times New Roman" w:eastAsia="Times New Roman" w:hAnsi="Times New Roman" w:cs="Times New Roman"/>
      <w:color w:val="53565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27386">
      <w:bodyDiv w:val="1"/>
      <w:marLeft w:val="0"/>
      <w:marRight w:val="0"/>
      <w:marTop w:val="0"/>
      <w:marBottom w:val="0"/>
      <w:divBdr>
        <w:top w:val="none" w:sz="0" w:space="0" w:color="auto"/>
        <w:left w:val="none" w:sz="0" w:space="0" w:color="auto"/>
        <w:bottom w:val="none" w:sz="0" w:space="0" w:color="auto"/>
        <w:right w:val="none" w:sz="0" w:space="0" w:color="auto"/>
      </w:divBdr>
    </w:div>
    <w:div w:id="510149491">
      <w:bodyDiv w:val="1"/>
      <w:marLeft w:val="0"/>
      <w:marRight w:val="0"/>
      <w:marTop w:val="0"/>
      <w:marBottom w:val="0"/>
      <w:divBdr>
        <w:top w:val="none" w:sz="0" w:space="0" w:color="auto"/>
        <w:left w:val="none" w:sz="0" w:space="0" w:color="auto"/>
        <w:bottom w:val="none" w:sz="0" w:space="0" w:color="auto"/>
        <w:right w:val="none" w:sz="0" w:space="0" w:color="auto"/>
      </w:divBdr>
    </w:div>
    <w:div w:id="649090546">
      <w:bodyDiv w:val="1"/>
      <w:marLeft w:val="0"/>
      <w:marRight w:val="0"/>
      <w:marTop w:val="0"/>
      <w:marBottom w:val="0"/>
      <w:divBdr>
        <w:top w:val="none" w:sz="0" w:space="0" w:color="auto"/>
        <w:left w:val="none" w:sz="0" w:space="0" w:color="auto"/>
        <w:bottom w:val="none" w:sz="0" w:space="0" w:color="auto"/>
        <w:right w:val="none" w:sz="0" w:space="0" w:color="auto"/>
      </w:divBdr>
      <w:divsChild>
        <w:div w:id="213859449">
          <w:marLeft w:val="274"/>
          <w:marRight w:val="0"/>
          <w:marTop w:val="0"/>
          <w:marBottom w:val="0"/>
          <w:divBdr>
            <w:top w:val="none" w:sz="0" w:space="0" w:color="auto"/>
            <w:left w:val="none" w:sz="0" w:space="0" w:color="auto"/>
            <w:bottom w:val="none" w:sz="0" w:space="0" w:color="auto"/>
            <w:right w:val="none" w:sz="0" w:space="0" w:color="auto"/>
          </w:divBdr>
        </w:div>
        <w:div w:id="989283426">
          <w:marLeft w:val="274"/>
          <w:marRight w:val="0"/>
          <w:marTop w:val="0"/>
          <w:marBottom w:val="0"/>
          <w:divBdr>
            <w:top w:val="none" w:sz="0" w:space="0" w:color="auto"/>
            <w:left w:val="none" w:sz="0" w:space="0" w:color="auto"/>
            <w:bottom w:val="none" w:sz="0" w:space="0" w:color="auto"/>
            <w:right w:val="none" w:sz="0" w:space="0" w:color="auto"/>
          </w:divBdr>
        </w:div>
        <w:div w:id="1380321233">
          <w:marLeft w:val="274"/>
          <w:marRight w:val="0"/>
          <w:marTop w:val="0"/>
          <w:marBottom w:val="0"/>
          <w:divBdr>
            <w:top w:val="none" w:sz="0" w:space="0" w:color="auto"/>
            <w:left w:val="none" w:sz="0" w:space="0" w:color="auto"/>
            <w:bottom w:val="none" w:sz="0" w:space="0" w:color="auto"/>
            <w:right w:val="none" w:sz="0" w:space="0" w:color="auto"/>
          </w:divBdr>
        </w:div>
        <w:div w:id="1419863577">
          <w:marLeft w:val="274"/>
          <w:marRight w:val="0"/>
          <w:marTop w:val="0"/>
          <w:marBottom w:val="0"/>
          <w:divBdr>
            <w:top w:val="none" w:sz="0" w:space="0" w:color="auto"/>
            <w:left w:val="none" w:sz="0" w:space="0" w:color="auto"/>
            <w:bottom w:val="none" w:sz="0" w:space="0" w:color="auto"/>
            <w:right w:val="none" w:sz="0" w:space="0" w:color="auto"/>
          </w:divBdr>
        </w:div>
        <w:div w:id="1792825264">
          <w:marLeft w:val="274"/>
          <w:marRight w:val="0"/>
          <w:marTop w:val="0"/>
          <w:marBottom w:val="0"/>
          <w:divBdr>
            <w:top w:val="none" w:sz="0" w:space="0" w:color="auto"/>
            <w:left w:val="none" w:sz="0" w:space="0" w:color="auto"/>
            <w:bottom w:val="none" w:sz="0" w:space="0" w:color="auto"/>
            <w:right w:val="none" w:sz="0" w:space="0" w:color="auto"/>
          </w:divBdr>
        </w:div>
      </w:divsChild>
    </w:div>
    <w:div w:id="695666131">
      <w:bodyDiv w:val="1"/>
      <w:marLeft w:val="0"/>
      <w:marRight w:val="0"/>
      <w:marTop w:val="0"/>
      <w:marBottom w:val="0"/>
      <w:divBdr>
        <w:top w:val="none" w:sz="0" w:space="0" w:color="auto"/>
        <w:left w:val="none" w:sz="0" w:space="0" w:color="auto"/>
        <w:bottom w:val="none" w:sz="0" w:space="0" w:color="auto"/>
        <w:right w:val="none" w:sz="0" w:space="0" w:color="auto"/>
      </w:divBdr>
      <w:divsChild>
        <w:div w:id="82996976">
          <w:marLeft w:val="274"/>
          <w:marRight w:val="0"/>
          <w:marTop w:val="120"/>
          <w:marBottom w:val="0"/>
          <w:divBdr>
            <w:top w:val="none" w:sz="0" w:space="0" w:color="auto"/>
            <w:left w:val="none" w:sz="0" w:space="0" w:color="auto"/>
            <w:bottom w:val="none" w:sz="0" w:space="0" w:color="auto"/>
            <w:right w:val="none" w:sz="0" w:space="0" w:color="auto"/>
          </w:divBdr>
        </w:div>
      </w:divsChild>
    </w:div>
    <w:div w:id="721247402">
      <w:bodyDiv w:val="1"/>
      <w:marLeft w:val="0"/>
      <w:marRight w:val="0"/>
      <w:marTop w:val="0"/>
      <w:marBottom w:val="0"/>
      <w:divBdr>
        <w:top w:val="none" w:sz="0" w:space="0" w:color="auto"/>
        <w:left w:val="none" w:sz="0" w:space="0" w:color="auto"/>
        <w:bottom w:val="none" w:sz="0" w:space="0" w:color="auto"/>
        <w:right w:val="none" w:sz="0" w:space="0" w:color="auto"/>
      </w:divBdr>
    </w:div>
    <w:div w:id="722212898">
      <w:bodyDiv w:val="1"/>
      <w:marLeft w:val="0"/>
      <w:marRight w:val="0"/>
      <w:marTop w:val="0"/>
      <w:marBottom w:val="0"/>
      <w:divBdr>
        <w:top w:val="none" w:sz="0" w:space="0" w:color="auto"/>
        <w:left w:val="none" w:sz="0" w:space="0" w:color="auto"/>
        <w:bottom w:val="none" w:sz="0" w:space="0" w:color="auto"/>
        <w:right w:val="none" w:sz="0" w:space="0" w:color="auto"/>
      </w:divBdr>
      <w:divsChild>
        <w:div w:id="188570281">
          <w:marLeft w:val="274"/>
          <w:marRight w:val="0"/>
          <w:marTop w:val="120"/>
          <w:marBottom w:val="0"/>
          <w:divBdr>
            <w:top w:val="none" w:sz="0" w:space="0" w:color="auto"/>
            <w:left w:val="none" w:sz="0" w:space="0" w:color="auto"/>
            <w:bottom w:val="none" w:sz="0" w:space="0" w:color="auto"/>
            <w:right w:val="none" w:sz="0" w:space="0" w:color="auto"/>
          </w:divBdr>
        </w:div>
      </w:divsChild>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sChild>
        <w:div w:id="340208214">
          <w:marLeft w:val="274"/>
          <w:marRight w:val="0"/>
          <w:marTop w:val="120"/>
          <w:marBottom w:val="0"/>
          <w:divBdr>
            <w:top w:val="none" w:sz="0" w:space="0" w:color="auto"/>
            <w:left w:val="none" w:sz="0" w:space="0" w:color="auto"/>
            <w:bottom w:val="none" w:sz="0" w:space="0" w:color="auto"/>
            <w:right w:val="none" w:sz="0" w:space="0" w:color="auto"/>
          </w:divBdr>
        </w:div>
        <w:div w:id="655644480">
          <w:marLeft w:val="274"/>
          <w:marRight w:val="0"/>
          <w:marTop w:val="120"/>
          <w:marBottom w:val="0"/>
          <w:divBdr>
            <w:top w:val="none" w:sz="0" w:space="0" w:color="auto"/>
            <w:left w:val="none" w:sz="0" w:space="0" w:color="auto"/>
            <w:bottom w:val="none" w:sz="0" w:space="0" w:color="auto"/>
            <w:right w:val="none" w:sz="0" w:space="0" w:color="auto"/>
          </w:divBdr>
        </w:div>
        <w:div w:id="1858471014">
          <w:marLeft w:val="274"/>
          <w:marRight w:val="0"/>
          <w:marTop w:val="120"/>
          <w:marBottom w:val="0"/>
          <w:divBdr>
            <w:top w:val="none" w:sz="0" w:space="0" w:color="auto"/>
            <w:left w:val="none" w:sz="0" w:space="0" w:color="auto"/>
            <w:bottom w:val="none" w:sz="0" w:space="0" w:color="auto"/>
            <w:right w:val="none" w:sz="0" w:space="0" w:color="auto"/>
          </w:divBdr>
        </w:div>
      </w:divsChild>
    </w:div>
    <w:div w:id="1156914517">
      <w:bodyDiv w:val="1"/>
      <w:marLeft w:val="0"/>
      <w:marRight w:val="0"/>
      <w:marTop w:val="0"/>
      <w:marBottom w:val="0"/>
      <w:divBdr>
        <w:top w:val="none" w:sz="0" w:space="0" w:color="auto"/>
        <w:left w:val="none" w:sz="0" w:space="0" w:color="auto"/>
        <w:bottom w:val="none" w:sz="0" w:space="0" w:color="auto"/>
        <w:right w:val="none" w:sz="0" w:space="0" w:color="auto"/>
      </w:divBdr>
    </w:div>
    <w:div w:id="1198658348">
      <w:bodyDiv w:val="1"/>
      <w:marLeft w:val="0"/>
      <w:marRight w:val="0"/>
      <w:marTop w:val="0"/>
      <w:marBottom w:val="0"/>
      <w:divBdr>
        <w:top w:val="none" w:sz="0" w:space="0" w:color="auto"/>
        <w:left w:val="none" w:sz="0" w:space="0" w:color="auto"/>
        <w:bottom w:val="none" w:sz="0" w:space="0" w:color="auto"/>
        <w:right w:val="none" w:sz="0" w:space="0" w:color="auto"/>
      </w:divBdr>
    </w:div>
    <w:div w:id="1245066657">
      <w:bodyDiv w:val="1"/>
      <w:marLeft w:val="0"/>
      <w:marRight w:val="0"/>
      <w:marTop w:val="0"/>
      <w:marBottom w:val="0"/>
      <w:divBdr>
        <w:top w:val="none" w:sz="0" w:space="0" w:color="auto"/>
        <w:left w:val="none" w:sz="0" w:space="0" w:color="auto"/>
        <w:bottom w:val="none" w:sz="0" w:space="0" w:color="auto"/>
        <w:right w:val="none" w:sz="0" w:space="0" w:color="auto"/>
      </w:divBdr>
    </w:div>
    <w:div w:id="1246964079">
      <w:bodyDiv w:val="1"/>
      <w:marLeft w:val="0"/>
      <w:marRight w:val="0"/>
      <w:marTop w:val="0"/>
      <w:marBottom w:val="0"/>
      <w:divBdr>
        <w:top w:val="none" w:sz="0" w:space="0" w:color="auto"/>
        <w:left w:val="none" w:sz="0" w:space="0" w:color="auto"/>
        <w:bottom w:val="none" w:sz="0" w:space="0" w:color="auto"/>
        <w:right w:val="none" w:sz="0" w:space="0" w:color="auto"/>
      </w:divBdr>
    </w:div>
    <w:div w:id="1341734688">
      <w:bodyDiv w:val="1"/>
      <w:marLeft w:val="0"/>
      <w:marRight w:val="0"/>
      <w:marTop w:val="0"/>
      <w:marBottom w:val="0"/>
      <w:divBdr>
        <w:top w:val="none" w:sz="0" w:space="0" w:color="auto"/>
        <w:left w:val="none" w:sz="0" w:space="0" w:color="auto"/>
        <w:bottom w:val="none" w:sz="0" w:space="0" w:color="auto"/>
        <w:right w:val="none" w:sz="0" w:space="0" w:color="auto"/>
      </w:divBdr>
    </w:div>
    <w:div w:id="1371490338">
      <w:bodyDiv w:val="1"/>
      <w:marLeft w:val="0"/>
      <w:marRight w:val="0"/>
      <w:marTop w:val="0"/>
      <w:marBottom w:val="0"/>
      <w:divBdr>
        <w:top w:val="none" w:sz="0" w:space="0" w:color="auto"/>
        <w:left w:val="none" w:sz="0" w:space="0" w:color="auto"/>
        <w:bottom w:val="none" w:sz="0" w:space="0" w:color="auto"/>
        <w:right w:val="none" w:sz="0" w:space="0" w:color="auto"/>
      </w:divBdr>
    </w:div>
    <w:div w:id="1698434585">
      <w:bodyDiv w:val="1"/>
      <w:marLeft w:val="0"/>
      <w:marRight w:val="0"/>
      <w:marTop w:val="0"/>
      <w:marBottom w:val="0"/>
      <w:divBdr>
        <w:top w:val="none" w:sz="0" w:space="0" w:color="auto"/>
        <w:left w:val="none" w:sz="0" w:space="0" w:color="auto"/>
        <w:bottom w:val="none" w:sz="0" w:space="0" w:color="auto"/>
        <w:right w:val="none" w:sz="0" w:space="0" w:color="auto"/>
      </w:divBdr>
      <w:divsChild>
        <w:div w:id="213128391">
          <w:marLeft w:val="274"/>
          <w:marRight w:val="0"/>
          <w:marTop w:val="120"/>
          <w:marBottom w:val="0"/>
          <w:divBdr>
            <w:top w:val="none" w:sz="0" w:space="0" w:color="auto"/>
            <w:left w:val="none" w:sz="0" w:space="0" w:color="auto"/>
            <w:bottom w:val="none" w:sz="0" w:space="0" w:color="auto"/>
            <w:right w:val="none" w:sz="0" w:space="0" w:color="auto"/>
          </w:divBdr>
        </w:div>
        <w:div w:id="748111930">
          <w:marLeft w:val="274"/>
          <w:marRight w:val="0"/>
          <w:marTop w:val="120"/>
          <w:marBottom w:val="0"/>
          <w:divBdr>
            <w:top w:val="none" w:sz="0" w:space="0" w:color="auto"/>
            <w:left w:val="none" w:sz="0" w:space="0" w:color="auto"/>
            <w:bottom w:val="none" w:sz="0" w:space="0" w:color="auto"/>
            <w:right w:val="none" w:sz="0" w:space="0" w:color="auto"/>
          </w:divBdr>
        </w:div>
        <w:div w:id="1147937022">
          <w:marLeft w:val="274"/>
          <w:marRight w:val="0"/>
          <w:marTop w:val="120"/>
          <w:marBottom w:val="0"/>
          <w:divBdr>
            <w:top w:val="none" w:sz="0" w:space="0" w:color="auto"/>
            <w:left w:val="none" w:sz="0" w:space="0" w:color="auto"/>
            <w:bottom w:val="none" w:sz="0" w:space="0" w:color="auto"/>
            <w:right w:val="none" w:sz="0" w:space="0" w:color="auto"/>
          </w:divBdr>
        </w:div>
        <w:div w:id="1709068369">
          <w:marLeft w:val="274"/>
          <w:marRight w:val="0"/>
          <w:marTop w:val="120"/>
          <w:marBottom w:val="0"/>
          <w:divBdr>
            <w:top w:val="none" w:sz="0" w:space="0" w:color="auto"/>
            <w:left w:val="none" w:sz="0" w:space="0" w:color="auto"/>
            <w:bottom w:val="none" w:sz="0" w:space="0" w:color="auto"/>
            <w:right w:val="none" w:sz="0" w:space="0" w:color="auto"/>
          </w:divBdr>
        </w:div>
        <w:div w:id="2011982435">
          <w:marLeft w:val="274"/>
          <w:marRight w:val="0"/>
          <w:marTop w:val="120"/>
          <w:marBottom w:val="0"/>
          <w:divBdr>
            <w:top w:val="none" w:sz="0" w:space="0" w:color="auto"/>
            <w:left w:val="none" w:sz="0" w:space="0" w:color="auto"/>
            <w:bottom w:val="none" w:sz="0" w:space="0" w:color="auto"/>
            <w:right w:val="none" w:sz="0" w:space="0" w:color="auto"/>
          </w:divBdr>
        </w:div>
        <w:div w:id="2086948692">
          <w:marLeft w:val="274"/>
          <w:marRight w:val="0"/>
          <w:marTop w:val="120"/>
          <w:marBottom w:val="0"/>
          <w:divBdr>
            <w:top w:val="none" w:sz="0" w:space="0" w:color="auto"/>
            <w:left w:val="none" w:sz="0" w:space="0" w:color="auto"/>
            <w:bottom w:val="none" w:sz="0" w:space="0" w:color="auto"/>
            <w:right w:val="none" w:sz="0" w:space="0" w:color="auto"/>
          </w:divBdr>
        </w:div>
      </w:divsChild>
    </w:div>
    <w:div w:id="1741714977">
      <w:bodyDiv w:val="1"/>
      <w:marLeft w:val="0"/>
      <w:marRight w:val="0"/>
      <w:marTop w:val="0"/>
      <w:marBottom w:val="0"/>
      <w:divBdr>
        <w:top w:val="none" w:sz="0" w:space="0" w:color="auto"/>
        <w:left w:val="none" w:sz="0" w:space="0" w:color="auto"/>
        <w:bottom w:val="none" w:sz="0" w:space="0" w:color="auto"/>
        <w:right w:val="none" w:sz="0" w:space="0" w:color="auto"/>
      </w:divBdr>
      <w:divsChild>
        <w:div w:id="486090438">
          <w:marLeft w:val="274"/>
          <w:marRight w:val="0"/>
          <w:marTop w:val="120"/>
          <w:marBottom w:val="0"/>
          <w:divBdr>
            <w:top w:val="none" w:sz="0" w:space="0" w:color="auto"/>
            <w:left w:val="none" w:sz="0" w:space="0" w:color="auto"/>
            <w:bottom w:val="none" w:sz="0" w:space="0" w:color="auto"/>
            <w:right w:val="none" w:sz="0" w:space="0" w:color="auto"/>
          </w:divBdr>
        </w:div>
        <w:div w:id="1019507536">
          <w:marLeft w:val="274"/>
          <w:marRight w:val="0"/>
          <w:marTop w:val="120"/>
          <w:marBottom w:val="0"/>
          <w:divBdr>
            <w:top w:val="none" w:sz="0" w:space="0" w:color="auto"/>
            <w:left w:val="none" w:sz="0" w:space="0" w:color="auto"/>
            <w:bottom w:val="none" w:sz="0" w:space="0" w:color="auto"/>
            <w:right w:val="none" w:sz="0" w:space="0" w:color="auto"/>
          </w:divBdr>
        </w:div>
        <w:div w:id="1034888976">
          <w:marLeft w:val="274"/>
          <w:marRight w:val="0"/>
          <w:marTop w:val="120"/>
          <w:marBottom w:val="0"/>
          <w:divBdr>
            <w:top w:val="none" w:sz="0" w:space="0" w:color="auto"/>
            <w:left w:val="none" w:sz="0" w:space="0" w:color="auto"/>
            <w:bottom w:val="none" w:sz="0" w:space="0" w:color="auto"/>
            <w:right w:val="none" w:sz="0" w:space="0" w:color="auto"/>
          </w:divBdr>
        </w:div>
        <w:div w:id="1338574549">
          <w:marLeft w:val="274"/>
          <w:marRight w:val="0"/>
          <w:marTop w:val="120"/>
          <w:marBottom w:val="0"/>
          <w:divBdr>
            <w:top w:val="none" w:sz="0" w:space="0" w:color="auto"/>
            <w:left w:val="none" w:sz="0" w:space="0" w:color="auto"/>
            <w:bottom w:val="none" w:sz="0" w:space="0" w:color="auto"/>
            <w:right w:val="none" w:sz="0" w:space="0" w:color="auto"/>
          </w:divBdr>
        </w:div>
        <w:div w:id="1378697033">
          <w:marLeft w:val="274"/>
          <w:marRight w:val="0"/>
          <w:marTop w:val="120"/>
          <w:marBottom w:val="0"/>
          <w:divBdr>
            <w:top w:val="none" w:sz="0" w:space="0" w:color="auto"/>
            <w:left w:val="none" w:sz="0" w:space="0" w:color="auto"/>
            <w:bottom w:val="none" w:sz="0" w:space="0" w:color="auto"/>
            <w:right w:val="none" w:sz="0" w:space="0" w:color="auto"/>
          </w:divBdr>
        </w:div>
        <w:div w:id="1429161027">
          <w:marLeft w:val="274"/>
          <w:marRight w:val="0"/>
          <w:marTop w:val="120"/>
          <w:marBottom w:val="0"/>
          <w:divBdr>
            <w:top w:val="none" w:sz="0" w:space="0" w:color="auto"/>
            <w:left w:val="none" w:sz="0" w:space="0" w:color="auto"/>
            <w:bottom w:val="none" w:sz="0" w:space="0" w:color="auto"/>
            <w:right w:val="none" w:sz="0" w:space="0" w:color="auto"/>
          </w:divBdr>
        </w:div>
        <w:div w:id="1585534703">
          <w:marLeft w:val="274"/>
          <w:marRight w:val="0"/>
          <w:marTop w:val="120"/>
          <w:marBottom w:val="0"/>
          <w:divBdr>
            <w:top w:val="none" w:sz="0" w:space="0" w:color="auto"/>
            <w:left w:val="none" w:sz="0" w:space="0" w:color="auto"/>
            <w:bottom w:val="none" w:sz="0" w:space="0" w:color="auto"/>
            <w:right w:val="none" w:sz="0" w:space="0" w:color="auto"/>
          </w:divBdr>
        </w:div>
        <w:div w:id="2102951517">
          <w:marLeft w:val="274"/>
          <w:marRight w:val="0"/>
          <w:marTop w:val="120"/>
          <w:marBottom w:val="0"/>
          <w:divBdr>
            <w:top w:val="none" w:sz="0" w:space="0" w:color="auto"/>
            <w:left w:val="none" w:sz="0" w:space="0" w:color="auto"/>
            <w:bottom w:val="none" w:sz="0" w:space="0" w:color="auto"/>
            <w:right w:val="none" w:sz="0" w:space="0" w:color="auto"/>
          </w:divBdr>
        </w:div>
      </w:divsChild>
    </w:div>
    <w:div w:id="1780445984">
      <w:bodyDiv w:val="1"/>
      <w:marLeft w:val="0"/>
      <w:marRight w:val="0"/>
      <w:marTop w:val="0"/>
      <w:marBottom w:val="0"/>
      <w:divBdr>
        <w:top w:val="none" w:sz="0" w:space="0" w:color="auto"/>
        <w:left w:val="none" w:sz="0" w:space="0" w:color="auto"/>
        <w:bottom w:val="none" w:sz="0" w:space="0" w:color="auto"/>
        <w:right w:val="none" w:sz="0" w:space="0" w:color="auto"/>
      </w:divBdr>
    </w:div>
    <w:div w:id="1795173136">
      <w:bodyDiv w:val="1"/>
      <w:marLeft w:val="0"/>
      <w:marRight w:val="0"/>
      <w:marTop w:val="0"/>
      <w:marBottom w:val="0"/>
      <w:divBdr>
        <w:top w:val="none" w:sz="0" w:space="0" w:color="auto"/>
        <w:left w:val="none" w:sz="0" w:space="0" w:color="auto"/>
        <w:bottom w:val="none" w:sz="0" w:space="0" w:color="auto"/>
        <w:right w:val="none" w:sz="0" w:space="0" w:color="auto"/>
      </w:divBdr>
    </w:div>
    <w:div w:id="1884096962">
      <w:bodyDiv w:val="1"/>
      <w:marLeft w:val="0"/>
      <w:marRight w:val="0"/>
      <w:marTop w:val="0"/>
      <w:marBottom w:val="0"/>
      <w:divBdr>
        <w:top w:val="none" w:sz="0" w:space="0" w:color="auto"/>
        <w:left w:val="none" w:sz="0" w:space="0" w:color="auto"/>
        <w:bottom w:val="none" w:sz="0" w:space="0" w:color="auto"/>
        <w:right w:val="none" w:sz="0" w:space="0" w:color="auto"/>
      </w:divBdr>
    </w:div>
    <w:div w:id="1984309231">
      <w:bodyDiv w:val="1"/>
      <w:marLeft w:val="0"/>
      <w:marRight w:val="0"/>
      <w:marTop w:val="0"/>
      <w:marBottom w:val="0"/>
      <w:divBdr>
        <w:top w:val="none" w:sz="0" w:space="0" w:color="auto"/>
        <w:left w:val="none" w:sz="0" w:space="0" w:color="auto"/>
        <w:bottom w:val="none" w:sz="0" w:space="0" w:color="auto"/>
        <w:right w:val="none" w:sz="0" w:space="0" w:color="auto"/>
      </w:divBdr>
      <w:divsChild>
        <w:div w:id="58094317">
          <w:marLeft w:val="274"/>
          <w:marRight w:val="0"/>
          <w:marTop w:val="120"/>
          <w:marBottom w:val="0"/>
          <w:divBdr>
            <w:top w:val="none" w:sz="0" w:space="0" w:color="auto"/>
            <w:left w:val="none" w:sz="0" w:space="0" w:color="auto"/>
            <w:bottom w:val="none" w:sz="0" w:space="0" w:color="auto"/>
            <w:right w:val="none" w:sz="0" w:space="0" w:color="auto"/>
          </w:divBdr>
        </w:div>
        <w:div w:id="471606771">
          <w:marLeft w:val="274"/>
          <w:marRight w:val="0"/>
          <w:marTop w:val="120"/>
          <w:marBottom w:val="0"/>
          <w:divBdr>
            <w:top w:val="none" w:sz="0" w:space="0" w:color="auto"/>
            <w:left w:val="none" w:sz="0" w:space="0" w:color="auto"/>
            <w:bottom w:val="none" w:sz="0" w:space="0" w:color="auto"/>
            <w:right w:val="none" w:sz="0" w:space="0" w:color="auto"/>
          </w:divBdr>
        </w:div>
        <w:div w:id="717706980">
          <w:marLeft w:val="274"/>
          <w:marRight w:val="0"/>
          <w:marTop w:val="120"/>
          <w:marBottom w:val="0"/>
          <w:divBdr>
            <w:top w:val="none" w:sz="0" w:space="0" w:color="auto"/>
            <w:left w:val="none" w:sz="0" w:space="0" w:color="auto"/>
            <w:bottom w:val="none" w:sz="0" w:space="0" w:color="auto"/>
            <w:right w:val="none" w:sz="0" w:space="0" w:color="auto"/>
          </w:divBdr>
        </w:div>
        <w:div w:id="1748185148">
          <w:marLeft w:val="274"/>
          <w:marRight w:val="0"/>
          <w:marTop w:val="120"/>
          <w:marBottom w:val="0"/>
          <w:divBdr>
            <w:top w:val="none" w:sz="0" w:space="0" w:color="auto"/>
            <w:left w:val="none" w:sz="0" w:space="0" w:color="auto"/>
            <w:bottom w:val="none" w:sz="0" w:space="0" w:color="auto"/>
            <w:right w:val="none" w:sz="0" w:space="0" w:color="auto"/>
          </w:divBdr>
        </w:div>
      </w:divsChild>
    </w:div>
    <w:div w:id="2021928512">
      <w:bodyDiv w:val="1"/>
      <w:marLeft w:val="0"/>
      <w:marRight w:val="0"/>
      <w:marTop w:val="0"/>
      <w:marBottom w:val="0"/>
      <w:divBdr>
        <w:top w:val="none" w:sz="0" w:space="0" w:color="auto"/>
        <w:left w:val="none" w:sz="0" w:space="0" w:color="auto"/>
        <w:bottom w:val="none" w:sz="0" w:space="0" w:color="auto"/>
        <w:right w:val="none" w:sz="0" w:space="0" w:color="auto"/>
      </w:divBdr>
      <w:divsChild>
        <w:div w:id="1955287813">
          <w:marLeft w:val="274"/>
          <w:marRight w:val="0"/>
          <w:marTop w:val="120"/>
          <w:marBottom w:val="0"/>
          <w:divBdr>
            <w:top w:val="none" w:sz="0" w:space="0" w:color="auto"/>
            <w:left w:val="none" w:sz="0" w:space="0" w:color="auto"/>
            <w:bottom w:val="none" w:sz="0" w:space="0" w:color="auto"/>
            <w:right w:val="none" w:sz="0" w:space="0" w:color="auto"/>
          </w:divBdr>
        </w:div>
      </w:divsChild>
    </w:div>
    <w:div w:id="2044592714">
      <w:bodyDiv w:val="1"/>
      <w:marLeft w:val="0"/>
      <w:marRight w:val="0"/>
      <w:marTop w:val="0"/>
      <w:marBottom w:val="0"/>
      <w:divBdr>
        <w:top w:val="none" w:sz="0" w:space="0" w:color="auto"/>
        <w:left w:val="none" w:sz="0" w:space="0" w:color="auto"/>
        <w:bottom w:val="none" w:sz="0" w:space="0" w:color="auto"/>
        <w:right w:val="none" w:sz="0" w:space="0" w:color="auto"/>
      </w:divBdr>
    </w:div>
    <w:div w:id="206104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tf.vic.gov.au" TargetMode="External"/><Relationship Id="rId21" Type="http://schemas.openxmlformats.org/officeDocument/2006/relationships/hyperlink" Target="https://www.dtf.vic.gov.au/planning-budgeting-and-financial-reporting-frameworks/corporate-planning-and-performance-reporting-requirements" TargetMode="External"/><Relationship Id="rId42" Type="http://schemas.openxmlformats.org/officeDocument/2006/relationships/hyperlink" Target="https://vpsc.vic.gov.au/resources/conflict-of-interest-and-duty-guidance-for-directors/" TargetMode="External"/><Relationship Id="rId63" Type="http://schemas.openxmlformats.org/officeDocument/2006/relationships/hyperlink" Target="https://vpsc.vic.gov.au/ethics-behaviours-culture/gifts-benefits-hospitality/" TargetMode="External"/><Relationship Id="rId84" Type="http://schemas.openxmlformats.org/officeDocument/2006/relationships/hyperlink" Target="https://www.legislation.vic.gov.au/in-force/acts/charter-human-rights-and-responsibilities-act-2006/014" TargetMode="External"/><Relationship Id="rId138" Type="http://schemas.openxmlformats.org/officeDocument/2006/relationships/hyperlink" Target="https://www.vic.gov.au/guidelines-appointment-remuneration" TargetMode="External"/><Relationship Id="rId159" Type="http://schemas.openxmlformats.org/officeDocument/2006/relationships/hyperlink" Target="https://www.vic.gov.au/good-board-governance" TargetMode="External"/><Relationship Id="rId170" Type="http://schemas.openxmlformats.org/officeDocument/2006/relationships/hyperlink" Target="http://www.vpsc.vic.gov.au" TargetMode="External"/><Relationship Id="rId191" Type="http://schemas.openxmlformats.org/officeDocument/2006/relationships/hyperlink" Target="http://www.ccyp.vic.gov.au" TargetMode="External"/><Relationship Id="rId205" Type="http://schemas.openxmlformats.org/officeDocument/2006/relationships/header" Target="header9.xml"/><Relationship Id="rId107" Type="http://schemas.openxmlformats.org/officeDocument/2006/relationships/hyperlink" Target="https://www.vic.gov.au/diversity-victorian-government-board-guidelines" TargetMode="External"/><Relationship Id="rId11" Type="http://schemas.openxmlformats.org/officeDocument/2006/relationships/header" Target="header1.xml"/><Relationship Id="rId32" Type="http://schemas.openxmlformats.org/officeDocument/2006/relationships/hyperlink" Target="https://www.dtf.vic.gov.au/financial-management-government/standing-directions-2018-under-financial-management-act-1994" TargetMode="External"/><Relationship Id="rId53" Type="http://schemas.openxmlformats.org/officeDocument/2006/relationships/hyperlink" Target="https://intranet.djsir.vic.gov.au/policies-forms-and-templates/conflict-of-interest-policy" TargetMode="External"/><Relationship Id="rId74" Type="http://schemas.openxmlformats.org/officeDocument/2006/relationships/hyperlink" Target="https://urldefense.com/v3/__https:/djsirstaff-internalcommsonly.cmail19.com/t/r-l-thjhiutk-byuklikmt-jy/__;!!C5rN6bSF!EwcftCWK8SmsuGiE8Kvi4Myuw7RhuLeuCwt_WLQV0VixoM0T1Uw5gN-ZlQpn47V2AKK2g6NuU7aMWSlebYW800nkvQJNkHsU33jlffUHVQgd_F4kVQ$" TargetMode="External"/><Relationship Id="rId128" Type="http://schemas.openxmlformats.org/officeDocument/2006/relationships/hyperlink" Target="https://www.dtf.vic.gov.au/infrastructure-investment/asset-management-accountability-framework" TargetMode="External"/><Relationship Id="rId149" Type="http://schemas.openxmlformats.org/officeDocument/2006/relationships/hyperlink" Target="https://vpsc.vic.gov.au/toolkits/wellbeing/employees-with-disability/" TargetMode="External"/><Relationship Id="rId5" Type="http://schemas.openxmlformats.org/officeDocument/2006/relationships/numbering" Target="numbering.xml"/><Relationship Id="rId95" Type="http://schemas.openxmlformats.org/officeDocument/2006/relationships/hyperlink" Target="https://www.legislation.vic.gov.au/as-made/acts/protected-disclosure-act-2012" TargetMode="External"/><Relationship Id="rId160" Type="http://schemas.openxmlformats.org/officeDocument/2006/relationships/hyperlink" Target="http://www.vpsc.vic.gov.au" TargetMode="External"/><Relationship Id="rId181" Type="http://schemas.openxmlformats.org/officeDocument/2006/relationships/hyperlink" Target="https://djsir.vic.gov.au/about-us/overview/policy-framework/gifts,-benefits-and-hospitality-policy" TargetMode="External"/><Relationship Id="rId22" Type="http://schemas.openxmlformats.org/officeDocument/2006/relationships/hyperlink" Target="https://intranet.djsir.vic.gov.au/doctools/documents?rootid=661771" TargetMode="External"/><Relationship Id="rId43" Type="http://schemas.openxmlformats.org/officeDocument/2006/relationships/hyperlink" Target="https://www.legislation.vic.gov.au/in-force/acts/occupational-health-and-safety-act-2004/043" TargetMode="External"/><Relationship Id="rId64" Type="http://schemas.openxmlformats.org/officeDocument/2006/relationships/hyperlink" Target="https://vpsc.vic.gov.au/ethics-behaviours-culture/gifts-benefits-hospitality/minimum-accountabilities/" TargetMode="External"/><Relationship Id="rId118" Type="http://schemas.openxmlformats.org/officeDocument/2006/relationships/hyperlink" Target="https://www.dtf.vic.gov.au/infrastructure-investment/investment-lifecycle-and-high-value-and-high-risk-guidelines" TargetMode="External"/><Relationship Id="rId139" Type="http://schemas.openxmlformats.org/officeDocument/2006/relationships/hyperlink" Target="http://www.dpc.vic.gov.au" TargetMode="External"/><Relationship Id="rId85" Type="http://schemas.openxmlformats.org/officeDocument/2006/relationships/hyperlink" Target="https://www.legislation.vic.gov.au/in-force/acts/child-wellbeing-and-safety-act-2005/041" TargetMode="External"/><Relationship Id="rId150" Type="http://schemas.openxmlformats.org/officeDocument/2006/relationships/hyperlink" Target="http://www.vpsc.vic.gov.au" TargetMode="External"/><Relationship Id="rId171" Type="http://schemas.openxmlformats.org/officeDocument/2006/relationships/hyperlink" Target="https://vpsc.vic.gov.au/ethics-behaviours-culture/conflict-of-interest/" TargetMode="External"/><Relationship Id="rId192" Type="http://schemas.openxmlformats.org/officeDocument/2006/relationships/hyperlink" Target="https://www.nationalredress.gov.au/?gclid=EAIaIQobChMI7_Dty-7RgwMVi6VmAh1Z4QTlEAAYASAAEgJ_RvD_BwE&amp;gclsrc=aw.ds" TargetMode="External"/><Relationship Id="rId206" Type="http://schemas.openxmlformats.org/officeDocument/2006/relationships/fontTable" Target="fontTable.xml"/><Relationship Id="rId12" Type="http://schemas.openxmlformats.org/officeDocument/2006/relationships/header" Target="header2.xml"/><Relationship Id="rId33" Type="http://schemas.openxmlformats.org/officeDocument/2006/relationships/hyperlink" Target="https://www.dtf.vic.gov.au/infrastructure-investment/asset-management-accountability-framework" TargetMode="External"/><Relationship Id="rId108" Type="http://schemas.openxmlformats.org/officeDocument/2006/relationships/hyperlink" Target="https://vpsc.vic.gov.au/workforce-programs/disability-employment/" TargetMode="External"/><Relationship Id="rId129" Type="http://schemas.openxmlformats.org/officeDocument/2006/relationships/hyperlink" Target="http://www.dtf.vic.gov.au" TargetMode="External"/><Relationship Id="rId54" Type="http://schemas.openxmlformats.org/officeDocument/2006/relationships/hyperlink" Target="https://intranet.djsir.vic.gov.au/policies-forms-and-templates/fraud-and-corruption-control-policy" TargetMode="External"/><Relationship Id="rId75" Type="http://schemas.openxmlformats.org/officeDocument/2006/relationships/hyperlink" Target="https://ccyp.vic.gov.au/child-safe-standards/the-11-child-safe-standards/" TargetMode="External"/><Relationship Id="rId96" Type="http://schemas.openxmlformats.org/officeDocument/2006/relationships/hyperlink" Target="https://www.legislation.vic.gov.au/in-force/acts/project-development-and-construction-management-act-1994/046" TargetMode="External"/><Relationship Id="rId140" Type="http://schemas.openxmlformats.org/officeDocument/2006/relationships/hyperlink" Target="https://www.boards.vic.gov.au/assessing-public-board-performance" TargetMode="External"/><Relationship Id="rId161" Type="http://schemas.openxmlformats.org/officeDocument/2006/relationships/hyperlink" Target="https://www.boards.vic.gov.au/code-conduct-directors-victorian-public-entities" TargetMode="External"/><Relationship Id="rId182" Type="http://schemas.openxmlformats.org/officeDocument/2006/relationships/hyperlink" Target="http://www.djsir.vic.gov.au" TargetMode="External"/><Relationship Id="rId6" Type="http://schemas.openxmlformats.org/officeDocument/2006/relationships/styles" Target="styles.xml"/><Relationship Id="rId23" Type="http://schemas.openxmlformats.org/officeDocument/2006/relationships/hyperlink" Target="https://www.dtf.vic.gov.au/sites/default/files/2024-10/Resource-Management-Framework-Part-1-of-2-Main-Document-effective-1-July-2024.pdf" TargetMode="External"/><Relationship Id="rId119" Type="http://schemas.openxmlformats.org/officeDocument/2006/relationships/hyperlink" Target="http://www.dtf.vic.gov.au" TargetMode="External"/><Relationship Id="rId44" Type="http://schemas.openxmlformats.org/officeDocument/2006/relationships/hyperlink" Target="https://www.worksafe.vic.gov.au/" TargetMode="External"/><Relationship Id="rId65" Type="http://schemas.openxmlformats.org/officeDocument/2006/relationships/hyperlink" Target="https://djsir.vic.gov.au/about-us/overview/policy-framework/gifts,-benefits-and-hospitality-policy" TargetMode="External"/><Relationship Id="rId86" Type="http://schemas.openxmlformats.org/officeDocument/2006/relationships/hyperlink" Target="https://www.legislation.vic.gov.au/as-made/acts/children-legislation-amendment-reportable-conduct-act-2017" TargetMode="External"/><Relationship Id="rId130" Type="http://schemas.openxmlformats.org/officeDocument/2006/relationships/hyperlink" Target="https://www.dtf.vic.gov.au/financial-reporting-policy/model-report" TargetMode="External"/><Relationship Id="rId151" Type="http://schemas.openxmlformats.org/officeDocument/2006/relationships/hyperlink" Target="https://www.vic.gov.au/diversity-victorian-government-board-guidelines" TargetMode="External"/><Relationship Id="rId172" Type="http://schemas.openxmlformats.org/officeDocument/2006/relationships/hyperlink" Target="http://www.vpsc.vic.gov.au" TargetMode="External"/><Relationship Id="rId193" Type="http://schemas.openxmlformats.org/officeDocument/2006/relationships/hyperlink" Target="http://www.nationalredress.gov.au" TargetMode="External"/><Relationship Id="rId207" Type="http://schemas.openxmlformats.org/officeDocument/2006/relationships/glossaryDocument" Target="glossary/document.xml"/><Relationship Id="rId13" Type="http://schemas.openxmlformats.org/officeDocument/2006/relationships/footer" Target="footer1.xml"/><Relationship Id="rId109" Type="http://schemas.openxmlformats.org/officeDocument/2006/relationships/hyperlink" Target="https://content.vic.gov.au/sites/default/files/2022-03/Diversity-on-Victorian-Government-Board-Guidelines_0.pdf" TargetMode="External"/><Relationship Id="rId34" Type="http://schemas.openxmlformats.org/officeDocument/2006/relationships/hyperlink" Target="https://www.dtf.vic.gov.au/planning-budgeting-and-financial-reporting-frameworks/victorian-risk-management-framework-and-insurance-management-policy" TargetMode="External"/><Relationship Id="rId55" Type="http://schemas.openxmlformats.org/officeDocument/2006/relationships/hyperlink" Target="https://intranet.djsir.vic.gov.au/doctools/documents?rootid=244313" TargetMode="External"/><Relationship Id="rId76" Type="http://schemas.openxmlformats.org/officeDocument/2006/relationships/hyperlink" Target="https://ccyp.vic.gov.au/resources/child-safe-standards/" TargetMode="External"/><Relationship Id="rId97" Type="http://schemas.openxmlformats.org/officeDocument/2006/relationships/hyperlink" Target="https://www.legislation.vic.gov.au/in-force/acts/public-administration-act-2004/084" TargetMode="External"/><Relationship Id="rId120" Type="http://schemas.openxmlformats.org/officeDocument/2006/relationships/hyperlink" Target="http://www.dtf.vic.gov.au" TargetMode="External"/><Relationship Id="rId141" Type="http://schemas.openxmlformats.org/officeDocument/2006/relationships/hyperlink" Target="http://www.vpsc.vic.gov.au" TargetMode="External"/><Relationship Id="rId7" Type="http://schemas.openxmlformats.org/officeDocument/2006/relationships/settings" Target="settings.xml"/><Relationship Id="rId162" Type="http://schemas.openxmlformats.org/officeDocument/2006/relationships/hyperlink" Target="http://www.vpsc.vic.gov.au" TargetMode="External"/><Relationship Id="rId183" Type="http://schemas.openxmlformats.org/officeDocument/2006/relationships/hyperlink" Target="https://www.ibac.vic.gov.au/publications-and-resources/article/guidelines-for-making-and-handling-protected-disclosures" TargetMode="External"/><Relationship Id="rId24" Type="http://schemas.openxmlformats.org/officeDocument/2006/relationships/hyperlink" Target="https://www.dtf.vic.gov.au/financial-management-government/standing-directions-2018-under-financial-management-act-1994" TargetMode="External"/><Relationship Id="rId40" Type="http://schemas.openxmlformats.org/officeDocument/2006/relationships/hyperlink" Target="https://vpsc.vic.gov.au/html-resources/welcome-to-the-board/" TargetMode="External"/><Relationship Id="rId45" Type="http://schemas.openxmlformats.org/officeDocument/2006/relationships/hyperlink" Target="https://www.worksafe.vic.gov.au/workwell-toolkit" TargetMode="External"/><Relationship Id="rId66" Type="http://schemas.openxmlformats.org/officeDocument/2006/relationships/hyperlink" Target="https://www.legislation.vic.gov.au/in-force/acts/public-interest-disclosures-act-2012/026" TargetMode="External"/><Relationship Id="rId87" Type="http://schemas.openxmlformats.org/officeDocument/2006/relationships/hyperlink" Target="http://www6.austlii.edu.au/cgi-bin/viewdb/au/legis/cth/consol_act/ca2001172/" TargetMode="External"/><Relationship Id="rId110" Type="http://schemas.openxmlformats.org/officeDocument/2006/relationships/hyperlink" Target="https://www2.health.vic.gov.au/about/populations/designing-for-diversity" TargetMode="External"/><Relationship Id="rId115" Type="http://schemas.openxmlformats.org/officeDocument/2006/relationships/hyperlink" Target="https://www.dtf.vic.gov.au/planning-budgeting-and-financial-reporting-frameworks/corporate-planning-and-performance-reporting-requirements" TargetMode="External"/><Relationship Id="rId131" Type="http://schemas.openxmlformats.org/officeDocument/2006/relationships/hyperlink" Target="http://www.dtf.vic.gov.au" TargetMode="External"/><Relationship Id="rId136" Type="http://schemas.openxmlformats.org/officeDocument/2006/relationships/hyperlink" Target="https://vpsc.vic.gov.au/governance/recruitment-and-appointment-to-the-board-a-governance-officers-toolkit/" TargetMode="External"/><Relationship Id="rId157" Type="http://schemas.openxmlformats.org/officeDocument/2006/relationships/hyperlink" Target="https://www.vic.gov.au/guidelines-appointment-remuneration" TargetMode="External"/><Relationship Id="rId178" Type="http://schemas.openxmlformats.org/officeDocument/2006/relationships/hyperlink" Target="http://www.djsir.vic.gov.au" TargetMode="External"/><Relationship Id="rId61" Type="http://schemas.openxmlformats.org/officeDocument/2006/relationships/hyperlink" Target="https://vpsc.vic.gov.au/ethics-behaviours-culture/gifts-benefits-hospitality/" TargetMode="External"/><Relationship Id="rId82" Type="http://schemas.openxmlformats.org/officeDocument/2006/relationships/hyperlink" Target="mailto:info@vpsc.vic.gov.au" TargetMode="External"/><Relationship Id="rId152" Type="http://schemas.openxmlformats.org/officeDocument/2006/relationships/hyperlink" Target="http://www.dpc.vic.gov.au" TargetMode="External"/><Relationship Id="rId173" Type="http://schemas.openxmlformats.org/officeDocument/2006/relationships/hyperlink" Target="http://www.djsir.vic.gov.au" TargetMode="External"/><Relationship Id="rId194" Type="http://schemas.openxmlformats.org/officeDocument/2006/relationships/hyperlink" Target="https://www.justice.vic.gov.au/safer-communities/protecting-children-and-families/organisations-providing-services-to-children-new" TargetMode="External"/><Relationship Id="rId199" Type="http://schemas.openxmlformats.org/officeDocument/2006/relationships/hyperlink" Target="http://www.ibac.vic.gov.au/reporting-corruption/what-can-you-complain-about/what-is-police-misconduct" TargetMode="External"/><Relationship Id="rId203" Type="http://schemas.openxmlformats.org/officeDocument/2006/relationships/header" Target="header8.xml"/><Relationship Id="rId208"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yperlink" Target="https://intranet.djsir.vic.gov.au/policies-forms-and-templates/monitoring-and-evaluation-policy" TargetMode="External"/><Relationship Id="rId35" Type="http://schemas.openxmlformats.org/officeDocument/2006/relationships/hyperlink" Target="https://www.vic.gov.au/cyber-incident-Management-Plan" TargetMode="External"/><Relationship Id="rId56" Type="http://schemas.openxmlformats.org/officeDocument/2006/relationships/hyperlink" Target="https://intranet.djsir.vic.gov.au/policies-forms-and-templates/thefts-and-losses-policy" TargetMode="External"/><Relationship Id="rId77" Type="http://schemas.openxmlformats.org/officeDocument/2006/relationships/hyperlink" Target="https://ccyp.vic.gov.au/reportable-conduct-scheme/about-the-reportable-conduct-scheme/" TargetMode="External"/><Relationship Id="rId100" Type="http://schemas.openxmlformats.org/officeDocument/2006/relationships/hyperlink" Target="https://www.legislation.vic.gov.au/in-force/acts/state-owned-enterprises-act-1992/040" TargetMode="External"/><Relationship Id="rId105" Type="http://schemas.openxmlformats.org/officeDocument/2006/relationships/hyperlink" Target="https://www.firstpeoplesrelations.vic.gov.au/how-governments-working-close-gap-aboriginal-affairs-framework" TargetMode="External"/><Relationship Id="rId126" Type="http://schemas.openxmlformats.org/officeDocument/2006/relationships/hyperlink" Target="https://www.dtf.vic.gov.au/financial-management-government/standing-directions-2018-under-financial-management-act-1994" TargetMode="External"/><Relationship Id="rId147" Type="http://schemas.openxmlformats.org/officeDocument/2006/relationships/hyperlink" Target="https://yoorrookjusticecommission.org.au/" TargetMode="External"/><Relationship Id="rId168" Type="http://schemas.openxmlformats.org/officeDocument/2006/relationships/hyperlink" Target="http://www.vpsc.vic.gov.au" TargetMode="External"/><Relationship Id="rId8" Type="http://schemas.openxmlformats.org/officeDocument/2006/relationships/webSettings" Target="webSettings.xml"/><Relationship Id="rId51" Type="http://schemas.openxmlformats.org/officeDocument/2006/relationships/hyperlink" Target="https://vpsc.vic.gov.au/ethics-behaviours-culture/conflict-of-interest/" TargetMode="External"/><Relationship Id="rId72" Type="http://schemas.openxmlformats.org/officeDocument/2006/relationships/hyperlink" Target="https://intranet.djsir.vic.gov.au/policies-forms-and-templates/public-interest-disclosure-procedure" TargetMode="External"/><Relationship Id="rId93" Type="http://schemas.openxmlformats.org/officeDocument/2006/relationships/hyperlink" Target="https://www.legislation.gov.au/Details/C2021C00567" TargetMode="External"/><Relationship Id="rId98" Type="http://schemas.openxmlformats.org/officeDocument/2006/relationships/hyperlink" Target="https://www.legislation.vic.gov.au/in-force/acts/public-interest-disclosures-act-2012/026" TargetMode="External"/><Relationship Id="rId121" Type="http://schemas.openxmlformats.org/officeDocument/2006/relationships/hyperlink" Target="https://www.buyingfor.vic.gov.au/victorian-government-purchasing-board-vgpb" TargetMode="External"/><Relationship Id="rId142" Type="http://schemas.openxmlformats.org/officeDocument/2006/relationships/hyperlink" Target="https://www.vic.gov.au/diversity-victorian-government-board-guidelines" TargetMode="External"/><Relationship Id="rId163" Type="http://schemas.openxmlformats.org/officeDocument/2006/relationships/hyperlink" Target="https://www.boards.vic.gov.au/conflicts-interest-and-duty-board-director" TargetMode="External"/><Relationship Id="rId184" Type="http://schemas.openxmlformats.org/officeDocument/2006/relationships/hyperlink" Target="http://www.ibac.vic.gov.au" TargetMode="External"/><Relationship Id="rId189" Type="http://schemas.openxmlformats.org/officeDocument/2006/relationships/hyperlink" Target="http://www.ccyp.vic.gov.au" TargetMode="External"/><Relationship Id="rId3" Type="http://schemas.openxmlformats.org/officeDocument/2006/relationships/customXml" Target="../customXml/item3.xml"/><Relationship Id="rId25" Type="http://schemas.openxmlformats.org/officeDocument/2006/relationships/hyperlink" Target="https://www.dtf.vic.gov.au/infrastructure-investment/high-value-high-risk-framework" TargetMode="External"/><Relationship Id="rId46" Type="http://schemas.openxmlformats.org/officeDocument/2006/relationships/hyperlink" Target="https://www.legislation.vic.gov.au/in-force/acts/public-administration-act-2004/085" TargetMode="External"/><Relationship Id="rId67" Type="http://schemas.openxmlformats.org/officeDocument/2006/relationships/hyperlink" Target="https://www.ibac.vic.gov.au/publications-and-resources/article/fact-sheet-what-is-a-public-interest-disclosure" TargetMode="External"/><Relationship Id="rId116" Type="http://schemas.openxmlformats.org/officeDocument/2006/relationships/hyperlink" Target="https://www.dtf.vic.gov.au/reducing-regulatory-burden/statement-expectations-regulators" TargetMode="External"/><Relationship Id="rId137" Type="http://schemas.openxmlformats.org/officeDocument/2006/relationships/hyperlink" Target="http://www.vpsc.vic.gov.au" TargetMode="External"/><Relationship Id="rId158" Type="http://schemas.openxmlformats.org/officeDocument/2006/relationships/hyperlink" Target="http://www.dpc.vic.gov.au" TargetMode="External"/><Relationship Id="rId20" Type="http://schemas.openxmlformats.org/officeDocument/2006/relationships/header" Target="header6.xml"/><Relationship Id="rId41" Type="http://schemas.openxmlformats.org/officeDocument/2006/relationships/hyperlink" Target="https://vpsc.vic.gov.au/resources/code-of-conduct-for-directors/" TargetMode="External"/><Relationship Id="rId62" Type="http://schemas.openxmlformats.org/officeDocument/2006/relationships/hyperlink" Target="https://vpsc.vic.gov.au/ethics-behaviours-culture/gifts-benefits-hospitality/minimum-accountabilities/" TargetMode="External"/><Relationship Id="rId83" Type="http://schemas.openxmlformats.org/officeDocument/2006/relationships/hyperlink" Target="https://www.legislation.vic.gov.au/in-force/acts/audit-act-1994/067" TargetMode="External"/><Relationship Id="rId88" Type="http://schemas.openxmlformats.org/officeDocument/2006/relationships/hyperlink" Target="https://www.legislation.vic.gov.au/in-force/acts/disability-act-2006/048" TargetMode="External"/><Relationship Id="rId111" Type="http://schemas.openxmlformats.org/officeDocument/2006/relationships/hyperlink" Target="https://www.health.vic.gov.au/publications/language-services-policy" TargetMode="External"/><Relationship Id="rId132" Type="http://schemas.openxmlformats.org/officeDocument/2006/relationships/hyperlink" Target="https://www.dtf.vic.gov.au/planning-budgeting-and-financial-reporting-frameworks/victorian-risk-management-framework-and-insurance-management-policy" TargetMode="External"/><Relationship Id="rId153" Type="http://schemas.openxmlformats.org/officeDocument/2006/relationships/hyperlink" Target="https://www.health.vic.gov.au/populations/designing-for-diversity" TargetMode="External"/><Relationship Id="rId174" Type="http://schemas.openxmlformats.org/officeDocument/2006/relationships/hyperlink" Target="https://vpsc.vic.gov.au/about-vpsc/updates-from-the-commissioner/integrity-guide-for-new-board-directors/" TargetMode="External"/><Relationship Id="rId179" Type="http://schemas.openxmlformats.org/officeDocument/2006/relationships/hyperlink" Target="https://vpsc.vic.gov.au/ethics-behaviours-culture/gifts-benefits-hospitality/gifts-benefits-and-hospitality-policy-guide/" TargetMode="External"/><Relationship Id="rId195" Type="http://schemas.openxmlformats.org/officeDocument/2006/relationships/hyperlink" Target="http://www.justice.vic.gov.au" TargetMode="External"/><Relationship Id="rId190" Type="http://schemas.openxmlformats.org/officeDocument/2006/relationships/hyperlink" Target="https://ccyp.vic.gov.au/reportable-conduct-scheme/" TargetMode="External"/><Relationship Id="rId204" Type="http://schemas.openxmlformats.org/officeDocument/2006/relationships/footer" Target="footer5.xml"/><Relationship Id="rId15" Type="http://schemas.openxmlformats.org/officeDocument/2006/relationships/header" Target="header3.xml"/><Relationship Id="rId36" Type="http://schemas.openxmlformats.org/officeDocument/2006/relationships/hyperlink" Target="https://vpsc.vic.gov.au/governance/portfolio-governance-arrangements?utm_campaign=portfolio-governance-arrangements&amp;utm_content=edm1&amp;utm_medium=email&amp;utm_source=salesforce" TargetMode="External"/><Relationship Id="rId57" Type="http://schemas.openxmlformats.org/officeDocument/2006/relationships/hyperlink" Target="https://vpsc.vic.gov.au/ethics-behaviours-culture/gifts-benefits-hospitality/minimum-accountabilities/" TargetMode="External"/><Relationship Id="rId106" Type="http://schemas.openxmlformats.org/officeDocument/2006/relationships/hyperlink" Target="https://yoorrookjusticecommission.org.au/" TargetMode="External"/><Relationship Id="rId127" Type="http://schemas.openxmlformats.org/officeDocument/2006/relationships/hyperlink" Target="http://www.dtf.vic.gov.au" TargetMode="External"/><Relationship Id="rId10" Type="http://schemas.openxmlformats.org/officeDocument/2006/relationships/endnotes" Target="endnotes.xml"/><Relationship Id="rId31" Type="http://schemas.openxmlformats.org/officeDocument/2006/relationships/hyperlink" Target="https://www.dtf.vic.gov.au/planning-budgeting-and-financial-reporting-frameworks/resource-management-framework" TargetMode="External"/><Relationship Id="rId52" Type="http://schemas.openxmlformats.org/officeDocument/2006/relationships/hyperlink" Target="https://vpsc.vic.gov.au/about-vpsc/updates-from-the-commissioner/integrity-guide-for-new-board-directors/" TargetMode="External"/><Relationship Id="rId73" Type="http://schemas.openxmlformats.org/officeDocument/2006/relationships/hyperlink" Target="mailto:integrity@ecodev.vic.gov.au" TargetMode="External"/><Relationship Id="rId78" Type="http://schemas.openxmlformats.org/officeDocument/2006/relationships/hyperlink" Target="https://ccyp.vic.gov.au/resources/reportable-conduct-scheme/" TargetMode="External"/><Relationship Id="rId94" Type="http://schemas.openxmlformats.org/officeDocument/2006/relationships/hyperlink" Target="https://www.legislation.vic.gov.au/in-force/acts/ombudsman-act-1973/117" TargetMode="External"/><Relationship Id="rId99" Type="http://schemas.openxmlformats.org/officeDocument/2006/relationships/hyperlink" Target="https://www.legislation.vic.gov.au/in-force/acts/public-records-act-1973/041" TargetMode="External"/><Relationship Id="rId101" Type="http://schemas.openxmlformats.org/officeDocument/2006/relationships/hyperlink" Target="https://www.dtf.vic.gov.au/financial-management-government/standing-directions-2018-under-financial-management-act-1994" TargetMode="External"/><Relationship Id="rId122" Type="http://schemas.openxmlformats.org/officeDocument/2006/relationships/hyperlink" Target="http://www.procurement.vic.gov.au" TargetMode="External"/><Relationship Id="rId143" Type="http://schemas.openxmlformats.org/officeDocument/2006/relationships/hyperlink" Target="https://vpsc.vic.gov.au/workforce-programs/aboriginal-cultural-capability-toolkit/" TargetMode="External"/><Relationship Id="rId148" Type="http://schemas.openxmlformats.org/officeDocument/2006/relationships/hyperlink" Target="http://www.yoorrookjusticecommission.org.au" TargetMode="External"/><Relationship Id="rId164" Type="http://schemas.openxmlformats.org/officeDocument/2006/relationships/hyperlink" Target="http://www.vpsc.vic.gov.au" TargetMode="External"/><Relationship Id="rId169" Type="http://schemas.openxmlformats.org/officeDocument/2006/relationships/hyperlink" Target="https://vpsc.vic.gov.au/wp-content/uploads/2016/03/VPSC_Code_Directors_2016_Booklet.pdf" TargetMode="External"/><Relationship Id="rId185" Type="http://schemas.openxmlformats.org/officeDocument/2006/relationships/hyperlink" Target="https://www.ibac.vic.gov.au/publications-and-resources/article/guidelines-for-protected-disclosure-welfare-managemen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vpsc.vic.gov.au" TargetMode="External"/><Relationship Id="rId26" Type="http://schemas.openxmlformats.org/officeDocument/2006/relationships/hyperlink" Target="https://www.buyingfor.vic.gov.au/victorian-government-purchasing-board-vgpb" TargetMode="External"/><Relationship Id="rId47" Type="http://schemas.openxmlformats.org/officeDocument/2006/relationships/hyperlink" Target="https://www.buyingfor.vic.gov.au/supplier-code-conduct" TargetMode="External"/><Relationship Id="rId68" Type="http://schemas.openxmlformats.org/officeDocument/2006/relationships/hyperlink" Target="https://www.legislation.vic.gov.au/in-force/acts/public-interest-disclosures-act-2012/026" TargetMode="External"/><Relationship Id="rId89" Type="http://schemas.openxmlformats.org/officeDocument/2006/relationships/hyperlink" Target="https://www.legislation.vic.gov.au/in-force/acts/financial-management-act-1994/065" TargetMode="External"/><Relationship Id="rId112" Type="http://schemas.openxmlformats.org/officeDocument/2006/relationships/hyperlink" Target="https://www.dtf.vic.gov.au/planning-budgeting-and-financial-reporting-frameworks/resource-management-framework" TargetMode="External"/><Relationship Id="rId133" Type="http://schemas.openxmlformats.org/officeDocument/2006/relationships/hyperlink" Target="https://vpsc.vic.gov.au/governance/portfolio-governance-arrangements/establishing-portfolio-governance-guide/" TargetMode="External"/><Relationship Id="rId154" Type="http://schemas.openxmlformats.org/officeDocument/2006/relationships/hyperlink" Target="http://www.health.vic.gov.au" TargetMode="External"/><Relationship Id="rId175" Type="http://schemas.openxmlformats.org/officeDocument/2006/relationships/hyperlink" Target="http://www.vpsc.vic.gov.au" TargetMode="External"/><Relationship Id="rId196" Type="http://schemas.openxmlformats.org/officeDocument/2006/relationships/hyperlink" Target="https://djsir.vic.gov.au/about-us/overview/policy-framework/child-safety-at-djsir" TargetMode="External"/><Relationship Id="rId200" Type="http://schemas.openxmlformats.org/officeDocument/2006/relationships/hyperlink" Target="http://www.ibac.vic.gov.au/investigating-corruption" TargetMode="External"/><Relationship Id="rId16" Type="http://schemas.openxmlformats.org/officeDocument/2006/relationships/footer" Target="footer3.xml"/><Relationship Id="rId37" Type="http://schemas.openxmlformats.org/officeDocument/2006/relationships/hyperlink" Target="https://www.vgls.vic.gov.au/client/en_AU/search/asset/1294786/0" TargetMode="External"/><Relationship Id="rId58" Type="http://schemas.openxmlformats.org/officeDocument/2006/relationships/hyperlink" Target="https://www.dtf.vic.gov.au/standing-directions-2018-under-financial-management-act-1994" TargetMode="External"/><Relationship Id="rId79" Type="http://schemas.openxmlformats.org/officeDocument/2006/relationships/hyperlink" Target="https://www.nationalredress.gov.au/institutions-landing/guidance-institutions" TargetMode="External"/><Relationship Id="rId102" Type="http://schemas.openxmlformats.org/officeDocument/2006/relationships/hyperlink" Target="https://www.vic.gov.au/node/24095" TargetMode="External"/><Relationship Id="rId123" Type="http://schemas.openxmlformats.org/officeDocument/2006/relationships/hyperlink" Target="https://vicgov.sharepoint.com/:b:/r/sites/VG000604/Documents/Key%20Resources%20for%20RMs/Guidelines%20and%20Templates/Premier%27s%20Circular/Premier%27s%20Circular%202013-2%20-%20Creation%20and%20Review%20of%20Non-Departmental%20Entities.pdf?csf=1&amp;web=1&amp;e=gTxnL2" TargetMode="External"/><Relationship Id="rId144" Type="http://schemas.openxmlformats.org/officeDocument/2006/relationships/hyperlink" Target="http://www.vpsc.vic.gov.au" TargetMode="External"/><Relationship Id="rId90" Type="http://schemas.openxmlformats.org/officeDocument/2006/relationships/hyperlink" Target="https://www.legislation.vic.gov.au/in-force/acts/freedom-information-act-1982/111" TargetMode="External"/><Relationship Id="rId165" Type="http://schemas.openxmlformats.org/officeDocument/2006/relationships/hyperlink" Target="https://www.buyingfor.vic.gov.au/supplier-code-conduct" TargetMode="External"/><Relationship Id="rId186" Type="http://schemas.openxmlformats.org/officeDocument/2006/relationships/hyperlink" Target="http://www.ibac.vic.gov.au" TargetMode="External"/><Relationship Id="rId27" Type="http://schemas.openxmlformats.org/officeDocument/2006/relationships/hyperlink" Target="https://www.dtf.vic.gov.au/reducing-regulatory-burden/statement-expectations-regulators" TargetMode="External"/><Relationship Id="rId48" Type="http://schemas.openxmlformats.org/officeDocument/2006/relationships/hyperlink" Target="https://vpsc.vic.gov.au/ethics-behaviours-culture/codes-of-conduct/" TargetMode="External"/><Relationship Id="rId69" Type="http://schemas.openxmlformats.org/officeDocument/2006/relationships/hyperlink" Target="https://www.legislation.vic.gov.au/in-force/acts/independent-broad-based-anti-corruption-commission-act-2011/041" TargetMode="External"/><Relationship Id="rId113" Type="http://schemas.openxmlformats.org/officeDocument/2006/relationships/hyperlink" Target="http://www.dtf.vic.gov.au" TargetMode="External"/><Relationship Id="rId134" Type="http://schemas.openxmlformats.org/officeDocument/2006/relationships/hyperlink" Target="http://www.vpsc.vic.gov.au" TargetMode="External"/><Relationship Id="rId80" Type="http://schemas.openxmlformats.org/officeDocument/2006/relationships/hyperlink" Target="https://www.justice.vic.gov.au/policy-institutional-participation-national-redress" TargetMode="External"/><Relationship Id="rId155" Type="http://schemas.openxmlformats.org/officeDocument/2006/relationships/hyperlink" Target="https://www.health.vic.gov.au/publications/language-services-policy" TargetMode="External"/><Relationship Id="rId176" Type="http://schemas.openxmlformats.org/officeDocument/2006/relationships/hyperlink" Target="http://www.djsir.vic.gov.au" TargetMode="External"/><Relationship Id="rId197" Type="http://schemas.openxmlformats.org/officeDocument/2006/relationships/hyperlink" Target="http://www.djsir.vic.gov.au" TargetMode="External"/><Relationship Id="rId201" Type="http://schemas.openxmlformats.org/officeDocument/2006/relationships/hyperlink" Target="http://www.ibac.vic.gov.au/preventing-corruption" TargetMode="External"/><Relationship Id="rId17" Type="http://schemas.openxmlformats.org/officeDocument/2006/relationships/header" Target="header4.xml"/><Relationship Id="rId38" Type="http://schemas.openxmlformats.org/officeDocument/2006/relationships/hyperlink" Target="https://vpsc.vic.gov.au/governance/recruitment-and-appointment-to-the-board-a-governance-officers-toolkit/" TargetMode="External"/><Relationship Id="rId59" Type="http://schemas.openxmlformats.org/officeDocument/2006/relationships/hyperlink" Target="https://www.dtf.vic.gov.au/financial-management-government/standing-directions-2018-under-financial-management-act-1994" TargetMode="External"/><Relationship Id="rId103" Type="http://schemas.openxmlformats.org/officeDocument/2006/relationships/hyperlink" Target="mailto:diversityonboards@dffh.vic.gov.au" TargetMode="External"/><Relationship Id="rId124" Type="http://schemas.openxmlformats.org/officeDocument/2006/relationships/hyperlink" Target="https://www.dtf.vic.gov.au/planning-budgeting-and-financial-reporting-frameworks/resource-management-framework" TargetMode="External"/><Relationship Id="rId70" Type="http://schemas.openxmlformats.org/officeDocument/2006/relationships/hyperlink" Target="https://www.ibac.vic.gov.au/publications-and-resources/article/guidelines-for-making-and-handling-protected-disclosures" TargetMode="External"/><Relationship Id="rId91" Type="http://schemas.openxmlformats.org/officeDocument/2006/relationships/hyperlink" Target="https://www.legislation.vic.gov.au/in-force/acts/independent-broad-based-anti-corruption-commission-act-2011/041" TargetMode="External"/><Relationship Id="rId145" Type="http://schemas.openxmlformats.org/officeDocument/2006/relationships/hyperlink" Target="https://www.firstpeoplesrelations.vic.gov.au/victorian-aboriginal-affairs-framework-2018-2023" TargetMode="External"/><Relationship Id="rId166" Type="http://schemas.openxmlformats.org/officeDocument/2006/relationships/hyperlink" Target="http://www.buyingfor.vic.gov.au" TargetMode="External"/><Relationship Id="rId187" Type="http://schemas.openxmlformats.org/officeDocument/2006/relationships/hyperlink" Target="http://www.djsir.vic.gov.au" TargetMode="External"/><Relationship Id="rId1" Type="http://schemas.openxmlformats.org/officeDocument/2006/relationships/customXml" Target="../customXml/item1.xml"/><Relationship Id="rId28" Type="http://schemas.openxmlformats.org/officeDocument/2006/relationships/hyperlink" Target="https://www.vic.gov.au/towards-best-practice-guide-regulators" TargetMode="External"/><Relationship Id="rId49" Type="http://schemas.openxmlformats.org/officeDocument/2006/relationships/hyperlink" Target="https://vpsc.vic.gov.au/ethics-behaviours-culture/conflict-of-interest/additional-guidance-that-applies-to-some-employees/consensual-personal-relationships/" TargetMode="External"/><Relationship Id="rId114" Type="http://schemas.openxmlformats.org/officeDocument/2006/relationships/hyperlink" Target="https://vicgov.sharepoint.com/sites/VG000604/SitePages/Portfolio-Governance-Framework.aspx" TargetMode="External"/><Relationship Id="rId60" Type="http://schemas.openxmlformats.org/officeDocument/2006/relationships/hyperlink" Target="https://vpsc.vic.gov.au/ethics-behaviours-culture/gifts-benefits-hospitality/minimum-accountabilities/" TargetMode="External"/><Relationship Id="rId81" Type="http://schemas.openxmlformats.org/officeDocument/2006/relationships/hyperlink" Target="https://intranet.economicdevelopment.vic.gov.au/policies-forms-and-templates/fraud-and-corruption-control-policy" TargetMode="External"/><Relationship Id="rId135" Type="http://schemas.openxmlformats.org/officeDocument/2006/relationships/hyperlink" Target="https://vicgov.sharepoint.com/:b:/r/sites/VG000604/Documents/Key%20Resources%20for%20RMs/Guidelines%20and%20Templates/Premier%27s%20Circular/Premier%27s%20Circular%202015-2%20Good%20Board%20Governance.PDF?csf=1&amp;web=1&amp;e=iHJEvP" TargetMode="External"/><Relationship Id="rId156" Type="http://schemas.openxmlformats.org/officeDocument/2006/relationships/hyperlink" Target="http://www.health.vic.gov.au" TargetMode="External"/><Relationship Id="rId177" Type="http://schemas.openxmlformats.org/officeDocument/2006/relationships/hyperlink" Target="http://www.djsir.vic.gov.au" TargetMode="External"/><Relationship Id="rId198" Type="http://schemas.openxmlformats.org/officeDocument/2006/relationships/hyperlink" Target="http://www.ibac.vic.gov.au/reporting-corruption/what-can-you-complain-about/what-is-corruption" TargetMode="External"/><Relationship Id="rId202" Type="http://schemas.openxmlformats.org/officeDocument/2006/relationships/header" Target="header7.xml"/><Relationship Id="rId18" Type="http://schemas.openxmlformats.org/officeDocument/2006/relationships/header" Target="header5.xml"/><Relationship Id="rId39" Type="http://schemas.openxmlformats.org/officeDocument/2006/relationships/hyperlink" Target="https://www.vic.gov.au/guidelines-appointment-remuneration" TargetMode="External"/><Relationship Id="rId50" Type="http://schemas.openxmlformats.org/officeDocument/2006/relationships/hyperlink" Target="https://www.vic.gov.au/guidelines-appointment-remuneration" TargetMode="External"/><Relationship Id="rId104" Type="http://schemas.openxmlformats.org/officeDocument/2006/relationships/hyperlink" Target="https://vpsc.vic.gov.au/html-resources/aboriginal-cultural-capability-toolkit/" TargetMode="External"/><Relationship Id="rId125" Type="http://schemas.openxmlformats.org/officeDocument/2006/relationships/hyperlink" Target="http://www.dtf.vic.gov.au" TargetMode="External"/><Relationship Id="rId146" Type="http://schemas.openxmlformats.org/officeDocument/2006/relationships/hyperlink" Target="http://www.firstpeoplesrelations.vic.gov.au" TargetMode="External"/><Relationship Id="rId167" Type="http://schemas.openxmlformats.org/officeDocument/2006/relationships/hyperlink" Target="https://vpsc.vic.gov.au/wp-content/uploads/2015/03/VPSC_Code_VPSE_WEB.pdf" TargetMode="External"/><Relationship Id="rId188" Type="http://schemas.openxmlformats.org/officeDocument/2006/relationships/hyperlink" Target="https://ccyp.vic.gov.au/child-safe-standards/" TargetMode="External"/><Relationship Id="rId71" Type="http://schemas.openxmlformats.org/officeDocument/2006/relationships/hyperlink" Target="https://www.ibac.vic.gov.au/publications-and-resources/article/guidelines-for-protected-disclosure-welfare-management" TargetMode="External"/><Relationship Id="rId92" Type="http://schemas.openxmlformats.org/officeDocument/2006/relationships/hyperlink" Target="https://www.legislation.vic.gov.au/as-made/acts/information-privacy-act-2000" TargetMode="External"/><Relationship Id="rId2" Type="http://schemas.openxmlformats.org/officeDocument/2006/relationships/customXml" Target="../customXml/item2.xml"/><Relationship Id="rId29" Type="http://schemas.openxmlformats.org/officeDocument/2006/relationships/hyperlink" Target="https://vgls.sdp.sirsidynix.net.au/client/search/asset/1294784"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dtf.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DBBF8F781040DEAFFF60D0D10ED56F"/>
        <w:category>
          <w:name w:val="General"/>
          <w:gallery w:val="placeholder"/>
        </w:category>
        <w:types>
          <w:type w:val="bbPlcHdr"/>
        </w:types>
        <w:behaviors>
          <w:behavior w:val="content"/>
        </w:behaviors>
        <w:guid w:val="{C23AD009-D394-48FA-B7F8-7C1D1E4E5F6C}"/>
      </w:docPartPr>
      <w:docPartBody>
        <w:p w:rsidR="00B415E0" w:rsidRDefault="003447CF" w:rsidP="003447CF">
          <w:pPr>
            <w:pStyle w:val="DDDBBF8F781040DEAFFF60D0D10ED56F1"/>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90967D32E33A42B9ACC15D43E55D27C7"/>
        <w:category>
          <w:name w:val="General"/>
          <w:gallery w:val="placeholder"/>
        </w:category>
        <w:types>
          <w:type w:val="bbPlcHdr"/>
        </w:types>
        <w:behaviors>
          <w:behavior w:val="content"/>
        </w:behaviors>
        <w:guid w:val="{518D39CC-4E61-49CE-B1B6-4D648E15483C}"/>
      </w:docPartPr>
      <w:docPartBody>
        <w:p w:rsidR="00B415E0" w:rsidRDefault="003447CF" w:rsidP="003447CF">
          <w:pPr>
            <w:pStyle w:val="90967D32E33A42B9ACC15D43E55D27C7"/>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IC">
    <w:panose1 w:val="000005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2E"/>
    <w:rsid w:val="00005EE6"/>
    <w:rsid w:val="00021BD8"/>
    <w:rsid w:val="0002441E"/>
    <w:rsid w:val="00036FE0"/>
    <w:rsid w:val="000669C6"/>
    <w:rsid w:val="0008754F"/>
    <w:rsid w:val="000B50C3"/>
    <w:rsid w:val="000D2451"/>
    <w:rsid w:val="000D2654"/>
    <w:rsid w:val="000E3338"/>
    <w:rsid w:val="000F211B"/>
    <w:rsid w:val="000F3D97"/>
    <w:rsid w:val="001207FF"/>
    <w:rsid w:val="0012204D"/>
    <w:rsid w:val="00163704"/>
    <w:rsid w:val="001847C8"/>
    <w:rsid w:val="0019580A"/>
    <w:rsid w:val="001D5B2C"/>
    <w:rsid w:val="001F5547"/>
    <w:rsid w:val="00205342"/>
    <w:rsid w:val="00232287"/>
    <w:rsid w:val="002666AB"/>
    <w:rsid w:val="0027603A"/>
    <w:rsid w:val="002775B0"/>
    <w:rsid w:val="00291BA7"/>
    <w:rsid w:val="002D2DCF"/>
    <w:rsid w:val="002E3C1E"/>
    <w:rsid w:val="00323A69"/>
    <w:rsid w:val="00333046"/>
    <w:rsid w:val="003447CF"/>
    <w:rsid w:val="003550FA"/>
    <w:rsid w:val="00357D0A"/>
    <w:rsid w:val="00377385"/>
    <w:rsid w:val="003773D7"/>
    <w:rsid w:val="00393D41"/>
    <w:rsid w:val="003A6349"/>
    <w:rsid w:val="003D622A"/>
    <w:rsid w:val="003E430E"/>
    <w:rsid w:val="003F1EF0"/>
    <w:rsid w:val="003F7E1A"/>
    <w:rsid w:val="004102FA"/>
    <w:rsid w:val="0045108B"/>
    <w:rsid w:val="00472C78"/>
    <w:rsid w:val="004B5906"/>
    <w:rsid w:val="004C3A31"/>
    <w:rsid w:val="004C5250"/>
    <w:rsid w:val="004F1AAF"/>
    <w:rsid w:val="004F2B22"/>
    <w:rsid w:val="005072B7"/>
    <w:rsid w:val="00516D3D"/>
    <w:rsid w:val="00546F6A"/>
    <w:rsid w:val="00554DF5"/>
    <w:rsid w:val="005631B8"/>
    <w:rsid w:val="00573535"/>
    <w:rsid w:val="005903A3"/>
    <w:rsid w:val="005917D5"/>
    <w:rsid w:val="005C0EE0"/>
    <w:rsid w:val="005D540C"/>
    <w:rsid w:val="006546BE"/>
    <w:rsid w:val="00683C3C"/>
    <w:rsid w:val="00696A28"/>
    <w:rsid w:val="006B70DE"/>
    <w:rsid w:val="006D7680"/>
    <w:rsid w:val="00720793"/>
    <w:rsid w:val="00734614"/>
    <w:rsid w:val="007625A6"/>
    <w:rsid w:val="00797404"/>
    <w:rsid w:val="007B65F7"/>
    <w:rsid w:val="007C20F8"/>
    <w:rsid w:val="00817AE6"/>
    <w:rsid w:val="00820CF7"/>
    <w:rsid w:val="00830D81"/>
    <w:rsid w:val="0084698A"/>
    <w:rsid w:val="00856779"/>
    <w:rsid w:val="008745C6"/>
    <w:rsid w:val="0087723B"/>
    <w:rsid w:val="0089124E"/>
    <w:rsid w:val="008B192E"/>
    <w:rsid w:val="008B22BD"/>
    <w:rsid w:val="008C57C4"/>
    <w:rsid w:val="008F1610"/>
    <w:rsid w:val="008F72A1"/>
    <w:rsid w:val="0092360B"/>
    <w:rsid w:val="0095491D"/>
    <w:rsid w:val="00955E54"/>
    <w:rsid w:val="0097561E"/>
    <w:rsid w:val="0097628A"/>
    <w:rsid w:val="00996F95"/>
    <w:rsid w:val="009A44EA"/>
    <w:rsid w:val="009A78D6"/>
    <w:rsid w:val="009B0D49"/>
    <w:rsid w:val="009B3F1F"/>
    <w:rsid w:val="009E0583"/>
    <w:rsid w:val="009E6002"/>
    <w:rsid w:val="009F4BB1"/>
    <w:rsid w:val="00A165DD"/>
    <w:rsid w:val="00A62DDB"/>
    <w:rsid w:val="00A72216"/>
    <w:rsid w:val="00A96F69"/>
    <w:rsid w:val="00AB4622"/>
    <w:rsid w:val="00AD000A"/>
    <w:rsid w:val="00AD7C30"/>
    <w:rsid w:val="00AF107D"/>
    <w:rsid w:val="00AF3434"/>
    <w:rsid w:val="00B179C7"/>
    <w:rsid w:val="00B415E0"/>
    <w:rsid w:val="00B43DCA"/>
    <w:rsid w:val="00B63359"/>
    <w:rsid w:val="00B72DAE"/>
    <w:rsid w:val="00B81A05"/>
    <w:rsid w:val="00B9333C"/>
    <w:rsid w:val="00BA029E"/>
    <w:rsid w:val="00BA2C61"/>
    <w:rsid w:val="00BA4466"/>
    <w:rsid w:val="00BD4833"/>
    <w:rsid w:val="00BE5FD7"/>
    <w:rsid w:val="00C05ED4"/>
    <w:rsid w:val="00C24CDD"/>
    <w:rsid w:val="00C457E6"/>
    <w:rsid w:val="00C52F84"/>
    <w:rsid w:val="00C54AA1"/>
    <w:rsid w:val="00C83D9F"/>
    <w:rsid w:val="00C972DF"/>
    <w:rsid w:val="00CD574D"/>
    <w:rsid w:val="00D221E1"/>
    <w:rsid w:val="00D33437"/>
    <w:rsid w:val="00D33D6A"/>
    <w:rsid w:val="00D47BFD"/>
    <w:rsid w:val="00D57099"/>
    <w:rsid w:val="00D65308"/>
    <w:rsid w:val="00D74DDA"/>
    <w:rsid w:val="00D76477"/>
    <w:rsid w:val="00D97052"/>
    <w:rsid w:val="00DE2A3C"/>
    <w:rsid w:val="00E37B84"/>
    <w:rsid w:val="00EB3AFD"/>
    <w:rsid w:val="00EE73A3"/>
    <w:rsid w:val="00F24B6B"/>
    <w:rsid w:val="00F25ACA"/>
    <w:rsid w:val="00F35FB0"/>
    <w:rsid w:val="00F562C8"/>
    <w:rsid w:val="00F845BB"/>
    <w:rsid w:val="00F87EA9"/>
    <w:rsid w:val="00FA094A"/>
    <w:rsid w:val="00FB0479"/>
    <w:rsid w:val="00FB3217"/>
    <w:rsid w:val="00FE18AD"/>
    <w:rsid w:val="00FE1DBE"/>
    <w:rsid w:val="00FE30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92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287"/>
    <w:rPr>
      <w:color w:val="808080"/>
    </w:rPr>
  </w:style>
  <w:style w:type="paragraph" w:customStyle="1" w:styleId="DDDBBF8F781040DEAFFF60D0D10ED56F1">
    <w:name w:val="DDDBBF8F781040DEAFFF60D0D10ED56F1"/>
    <w:rsid w:val="003447CF"/>
    <w:pPr>
      <w:suppressAutoHyphens/>
      <w:autoSpaceDE w:val="0"/>
      <w:autoSpaceDN w:val="0"/>
      <w:adjustRightInd w:val="0"/>
      <w:spacing w:before="4800" w:after="227" w:line="240" w:lineRule="auto"/>
      <w:ind w:left="5103"/>
      <w:jc w:val="right"/>
      <w:textAlignment w:val="center"/>
    </w:pPr>
    <w:rPr>
      <w:rFonts w:ascii="Arial" w:eastAsiaTheme="minorHAnsi" w:hAnsi="Arial" w:cs="Arial"/>
      <w:caps/>
      <w:color w:val="404040" w:themeColor="text1" w:themeTint="BF"/>
      <w:sz w:val="36"/>
      <w:szCs w:val="36"/>
      <w:lang w:val="en-GB" w:eastAsia="en-US"/>
    </w:rPr>
  </w:style>
  <w:style w:type="paragraph" w:customStyle="1" w:styleId="90967D32E33A42B9ACC15D43E55D27C7">
    <w:name w:val="90967D32E33A42B9ACC15D43E55D27C7"/>
    <w:rsid w:val="003447CF"/>
    <w:pPr>
      <w:suppressAutoHyphens/>
      <w:autoSpaceDE w:val="0"/>
      <w:autoSpaceDN w:val="0"/>
      <w:adjustRightInd w:val="0"/>
      <w:spacing w:before="480" w:after="800" w:line="240" w:lineRule="auto"/>
      <w:ind w:left="5103"/>
      <w:jc w:val="right"/>
      <w:textAlignment w:val="center"/>
    </w:pPr>
    <w:rPr>
      <w:rFonts w:ascii="Arial" w:eastAsiaTheme="minorHAnsi" w:hAnsi="Arial" w:cs="Arial"/>
      <w:caps/>
      <w:noProof/>
      <w:color w:val="404040" w:themeColor="text1" w:themeTint="BF"/>
      <w:sz w:val="28"/>
      <w:szCs w:val="18"/>
      <w:lang w:val="en-GB" w:eastAsia="en-US"/>
    </w:rPr>
  </w:style>
  <w:style w:type="paragraph" w:styleId="Header">
    <w:name w:val="header"/>
    <w:basedOn w:val="Normal"/>
    <w:link w:val="HeaderChar"/>
    <w:uiPriority w:val="99"/>
    <w:unhideWhenUsed/>
    <w:rsid w:val="003447CF"/>
    <w:pPr>
      <w:tabs>
        <w:tab w:val="center" w:pos="4513"/>
        <w:tab w:val="right" w:pos="9026"/>
      </w:tabs>
      <w:suppressAutoHyphens/>
      <w:autoSpaceDE w:val="0"/>
      <w:autoSpaceDN w:val="0"/>
      <w:adjustRightInd w:val="0"/>
      <w:spacing w:line="220" w:lineRule="atLeast"/>
      <w:textAlignment w:val="center"/>
    </w:pPr>
    <w:rPr>
      <w:rFonts w:ascii="Arial" w:eastAsiaTheme="minorHAnsi" w:hAnsi="Arial" w:cs="Arial"/>
      <w:color w:val="000000"/>
      <w:sz w:val="18"/>
      <w:szCs w:val="18"/>
      <w:lang w:val="en-US" w:eastAsia="en-US"/>
    </w:rPr>
  </w:style>
  <w:style w:type="character" w:customStyle="1" w:styleId="HeaderChar">
    <w:name w:val="Header Char"/>
    <w:basedOn w:val="DefaultParagraphFont"/>
    <w:link w:val="Header"/>
    <w:uiPriority w:val="99"/>
    <w:rsid w:val="003447CF"/>
    <w:rPr>
      <w:rFonts w:ascii="Arial" w:eastAsiaTheme="minorHAnsi" w:hAnsi="Arial" w:cs="Arial"/>
      <w:color w:val="000000"/>
      <w:sz w:val="18"/>
      <w:szCs w:val="18"/>
      <w:lang w:val="en-US" w:eastAsia="en-US"/>
    </w:rPr>
  </w:style>
  <w:style w:type="paragraph" w:styleId="Footer">
    <w:name w:val="footer"/>
    <w:basedOn w:val="Normal"/>
    <w:link w:val="FooterChar"/>
    <w:uiPriority w:val="99"/>
    <w:unhideWhenUsed/>
    <w:rsid w:val="003447CF"/>
    <w:pPr>
      <w:tabs>
        <w:tab w:val="center" w:pos="4513"/>
        <w:tab w:val="right" w:pos="9026"/>
      </w:tabs>
      <w:suppressAutoHyphens/>
      <w:autoSpaceDE w:val="0"/>
      <w:autoSpaceDN w:val="0"/>
      <w:adjustRightInd w:val="0"/>
      <w:spacing w:line="220" w:lineRule="atLeast"/>
      <w:jc w:val="center"/>
      <w:textAlignment w:val="center"/>
    </w:pPr>
    <w:rPr>
      <w:rFonts w:ascii="Arial" w:eastAsiaTheme="minorHAnsi" w:hAnsi="Arial" w:cs="Arial"/>
      <w:color w:val="000000"/>
      <w:sz w:val="18"/>
      <w:szCs w:val="18"/>
      <w:lang w:val="en-US" w:eastAsia="en-US"/>
    </w:rPr>
  </w:style>
  <w:style w:type="character" w:customStyle="1" w:styleId="FooterChar">
    <w:name w:val="Footer Char"/>
    <w:basedOn w:val="DefaultParagraphFont"/>
    <w:link w:val="Footer"/>
    <w:uiPriority w:val="99"/>
    <w:rsid w:val="003447CF"/>
    <w:rPr>
      <w:rFonts w:ascii="Arial" w:eastAsiaTheme="minorHAnsi" w:hAnsi="Arial" w:cs="Arial"/>
      <w:color w:val="000000"/>
      <w:sz w:val="18"/>
      <w:szCs w:val="18"/>
      <w:lang w:val="en-US" w:eastAsia="en-US"/>
    </w:rPr>
  </w:style>
  <w:style w:type="paragraph" w:styleId="Title">
    <w:name w:val="Title"/>
    <w:basedOn w:val="Normal"/>
    <w:next w:val="Normal"/>
    <w:link w:val="TitleChar"/>
    <w:uiPriority w:val="10"/>
    <w:qFormat/>
    <w:rsid w:val="003447CF"/>
    <w:pPr>
      <w:suppressAutoHyphens/>
      <w:autoSpaceDE w:val="0"/>
      <w:autoSpaceDN w:val="0"/>
      <w:adjustRightInd w:val="0"/>
      <w:spacing w:before="4800" w:after="227" w:line="240" w:lineRule="auto"/>
      <w:ind w:left="5103"/>
      <w:jc w:val="right"/>
      <w:textAlignment w:val="center"/>
    </w:pPr>
    <w:rPr>
      <w:rFonts w:ascii="Arial" w:eastAsiaTheme="minorHAnsi" w:hAnsi="Arial" w:cs="Arial"/>
      <w:caps/>
      <w:color w:val="404040" w:themeColor="text1" w:themeTint="BF"/>
      <w:sz w:val="36"/>
      <w:szCs w:val="36"/>
      <w:lang w:val="en-GB" w:eastAsia="en-US"/>
    </w:rPr>
  </w:style>
  <w:style w:type="character" w:customStyle="1" w:styleId="TitleChar">
    <w:name w:val="Title Char"/>
    <w:basedOn w:val="DefaultParagraphFont"/>
    <w:link w:val="Title"/>
    <w:uiPriority w:val="10"/>
    <w:rsid w:val="003447CF"/>
    <w:rPr>
      <w:rFonts w:ascii="Arial" w:eastAsiaTheme="minorHAnsi" w:hAnsi="Arial" w:cs="Arial"/>
      <w:caps/>
      <w:color w:val="404040" w:themeColor="text1" w:themeTint="BF"/>
      <w:sz w:val="36"/>
      <w:szCs w:val="36"/>
      <w:lang w:val="en-GB" w:eastAsia="en-US"/>
    </w:rPr>
  </w:style>
  <w:style w:type="paragraph" w:styleId="Subtitle">
    <w:name w:val="Subtitle"/>
    <w:basedOn w:val="Normal"/>
    <w:next w:val="Normal"/>
    <w:link w:val="SubtitleChar"/>
    <w:uiPriority w:val="11"/>
    <w:qFormat/>
    <w:rsid w:val="003447CF"/>
    <w:pPr>
      <w:suppressAutoHyphens/>
      <w:autoSpaceDE w:val="0"/>
      <w:autoSpaceDN w:val="0"/>
      <w:adjustRightInd w:val="0"/>
      <w:spacing w:before="480" w:after="800" w:line="240" w:lineRule="auto"/>
      <w:ind w:left="5103"/>
      <w:jc w:val="right"/>
      <w:textAlignment w:val="center"/>
    </w:pPr>
    <w:rPr>
      <w:rFonts w:ascii="Arial" w:eastAsiaTheme="minorHAnsi" w:hAnsi="Arial" w:cs="Arial"/>
      <w:caps/>
      <w:noProof/>
      <w:color w:val="404040" w:themeColor="text1" w:themeTint="BF"/>
      <w:sz w:val="28"/>
      <w:szCs w:val="18"/>
      <w:lang w:val="en-GB" w:eastAsia="en-US"/>
    </w:rPr>
  </w:style>
  <w:style w:type="character" w:customStyle="1" w:styleId="SubtitleChar">
    <w:name w:val="Subtitle Char"/>
    <w:basedOn w:val="DefaultParagraphFont"/>
    <w:link w:val="Subtitle"/>
    <w:uiPriority w:val="11"/>
    <w:rsid w:val="003447CF"/>
    <w:rPr>
      <w:rFonts w:ascii="Arial" w:eastAsiaTheme="minorHAnsi" w:hAnsi="Arial" w:cs="Arial"/>
      <w:caps/>
      <w:noProof/>
      <w:color w:val="404040" w:themeColor="text1" w:themeTint="BF"/>
      <w:sz w:val="28"/>
      <w:szCs w:val="18"/>
      <w:lang w:val="en-GB" w:eastAsia="en-US"/>
    </w:rPr>
  </w:style>
  <w:style w:type="character" w:styleId="PageNumber">
    <w:name w:val="page number"/>
    <w:basedOn w:val="DefaultParagraphFont"/>
    <w:uiPriority w:val="99"/>
    <w:semiHidden/>
    <w:unhideWhenUsed/>
    <w:rsid w:val="00344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BC Record Documents Briefing" ma:contentTypeID="0x010100BF21506C792DA24AAFD88BDE2B926597030087E578FA2936274D8AB7AF6BAE3E9C68" ma:contentTypeVersion="100" ma:contentTypeDescription="" ma:contentTypeScope="" ma:versionID="957224f1ad9fa51e7c70ed0d97469c58">
  <xsd:schema xmlns:xsd="http://www.w3.org/2001/XMLSchema" xmlns:xs="http://www.w3.org/2001/XMLSchema" xmlns:p="http://schemas.microsoft.com/office/2006/metadata/properties" xmlns:ns2="1f5b8516-1216-4929-a6bb-f7b72c32bd97" xmlns:ns3="c9aac536-7ea5-4408-b36b-f6d0753895b7" targetNamespace="http://schemas.microsoft.com/office/2006/metadata/properties" ma:root="true" ma:fieldsID="14afccb2e454921b44afe59bb4c5d6bf" ns2:_="" ns3:_="">
    <xsd:import namespace="1f5b8516-1216-4929-a6bb-f7b72c32bd97"/>
    <xsd:import namespace="c9aac536-7ea5-4408-b36b-f6d0753895b7"/>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2:RecordSubtype" minOccurs="0"/>
                <xsd:element ref="ns2:OrganisationLevel1" minOccurs="0"/>
                <xsd:element ref="ns2:OrganisationLevel2" minOccurs="0"/>
                <xsd:element ref="ns2:OrganisationLevel3"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b8516-1216-4929-a6bb-f7b72c32bd97"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ma:readOnly="fals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7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Shared With Details" ma:internalName="SharedWithDetails" ma:readOnly="true">
      <xsd:simpleType>
        <xsd:restriction base="dms:Note">
          <xsd:maxLength value="255"/>
        </xsd:restriction>
      </xsd:simpleType>
    </xsd:element>
    <xsd:element name="RecordSubtype" ma:index="87" nillable="true" ma:displayName="Record sub-type" ma:internalName="RecordSubtype" ma:readOnly="false">
      <xsd:simpleType>
        <xsd:restriction base="dms:Text">
          <xsd:maxLength value="255"/>
        </xsd:restriction>
      </xsd:simpleType>
    </xsd:element>
    <xsd:element name="OrganisationLevel1" ma:index="88" nillable="true" ma:displayName="Organisation level 1" ma:internalName="OrganisationLevel1" ma:readOnly="false">
      <xsd:simpleType>
        <xsd:restriction base="dms:Note">
          <xsd:maxLength value="255"/>
        </xsd:restriction>
      </xsd:simpleType>
    </xsd:element>
    <xsd:element name="OrganisationLevel2" ma:index="89" nillable="true" ma:displayName="Organisation level 2" ma:internalName="OrganisationLevel2" ma:readOnly="false">
      <xsd:simpleType>
        <xsd:restriction base="dms:Note">
          <xsd:maxLength value="255"/>
        </xsd:restriction>
      </xsd:simpleType>
    </xsd:element>
    <xsd:element name="OrganisationLevel3" ma:index="90" nillable="true" ma:displayName="Organisation level 3" ma:internalName="OrganisationLevel3" ma:readOnly="false">
      <xsd:simpleType>
        <xsd:restriction base="dms:Note">
          <xsd:maxLength value="255"/>
        </xsd:restriction>
      </xsd:simpleType>
    </xsd:element>
    <xsd:element name="TaxCatchAll" ma:index="97" nillable="true" ma:displayName="Taxonomy Catch All Column" ma:hidden="true" ma:list="{479708b4-ed95-4b3a-98a5-bab17fb599e3}" ma:internalName="TaxCatchAll" ma:showField="CatchAllData" ma:web="1f5b8516-1216-4929-a6bb-f7b72c32bd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ac536-7ea5-4408-b36b-f6d0753895b7" elementFormDefault="qualified">
    <xsd:import namespace="http://schemas.microsoft.com/office/2006/documentManagement/types"/>
    <xsd:import namespace="http://schemas.microsoft.com/office/infopath/2007/PartnerControls"/>
    <xsd:element name="MediaServiceMetadata" ma:index="77" nillable="true" ma:displayName="MediaServiceMetadata" ma:hidden="true" ma:internalName="MediaServiceMetadata" ma:readOnly="true">
      <xsd:simpleType>
        <xsd:restriction base="dms:Note"/>
      </xsd:simpleType>
    </xsd:element>
    <xsd:element name="MediaServiceFastMetadata" ma:index="78" nillable="true" ma:displayName="MediaServiceFastMetadata" ma:hidden="true" ma:internalName="MediaServiceFastMetadata" ma:readOnly="true">
      <xsd:simpleType>
        <xsd:restriction base="dms:Note"/>
      </xsd:simpleType>
    </xsd:element>
    <xsd:element name="MediaServiceAutoTags" ma:index="83" nillable="true" ma:displayName="Tags" ma:internalName="MediaServiceAutoTags" ma:readOnly="true">
      <xsd:simpleType>
        <xsd:restriction base="dms:Text"/>
      </xsd:simpleType>
    </xsd:element>
    <xsd:element name="MediaServiceOCR" ma:index="84" nillable="true" ma:displayName="Extracted Text" ma:internalName="MediaServiceOCR" ma:readOnly="true">
      <xsd:simpleType>
        <xsd:restriction base="dms:Note">
          <xsd:maxLength value="255"/>
        </xsd:restriction>
      </xsd:simpleType>
    </xsd:element>
    <xsd:element name="MediaServiceGenerationTime" ma:index="85" nillable="true" ma:displayName="MediaServiceGenerationTime" ma:hidden="true" ma:internalName="MediaServiceGenerationTime" ma:readOnly="true">
      <xsd:simpleType>
        <xsd:restriction base="dms:Text"/>
      </xsd:simpleType>
    </xsd:element>
    <xsd:element name="MediaServiceEventHashCode" ma:index="86" nillable="true" ma:displayName="MediaServiceEventHashCode" ma:hidden="true" ma:internalName="MediaServiceEventHashCode" ma:readOnly="true">
      <xsd:simpleType>
        <xsd:restriction base="dms:Text"/>
      </xsd:simpleType>
    </xsd:element>
    <xsd:element name="MediaServiceAutoKeyPoints" ma:index="91" nillable="true" ma:displayName="MediaServiceAutoKeyPoints" ma:hidden="true" ma:internalName="MediaServiceAutoKeyPoints" ma:readOnly="true">
      <xsd:simpleType>
        <xsd:restriction base="dms:Note"/>
      </xsd:simpleType>
    </xsd:element>
    <xsd:element name="MediaServiceKeyPoints" ma:index="92" nillable="true" ma:displayName="KeyPoints" ma:internalName="MediaServiceKeyPoints" ma:readOnly="true">
      <xsd:simpleType>
        <xsd:restriction base="dms:Note">
          <xsd:maxLength value="255"/>
        </xsd:restriction>
      </xsd:simpleType>
    </xsd:element>
    <xsd:element name="MediaServiceDateTaken" ma:index="93" nillable="true" ma:displayName="MediaServiceDateTaken" ma:hidden="true" ma:internalName="MediaServiceDateTaken" ma:readOnly="true">
      <xsd:simpleType>
        <xsd:restriction base="dms:Text"/>
      </xsd:simpleType>
    </xsd:element>
    <xsd:element name="MediaServiceLocation" ma:index="94" nillable="true" ma:displayName="Location" ma:internalName="MediaServiceLocation" ma:readOnly="true">
      <xsd:simpleType>
        <xsd:restriction base="dms:Text"/>
      </xsd:simpleType>
    </xsd:element>
    <xsd:element name="lcf76f155ced4ddcb4097134ff3c332f" ma:index="9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98" nillable="true" ma:displayName="MediaLengthInSeconds" ma:hidden="true" ma:internalName="MediaLengthInSeconds" ma:readOnly="true">
      <xsd:simpleType>
        <xsd:restriction base="dms:Unknown"/>
      </xsd:simpleType>
    </xsd:element>
    <xsd:element name="MediaServiceObjectDetectorVersions" ma:index="9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0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aac536-7ea5-4408-b36b-f6d0753895b7">
      <Terms xmlns="http://schemas.microsoft.com/office/infopath/2007/PartnerControls"/>
    </lcf76f155ced4ddcb4097134ff3c332f>
    <TaxCatchAll xmlns="1f5b8516-1216-4929-a6bb-f7b72c32bd97" xsi:nil="true"/>
    <SharedWithUsers xmlns="1f5b8516-1216-4929-a6bb-f7b72c32bd97">
      <UserInfo>
        <DisplayName>Roshani R Benedict (DJSIR)</DisplayName>
        <AccountId>1289</AccountId>
        <AccountType/>
      </UserInfo>
      <UserInfo>
        <DisplayName>Binen B Sharma (DJSIR)</DisplayName>
        <AccountId>178</AccountId>
        <AccountType/>
      </UserInfo>
      <UserInfo>
        <DisplayName>Thilaka Satha (DJSIR)</DisplayName>
        <AccountId>4422</AccountId>
        <AccountType/>
      </UserInfo>
      <UserInfo>
        <DisplayName>Kate Oo (DJSIR)</DisplayName>
        <AccountId>5151</AccountId>
        <AccountType/>
      </UserInfo>
      <UserInfo>
        <DisplayName>Lorna Jeremiah (DJSIR)</DisplayName>
        <AccountId>2830</AccountId>
        <AccountType/>
      </UserInfo>
      <UserInfo>
        <DisplayName>Chris J Harrington (DJSIR)</DisplayName>
        <AccountId>6020</AccountId>
        <AccountType/>
      </UserInfo>
      <UserInfo>
        <DisplayName>John R Lombard (DJSIR)</DisplayName>
        <AccountId>720</AccountId>
        <AccountType/>
      </UserInfo>
      <UserInfo>
        <DisplayName>Eliss M Kong (DJSIR)</DisplayName>
        <AccountId>5036</AccountId>
        <AccountType/>
      </UserInfo>
      <UserInfo>
        <DisplayName>Christopher B Rodgers (DJSIR)</DisplayName>
        <AccountId>4745</AccountId>
        <AccountType/>
      </UserInfo>
      <UserInfo>
        <DisplayName>Jo L Ryan (DJSIR)</DisplayName>
        <AccountId>3791</AccountId>
        <AccountType/>
      </UserInfo>
      <UserInfo>
        <DisplayName>Kym A Weaver (DJSIR)</DisplayName>
        <AccountId>690</AccountId>
        <AccountType/>
      </UserInfo>
      <UserInfo>
        <DisplayName>Xavier P Andriske (DJSIR)</DisplayName>
        <AccountId>90</AccountId>
        <AccountType/>
      </UserInfo>
      <UserInfo>
        <DisplayName>Patrick Ow (DJSIR)</DisplayName>
        <AccountId>5432</AccountId>
        <AccountType/>
      </UserInfo>
      <UserInfo>
        <DisplayName>Kate E Williams (DJSIR)</DisplayName>
        <AccountId>1238</AccountId>
        <AccountType/>
      </UserInfo>
      <UserInfo>
        <DisplayName>Dane G Meiklejohn (DJSIR)</DisplayName>
        <AccountId>2680</AccountId>
        <AccountType/>
      </UserInfo>
      <UserInfo>
        <DisplayName>Jess L Crespo (DJSIR)</DisplayName>
        <AccountId>5157</AccountId>
        <AccountType/>
      </UserInfo>
      <UserInfo>
        <DisplayName>Mardi Solomon (DJSIR)</DisplayName>
        <AccountId>1224</AccountId>
        <AccountType/>
      </UserInfo>
      <UserInfo>
        <DisplayName>Sujata Suntharalingam (DJSIR)</DisplayName>
        <AccountId>1986</AccountId>
        <AccountType/>
      </UserInfo>
      <UserInfo>
        <DisplayName>Ron Mak (DJSIR)</DisplayName>
        <AccountId>5511</AccountId>
        <AccountType/>
      </UserInfo>
      <UserInfo>
        <DisplayName>Nura X Yaacob (DJSIR)</DisplayName>
        <AccountId>5993</AccountId>
        <AccountType/>
      </UserInfo>
      <UserInfo>
        <DisplayName>Stewart A Cameron (DJSIR)</DisplayName>
        <AccountId>5164</AccountId>
        <AccountType/>
      </UserInfo>
      <UserInfo>
        <DisplayName>Ade A Adeniyi (DJSIR)</DisplayName>
        <AccountId>6152</AccountId>
        <AccountType/>
      </UserInfo>
      <UserInfo>
        <DisplayName>Daniel J Rodger (DJSIR)</DisplayName>
        <AccountId>52</AccountId>
        <AccountType/>
      </UserInfo>
      <UserInfo>
        <DisplayName>Karen M Shu (DJSIR)</DisplayName>
        <AccountId>5509</AccountId>
        <AccountType/>
      </UserInfo>
    </SharedWithUsers>
    <Organisation xmlns="1f5b8516-1216-4929-a6bb-f7b72c32bd97">Department of Jobs, Skills, Industry and Regions</Organisation>
    <Recommender1jobtitle xmlns="1f5b8516-1216-4929-a6bb-f7b72c32bd97">Deputy Secretary, Corporate Services</Recommender1jobtitle>
    <Recommender4jobtitle xmlns="1f5b8516-1216-4929-a6bb-f7b72c32bd97" xsi:nil="true"/>
    <Recommender5fullname xmlns="1f5b8516-1216-4929-a6bb-f7b72c32bd97" xsi:nil="true"/>
    <Recommender8fullname xmlns="1f5b8516-1216-4929-a6bb-f7b72c32bd97" xsi:nil="true"/>
    <DecisionMakerDueDate xmlns="1f5b8516-1216-4929-a6bb-f7b72c32bd97">2025-06-16T14:00:00+00:00</DecisionMakerDueDate>
    <Recommender4date xmlns="1f5b8516-1216-4929-a6bb-f7b72c32bd97" xsi:nil="true"/>
    <DecisionMaker1date xmlns="1f5b8516-1216-4929-a6bb-f7b72c32bd97" xsi:nil="true"/>
    <RecordSubject xmlns="1f5b8516-1216-4929-a6bb-f7b72c32bd97">Update to DJSIR Guide to Good Governance and Portfolio Performance - 2025</RecordSubject>
    <Recommender1workphone xmlns="1f5b8516-1216-4929-a6bb-f7b72c32bd97">96519999</Recommender1workphone>
    <Recommender4workphone xmlns="1f5b8516-1216-4929-a6bb-f7b72c32bd97" xsi:nil="true"/>
    <DecisionMaker2workphone xmlns="1f5b8516-1216-4929-a6bb-f7b72c32bd97" xsi:nil="true"/>
    <DecisionMaker3decision xmlns="1f5b8516-1216-4929-a6bb-f7b72c32bd97" xsi:nil="true"/>
    <OrganisationLevel3 xmlns="1f5b8516-1216-4929-a6bb-f7b72c32bd97">Strategy Performance and Governance</OrganisationLevel3>
    <Leadauthorfullname xmlns="1f5b8516-1216-4929-a6bb-f7b72c32bd97">Emma J Geier (DJSIR)</Leadauthorfullname>
    <Recommender1fullname xmlns="1f5b8516-1216-4929-a6bb-f7b72c32bd97">Heather J Ridley (DJSIR)</Recommender1fullname>
    <Recommender4fullname xmlns="1f5b8516-1216-4929-a6bb-f7b72c32bd97" xsi:nil="true"/>
    <Recommender5jobtitle xmlns="1f5b8516-1216-4929-a6bb-f7b72c32bd97" xsi:nil="true"/>
    <DecisionMaker1fullname xmlns="1f5b8516-1216-4929-a6bb-f7b72c32bd97">Matt G Carrick (DJSIR)</DecisionMaker1fullname>
    <DecisionMaker3jobtitle xmlns="1f5b8516-1216-4929-a6bb-f7b72c32bd97" xsi:nil="true"/>
    <VersionNumber xmlns="1f5b8516-1216-4929-a6bb-f7b72c32bd97" xsi:nil="true"/>
    <Leadauthordate xmlns="1f5b8516-1216-4929-a6bb-f7b72c32bd97">30/05/2025 05:22 PM</Leadauthordate>
    <Recommender5date xmlns="1f5b8516-1216-4929-a6bb-f7b72c32bd97" xsi:nil="true"/>
    <Recommender5workphone xmlns="1f5b8516-1216-4929-a6bb-f7b72c32bd97" xsi:nil="true"/>
    <Recommender8workphone xmlns="1f5b8516-1216-4929-a6bb-f7b72c32bd97" xsi:nil="true"/>
    <DocumentType xmlns="1f5b8516-1216-4929-a6bb-f7b72c32bd97">Attachment</DocumentType>
    <TemplateID xmlns="1f5b8516-1216-4929-a6bb-f7b72c32bd97" xsi:nil="true"/>
    <Leadauthorjobtitle xmlns="1f5b8516-1216-4929-a6bb-f7b72c32bd97">Manager Strategy and Co-Design</Leadauthorjobtitle>
    <Recommender2jobtitle xmlns="1f5b8516-1216-4929-a6bb-f7b72c32bd97" xsi:nil="true"/>
    <Recommender7fullname xmlns="1f5b8516-1216-4929-a6bb-f7b72c32bd97" xsi:nil="true"/>
    <Recommender8jobtitle xmlns="1f5b8516-1216-4929-a6bb-f7b72c32bd97" xsi:nil="true"/>
    <DecisionMaker2jobtitle xmlns="1f5b8516-1216-4929-a6bb-f7b72c32bd97" xsi:nil="true"/>
    <Notifydecisionfullname xmlns="1f5b8516-1216-4929-a6bb-f7b72c32bd97">Thilaka Satha (DJSIR) - Manager Business Planning and Governance</Notifydecisionfullname>
    <Recommender1date xmlns="1f5b8516-1216-4929-a6bb-f7b72c32bd97">17/06/2025 08:16 PM</Recommender1date>
    <Recommender6date xmlns="1f5b8516-1216-4929-a6bb-f7b72c32bd97" xsi:nil="true"/>
    <Recommender2workphone xmlns="1f5b8516-1216-4929-a6bb-f7b72c32bd97" xsi:nil="true"/>
    <DecisionMaker1workphone xmlns="1f5b8516-1216-4929-a6bb-f7b72c32bd97">96519999</DecisionMaker1workphone>
    <Decisioncategory xmlns="1f5b8516-1216-4929-a6bb-f7b72c32bd97">Secretary - Department of Jobs, Skills, Industry and Regions</Decisioncategory>
    <AccountableOfficerworkphone xmlns="1f5b8516-1216-4929-a6bb-f7b72c32bd97">0383927043</AccountableOfficerworkphone>
    <Recommender3fullname xmlns="1f5b8516-1216-4929-a6bb-f7b72c32bd97" xsi:nil="true"/>
    <Recommender3jobtitle xmlns="1f5b8516-1216-4929-a6bb-f7b72c32bd97" xsi:nil="true"/>
    <Recommender6fullname xmlns="1f5b8516-1216-4929-a6bb-f7b72c32bd97" xsi:nil="true"/>
    <Recommender6jobtitle xmlns="1f5b8516-1216-4929-a6bb-f7b72c32bd97" xsi:nil="true"/>
    <DecisionMaker2fullname xmlns="1f5b8516-1216-4929-a6bb-f7b72c32bd97" xsi:nil="true"/>
    <Recommender2date xmlns="1f5b8516-1216-4929-a6bb-f7b72c32bd97" xsi:nil="true"/>
    <Recommender7date xmlns="1f5b8516-1216-4929-a6bb-f7b72c32bd97" xsi:nil="true"/>
    <Recommender8date xmlns="1f5b8516-1216-4929-a6bb-f7b72c32bd97" xsi:nil="true"/>
    <DecisionMaker3date xmlns="1f5b8516-1216-4929-a6bb-f7b72c32bd97" xsi:nil="true"/>
    <Notifyrecommendationfullname xmlns="1f5b8516-1216-4929-a6bb-f7b72c32bd97">Thilaka Satha (DJSIR) - Manager Business Planning and Governance</Notifyrecommendationfullname>
    <Leadauthorworkphone xmlns="1f5b8516-1216-4929-a6bb-f7b72c32bd97">86833132</Leadauthorworkphone>
    <Recommender3workphone xmlns="1f5b8516-1216-4929-a6bb-f7b72c32bd97" xsi:nil="true"/>
    <Recommender6workphone xmlns="1f5b8516-1216-4929-a6bb-f7b72c32bd97" xsi:nil="true"/>
    <EventDate xmlns="1f5b8516-1216-4929-a6bb-f7b72c32bd97" xsi:nil="true"/>
    <EventTime xmlns="1f5b8516-1216-4929-a6bb-f7b72c32bd97" xsi:nil="true"/>
    <DecisionMaker1decision xmlns="1f5b8516-1216-4929-a6bb-f7b72c32bd97" xsi:nil="true"/>
    <OrganisationLevel1 xmlns="1f5b8516-1216-4929-a6bb-f7b72c32bd97">Corporate Services</OrganisationLevel1>
    <RequestFrom xmlns="1f5b8516-1216-4929-a6bb-f7b72c32bd97">Organisation</RequestFrom>
    <AccountableOfficerdate xmlns="1f5b8516-1216-4929-a6bb-f7b72c32bd97">13/06/2025 03:41 PM</AccountableOfficerdate>
    <Recommender2fullname xmlns="1f5b8516-1216-4929-a6bb-f7b72c32bd97" xsi:nil="true"/>
    <Recommender7jobtitle xmlns="1f5b8516-1216-4929-a6bb-f7b72c32bd97" xsi:nil="true"/>
    <DecisionMaker1jobtitle xmlns="1f5b8516-1216-4929-a6bb-f7b72c32bd97">Secretary</DecisionMaker1jobtitle>
    <DecisionMaker3fullname xmlns="1f5b8516-1216-4929-a6bb-f7b72c32bd97" xsi:nil="true"/>
    <RecommenderDueDate xmlns="1f5b8516-1216-4929-a6bb-f7b72c32bd97">2025-06-12T14:00:00+00:00</RecommenderDueDate>
    <RecordSubtype xmlns="1f5b8516-1216-4929-a6bb-f7b72c32bd97">Secretarial Briefing</RecordSubtype>
    <AccountableOfficerfullname xmlns="1f5b8516-1216-4929-a6bb-f7b72c32bd97">Kim M McGinnes (DJSIR)</AccountableOfficerfullname>
    <AccountableOfficerjobtitle xmlns="1f5b8516-1216-4929-a6bb-f7b72c32bd97">Executive Director Strategy, Performance and Governance</AccountableOfficerjobtitle>
    <Recommender3date xmlns="1f5b8516-1216-4929-a6bb-f7b72c32bd97" xsi:nil="true"/>
    <DecisionMaker2date xmlns="1f5b8516-1216-4929-a6bb-f7b72c32bd97" xsi:nil="true"/>
    <Recommender7workphone xmlns="1f5b8516-1216-4929-a6bb-f7b72c32bd97" xsi:nil="true"/>
    <DecisionMaker3workphone xmlns="1f5b8516-1216-4929-a6bb-f7b72c32bd97" xsi:nil="true"/>
    <DecisionRequired xmlns="1f5b8516-1216-4929-a6bb-f7b72c32bd97" xsi:nil="true"/>
    <DecisionMaker2decision xmlns="1f5b8516-1216-4929-a6bb-f7b72c32bd97" xsi:nil="true"/>
    <OrganisationLevel2 xmlns="1f5b8516-1216-4929-a6bb-f7b72c32bd97">Strategy Performance and Governance</OrganisationLevel2>
    <RegistrationNumber xmlns="1f5b8516-1216-4929-a6bb-f7b72c32bd97">BSEC-2-25-44036</Registration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57271-D845-4252-B412-FD6E91347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b8516-1216-4929-a6bb-f7b72c32bd97"/>
    <ds:schemaRef ds:uri="c9aac536-7ea5-4408-b36b-f6d075389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734B537C-1545-4258-949A-B7DD7339DBFB}">
  <ds:schemaRefs>
    <ds:schemaRef ds:uri="http://schemas.microsoft.com/office/2006/metadata/properties"/>
    <ds:schemaRef ds:uri="http://schemas.microsoft.com/office/infopath/2007/PartnerControls"/>
    <ds:schemaRef ds:uri="c9aac536-7ea5-4408-b36b-f6d0753895b7"/>
    <ds:schemaRef ds:uri="1f5b8516-1216-4929-a6bb-f7b72c32bd97"/>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20740</Words>
  <Characters>118224</Characters>
  <Application>Microsoft Office Word</Application>
  <DocSecurity>0</DocSecurity>
  <Lines>985</Lines>
  <Paragraphs>277</Paragraphs>
  <ScaleCrop>false</ScaleCrop>
  <Company/>
  <LinksUpToDate>false</LinksUpToDate>
  <CharactersWithSpaces>138687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Supreeti Tewari (DJSIR)</dc:creator>
  <cp:keywords/>
  <dc:description/>
  <cp:lastModifiedBy>Supreeti Tewari (DJSIR)</cp:lastModifiedBy>
  <cp:revision>4</cp:revision>
  <cp:lastPrinted>2025-06-20T00:51:00Z</cp:lastPrinted>
  <dcterms:created xsi:type="dcterms:W3CDTF">2025-06-23T05:36:00Z</dcterms:created>
  <dcterms:modified xsi:type="dcterms:W3CDTF">2025-06-23T05:39:00Z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0x010100BF21506C792DA24AAFD88BDE2B926597030087E578FA2936274D8AB7AF6BAE3E9C68</vt:lpwstr>
  </property>
  <property fmtid="{D5CDD505-2E9C-101B-9397-08002B2CF9AE}" pid="3" name="MediaServiceImageTags">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DEDJTRBranch">
    <vt:lpwstr/>
  </property>
  <property fmtid="{D5CDD505-2E9C-101B-9397-08002B2CF9AE}" pid="9" name="GrammarlyDocumentId">
    <vt:lpwstr>862beaab2134ceb4af6b193f22422a6c69d77f1f6338608952df74f5094408ee</vt:lpwstr>
  </property>
  <property fmtid="{D5CDD505-2E9C-101B-9397-08002B2CF9AE}" pid="10" name="Replytype">
    <vt:lpwstr/>
  </property>
  <property fmtid="{D5CDD505-2E9C-101B-9397-08002B2CF9AE}" pid="11" name="MSIP_Label_d00a4df9-c942-4b09-b23a-6c1023f6de27_Enabled">
    <vt:lpwstr>true</vt:lpwstr>
  </property>
  <property fmtid="{D5CDD505-2E9C-101B-9397-08002B2CF9AE}" pid="12" name="MSIP_Label_d00a4df9-c942-4b09-b23a-6c1023f6de27_SetDate">
    <vt:lpwstr>2024-04-18T06:32:08Z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67357580-61aa-4c3f-920a-75ab1d15a7ca</vt:lpwstr>
  </property>
  <property fmtid="{D5CDD505-2E9C-101B-9397-08002B2CF9AE}" pid="17" name="MSIP_Label_d00a4df9-c942-4b09-b23a-6c1023f6de27_ContentBits">
    <vt:lpwstr>3</vt:lpwstr>
  </property>
  <property fmtid="{D5CDD505-2E9C-101B-9397-08002B2CF9AE}" pid="18" name="_docset_NoMedatataSyncRequired">
    <vt:lpwstr>False</vt:lpwstr>
  </property>
</Properties>
</file>